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vsdx" ContentType="application/vnd.ms-visio.drawing"/>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E118E7" w14:textId="77777777" w:rsidR="00CC0897" w:rsidRPr="00FB7953" w:rsidRDefault="00CC0897" w:rsidP="00FB7953">
      <w:pPr>
        <w:spacing w:line="240" w:lineRule="auto"/>
        <w:ind w:firstLine="0"/>
        <w:jc w:val="center"/>
        <w:rPr>
          <w:b/>
          <w:bCs/>
          <w:sz w:val="28"/>
          <w:szCs w:val="24"/>
          <w:lang w:val="en-US"/>
        </w:rPr>
      </w:pPr>
      <w:r w:rsidRPr="00FB7953">
        <w:rPr>
          <w:b/>
          <w:bCs/>
          <w:sz w:val="28"/>
          <w:szCs w:val="24"/>
          <w:lang w:val="en-US"/>
        </w:rPr>
        <w:t>Ministry of Education and Science of the Republic of Kazakhstan</w:t>
      </w:r>
    </w:p>
    <w:p w14:paraId="448536A7" w14:textId="77777777" w:rsidR="00CC0897" w:rsidRPr="00FB7953" w:rsidRDefault="00CC0897" w:rsidP="00FB7953">
      <w:pPr>
        <w:spacing w:line="240" w:lineRule="auto"/>
        <w:ind w:firstLine="0"/>
        <w:jc w:val="center"/>
        <w:rPr>
          <w:b/>
          <w:bCs/>
          <w:sz w:val="28"/>
          <w:szCs w:val="24"/>
          <w:lang w:val="en-US"/>
        </w:rPr>
      </w:pPr>
    </w:p>
    <w:p w14:paraId="458E6B40" w14:textId="77777777" w:rsidR="00CC0897" w:rsidRPr="00FB7953" w:rsidRDefault="00CC0897" w:rsidP="00FB7953">
      <w:pPr>
        <w:spacing w:line="240" w:lineRule="auto"/>
        <w:ind w:firstLine="0"/>
        <w:jc w:val="center"/>
        <w:rPr>
          <w:b/>
          <w:bCs/>
          <w:sz w:val="28"/>
          <w:szCs w:val="24"/>
          <w:lang w:val="en-US"/>
        </w:rPr>
      </w:pPr>
      <w:r w:rsidRPr="00FB7953">
        <w:rPr>
          <w:b/>
          <w:bCs/>
          <w:sz w:val="28"/>
          <w:szCs w:val="24"/>
          <w:lang w:val="en-US"/>
        </w:rPr>
        <w:t>L.N. Gumilyov Eurasian National University</w:t>
      </w:r>
    </w:p>
    <w:p w14:paraId="03B55424" w14:textId="77777777" w:rsidR="00CC0897" w:rsidRPr="00FB7953" w:rsidRDefault="00CC0897" w:rsidP="00FB7953">
      <w:pPr>
        <w:spacing w:line="240" w:lineRule="auto"/>
        <w:ind w:firstLine="0"/>
        <w:jc w:val="center"/>
        <w:rPr>
          <w:b/>
          <w:bCs/>
          <w:sz w:val="28"/>
          <w:szCs w:val="24"/>
          <w:lang w:val="en-US"/>
        </w:rPr>
      </w:pPr>
    </w:p>
    <w:p w14:paraId="5E698D0B" w14:textId="77777777" w:rsidR="00CC0897" w:rsidRPr="00FB7953" w:rsidRDefault="00CC0897" w:rsidP="00FB7953">
      <w:pPr>
        <w:spacing w:line="240" w:lineRule="auto"/>
        <w:ind w:firstLine="0"/>
        <w:jc w:val="center"/>
        <w:rPr>
          <w:b/>
          <w:bCs/>
          <w:sz w:val="28"/>
          <w:szCs w:val="24"/>
          <w:lang w:val="en-US"/>
        </w:rPr>
      </w:pPr>
    </w:p>
    <w:p w14:paraId="1254C008" w14:textId="77777777" w:rsidR="00CC0897" w:rsidRPr="00FB7953" w:rsidRDefault="00CC0897" w:rsidP="00FB7953">
      <w:pPr>
        <w:spacing w:line="240" w:lineRule="auto"/>
        <w:ind w:firstLine="0"/>
        <w:jc w:val="center"/>
        <w:rPr>
          <w:b/>
          <w:bCs/>
          <w:sz w:val="28"/>
          <w:szCs w:val="24"/>
          <w:lang w:val="en-US"/>
        </w:rPr>
      </w:pPr>
    </w:p>
    <w:p w14:paraId="5857AEFF" w14:textId="77777777" w:rsidR="00CC0897" w:rsidRPr="00FB7953" w:rsidRDefault="00CC0897" w:rsidP="00FB7953">
      <w:pPr>
        <w:spacing w:line="240" w:lineRule="auto"/>
        <w:ind w:firstLine="0"/>
        <w:jc w:val="center"/>
        <w:rPr>
          <w:sz w:val="28"/>
          <w:szCs w:val="24"/>
          <w:lang w:val="en-US"/>
        </w:rPr>
      </w:pPr>
      <w:r w:rsidRPr="00FB7953">
        <w:rPr>
          <w:sz w:val="28"/>
          <w:szCs w:val="24"/>
          <w:lang w:val="en-US"/>
        </w:rPr>
        <w:t>UDK 627.8                                                                On the rights of the manuscript</w:t>
      </w:r>
    </w:p>
    <w:p w14:paraId="36E16067" w14:textId="77777777" w:rsidR="00CC0897" w:rsidRPr="00FB7953" w:rsidRDefault="00CC0897" w:rsidP="00FB7953">
      <w:pPr>
        <w:spacing w:line="240" w:lineRule="auto"/>
        <w:ind w:firstLine="0"/>
        <w:jc w:val="center"/>
        <w:rPr>
          <w:sz w:val="28"/>
          <w:szCs w:val="24"/>
          <w:lang w:val="en-US"/>
        </w:rPr>
      </w:pPr>
    </w:p>
    <w:p w14:paraId="7F3C1B3E" w14:textId="77777777" w:rsidR="00CC0897" w:rsidRPr="00FB7953" w:rsidRDefault="00CC0897" w:rsidP="00FB7953">
      <w:pPr>
        <w:spacing w:line="240" w:lineRule="auto"/>
        <w:ind w:firstLine="0"/>
        <w:jc w:val="center"/>
        <w:rPr>
          <w:sz w:val="28"/>
          <w:szCs w:val="24"/>
          <w:lang w:val="en-US"/>
        </w:rPr>
      </w:pPr>
    </w:p>
    <w:p w14:paraId="3FEE12D5" w14:textId="77777777" w:rsidR="00CC0897" w:rsidRPr="00FB7953" w:rsidRDefault="00CC0897" w:rsidP="00FB7953">
      <w:pPr>
        <w:spacing w:line="240" w:lineRule="auto"/>
        <w:ind w:firstLine="0"/>
        <w:jc w:val="center"/>
        <w:rPr>
          <w:sz w:val="28"/>
          <w:szCs w:val="24"/>
          <w:lang w:val="en-US"/>
        </w:rPr>
      </w:pPr>
    </w:p>
    <w:p w14:paraId="2B555237" w14:textId="77777777" w:rsidR="00CC0897" w:rsidRPr="00FB7953" w:rsidRDefault="00CC0897" w:rsidP="00FB7953">
      <w:pPr>
        <w:spacing w:line="240" w:lineRule="auto"/>
        <w:ind w:firstLine="0"/>
        <w:jc w:val="center"/>
        <w:rPr>
          <w:b/>
          <w:bCs/>
          <w:sz w:val="28"/>
          <w:szCs w:val="24"/>
          <w:lang w:val="en-US"/>
        </w:rPr>
      </w:pPr>
      <w:r w:rsidRPr="00FB7953">
        <w:rPr>
          <w:b/>
          <w:bCs/>
          <w:sz w:val="28"/>
          <w:szCs w:val="24"/>
          <w:lang w:val="en-US"/>
        </w:rPr>
        <w:t>MKILIMA TIMOTH</w:t>
      </w:r>
    </w:p>
    <w:p w14:paraId="033FE3D9" w14:textId="77777777" w:rsidR="00CC0897" w:rsidRPr="00FB7953" w:rsidRDefault="00CC0897" w:rsidP="00FB7953">
      <w:pPr>
        <w:spacing w:line="240" w:lineRule="auto"/>
        <w:ind w:firstLine="0"/>
        <w:jc w:val="center"/>
        <w:rPr>
          <w:b/>
          <w:bCs/>
          <w:sz w:val="28"/>
          <w:szCs w:val="24"/>
          <w:lang w:val="en-US"/>
        </w:rPr>
      </w:pPr>
    </w:p>
    <w:p w14:paraId="4514A378" w14:textId="77777777" w:rsidR="00CC0897" w:rsidRPr="00FB7953" w:rsidRDefault="00CC0897" w:rsidP="00FB7953">
      <w:pPr>
        <w:spacing w:line="240" w:lineRule="auto"/>
        <w:ind w:firstLine="0"/>
        <w:jc w:val="center"/>
        <w:rPr>
          <w:b/>
          <w:bCs/>
          <w:sz w:val="28"/>
          <w:szCs w:val="24"/>
          <w:lang w:val="en-US"/>
        </w:rPr>
      </w:pPr>
    </w:p>
    <w:p w14:paraId="43D00FCF" w14:textId="77777777" w:rsidR="00CC0897" w:rsidRPr="00FB7953" w:rsidRDefault="00CC0897" w:rsidP="00FB7953">
      <w:pPr>
        <w:spacing w:line="240" w:lineRule="auto"/>
        <w:ind w:firstLine="0"/>
        <w:jc w:val="center"/>
        <w:rPr>
          <w:b/>
          <w:bCs/>
          <w:sz w:val="28"/>
          <w:szCs w:val="24"/>
          <w:lang w:val="en-US"/>
        </w:rPr>
      </w:pPr>
    </w:p>
    <w:p w14:paraId="1FFB412F" w14:textId="77777777" w:rsidR="00CC0897" w:rsidRPr="00FB7953" w:rsidRDefault="00CC0897" w:rsidP="00FB7953">
      <w:pPr>
        <w:spacing w:line="240" w:lineRule="auto"/>
        <w:ind w:firstLine="0"/>
        <w:jc w:val="center"/>
        <w:rPr>
          <w:b/>
          <w:bCs/>
          <w:sz w:val="28"/>
          <w:szCs w:val="24"/>
          <w:lang w:val="en-US"/>
        </w:rPr>
      </w:pPr>
      <w:r w:rsidRPr="00FB7953">
        <w:rPr>
          <w:b/>
          <w:bCs/>
          <w:sz w:val="28"/>
          <w:szCs w:val="24"/>
          <w:lang w:val="en-US"/>
        </w:rPr>
        <w:t>Aspects of embankment dams stability considering the impact of land use changes and climatic conditions in catchments</w:t>
      </w:r>
    </w:p>
    <w:p w14:paraId="05005868" w14:textId="77777777" w:rsidR="00CC0897" w:rsidRPr="00FB7953" w:rsidRDefault="00CC0897" w:rsidP="00FB7953">
      <w:pPr>
        <w:spacing w:line="240" w:lineRule="auto"/>
        <w:ind w:firstLine="0"/>
        <w:jc w:val="center"/>
        <w:rPr>
          <w:b/>
          <w:bCs/>
          <w:sz w:val="28"/>
          <w:szCs w:val="24"/>
          <w:lang w:val="en-US"/>
        </w:rPr>
      </w:pPr>
    </w:p>
    <w:p w14:paraId="794C4753" w14:textId="77777777" w:rsidR="00CC0897" w:rsidRPr="00FB7953" w:rsidRDefault="00CC0897" w:rsidP="00FB7953">
      <w:pPr>
        <w:spacing w:line="240" w:lineRule="auto"/>
        <w:ind w:firstLine="0"/>
        <w:jc w:val="center"/>
        <w:rPr>
          <w:b/>
          <w:bCs/>
          <w:sz w:val="28"/>
          <w:szCs w:val="24"/>
          <w:lang w:val="en-US"/>
        </w:rPr>
      </w:pPr>
    </w:p>
    <w:p w14:paraId="7E59282B" w14:textId="77777777" w:rsidR="00CC0897" w:rsidRPr="00FB7953" w:rsidRDefault="00CC0897" w:rsidP="00FB7953">
      <w:pPr>
        <w:spacing w:line="240" w:lineRule="auto"/>
        <w:ind w:firstLine="0"/>
        <w:jc w:val="center"/>
        <w:rPr>
          <w:b/>
          <w:bCs/>
          <w:sz w:val="28"/>
          <w:szCs w:val="24"/>
          <w:lang w:val="en-US"/>
        </w:rPr>
      </w:pPr>
    </w:p>
    <w:p w14:paraId="3D6704EA" w14:textId="77777777" w:rsidR="00CC0897" w:rsidRPr="00FB7953" w:rsidRDefault="00CC0897" w:rsidP="00FB7953">
      <w:pPr>
        <w:spacing w:line="240" w:lineRule="auto"/>
        <w:ind w:firstLine="0"/>
        <w:jc w:val="center"/>
        <w:rPr>
          <w:sz w:val="28"/>
          <w:szCs w:val="32"/>
          <w:lang w:val="en-US"/>
        </w:rPr>
      </w:pPr>
      <w:r w:rsidRPr="00FB7953">
        <w:rPr>
          <w:sz w:val="28"/>
          <w:szCs w:val="32"/>
          <w:lang w:val="en-US"/>
        </w:rPr>
        <w:t>8D07329 – Civil Engineering</w:t>
      </w:r>
    </w:p>
    <w:p w14:paraId="34345243" w14:textId="77777777" w:rsidR="00CC0897" w:rsidRPr="00FB7953" w:rsidRDefault="00CC0897" w:rsidP="00FB7953">
      <w:pPr>
        <w:spacing w:line="240" w:lineRule="auto"/>
        <w:ind w:firstLine="0"/>
        <w:jc w:val="center"/>
        <w:rPr>
          <w:sz w:val="28"/>
          <w:szCs w:val="32"/>
          <w:lang w:val="en-US"/>
        </w:rPr>
      </w:pPr>
    </w:p>
    <w:p w14:paraId="5644923B" w14:textId="77777777" w:rsidR="00CC0897" w:rsidRPr="00FB7953" w:rsidRDefault="00CC0897" w:rsidP="00FB7953">
      <w:pPr>
        <w:spacing w:line="240" w:lineRule="auto"/>
        <w:ind w:firstLine="0"/>
        <w:jc w:val="center"/>
        <w:rPr>
          <w:sz w:val="28"/>
          <w:szCs w:val="32"/>
          <w:lang w:val="en-US"/>
        </w:rPr>
      </w:pPr>
    </w:p>
    <w:p w14:paraId="1FAABCA0" w14:textId="77777777" w:rsidR="00CC0897" w:rsidRPr="00FB7953" w:rsidRDefault="00CC0897" w:rsidP="00FB7953">
      <w:pPr>
        <w:spacing w:line="240" w:lineRule="auto"/>
        <w:ind w:firstLine="0"/>
        <w:jc w:val="center"/>
        <w:rPr>
          <w:sz w:val="28"/>
          <w:szCs w:val="32"/>
          <w:lang w:val="en-US"/>
        </w:rPr>
      </w:pPr>
    </w:p>
    <w:p w14:paraId="7412FBC5" w14:textId="77777777" w:rsidR="00CC0897" w:rsidRPr="00FB7953" w:rsidRDefault="00CC0897" w:rsidP="00FB7953">
      <w:pPr>
        <w:spacing w:line="240" w:lineRule="auto"/>
        <w:ind w:firstLine="0"/>
        <w:jc w:val="center"/>
        <w:rPr>
          <w:sz w:val="28"/>
          <w:szCs w:val="24"/>
          <w:lang w:val="en-US"/>
        </w:rPr>
      </w:pPr>
      <w:r w:rsidRPr="00FB7953">
        <w:rPr>
          <w:sz w:val="28"/>
          <w:szCs w:val="24"/>
          <w:lang w:val="en-US"/>
        </w:rPr>
        <w:t xml:space="preserve">Thesis for the degree of </w:t>
      </w:r>
    </w:p>
    <w:p w14:paraId="1751B6DF" w14:textId="77777777" w:rsidR="00CC0897" w:rsidRPr="00FB7953" w:rsidRDefault="00CC0897" w:rsidP="00FB7953">
      <w:pPr>
        <w:spacing w:line="240" w:lineRule="auto"/>
        <w:ind w:firstLine="0"/>
        <w:jc w:val="center"/>
        <w:rPr>
          <w:sz w:val="28"/>
          <w:szCs w:val="24"/>
          <w:lang w:val="en-US"/>
        </w:rPr>
      </w:pPr>
      <w:r w:rsidRPr="00FB7953">
        <w:rPr>
          <w:sz w:val="28"/>
          <w:szCs w:val="24"/>
          <w:lang w:val="en-US"/>
        </w:rPr>
        <w:t>Doctor of Philosophy (PhD)</w:t>
      </w:r>
    </w:p>
    <w:p w14:paraId="34E137B1" w14:textId="77777777" w:rsidR="00CC0897" w:rsidRPr="00FB7953" w:rsidRDefault="00CC0897" w:rsidP="00FB7953">
      <w:pPr>
        <w:spacing w:line="240" w:lineRule="auto"/>
        <w:ind w:firstLine="0"/>
        <w:jc w:val="center"/>
        <w:rPr>
          <w:sz w:val="28"/>
          <w:szCs w:val="24"/>
          <w:lang w:val="en-US"/>
        </w:rPr>
      </w:pPr>
    </w:p>
    <w:p w14:paraId="3F22615C" w14:textId="77777777" w:rsidR="00CC0897" w:rsidRPr="00FB7953" w:rsidRDefault="00CC0897" w:rsidP="00FB7953">
      <w:pPr>
        <w:spacing w:line="240" w:lineRule="auto"/>
        <w:ind w:firstLine="0"/>
        <w:jc w:val="center"/>
        <w:rPr>
          <w:sz w:val="28"/>
          <w:szCs w:val="24"/>
          <w:lang w:val="en-US"/>
        </w:rPr>
      </w:pPr>
    </w:p>
    <w:p w14:paraId="24FDDB05" w14:textId="77777777" w:rsidR="00CC0897" w:rsidRPr="00FB7953" w:rsidRDefault="00CC0897" w:rsidP="00FB7953">
      <w:pPr>
        <w:spacing w:line="240" w:lineRule="auto"/>
        <w:ind w:firstLine="0"/>
        <w:jc w:val="center"/>
        <w:rPr>
          <w:sz w:val="28"/>
          <w:szCs w:val="24"/>
          <w:lang w:val="en-US"/>
        </w:rPr>
      </w:pPr>
    </w:p>
    <w:p w14:paraId="39C80511" w14:textId="77777777" w:rsidR="00CC0897" w:rsidRPr="00FB7953" w:rsidRDefault="00CC0897" w:rsidP="00FB7953">
      <w:pPr>
        <w:spacing w:line="240" w:lineRule="auto"/>
        <w:ind w:firstLine="0"/>
        <w:jc w:val="center"/>
        <w:rPr>
          <w:sz w:val="28"/>
          <w:szCs w:val="24"/>
          <w:lang w:val="en-US"/>
        </w:rPr>
      </w:pPr>
    </w:p>
    <w:p w14:paraId="49772422" w14:textId="77777777" w:rsidR="00CC0897" w:rsidRPr="00FB7953" w:rsidRDefault="00CC0897" w:rsidP="00FB7953">
      <w:pPr>
        <w:spacing w:line="240" w:lineRule="auto"/>
        <w:ind w:left="5103" w:firstLine="0"/>
        <w:rPr>
          <w:sz w:val="28"/>
          <w:szCs w:val="24"/>
          <w:lang w:val="en-US"/>
        </w:rPr>
      </w:pPr>
      <w:r w:rsidRPr="00FB7953">
        <w:rPr>
          <w:sz w:val="28"/>
          <w:szCs w:val="24"/>
          <w:lang w:val="en-US"/>
        </w:rPr>
        <w:t>Domestic Scientific Advisor</w:t>
      </w:r>
    </w:p>
    <w:p w14:paraId="7AB206B6" w14:textId="77777777" w:rsidR="00CC0897" w:rsidRPr="00FB7953" w:rsidRDefault="00CC0897" w:rsidP="00FB7953">
      <w:pPr>
        <w:spacing w:line="240" w:lineRule="auto"/>
        <w:ind w:left="5103" w:firstLine="0"/>
        <w:rPr>
          <w:sz w:val="28"/>
          <w:szCs w:val="24"/>
          <w:lang w:val="en-US"/>
        </w:rPr>
      </w:pPr>
      <w:r w:rsidRPr="00FB7953">
        <w:rPr>
          <w:sz w:val="28"/>
          <w:szCs w:val="24"/>
          <w:lang w:val="en-US"/>
        </w:rPr>
        <w:t>PhD, Associate Professor</w:t>
      </w:r>
    </w:p>
    <w:p w14:paraId="1AB87692" w14:textId="77777777" w:rsidR="00CC0897" w:rsidRPr="00FB7953" w:rsidRDefault="00CC0897" w:rsidP="00FB7953">
      <w:pPr>
        <w:spacing w:line="240" w:lineRule="auto"/>
        <w:ind w:left="5103" w:firstLine="0"/>
        <w:rPr>
          <w:sz w:val="28"/>
          <w:szCs w:val="24"/>
          <w:lang w:val="en-US"/>
        </w:rPr>
      </w:pPr>
      <w:r w:rsidRPr="00FB7953">
        <w:rPr>
          <w:sz w:val="28"/>
          <w:szCs w:val="24"/>
          <w:lang w:val="en-US"/>
        </w:rPr>
        <w:t>Utepov Ye.B.</w:t>
      </w:r>
    </w:p>
    <w:p w14:paraId="31A97BA8" w14:textId="77777777" w:rsidR="00CC0897" w:rsidRPr="00FB7953" w:rsidRDefault="00CC0897" w:rsidP="00FB7953">
      <w:pPr>
        <w:spacing w:line="240" w:lineRule="auto"/>
        <w:ind w:left="5103" w:firstLine="0"/>
        <w:rPr>
          <w:sz w:val="28"/>
          <w:szCs w:val="24"/>
          <w:lang w:val="en-US"/>
        </w:rPr>
      </w:pPr>
    </w:p>
    <w:p w14:paraId="4DF9B3D9" w14:textId="77777777" w:rsidR="00CC0897" w:rsidRPr="00FB7953" w:rsidRDefault="00CC0897" w:rsidP="00FB7953">
      <w:pPr>
        <w:spacing w:line="240" w:lineRule="auto"/>
        <w:ind w:left="5103" w:firstLine="0"/>
        <w:rPr>
          <w:sz w:val="28"/>
          <w:szCs w:val="24"/>
          <w:lang w:val="en-US"/>
        </w:rPr>
      </w:pPr>
      <w:r w:rsidRPr="00FB7953">
        <w:rPr>
          <w:sz w:val="28"/>
          <w:szCs w:val="24"/>
          <w:lang w:val="en-US"/>
        </w:rPr>
        <w:t>Foreign Scientific Advisor</w:t>
      </w:r>
    </w:p>
    <w:p w14:paraId="7F75612C" w14:textId="58E8692F" w:rsidR="00CC0897" w:rsidRPr="00FB7953" w:rsidRDefault="00CC0897" w:rsidP="00FB7953">
      <w:pPr>
        <w:spacing w:line="240" w:lineRule="auto"/>
        <w:ind w:left="5103" w:firstLine="0"/>
        <w:rPr>
          <w:sz w:val="28"/>
          <w:szCs w:val="24"/>
          <w:lang w:val="en-US"/>
        </w:rPr>
      </w:pPr>
      <w:r w:rsidRPr="00FB7953">
        <w:rPr>
          <w:sz w:val="28"/>
          <w:szCs w:val="24"/>
          <w:lang w:val="en-US"/>
        </w:rPr>
        <w:t>Professor</w:t>
      </w:r>
    </w:p>
    <w:p w14:paraId="551DD0EA" w14:textId="77777777" w:rsidR="00CC0897" w:rsidRPr="00FB7953" w:rsidRDefault="00CC0897" w:rsidP="00FB7953">
      <w:pPr>
        <w:spacing w:line="240" w:lineRule="auto"/>
        <w:ind w:left="5103" w:firstLine="0"/>
        <w:rPr>
          <w:sz w:val="28"/>
          <w:szCs w:val="24"/>
          <w:lang w:val="en-US"/>
        </w:rPr>
      </w:pPr>
      <w:r w:rsidRPr="00FB7953">
        <w:rPr>
          <w:sz w:val="28"/>
          <w:szCs w:val="24"/>
          <w:lang w:val="en-US"/>
        </w:rPr>
        <w:t>Zbigniew Lechowicz</w:t>
      </w:r>
    </w:p>
    <w:p w14:paraId="73E48BA1" w14:textId="77777777" w:rsidR="00CC0897" w:rsidRPr="00FB7953" w:rsidRDefault="00CC0897" w:rsidP="00FB7953">
      <w:pPr>
        <w:spacing w:line="240" w:lineRule="auto"/>
        <w:ind w:left="5103" w:firstLine="0"/>
        <w:rPr>
          <w:sz w:val="28"/>
          <w:szCs w:val="24"/>
          <w:lang w:val="en-US"/>
        </w:rPr>
      </w:pPr>
      <w:r w:rsidRPr="00FB7953">
        <w:rPr>
          <w:sz w:val="28"/>
          <w:szCs w:val="24"/>
          <w:lang w:val="en-US"/>
        </w:rPr>
        <w:t>(Warsaw University of Life Sciences)</w:t>
      </w:r>
    </w:p>
    <w:p w14:paraId="21CD8B89" w14:textId="77777777" w:rsidR="00CC0897" w:rsidRPr="00FB7953" w:rsidRDefault="00CC0897" w:rsidP="00FB7953">
      <w:pPr>
        <w:spacing w:line="240" w:lineRule="auto"/>
        <w:ind w:firstLine="0"/>
        <w:rPr>
          <w:sz w:val="28"/>
          <w:szCs w:val="24"/>
          <w:lang w:val="en-US"/>
        </w:rPr>
      </w:pPr>
    </w:p>
    <w:p w14:paraId="656EDDE9" w14:textId="77777777" w:rsidR="00CC0897" w:rsidRPr="00FB7953" w:rsidRDefault="00CC0897" w:rsidP="00FB7953">
      <w:pPr>
        <w:spacing w:line="240" w:lineRule="auto"/>
        <w:ind w:firstLine="0"/>
        <w:rPr>
          <w:sz w:val="28"/>
          <w:szCs w:val="24"/>
          <w:lang w:val="en-US"/>
        </w:rPr>
      </w:pPr>
    </w:p>
    <w:p w14:paraId="694416FF" w14:textId="77777777" w:rsidR="00CC0897" w:rsidRPr="00FB7953" w:rsidRDefault="00CC0897" w:rsidP="00FB7953">
      <w:pPr>
        <w:spacing w:line="240" w:lineRule="auto"/>
        <w:ind w:firstLine="0"/>
        <w:rPr>
          <w:sz w:val="28"/>
          <w:szCs w:val="24"/>
          <w:lang w:val="en-US"/>
        </w:rPr>
      </w:pPr>
    </w:p>
    <w:p w14:paraId="74332F4B" w14:textId="77777777" w:rsidR="00CC0897" w:rsidRPr="00FB7953" w:rsidRDefault="00CC0897" w:rsidP="00FB7953">
      <w:pPr>
        <w:spacing w:line="240" w:lineRule="auto"/>
        <w:ind w:firstLine="0"/>
        <w:rPr>
          <w:sz w:val="28"/>
          <w:szCs w:val="24"/>
          <w:lang w:val="en-US"/>
        </w:rPr>
      </w:pPr>
    </w:p>
    <w:p w14:paraId="6AAA3758" w14:textId="77777777" w:rsidR="00CC0897" w:rsidRPr="00FB7953" w:rsidRDefault="00CC0897" w:rsidP="00FB7953">
      <w:pPr>
        <w:spacing w:line="240" w:lineRule="auto"/>
        <w:ind w:firstLine="0"/>
        <w:rPr>
          <w:sz w:val="28"/>
          <w:szCs w:val="24"/>
          <w:lang w:val="en-US"/>
        </w:rPr>
      </w:pPr>
    </w:p>
    <w:p w14:paraId="1F1A28C7" w14:textId="77777777" w:rsidR="00CC0897" w:rsidRPr="00FB7953" w:rsidRDefault="00CC0897" w:rsidP="00FB7953">
      <w:pPr>
        <w:spacing w:line="240" w:lineRule="auto"/>
        <w:ind w:firstLine="0"/>
        <w:rPr>
          <w:sz w:val="28"/>
          <w:szCs w:val="24"/>
          <w:lang w:val="en-US"/>
        </w:rPr>
      </w:pPr>
    </w:p>
    <w:p w14:paraId="499B0CCB" w14:textId="77777777" w:rsidR="00CC0897" w:rsidRPr="00FB7953" w:rsidRDefault="00CC0897" w:rsidP="00FB7953">
      <w:pPr>
        <w:spacing w:line="240" w:lineRule="auto"/>
        <w:ind w:firstLine="0"/>
        <w:jc w:val="center"/>
        <w:rPr>
          <w:sz w:val="28"/>
          <w:szCs w:val="24"/>
          <w:lang w:val="en-US"/>
        </w:rPr>
      </w:pPr>
      <w:r w:rsidRPr="00FB7953">
        <w:rPr>
          <w:sz w:val="28"/>
          <w:szCs w:val="24"/>
          <w:lang w:val="en-US"/>
        </w:rPr>
        <w:t>Republic of Kazakhstan</w:t>
      </w:r>
    </w:p>
    <w:p w14:paraId="5D217A3C" w14:textId="77777777" w:rsidR="00CC0897" w:rsidRPr="00FB7953" w:rsidRDefault="00CC0897" w:rsidP="00FB7953">
      <w:pPr>
        <w:spacing w:line="240" w:lineRule="auto"/>
        <w:ind w:firstLine="0"/>
        <w:jc w:val="center"/>
        <w:rPr>
          <w:sz w:val="28"/>
          <w:szCs w:val="24"/>
          <w:lang w:val="en-US"/>
        </w:rPr>
      </w:pPr>
      <w:r w:rsidRPr="00FB7953">
        <w:rPr>
          <w:sz w:val="28"/>
          <w:szCs w:val="24"/>
          <w:lang w:val="en-US"/>
        </w:rPr>
        <w:t>Nur-Sultan, 2022</w:t>
      </w:r>
    </w:p>
    <w:p w14:paraId="32837A7F" w14:textId="384632CB" w:rsidR="006A35C2" w:rsidRPr="006A35C2" w:rsidRDefault="00812168" w:rsidP="00CC0897">
      <w:pPr>
        <w:pStyle w:val="1"/>
        <w:numPr>
          <w:ilvl w:val="0"/>
          <w:numId w:val="0"/>
        </w:numPr>
        <w:jc w:val="center"/>
        <w:rPr>
          <w:lang w:val="en-US"/>
        </w:rPr>
      </w:pPr>
      <w:bookmarkStart w:id="0" w:name="_Toc104985152"/>
      <w:r w:rsidRPr="006A35C2">
        <w:rPr>
          <w:lang w:val="en-US"/>
        </w:rPr>
        <w:lastRenderedPageBreak/>
        <w:t>ABSTRACT</w:t>
      </w:r>
      <w:bookmarkEnd w:id="0"/>
    </w:p>
    <w:p w14:paraId="78FF194C" w14:textId="016A1B73" w:rsidR="006A35C2" w:rsidRPr="00265168" w:rsidRDefault="00AE725D" w:rsidP="006A35C2">
      <w:pPr>
        <w:rPr>
          <w:rFonts w:cs="Times New Roman"/>
          <w:szCs w:val="24"/>
          <w:lang w:val="en-US"/>
        </w:rPr>
      </w:pPr>
      <w:r>
        <w:rPr>
          <w:rFonts w:cs="Times New Roman"/>
          <w:szCs w:val="24"/>
          <w:lang w:val="en-US"/>
        </w:rPr>
        <w:t>Typic</w:t>
      </w:r>
      <w:r w:rsidRPr="006A35C2">
        <w:rPr>
          <w:rFonts w:cs="Times New Roman"/>
          <w:szCs w:val="24"/>
          <w:lang w:val="en-US"/>
        </w:rPr>
        <w:t>ally,</w:t>
      </w:r>
      <w:r w:rsidR="006A35C2" w:rsidRPr="006A35C2">
        <w:rPr>
          <w:rFonts w:cs="Times New Roman"/>
          <w:szCs w:val="24"/>
          <w:lang w:val="en-US"/>
        </w:rPr>
        <w:t xml:space="preserve"> dams are located in less developed areas of a catchment; however, due to factors such as population growth over time</w:t>
      </w:r>
      <w:r w:rsidR="00EB01FD">
        <w:rPr>
          <w:rFonts w:cs="Times New Roman"/>
          <w:szCs w:val="24"/>
          <w:lang w:val="en-US"/>
        </w:rPr>
        <w:t>,</w:t>
      </w:r>
      <w:r w:rsidR="006A35C2" w:rsidRPr="006A35C2">
        <w:rPr>
          <w:rFonts w:cs="Times New Roman"/>
          <w:szCs w:val="24"/>
          <w:lang w:val="en-US"/>
        </w:rPr>
        <w:t xml:space="preserve"> these catchments get highly urbanized</w:t>
      </w:r>
      <w:r w:rsidR="00EB01FD">
        <w:rPr>
          <w:rFonts w:cs="Times New Roman"/>
          <w:szCs w:val="24"/>
          <w:lang w:val="en-US"/>
        </w:rPr>
        <w:t>,</w:t>
      </w:r>
      <w:r w:rsidR="006A35C2" w:rsidRPr="006A35C2">
        <w:rPr>
          <w:rFonts w:cs="Times New Roman"/>
          <w:szCs w:val="24"/>
          <w:lang w:val="en-US"/>
        </w:rPr>
        <w:t xml:space="preserve"> leading to the alteration of the natural landscape. Also, all over the world</w:t>
      </w:r>
      <w:r w:rsidR="00EB01FD">
        <w:rPr>
          <w:rFonts w:cs="Times New Roman"/>
          <w:szCs w:val="24"/>
          <w:lang w:val="en-US"/>
        </w:rPr>
        <w:t>,</w:t>
      </w:r>
      <w:r w:rsidR="006A35C2" w:rsidRPr="006A35C2">
        <w:rPr>
          <w:rFonts w:cs="Times New Roman"/>
          <w:szCs w:val="24"/>
          <w:lang w:val="en-US"/>
        </w:rPr>
        <w:t xml:space="preserve"> </w:t>
      </w:r>
      <w:r w:rsidR="00EB01FD">
        <w:rPr>
          <w:rFonts w:cs="Times New Roman"/>
          <w:szCs w:val="24"/>
          <w:lang w:val="en-US"/>
        </w:rPr>
        <w:t xml:space="preserve">the </w:t>
      </w:r>
      <w:r w:rsidR="006A35C2" w:rsidRPr="006A35C2">
        <w:rPr>
          <w:rFonts w:cs="Times New Roman"/>
          <w:szCs w:val="24"/>
          <w:lang w:val="en-US"/>
        </w:rPr>
        <w:t>climate has been observed to be changing</w:t>
      </w:r>
      <w:r w:rsidR="00EB01FD">
        <w:rPr>
          <w:rFonts w:cs="Times New Roman"/>
          <w:szCs w:val="24"/>
          <w:lang w:val="en-US"/>
        </w:rPr>
        <w:t>,</w:t>
      </w:r>
      <w:r w:rsidR="006A35C2" w:rsidRPr="006A35C2">
        <w:rPr>
          <w:rFonts w:cs="Times New Roman"/>
          <w:szCs w:val="24"/>
          <w:lang w:val="en-US"/>
        </w:rPr>
        <w:t xml:space="preserve"> leading to extreme events. All these factors affect the </w:t>
      </w:r>
      <w:r w:rsidR="00EB01FD">
        <w:rPr>
          <w:rFonts w:cs="Times New Roman"/>
          <w:szCs w:val="24"/>
          <w:lang w:val="en-US"/>
        </w:rPr>
        <w:t>catchments' hydrological pattern,</w:t>
      </w:r>
      <w:r w:rsidR="006A35C2" w:rsidRPr="006A35C2">
        <w:rPr>
          <w:rFonts w:cs="Times New Roman"/>
          <w:szCs w:val="24"/>
          <w:lang w:val="en-US"/>
        </w:rPr>
        <w:t xml:space="preserve"> posing a significant threat to the dams. Moreover, incorporating all these factors during the design phase of an embankment dam, in particular, has </w:t>
      </w:r>
      <w:r w:rsidR="00EB01FD">
        <w:rPr>
          <w:rFonts w:cs="Times New Roman"/>
          <w:szCs w:val="24"/>
          <w:lang w:val="en-US"/>
        </w:rPr>
        <w:t>always been</w:t>
      </w:r>
      <w:r w:rsidR="006A35C2" w:rsidRPr="006A35C2">
        <w:rPr>
          <w:rFonts w:cs="Times New Roman"/>
          <w:szCs w:val="24"/>
          <w:lang w:val="en-US"/>
        </w:rPr>
        <w:t xml:space="preserve"> a challenge. This study investigated the potential influence of land use changes, extreme events, and loading conditions on the slope stability of an embankment dam. A combination of Geographical Information System approaches and numerical modeling </w:t>
      </w:r>
      <w:r w:rsidR="00EB01FD">
        <w:rPr>
          <w:rFonts w:cs="Times New Roman"/>
          <w:szCs w:val="24"/>
          <w:lang w:val="en-US"/>
        </w:rPr>
        <w:t>investigated different case studies' problems</w:t>
      </w:r>
      <w:r w:rsidR="006A35C2" w:rsidRPr="006A35C2">
        <w:rPr>
          <w:rFonts w:cs="Times New Roman"/>
          <w:szCs w:val="24"/>
          <w:lang w:val="en-US"/>
        </w:rPr>
        <w:t>. The Soil Conservation Services Curve Number (SCS-CN) method</w:t>
      </w:r>
      <w:r w:rsidR="00EB01FD">
        <w:rPr>
          <w:rFonts w:cs="Times New Roman"/>
          <w:szCs w:val="24"/>
          <w:lang w:val="en-US"/>
        </w:rPr>
        <w:t>,</w:t>
      </w:r>
      <w:r w:rsidR="006A35C2" w:rsidRPr="006A35C2">
        <w:rPr>
          <w:rFonts w:cs="Times New Roman"/>
          <w:szCs w:val="24"/>
          <w:lang w:val="en-US"/>
        </w:rPr>
        <w:t xml:space="preserve"> was used to estimate flow conditions in the catchment</w:t>
      </w:r>
      <w:r w:rsidR="00EB01FD">
        <w:rPr>
          <w:rFonts w:cs="Times New Roman"/>
          <w:szCs w:val="24"/>
          <w:lang w:val="en-US"/>
        </w:rPr>
        <w:t>.</w:t>
      </w:r>
      <w:r w:rsidR="006A35C2" w:rsidRPr="006A35C2">
        <w:rPr>
          <w:rFonts w:cs="Times New Roman"/>
          <w:szCs w:val="24"/>
          <w:lang w:val="en-US"/>
        </w:rPr>
        <w:t xml:space="preserve"> </w:t>
      </w:r>
      <w:r w:rsidR="00EB01FD">
        <w:rPr>
          <w:rFonts w:cs="Times New Roman"/>
          <w:szCs w:val="24"/>
          <w:lang w:val="en-US"/>
        </w:rPr>
        <w:t>At the same time,</w:t>
      </w:r>
      <w:r w:rsidR="006A35C2" w:rsidRPr="006A35C2">
        <w:rPr>
          <w:rFonts w:cs="Times New Roman"/>
          <w:szCs w:val="24"/>
          <w:lang w:val="en-US"/>
        </w:rPr>
        <w:t xml:space="preserve"> numerical modeling was used to investigate the influence of the flow conditions on the slope stability of the</w:t>
      </w:r>
      <w:r w:rsidR="00EB01FD">
        <w:rPr>
          <w:rFonts w:cs="Times New Roman"/>
          <w:szCs w:val="24"/>
          <w:lang w:val="en-US"/>
        </w:rPr>
        <w:t xml:space="preserve"> study</w:t>
      </w:r>
      <w:r w:rsidR="006A35C2" w:rsidRPr="006A35C2">
        <w:rPr>
          <w:rFonts w:cs="Times New Roman"/>
          <w:szCs w:val="24"/>
          <w:lang w:val="en-US"/>
        </w:rPr>
        <w:t xml:space="preserve"> embankment</w:t>
      </w:r>
      <w:r w:rsidR="00EB01FD">
        <w:rPr>
          <w:rFonts w:cs="Times New Roman"/>
          <w:szCs w:val="24"/>
          <w:lang w:val="en-US"/>
        </w:rPr>
        <w:t>s</w:t>
      </w:r>
      <w:r w:rsidR="006A35C2" w:rsidRPr="006A35C2">
        <w:rPr>
          <w:rFonts w:cs="Times New Roman"/>
          <w:szCs w:val="24"/>
          <w:lang w:val="en-US"/>
        </w:rPr>
        <w:t xml:space="preserve">. Virtual models and case studies (Msimbazi, Ndembera, </w:t>
      </w:r>
      <w:r w:rsidR="00265168" w:rsidRPr="00265168">
        <w:rPr>
          <w:rFonts w:cs="Times New Roman"/>
          <w:szCs w:val="24"/>
          <w:lang w:val="en-US"/>
        </w:rPr>
        <w:t>Nura-Sarysu</w:t>
      </w:r>
      <w:r w:rsidR="006A35C2" w:rsidRPr="006A35C2">
        <w:rPr>
          <w:rFonts w:cs="Times New Roman"/>
          <w:szCs w:val="24"/>
          <w:lang w:val="en-US"/>
        </w:rPr>
        <w:t xml:space="preserve">, </w:t>
      </w:r>
      <w:r w:rsidR="008550DD" w:rsidRPr="008550DD">
        <w:rPr>
          <w:rFonts w:cs="Times New Roman"/>
          <w:szCs w:val="24"/>
          <w:lang w:val="en-US"/>
        </w:rPr>
        <w:t>Ural-Caspian</w:t>
      </w:r>
      <w:r w:rsidR="00EB01FD">
        <w:rPr>
          <w:rFonts w:cs="Times New Roman"/>
          <w:szCs w:val="24"/>
          <w:lang w:val="en-US"/>
        </w:rPr>
        <w:t>,</w:t>
      </w:r>
      <w:r w:rsidR="006A35C2" w:rsidRPr="006A35C2">
        <w:rPr>
          <w:rFonts w:cs="Times New Roman"/>
          <w:szCs w:val="24"/>
          <w:lang w:val="en-US"/>
        </w:rPr>
        <w:t xml:space="preserve"> and </w:t>
      </w:r>
      <w:r w:rsidR="00265168" w:rsidRPr="00265168">
        <w:rPr>
          <w:rFonts w:cs="Times New Roman"/>
          <w:szCs w:val="24"/>
          <w:lang w:val="en-US"/>
        </w:rPr>
        <w:t>Aral-Syrdarya</w:t>
      </w:r>
      <w:r w:rsidR="006A35C2" w:rsidRPr="006A35C2">
        <w:rPr>
          <w:rFonts w:cs="Times New Roman"/>
          <w:szCs w:val="24"/>
          <w:lang w:val="en-US"/>
        </w:rPr>
        <w:t>) were investigated in this study.</w:t>
      </w:r>
    </w:p>
    <w:p w14:paraId="6D7A7D88" w14:textId="69A2B93D" w:rsidR="006A35C2" w:rsidRPr="003E0017" w:rsidRDefault="006A35C2" w:rsidP="006A35C2">
      <w:pPr>
        <w:rPr>
          <w:rFonts w:cs="Times New Roman"/>
          <w:szCs w:val="24"/>
          <w:lang w:val="en-US"/>
        </w:rPr>
      </w:pPr>
      <w:r w:rsidRPr="006A35C2">
        <w:rPr>
          <w:rFonts w:cs="Times New Roman"/>
          <w:szCs w:val="24"/>
          <w:lang w:val="en-US"/>
        </w:rPr>
        <w:t>From the Ndembera catchment</w:t>
      </w:r>
      <w:r w:rsidR="00EB01FD">
        <w:rPr>
          <w:rFonts w:cs="Times New Roman"/>
          <w:szCs w:val="24"/>
          <w:lang w:val="en-US"/>
        </w:rPr>
        <w:t>,</w:t>
      </w:r>
      <w:r w:rsidRPr="006A35C2">
        <w:rPr>
          <w:rFonts w:cs="Times New Roman"/>
          <w:szCs w:val="24"/>
          <w:lang w:val="en-US"/>
        </w:rPr>
        <w:t xml:space="preserve"> water, wetland, dense forest, developed low intensity, medium intensity, and high</w:t>
      </w:r>
      <w:r w:rsidR="00EB01FD">
        <w:rPr>
          <w:rFonts w:cs="Times New Roman"/>
          <w:szCs w:val="24"/>
          <w:lang w:val="en-US"/>
        </w:rPr>
        <w:t>-</w:t>
      </w:r>
      <w:r w:rsidRPr="006A35C2">
        <w:rPr>
          <w:rFonts w:cs="Times New Roman"/>
          <w:szCs w:val="24"/>
          <w:lang w:val="en-US"/>
        </w:rPr>
        <w:t xml:space="preserve">intensity land use classifications were established as a result of the land use and land cover change analysis. Whereby wetlands covered </w:t>
      </w:r>
      <w:r w:rsidR="00EB01FD">
        <w:rPr>
          <w:rFonts w:cs="Times New Roman"/>
          <w:szCs w:val="24"/>
          <w:lang w:val="en-US"/>
        </w:rPr>
        <w:t xml:space="preserve">most of the Ndembera catchment, accounting for approximately 56.57% of the total area in 1990. The area covered by the high-intensity development was just about 0.86% of the general </w:t>
      </w:r>
      <w:r w:rsidRPr="006A35C2">
        <w:rPr>
          <w:rFonts w:cs="Times New Roman"/>
          <w:szCs w:val="24"/>
          <w:lang w:val="en-US"/>
        </w:rPr>
        <w:t>area and 13.9% of medium intensity development. However, in 2011 the largest part of the c</w:t>
      </w:r>
      <w:r w:rsidR="006746B1">
        <w:rPr>
          <w:rFonts w:cs="Times New Roman"/>
          <w:szCs w:val="24"/>
          <w:lang w:val="en-US"/>
        </w:rPr>
        <w:t>a</w:t>
      </w:r>
      <w:r w:rsidRPr="006A35C2">
        <w:rPr>
          <w:rFonts w:cs="Times New Roman"/>
          <w:szCs w:val="24"/>
          <w:lang w:val="en-US"/>
        </w:rPr>
        <w:t xml:space="preserve">tchment was covered by medium intensity development accounting for 54.7% of the total areas. </w:t>
      </w:r>
      <w:r w:rsidR="002D048F" w:rsidRPr="002D048F">
        <w:rPr>
          <w:rFonts w:cs="Times New Roman"/>
          <w:szCs w:val="24"/>
          <w:lang w:val="en-US"/>
        </w:rPr>
        <w:t xml:space="preserve">A similar situation was witnessed in Kazakhstan's Aral-Syrdarya catchment, where a </w:t>
      </w:r>
      <w:r w:rsidR="00CB6AEE">
        <w:rPr>
          <w:rFonts w:cs="Times New Roman"/>
          <w:szCs w:val="24"/>
          <w:lang w:val="en-US"/>
        </w:rPr>
        <w:t>significant</w:t>
      </w:r>
      <w:r w:rsidR="002D048F" w:rsidRPr="002D048F">
        <w:rPr>
          <w:rFonts w:cs="Times New Roman"/>
          <w:szCs w:val="24"/>
          <w:lang w:val="en-US"/>
        </w:rPr>
        <w:t xml:space="preserve"> portion of the catchment had been changed into high-intensity development by 2011</w:t>
      </w:r>
      <w:r w:rsidRPr="006A35C2">
        <w:rPr>
          <w:rFonts w:cs="Times New Roman"/>
          <w:szCs w:val="24"/>
          <w:lang w:val="en-US"/>
        </w:rPr>
        <w:t xml:space="preserve">. As a result of the changes in land use/land cover and extreme events, the </w:t>
      </w:r>
      <w:r w:rsidR="00343492">
        <w:rPr>
          <w:rFonts w:cs="Times New Roman"/>
          <w:szCs w:val="24"/>
          <w:lang w:val="en-US"/>
        </w:rPr>
        <w:t>design</w:t>
      </w:r>
      <w:r w:rsidR="00343492" w:rsidRPr="006A35C2">
        <w:rPr>
          <w:rFonts w:cs="Times New Roman"/>
          <w:szCs w:val="24"/>
          <w:lang w:val="en-US"/>
        </w:rPr>
        <w:t xml:space="preserve"> </w:t>
      </w:r>
      <w:r w:rsidRPr="006A35C2">
        <w:rPr>
          <w:rFonts w:cs="Times New Roman"/>
          <w:szCs w:val="24"/>
          <w:lang w:val="en-US"/>
        </w:rPr>
        <w:t xml:space="preserve">flows and reservoirs’ depths changed significantly with time. Furthermore, as a result of flow variations in the catchments, this study demonstrated that long-term water levels and loading conditions had a substantial impact on </w:t>
      </w:r>
      <w:r w:rsidR="00EB01FD">
        <w:rPr>
          <w:rFonts w:cs="Times New Roman"/>
          <w:szCs w:val="24"/>
          <w:lang w:val="en-US"/>
        </w:rPr>
        <w:t xml:space="preserve">the </w:t>
      </w:r>
      <w:r w:rsidRPr="006A35C2">
        <w:rPr>
          <w:rFonts w:cs="Times New Roman"/>
          <w:szCs w:val="24"/>
          <w:lang w:val="en-US"/>
        </w:rPr>
        <w:t xml:space="preserve">slope stability of embankment dams. </w:t>
      </w:r>
      <w:r w:rsidR="002D048F">
        <w:rPr>
          <w:rFonts w:cs="Times New Roman"/>
          <w:szCs w:val="24"/>
          <w:lang w:val="en-US"/>
        </w:rPr>
        <w:t>Based on the fact</w:t>
      </w:r>
      <w:r w:rsidR="000774F5">
        <w:rPr>
          <w:rFonts w:cs="Times New Roman"/>
          <w:szCs w:val="24"/>
          <w:lang w:val="en-US"/>
        </w:rPr>
        <w:t>s</w:t>
      </w:r>
      <w:r w:rsidR="002D048F" w:rsidRPr="002D048F">
        <w:rPr>
          <w:rFonts w:cs="Times New Roman"/>
          <w:szCs w:val="24"/>
          <w:lang w:val="en-US"/>
        </w:rPr>
        <w:t xml:space="preserve">, it is </w:t>
      </w:r>
      <w:r w:rsidR="00CB6AEE">
        <w:rPr>
          <w:rFonts w:cs="Times New Roman"/>
          <w:szCs w:val="24"/>
          <w:lang w:val="en-US"/>
        </w:rPr>
        <w:t>vital to evaluate the state of the catchment in terms of land surface cover and climatic variables during the design phase of an embankment dam</w:t>
      </w:r>
      <w:r w:rsidR="002D048F" w:rsidRPr="002D048F">
        <w:rPr>
          <w:rFonts w:cs="Times New Roman"/>
          <w:szCs w:val="24"/>
          <w:lang w:val="en-US"/>
        </w:rPr>
        <w:t xml:space="preserve"> to achieve safe and sustainable dams</w:t>
      </w:r>
      <w:r w:rsidRPr="006A35C2">
        <w:rPr>
          <w:rFonts w:cs="Times New Roman"/>
          <w:szCs w:val="24"/>
          <w:lang w:val="en-US"/>
        </w:rPr>
        <w:t>.</w:t>
      </w:r>
    </w:p>
    <w:p w14:paraId="0F2EAD3D" w14:textId="45CD0D30" w:rsidR="006A35C2" w:rsidRPr="006A35C2" w:rsidRDefault="00812168" w:rsidP="006A35C2">
      <w:pPr>
        <w:pStyle w:val="1"/>
        <w:numPr>
          <w:ilvl w:val="0"/>
          <w:numId w:val="0"/>
        </w:numPr>
        <w:jc w:val="center"/>
        <w:rPr>
          <w:lang w:val="en-US"/>
        </w:rPr>
      </w:pPr>
      <w:bookmarkStart w:id="1" w:name="_Toc104985153"/>
      <w:r w:rsidRPr="006A35C2">
        <w:rPr>
          <w:lang w:val="en-US"/>
        </w:rPr>
        <w:lastRenderedPageBreak/>
        <w:t>STATEMENT OF ORIGINAL AUTHORSHIP</w:t>
      </w:r>
      <w:bookmarkEnd w:id="1"/>
    </w:p>
    <w:p w14:paraId="0CB8C71E" w14:textId="22A93C11" w:rsidR="006A35C2" w:rsidRPr="006A35C2" w:rsidRDefault="006A35C2" w:rsidP="006A35C2">
      <w:pPr>
        <w:rPr>
          <w:rFonts w:cs="Times New Roman"/>
          <w:szCs w:val="24"/>
          <w:lang w:val="en-US"/>
        </w:rPr>
      </w:pPr>
      <w:r w:rsidRPr="006A35C2">
        <w:rPr>
          <w:rFonts w:cs="Times New Roman"/>
          <w:szCs w:val="24"/>
          <w:lang w:val="en-US"/>
        </w:rPr>
        <w:t xml:space="preserve">The work presented in this thesis has never been submitted for a degree or diploma at another institution of higher learning. </w:t>
      </w:r>
      <w:r w:rsidR="00233604">
        <w:rPr>
          <w:rFonts w:cs="Times New Roman"/>
          <w:szCs w:val="24"/>
          <w:lang w:val="en-US"/>
        </w:rPr>
        <w:t>T</w:t>
      </w:r>
      <w:r w:rsidR="008604B5" w:rsidRPr="008604B5">
        <w:rPr>
          <w:rFonts w:cs="Times New Roman"/>
          <w:szCs w:val="24"/>
          <w:lang w:val="en-US"/>
        </w:rPr>
        <w:t>he thesis contains no content previously published or written by another individual unless an adequate citation is made</w:t>
      </w:r>
      <w:r w:rsidRPr="006A35C2">
        <w:rPr>
          <w:rFonts w:cs="Times New Roman"/>
          <w:szCs w:val="24"/>
          <w:lang w:val="en-US"/>
        </w:rPr>
        <w:t xml:space="preserve">. </w:t>
      </w:r>
    </w:p>
    <w:p w14:paraId="27BB8817" w14:textId="6C5B78F7" w:rsidR="006A35C2" w:rsidRPr="006A35C2" w:rsidRDefault="00425C78" w:rsidP="006A35C2">
      <w:pPr>
        <w:rPr>
          <w:rFonts w:cs="Times New Roman"/>
          <w:szCs w:val="24"/>
          <w:lang w:val="en-US"/>
        </w:rPr>
      </w:pPr>
      <w:r>
        <w:rPr>
          <w:noProof/>
        </w:rPr>
        <w:drawing>
          <wp:anchor distT="0" distB="0" distL="114300" distR="114300" simplePos="0" relativeHeight="251720704" behindDoc="0" locked="0" layoutInCell="1" allowOverlap="1" wp14:anchorId="7AE63D77" wp14:editId="0C3C9B69">
            <wp:simplePos x="0" y="0"/>
            <wp:positionH relativeFrom="column">
              <wp:posOffset>1263015</wp:posOffset>
            </wp:positionH>
            <wp:positionV relativeFrom="paragraph">
              <wp:posOffset>180975</wp:posOffset>
            </wp:positionV>
            <wp:extent cx="952500" cy="447675"/>
            <wp:effectExtent l="0" t="0" r="0" b="952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525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60AB0D" w14:textId="4154C6CD" w:rsidR="006A35C2" w:rsidRDefault="006A35C2" w:rsidP="006A35C2">
      <w:pPr>
        <w:rPr>
          <w:rFonts w:cs="Times New Roman"/>
          <w:szCs w:val="24"/>
          <w:lang w:val="en-US"/>
        </w:rPr>
      </w:pPr>
      <w:r w:rsidRPr="006A35C2">
        <w:rPr>
          <w:rFonts w:cs="Times New Roman"/>
          <w:szCs w:val="24"/>
          <w:lang w:val="en-US"/>
        </w:rPr>
        <w:t>Signature:</w:t>
      </w:r>
      <w:r w:rsidR="00425C78" w:rsidRPr="00425C78">
        <w:t xml:space="preserve"> </w:t>
      </w:r>
    </w:p>
    <w:p w14:paraId="075D5149" w14:textId="77777777" w:rsidR="00B167E1" w:rsidRPr="006A35C2" w:rsidRDefault="00B167E1" w:rsidP="006A35C2">
      <w:pPr>
        <w:rPr>
          <w:rFonts w:cs="Times New Roman"/>
          <w:szCs w:val="24"/>
          <w:lang w:val="en-US"/>
        </w:rPr>
      </w:pPr>
    </w:p>
    <w:p w14:paraId="778F039C" w14:textId="4B698B9A" w:rsidR="006A35C2" w:rsidRPr="00425C78" w:rsidRDefault="006A35C2" w:rsidP="006A35C2">
      <w:pPr>
        <w:rPr>
          <w:rFonts w:cs="Times New Roman"/>
          <w:szCs w:val="24"/>
          <w:lang w:val="en-US"/>
        </w:rPr>
      </w:pPr>
      <w:r w:rsidRPr="006A35C2">
        <w:rPr>
          <w:rFonts w:cs="Times New Roman"/>
          <w:szCs w:val="24"/>
          <w:lang w:val="en-US"/>
        </w:rPr>
        <w:t>Date:</w:t>
      </w:r>
      <w:r w:rsidR="00425C78">
        <w:rPr>
          <w:rFonts w:cs="Times New Roman"/>
          <w:szCs w:val="24"/>
        </w:rPr>
        <w:t xml:space="preserve">         </w:t>
      </w:r>
      <w:r w:rsidR="00425C78" w:rsidRPr="00425C78">
        <w:rPr>
          <w:rFonts w:ascii="Segoe Script" w:hAnsi="Segoe Script" w:cs="Times New Roman"/>
          <w:color w:val="2F5496" w:themeColor="accent1" w:themeShade="BF"/>
          <w:szCs w:val="24"/>
          <w:lang w:val="en-US"/>
        </w:rPr>
        <w:t>10.05.2022</w:t>
      </w:r>
    </w:p>
    <w:p w14:paraId="448A7B79" w14:textId="77777777" w:rsidR="006A35C2" w:rsidRPr="006A35C2" w:rsidRDefault="006A35C2" w:rsidP="006A35C2">
      <w:pPr>
        <w:rPr>
          <w:rFonts w:cs="Times New Roman"/>
          <w:szCs w:val="24"/>
          <w:lang w:val="en-US"/>
        </w:rPr>
      </w:pPr>
    </w:p>
    <w:p w14:paraId="0FAF97EB" w14:textId="77777777" w:rsidR="006A35C2" w:rsidRPr="006A35C2" w:rsidRDefault="006A35C2" w:rsidP="006A35C2">
      <w:pPr>
        <w:rPr>
          <w:rFonts w:cs="Times New Roman"/>
          <w:szCs w:val="24"/>
          <w:lang w:val="en-US"/>
        </w:rPr>
      </w:pPr>
    </w:p>
    <w:p w14:paraId="5E63C65F" w14:textId="77777777" w:rsidR="006A35C2" w:rsidRPr="006A35C2" w:rsidRDefault="006A35C2" w:rsidP="006A35C2">
      <w:pPr>
        <w:rPr>
          <w:rFonts w:cs="Times New Roman"/>
          <w:szCs w:val="24"/>
          <w:lang w:val="en-US"/>
        </w:rPr>
      </w:pPr>
    </w:p>
    <w:p w14:paraId="34BE0699" w14:textId="77777777" w:rsidR="006A35C2" w:rsidRPr="006A35C2" w:rsidRDefault="006A35C2" w:rsidP="006A35C2">
      <w:pPr>
        <w:rPr>
          <w:rFonts w:cs="Times New Roman"/>
          <w:szCs w:val="24"/>
          <w:lang w:val="en-US"/>
        </w:rPr>
      </w:pPr>
    </w:p>
    <w:p w14:paraId="790FFE7C" w14:textId="77777777" w:rsidR="006A35C2" w:rsidRPr="006A35C2" w:rsidRDefault="006A35C2" w:rsidP="006A35C2">
      <w:pPr>
        <w:rPr>
          <w:rFonts w:cs="Times New Roman"/>
          <w:szCs w:val="24"/>
          <w:lang w:val="en-US"/>
        </w:rPr>
      </w:pPr>
    </w:p>
    <w:p w14:paraId="75A2D241" w14:textId="77777777" w:rsidR="006A35C2" w:rsidRPr="006A35C2" w:rsidRDefault="006A35C2" w:rsidP="006A35C2">
      <w:pPr>
        <w:rPr>
          <w:rFonts w:cs="Times New Roman"/>
          <w:szCs w:val="24"/>
          <w:lang w:val="en-US"/>
        </w:rPr>
      </w:pPr>
    </w:p>
    <w:p w14:paraId="02690785" w14:textId="77777777" w:rsidR="006A35C2" w:rsidRPr="006A35C2" w:rsidRDefault="006A35C2" w:rsidP="006A35C2">
      <w:pPr>
        <w:rPr>
          <w:rFonts w:cs="Times New Roman"/>
          <w:szCs w:val="24"/>
          <w:lang w:val="en-US"/>
        </w:rPr>
      </w:pPr>
    </w:p>
    <w:p w14:paraId="12522F31" w14:textId="77777777" w:rsidR="006A35C2" w:rsidRPr="006A35C2" w:rsidRDefault="006A35C2" w:rsidP="006A35C2">
      <w:pPr>
        <w:rPr>
          <w:rFonts w:cs="Times New Roman"/>
          <w:szCs w:val="24"/>
          <w:lang w:val="en-US"/>
        </w:rPr>
      </w:pPr>
    </w:p>
    <w:p w14:paraId="75E93547" w14:textId="77777777" w:rsidR="006A35C2" w:rsidRPr="006A35C2" w:rsidRDefault="006A35C2" w:rsidP="006A35C2">
      <w:pPr>
        <w:rPr>
          <w:rFonts w:cs="Times New Roman"/>
          <w:szCs w:val="24"/>
          <w:lang w:val="en-US"/>
        </w:rPr>
      </w:pPr>
    </w:p>
    <w:p w14:paraId="0EADEAC5" w14:textId="77777777" w:rsidR="006A35C2" w:rsidRPr="006A35C2" w:rsidRDefault="006A35C2" w:rsidP="006A35C2">
      <w:pPr>
        <w:rPr>
          <w:rFonts w:cs="Times New Roman"/>
          <w:szCs w:val="24"/>
          <w:lang w:val="en-US"/>
        </w:rPr>
      </w:pPr>
    </w:p>
    <w:p w14:paraId="4114325A" w14:textId="77777777" w:rsidR="006A35C2" w:rsidRPr="006A35C2" w:rsidRDefault="006A35C2" w:rsidP="006A35C2">
      <w:pPr>
        <w:rPr>
          <w:rFonts w:cs="Times New Roman"/>
          <w:szCs w:val="24"/>
          <w:lang w:val="en-US"/>
        </w:rPr>
      </w:pPr>
    </w:p>
    <w:p w14:paraId="3EDC75AC" w14:textId="77777777" w:rsidR="006A35C2" w:rsidRPr="006A35C2" w:rsidRDefault="006A35C2" w:rsidP="006A35C2">
      <w:pPr>
        <w:rPr>
          <w:rFonts w:cs="Times New Roman"/>
          <w:szCs w:val="24"/>
          <w:lang w:val="en-US"/>
        </w:rPr>
      </w:pPr>
    </w:p>
    <w:p w14:paraId="2A9B0C32" w14:textId="77777777" w:rsidR="006A35C2" w:rsidRPr="006A35C2" w:rsidRDefault="006A35C2" w:rsidP="006A35C2">
      <w:pPr>
        <w:rPr>
          <w:rFonts w:cs="Times New Roman"/>
          <w:szCs w:val="24"/>
          <w:lang w:val="en-US"/>
        </w:rPr>
      </w:pPr>
    </w:p>
    <w:p w14:paraId="192FA34C" w14:textId="77777777" w:rsidR="006A35C2" w:rsidRPr="006A35C2" w:rsidRDefault="006A35C2" w:rsidP="006A35C2">
      <w:pPr>
        <w:rPr>
          <w:rFonts w:cs="Times New Roman"/>
          <w:szCs w:val="24"/>
          <w:lang w:val="en-US"/>
        </w:rPr>
      </w:pPr>
    </w:p>
    <w:p w14:paraId="539858E0" w14:textId="77777777" w:rsidR="006A35C2" w:rsidRPr="006A35C2" w:rsidRDefault="006A35C2" w:rsidP="006A35C2">
      <w:pPr>
        <w:rPr>
          <w:rFonts w:cs="Times New Roman"/>
          <w:szCs w:val="24"/>
          <w:lang w:val="en-US"/>
        </w:rPr>
      </w:pPr>
    </w:p>
    <w:p w14:paraId="1696610B" w14:textId="6231500E" w:rsidR="006A35C2" w:rsidRPr="006A35C2" w:rsidRDefault="00812168" w:rsidP="006A35C2">
      <w:pPr>
        <w:pStyle w:val="1"/>
        <w:numPr>
          <w:ilvl w:val="0"/>
          <w:numId w:val="0"/>
        </w:numPr>
        <w:jc w:val="center"/>
        <w:rPr>
          <w:lang w:val="en-US"/>
        </w:rPr>
      </w:pPr>
      <w:bookmarkStart w:id="2" w:name="_Toc104985154"/>
      <w:r w:rsidRPr="006A35C2">
        <w:rPr>
          <w:lang w:val="en-US"/>
        </w:rPr>
        <w:lastRenderedPageBreak/>
        <w:t>ACKNOWLEDGMENT</w:t>
      </w:r>
      <w:r>
        <w:rPr>
          <w:lang w:val="en-US"/>
        </w:rPr>
        <w:t>S</w:t>
      </w:r>
      <w:bookmarkEnd w:id="2"/>
    </w:p>
    <w:p w14:paraId="2215AA68" w14:textId="017C272A" w:rsidR="006A35C2" w:rsidRPr="006A35C2" w:rsidRDefault="00AB2717" w:rsidP="006A35C2">
      <w:pPr>
        <w:rPr>
          <w:rFonts w:cs="Times New Roman"/>
          <w:szCs w:val="24"/>
          <w:lang w:val="en-US"/>
        </w:rPr>
      </w:pPr>
      <w:r>
        <w:rPr>
          <w:rFonts w:cs="Times New Roman"/>
          <w:szCs w:val="24"/>
          <w:lang w:val="en-US"/>
        </w:rPr>
        <w:t>I would like</w:t>
      </w:r>
      <w:r w:rsidR="00032215" w:rsidRPr="00032215">
        <w:rPr>
          <w:rFonts w:cs="Times New Roman"/>
          <w:szCs w:val="24"/>
          <w:lang w:val="en-US"/>
        </w:rPr>
        <w:t xml:space="preserve"> to express my gratitude to Almighty God for the gift of life and good health that has allowed me to complete this research</w:t>
      </w:r>
      <w:r w:rsidR="006A35C2" w:rsidRPr="006A35C2">
        <w:rPr>
          <w:rFonts w:cs="Times New Roman"/>
          <w:szCs w:val="24"/>
          <w:lang w:val="en-US"/>
        </w:rPr>
        <w:t xml:space="preserve">. A dissertation is a long and winding road. It's a long solo trek that's impossible to complete alone. Since I began my Ph.D. program at the L.N. Gumilyov Eurasian National University in October 2019, a large number of people have provided me with critical support. Family, friends, and acquaintances have been </w:t>
      </w:r>
      <w:r w:rsidR="00EB01FD">
        <w:rPr>
          <w:rFonts w:cs="Times New Roman"/>
          <w:szCs w:val="24"/>
          <w:lang w:val="en-US"/>
        </w:rPr>
        <w:t>essential for</w:t>
      </w:r>
      <w:r w:rsidR="006A35C2" w:rsidRPr="006A35C2">
        <w:rPr>
          <w:rFonts w:cs="Times New Roman"/>
          <w:szCs w:val="24"/>
          <w:lang w:val="en-US"/>
        </w:rPr>
        <w:t xml:space="preserve"> this journey. The journey was even more difficult due to the global pandemic that started at the end of 2019. </w:t>
      </w:r>
      <w:r w:rsidR="00EB01FD">
        <w:rPr>
          <w:rFonts w:cs="Times New Roman"/>
          <w:szCs w:val="24"/>
          <w:lang w:val="en-US"/>
        </w:rPr>
        <w:t>Nevertheless, m</w:t>
      </w:r>
      <w:r w:rsidR="006A35C2" w:rsidRPr="006A35C2">
        <w:rPr>
          <w:rFonts w:cs="Times New Roman"/>
          <w:szCs w:val="24"/>
          <w:lang w:val="en-US"/>
        </w:rPr>
        <w:t xml:space="preserve">y family provided a solid foundation for me to begin this adventure, and they later became a source of support. </w:t>
      </w:r>
    </w:p>
    <w:p w14:paraId="34370F3B" w14:textId="47A38725" w:rsidR="006A35C2" w:rsidRPr="006A35C2" w:rsidRDefault="006A35C2" w:rsidP="006A35C2">
      <w:pPr>
        <w:rPr>
          <w:rFonts w:cs="Times New Roman"/>
          <w:szCs w:val="24"/>
          <w:lang w:val="en-US"/>
        </w:rPr>
      </w:pPr>
      <w:r w:rsidRPr="006A35C2">
        <w:rPr>
          <w:rFonts w:cs="Times New Roman"/>
          <w:szCs w:val="24"/>
          <w:lang w:val="en-US"/>
        </w:rPr>
        <w:t xml:space="preserve">Also, I would like to convey my heartfelt gratitude to Dr. Yelbek Utepov, my thesis supervisor, for his invaluable assistance and support throughout this research project. Without his advice and sympathetic support, it would have been </w:t>
      </w:r>
      <w:r w:rsidR="00EB01FD">
        <w:rPr>
          <w:rFonts w:cs="Times New Roman"/>
          <w:szCs w:val="24"/>
          <w:lang w:val="en-US"/>
        </w:rPr>
        <w:t>incredibly challenging</w:t>
      </w:r>
      <w:r w:rsidRPr="006A35C2">
        <w:rPr>
          <w:rFonts w:cs="Times New Roman"/>
          <w:szCs w:val="24"/>
          <w:lang w:val="en-US"/>
        </w:rPr>
        <w:t xml:space="preserve"> to continue the research and bring it to fruition.</w:t>
      </w:r>
      <w:r w:rsidR="00EB01FD">
        <w:rPr>
          <w:rFonts w:cs="Times New Roman"/>
          <w:szCs w:val="24"/>
          <w:lang w:val="en-US"/>
        </w:rPr>
        <w:t xml:space="preserve"> Furthermore,</w:t>
      </w:r>
      <w:r w:rsidRPr="006A35C2">
        <w:rPr>
          <w:rFonts w:cs="Times New Roman"/>
          <w:szCs w:val="24"/>
          <w:lang w:val="en-US"/>
        </w:rPr>
        <w:t xml:space="preserve"> Dr. Utepov devoted significant time and effort during the study period to guarantee the thesis was completed successfully and on schedule. In light of the foregoing, his assistance is greatly appreciated and will always be remembered.</w:t>
      </w:r>
    </w:p>
    <w:p w14:paraId="3F500DCB" w14:textId="1C14715A" w:rsidR="006A35C2" w:rsidRPr="006A35C2" w:rsidRDefault="006A35C2" w:rsidP="006A35C2">
      <w:pPr>
        <w:rPr>
          <w:rFonts w:cs="Times New Roman"/>
          <w:szCs w:val="24"/>
          <w:lang w:val="en-US"/>
        </w:rPr>
      </w:pPr>
      <w:r w:rsidRPr="006A35C2">
        <w:rPr>
          <w:rFonts w:cs="Times New Roman"/>
          <w:szCs w:val="24"/>
          <w:lang w:val="en-US"/>
        </w:rPr>
        <w:t>My heartfelt gratitude</w:t>
      </w:r>
      <w:r w:rsidR="00EB01FD">
        <w:rPr>
          <w:rFonts w:cs="Times New Roman"/>
          <w:szCs w:val="24"/>
          <w:lang w:val="en-US"/>
        </w:rPr>
        <w:t xml:space="preserve"> is rendered</w:t>
      </w:r>
      <w:r w:rsidRPr="006A35C2">
        <w:rPr>
          <w:rFonts w:cs="Times New Roman"/>
          <w:szCs w:val="24"/>
          <w:lang w:val="en-US"/>
        </w:rPr>
        <w:t xml:space="preserve"> to Professor Zbigniew Lechowicz from the Warsaw University of Life Sciences, </w:t>
      </w:r>
      <w:r w:rsidR="00EB01FD">
        <w:rPr>
          <w:rFonts w:cs="Times New Roman"/>
          <w:szCs w:val="24"/>
          <w:lang w:val="en-US"/>
        </w:rPr>
        <w:t xml:space="preserve">a </w:t>
      </w:r>
      <w:r w:rsidR="00343492">
        <w:rPr>
          <w:rFonts w:cs="Times New Roman"/>
          <w:szCs w:val="24"/>
          <w:lang w:val="en-US"/>
        </w:rPr>
        <w:t>foreign</w:t>
      </w:r>
      <w:r w:rsidR="00343492" w:rsidRPr="006A35C2">
        <w:rPr>
          <w:rFonts w:cs="Times New Roman"/>
          <w:szCs w:val="24"/>
          <w:lang w:val="en-US"/>
        </w:rPr>
        <w:t xml:space="preserve"> </w:t>
      </w:r>
      <w:r w:rsidRPr="006A35C2">
        <w:rPr>
          <w:rFonts w:cs="Times New Roman"/>
          <w:szCs w:val="24"/>
          <w:lang w:val="en-US"/>
        </w:rPr>
        <w:t xml:space="preserve">scientific advisor, for his invaluable technical and scientific assistance in achieving different objectives throughout my thesis research and writing. </w:t>
      </w:r>
      <w:r w:rsidR="00EB01FD">
        <w:rPr>
          <w:rFonts w:cs="Times New Roman"/>
          <w:szCs w:val="24"/>
          <w:lang w:val="en-US"/>
        </w:rPr>
        <w:t>During the international internship program at the Warsaw University of Life Sciences, his assistance</w:t>
      </w:r>
      <w:r w:rsidRPr="006A35C2">
        <w:rPr>
          <w:rFonts w:cs="Times New Roman"/>
          <w:szCs w:val="24"/>
          <w:lang w:val="en-US"/>
        </w:rPr>
        <w:t xml:space="preserve"> is likewise greatly valued. Dr. Zdzisław Skutnik of the Warsaw University of Life Sciences is also thanked for his technical assistance.</w:t>
      </w:r>
    </w:p>
    <w:p w14:paraId="7D2E09E5" w14:textId="6A01E505" w:rsidR="006A35C2" w:rsidRPr="006A35C2" w:rsidRDefault="006A35C2" w:rsidP="006A35C2">
      <w:pPr>
        <w:rPr>
          <w:rFonts w:cs="Times New Roman"/>
          <w:szCs w:val="24"/>
          <w:lang w:val="en-US"/>
        </w:rPr>
      </w:pPr>
      <w:r w:rsidRPr="006A35C2">
        <w:rPr>
          <w:rFonts w:cs="Times New Roman"/>
          <w:szCs w:val="24"/>
          <w:lang w:val="en-US"/>
        </w:rPr>
        <w:t xml:space="preserve">My gratitude is also due to Professor Askar Zhussupbekov, </w:t>
      </w:r>
      <w:r w:rsidR="00BE2A0C">
        <w:rPr>
          <w:rFonts w:cs="Times New Roman"/>
          <w:szCs w:val="24"/>
          <w:lang w:val="en-US"/>
        </w:rPr>
        <w:t>Professor</w:t>
      </w:r>
      <w:r w:rsidRPr="006A35C2">
        <w:rPr>
          <w:rFonts w:cs="Times New Roman"/>
          <w:szCs w:val="24"/>
          <w:lang w:val="en-US"/>
        </w:rPr>
        <w:t xml:space="preserve"> in the </w:t>
      </w:r>
      <w:r w:rsidR="00BE2A0C">
        <w:rPr>
          <w:rFonts w:cs="Times New Roman"/>
          <w:szCs w:val="24"/>
          <w:lang w:val="en-US"/>
        </w:rPr>
        <w:t>D</w:t>
      </w:r>
      <w:r w:rsidR="00BE2A0C" w:rsidRPr="006A35C2">
        <w:rPr>
          <w:rFonts w:cs="Times New Roman"/>
          <w:szCs w:val="24"/>
          <w:lang w:val="en-US"/>
        </w:rPr>
        <w:t xml:space="preserve">epartment </w:t>
      </w:r>
      <w:r w:rsidRPr="006A35C2">
        <w:rPr>
          <w:rFonts w:cs="Times New Roman"/>
          <w:szCs w:val="24"/>
          <w:lang w:val="en-US"/>
        </w:rPr>
        <w:t xml:space="preserve">of </w:t>
      </w:r>
      <w:r w:rsidR="00BE2A0C">
        <w:rPr>
          <w:rFonts w:cs="Times New Roman"/>
          <w:szCs w:val="24"/>
          <w:lang w:val="en-US"/>
        </w:rPr>
        <w:t>C</w:t>
      </w:r>
      <w:r w:rsidR="00BE2A0C" w:rsidRPr="006A35C2">
        <w:rPr>
          <w:rFonts w:cs="Times New Roman"/>
          <w:szCs w:val="24"/>
          <w:lang w:val="en-US"/>
        </w:rPr>
        <w:t xml:space="preserve">ivil </w:t>
      </w:r>
      <w:r w:rsidR="00BE2A0C">
        <w:rPr>
          <w:rFonts w:cs="Times New Roman"/>
          <w:szCs w:val="24"/>
          <w:lang w:val="en-US"/>
        </w:rPr>
        <w:t>E</w:t>
      </w:r>
      <w:r w:rsidR="00BE2A0C" w:rsidRPr="006A35C2">
        <w:rPr>
          <w:rFonts w:cs="Times New Roman"/>
          <w:szCs w:val="24"/>
          <w:lang w:val="en-US"/>
        </w:rPr>
        <w:t xml:space="preserve">ngineering </w:t>
      </w:r>
      <w:r w:rsidRPr="006A35C2">
        <w:rPr>
          <w:rFonts w:cs="Times New Roman"/>
          <w:szCs w:val="24"/>
          <w:lang w:val="en-US"/>
        </w:rPr>
        <w:t>at the L.N. Gumilyov Eurasian National University</w:t>
      </w:r>
      <w:r w:rsidR="00EB01FD">
        <w:rPr>
          <w:rFonts w:cs="Times New Roman"/>
          <w:szCs w:val="24"/>
          <w:lang w:val="en-US"/>
        </w:rPr>
        <w:t>,</w:t>
      </w:r>
      <w:r w:rsidRPr="006A35C2">
        <w:rPr>
          <w:rFonts w:cs="Times New Roman"/>
          <w:szCs w:val="24"/>
          <w:lang w:val="en-US"/>
        </w:rPr>
        <w:t xml:space="preserve"> </w:t>
      </w:r>
      <w:r w:rsidR="00AB2965" w:rsidRPr="00AB2965">
        <w:rPr>
          <w:rFonts w:cs="Times New Roman"/>
          <w:szCs w:val="24"/>
          <w:lang w:val="en-US"/>
        </w:rPr>
        <w:t>for his guidance and mentoring throughout the Ph.D. program</w:t>
      </w:r>
      <w:r w:rsidRPr="006A35C2">
        <w:rPr>
          <w:rFonts w:cs="Times New Roman"/>
          <w:szCs w:val="24"/>
          <w:lang w:val="en-US"/>
        </w:rPr>
        <w:t xml:space="preserve">. The </w:t>
      </w:r>
      <w:r w:rsidR="00BE2A0C">
        <w:rPr>
          <w:rFonts w:cs="Times New Roman"/>
          <w:szCs w:val="24"/>
          <w:lang w:val="en-US"/>
        </w:rPr>
        <w:t>C</w:t>
      </w:r>
      <w:r w:rsidR="00BE2A0C" w:rsidRPr="006A35C2">
        <w:rPr>
          <w:rFonts w:cs="Times New Roman"/>
          <w:szCs w:val="24"/>
          <w:lang w:val="en-US"/>
        </w:rPr>
        <w:t xml:space="preserve">ivil </w:t>
      </w:r>
      <w:r w:rsidR="00BE2A0C">
        <w:rPr>
          <w:rFonts w:cs="Times New Roman"/>
          <w:szCs w:val="24"/>
          <w:lang w:val="en-US"/>
        </w:rPr>
        <w:t>E</w:t>
      </w:r>
      <w:r w:rsidR="00BE2A0C" w:rsidRPr="006A35C2">
        <w:rPr>
          <w:rFonts w:cs="Times New Roman"/>
          <w:szCs w:val="24"/>
          <w:lang w:val="en-US"/>
        </w:rPr>
        <w:t xml:space="preserve">ngineering </w:t>
      </w:r>
      <w:r w:rsidR="00BE2A0C">
        <w:rPr>
          <w:rFonts w:cs="Times New Roman"/>
          <w:szCs w:val="24"/>
          <w:lang w:val="en-US"/>
        </w:rPr>
        <w:t>D</w:t>
      </w:r>
      <w:r w:rsidR="00BE2A0C" w:rsidRPr="006A35C2">
        <w:rPr>
          <w:rFonts w:cs="Times New Roman"/>
          <w:szCs w:val="24"/>
          <w:lang w:val="en-US"/>
        </w:rPr>
        <w:t xml:space="preserve">epartment </w:t>
      </w:r>
      <w:r w:rsidR="00EB01FD">
        <w:rPr>
          <w:rFonts w:cs="Times New Roman"/>
          <w:szCs w:val="24"/>
          <w:lang w:val="en-US"/>
        </w:rPr>
        <w:t>entir</w:t>
      </w:r>
      <w:r w:rsidRPr="006A35C2">
        <w:rPr>
          <w:rFonts w:cs="Times New Roman"/>
          <w:szCs w:val="24"/>
          <w:lang w:val="en-US"/>
        </w:rPr>
        <w:t>e staff's help is also greatly appreciated, including Dr. Shakhmov Zhanbolat (the Head of the Civil Engineering Department), Dr. Yerkebulan, and Mr. Sultan Iskakov.</w:t>
      </w:r>
    </w:p>
    <w:p w14:paraId="6A3E9EA2" w14:textId="56483487" w:rsidR="006A35C2" w:rsidRPr="006A35C2" w:rsidRDefault="006A35C2" w:rsidP="006A35C2">
      <w:pPr>
        <w:rPr>
          <w:rFonts w:cs="Times New Roman"/>
          <w:szCs w:val="24"/>
          <w:lang w:val="en-US"/>
        </w:rPr>
      </w:pPr>
      <w:r w:rsidRPr="006A35C2">
        <w:rPr>
          <w:rFonts w:cs="Times New Roman"/>
          <w:szCs w:val="24"/>
          <w:lang w:val="en-US"/>
        </w:rPr>
        <w:t xml:space="preserve">The scientific support from Professor Victor N. Kaliakin </w:t>
      </w:r>
      <w:r w:rsidR="00AB2965" w:rsidRPr="00AB2965">
        <w:rPr>
          <w:rFonts w:cs="Times New Roman"/>
          <w:szCs w:val="24"/>
          <w:lang w:val="en-US"/>
        </w:rPr>
        <w:t>of the University of Delaware's Department of Civil and Environmental Engineering</w:t>
      </w:r>
      <w:r w:rsidRPr="006A35C2">
        <w:rPr>
          <w:rFonts w:cs="Times New Roman"/>
          <w:szCs w:val="24"/>
          <w:lang w:val="en-US"/>
        </w:rPr>
        <w:t>, Professor Tadatsugu Tanaka of the University of Tokyo, and Dr. Assel Tulebekova of the Department of Civil Engineering at the L.N. Gumilyov Eurasian National University is significantly appreciated.</w:t>
      </w:r>
    </w:p>
    <w:p w14:paraId="7F58A435" w14:textId="0201BD5A" w:rsidR="006A35C2" w:rsidRPr="006A35C2" w:rsidRDefault="00665FB4" w:rsidP="006A35C2">
      <w:pPr>
        <w:rPr>
          <w:rFonts w:cs="Times New Roman"/>
          <w:szCs w:val="24"/>
          <w:lang w:val="en-US"/>
        </w:rPr>
      </w:pPr>
      <w:r>
        <w:rPr>
          <w:rFonts w:cs="Times New Roman"/>
          <w:szCs w:val="24"/>
          <w:lang w:val="en-US"/>
        </w:rPr>
        <w:t xml:space="preserve">Also, </w:t>
      </w:r>
      <w:r w:rsidR="006A35C2" w:rsidRPr="006A35C2">
        <w:rPr>
          <w:rFonts w:cs="Times New Roman"/>
          <w:szCs w:val="24"/>
          <w:lang w:val="en-US"/>
        </w:rPr>
        <w:t>I gratefully acknowledge the financial support received from the Government of Kazakhstan under the Bologna Process program that led to the successful completion of the Ph.D. program.</w:t>
      </w:r>
    </w:p>
    <w:p w14:paraId="06A09306" w14:textId="1E014A7F" w:rsidR="006A35C2" w:rsidRPr="006A35C2" w:rsidRDefault="006A35C2" w:rsidP="006A35C2">
      <w:pPr>
        <w:rPr>
          <w:rFonts w:cs="Times New Roman"/>
          <w:szCs w:val="24"/>
          <w:lang w:val="en-US"/>
        </w:rPr>
      </w:pPr>
      <w:r w:rsidRPr="006A35C2">
        <w:rPr>
          <w:rFonts w:cs="Times New Roman"/>
          <w:szCs w:val="24"/>
          <w:lang w:val="en-US"/>
        </w:rPr>
        <w:lastRenderedPageBreak/>
        <w:t xml:space="preserve">I also received tremendous support from the </w:t>
      </w:r>
      <w:r w:rsidR="00BE2A0C">
        <w:rPr>
          <w:rFonts w:cs="Times New Roman"/>
          <w:szCs w:val="24"/>
          <w:lang w:val="en-US"/>
        </w:rPr>
        <w:t>I</w:t>
      </w:r>
      <w:r w:rsidR="00BE2A0C" w:rsidRPr="006A35C2">
        <w:rPr>
          <w:rFonts w:cs="Times New Roman"/>
          <w:szCs w:val="24"/>
          <w:lang w:val="en-US"/>
        </w:rPr>
        <w:t xml:space="preserve">nternational </w:t>
      </w:r>
      <w:r w:rsidR="00BE2A0C">
        <w:rPr>
          <w:rFonts w:cs="Times New Roman"/>
          <w:szCs w:val="24"/>
          <w:lang w:val="en-US"/>
        </w:rPr>
        <w:t>D</w:t>
      </w:r>
      <w:r w:rsidR="00BE2A0C" w:rsidRPr="006A35C2">
        <w:rPr>
          <w:rFonts w:cs="Times New Roman"/>
          <w:szCs w:val="24"/>
          <w:lang w:val="en-US"/>
        </w:rPr>
        <w:t xml:space="preserve">epartment </w:t>
      </w:r>
      <w:r w:rsidRPr="006A35C2">
        <w:rPr>
          <w:rFonts w:cs="Times New Roman"/>
          <w:szCs w:val="24"/>
          <w:lang w:val="en-US"/>
        </w:rPr>
        <w:t>at ENU, particularly from Dr. Akbota (Vice-Rector), Dr. Annastasiya (Head of the International Department), and Ms. Botagos.</w:t>
      </w:r>
    </w:p>
    <w:p w14:paraId="5934F3C4" w14:textId="55EB4D66" w:rsidR="006A35C2" w:rsidRPr="006A35C2" w:rsidRDefault="006A35C2" w:rsidP="006A35C2">
      <w:pPr>
        <w:rPr>
          <w:rFonts w:cs="Times New Roman"/>
          <w:szCs w:val="24"/>
          <w:lang w:val="en-US"/>
        </w:rPr>
      </w:pPr>
      <w:r w:rsidRPr="006A35C2">
        <w:rPr>
          <w:rFonts w:cs="Times New Roman"/>
          <w:szCs w:val="24"/>
          <w:lang w:val="en-US"/>
        </w:rPr>
        <w:t xml:space="preserve">I want to express my gratitude to my classmates in the Civil Engineering Department at the L.N. Gumilyov Eurasian National University for the </w:t>
      </w:r>
      <w:r w:rsidR="00EB01FD">
        <w:rPr>
          <w:rFonts w:cs="Times New Roman"/>
          <w:szCs w:val="24"/>
          <w:lang w:val="en-US"/>
        </w:rPr>
        <w:t>beauti</w:t>
      </w:r>
      <w:r w:rsidRPr="006A35C2">
        <w:rPr>
          <w:rFonts w:cs="Times New Roman"/>
          <w:szCs w:val="24"/>
          <w:lang w:val="en-US"/>
        </w:rPr>
        <w:t>ful moments we've had together. I am particularly thankful to Bibigul Abdrakhmanova, Ainur Montayeva, Gulzhan Khafizova, Aigerim Buranbayeve,</w:t>
      </w:r>
      <w:r w:rsidR="00EB01FD">
        <w:rPr>
          <w:rFonts w:cs="Times New Roman"/>
          <w:szCs w:val="24"/>
          <w:lang w:val="en-US"/>
        </w:rPr>
        <w:t xml:space="preserve"> </w:t>
      </w:r>
      <w:r w:rsidRPr="006A35C2">
        <w:rPr>
          <w:rFonts w:cs="Times New Roman"/>
          <w:szCs w:val="24"/>
          <w:lang w:val="en-US"/>
        </w:rPr>
        <w:t>Assel Akmakanova</w:t>
      </w:r>
      <w:r w:rsidR="00EB01FD">
        <w:rPr>
          <w:rFonts w:cs="Times New Roman"/>
          <w:szCs w:val="24"/>
          <w:lang w:val="en-US"/>
        </w:rPr>
        <w:t>,</w:t>
      </w:r>
      <w:r w:rsidRPr="006A35C2">
        <w:rPr>
          <w:rFonts w:cs="Times New Roman"/>
          <w:szCs w:val="24"/>
          <w:lang w:val="en-US"/>
        </w:rPr>
        <w:t xml:space="preserve"> and Kairat Khafiz.</w:t>
      </w:r>
    </w:p>
    <w:p w14:paraId="5F7894F2" w14:textId="3F053419" w:rsidR="006A35C2" w:rsidRPr="006A35C2" w:rsidRDefault="006A35C2" w:rsidP="006A35C2">
      <w:pPr>
        <w:rPr>
          <w:rFonts w:cs="Times New Roman"/>
          <w:szCs w:val="24"/>
          <w:lang w:val="en-US"/>
        </w:rPr>
      </w:pPr>
      <w:r w:rsidRPr="006A35C2">
        <w:rPr>
          <w:rFonts w:cs="Times New Roman"/>
          <w:szCs w:val="24"/>
          <w:lang w:val="en-US"/>
        </w:rPr>
        <w:t>I'll also remember the support I received from coworkers on many research projects in Nur Sultan, Kazakhstan, particularly from Mr. Shyngys Zharassov and Mr. Alizhan</w:t>
      </w:r>
      <w:r w:rsidR="00BE2A0C">
        <w:rPr>
          <w:rFonts w:cs="Times New Roman"/>
          <w:szCs w:val="24"/>
          <w:lang w:val="en-US"/>
        </w:rPr>
        <w:t xml:space="preserve"> Kazkeyev</w:t>
      </w:r>
      <w:r w:rsidRPr="006A35C2">
        <w:rPr>
          <w:rFonts w:cs="Times New Roman"/>
          <w:szCs w:val="24"/>
          <w:lang w:val="en-US"/>
        </w:rPr>
        <w:t>.</w:t>
      </w:r>
    </w:p>
    <w:p w14:paraId="2FF6F396" w14:textId="092A5CFE" w:rsidR="006A35C2" w:rsidRPr="006A35C2" w:rsidRDefault="00665FB4" w:rsidP="006A35C2">
      <w:pPr>
        <w:rPr>
          <w:rFonts w:cs="Times New Roman"/>
          <w:szCs w:val="24"/>
          <w:lang w:val="en-US"/>
        </w:rPr>
      </w:pPr>
      <w:r w:rsidRPr="00665FB4">
        <w:rPr>
          <w:rFonts w:cs="Times New Roman"/>
          <w:szCs w:val="24"/>
          <w:lang w:val="en-US"/>
        </w:rPr>
        <w:t>Dr. Stephen Mbuligwe of the Department of Environmental Engineering at Ardhi University in Dar es Salaam, Tanzania, deserves special thanks for his invaluable assistance throughout the research internship at the university</w:t>
      </w:r>
      <w:r w:rsidR="006A35C2" w:rsidRPr="006A35C2">
        <w:rPr>
          <w:rFonts w:cs="Times New Roman"/>
          <w:szCs w:val="24"/>
          <w:lang w:val="en-US"/>
        </w:rPr>
        <w:t>.</w:t>
      </w:r>
    </w:p>
    <w:p w14:paraId="2FEB9C02" w14:textId="3397D5F0" w:rsidR="006A35C2" w:rsidRDefault="00665FB4" w:rsidP="006A35C2">
      <w:pPr>
        <w:rPr>
          <w:rFonts w:cs="Times New Roman"/>
          <w:szCs w:val="24"/>
          <w:lang w:val="en-US"/>
        </w:rPr>
      </w:pPr>
      <w:r w:rsidRPr="00665FB4">
        <w:rPr>
          <w:rFonts w:cs="Times New Roman"/>
          <w:szCs w:val="24"/>
          <w:lang w:val="en-US"/>
        </w:rPr>
        <w:t xml:space="preserve">In addition, I'd </w:t>
      </w:r>
      <w:r w:rsidR="00CB6AEE">
        <w:rPr>
          <w:rFonts w:cs="Times New Roman"/>
          <w:szCs w:val="24"/>
          <w:lang w:val="en-US"/>
        </w:rPr>
        <w:t>like</w:t>
      </w:r>
      <w:r w:rsidRPr="00665FB4">
        <w:rPr>
          <w:rFonts w:cs="Times New Roman"/>
          <w:szCs w:val="24"/>
          <w:lang w:val="en-US"/>
        </w:rPr>
        <w:t xml:space="preserve"> to express my heartfelt gratitude to all of my friends and colleagues who were not named here for their invaluable assistance during my Ph.D. program</w:t>
      </w:r>
      <w:r w:rsidR="006A35C2" w:rsidRPr="006A35C2">
        <w:rPr>
          <w:rFonts w:cs="Times New Roman"/>
          <w:szCs w:val="24"/>
          <w:lang w:val="en-US"/>
        </w:rPr>
        <w:t>.</w:t>
      </w:r>
    </w:p>
    <w:p w14:paraId="79E6A6B1" w14:textId="0F1D3B4F" w:rsidR="00704F58" w:rsidRPr="000C2BFC" w:rsidRDefault="00704F58" w:rsidP="006A35C2">
      <w:pPr>
        <w:rPr>
          <w:rFonts w:cs="Times New Roman"/>
          <w:szCs w:val="24"/>
          <w:lang w:val="en-US"/>
        </w:rPr>
      </w:pPr>
      <w:r w:rsidRPr="00704F58">
        <w:rPr>
          <w:rFonts w:cs="Times New Roman"/>
          <w:szCs w:val="24"/>
          <w:lang w:val="en-US"/>
        </w:rPr>
        <w:t xml:space="preserve">Academic careers are distinct in that academics spend </w:t>
      </w:r>
      <w:r w:rsidR="00EB01FD">
        <w:rPr>
          <w:rFonts w:cs="Times New Roman"/>
          <w:szCs w:val="24"/>
          <w:lang w:val="en-US"/>
        </w:rPr>
        <w:t>most of their time pursuing</w:t>
      </w:r>
      <w:r w:rsidRPr="00704F58">
        <w:rPr>
          <w:rFonts w:cs="Times New Roman"/>
          <w:szCs w:val="24"/>
          <w:lang w:val="en-US"/>
        </w:rPr>
        <w:t xml:space="preserve"> knowledge, which is at the heart of the Ph</w:t>
      </w:r>
      <w:r w:rsidR="00526C91">
        <w:rPr>
          <w:rFonts w:cs="Times New Roman"/>
          <w:szCs w:val="24"/>
          <w:lang w:val="en-US"/>
        </w:rPr>
        <w:t>.</w:t>
      </w:r>
      <w:r w:rsidRPr="00704F58">
        <w:rPr>
          <w:rFonts w:cs="Times New Roman"/>
          <w:szCs w:val="24"/>
          <w:lang w:val="en-US"/>
        </w:rPr>
        <w:t>D</w:t>
      </w:r>
      <w:r w:rsidR="00526C91">
        <w:rPr>
          <w:rFonts w:cs="Times New Roman"/>
          <w:szCs w:val="24"/>
          <w:lang w:val="en-US"/>
        </w:rPr>
        <w:t>.</w:t>
      </w:r>
      <w:r w:rsidRPr="00704F58">
        <w:rPr>
          <w:rFonts w:cs="Times New Roman"/>
          <w:szCs w:val="24"/>
          <w:lang w:val="en-US"/>
        </w:rPr>
        <w:t xml:space="preserve"> journey. A Ph</w:t>
      </w:r>
      <w:r w:rsidR="00526C91">
        <w:rPr>
          <w:rFonts w:cs="Times New Roman"/>
          <w:szCs w:val="24"/>
          <w:lang w:val="en-US"/>
        </w:rPr>
        <w:t>.</w:t>
      </w:r>
      <w:r w:rsidRPr="00704F58">
        <w:rPr>
          <w:rFonts w:cs="Times New Roman"/>
          <w:szCs w:val="24"/>
          <w:lang w:val="en-US"/>
        </w:rPr>
        <w:t>D</w:t>
      </w:r>
      <w:r w:rsidR="00526C91">
        <w:rPr>
          <w:rFonts w:cs="Times New Roman"/>
          <w:szCs w:val="24"/>
          <w:lang w:val="en-US"/>
        </w:rPr>
        <w:t>.</w:t>
      </w:r>
      <w:r w:rsidRPr="00704F58">
        <w:rPr>
          <w:rFonts w:cs="Times New Roman"/>
          <w:szCs w:val="24"/>
          <w:lang w:val="en-US"/>
        </w:rPr>
        <w:t xml:space="preserve"> is more than just </w:t>
      </w:r>
      <w:r w:rsidR="00EB01FD">
        <w:rPr>
          <w:rFonts w:cs="Times New Roman"/>
          <w:szCs w:val="24"/>
          <w:lang w:val="en-US"/>
        </w:rPr>
        <w:t>completing</w:t>
      </w:r>
      <w:r w:rsidRPr="00704F58">
        <w:rPr>
          <w:rFonts w:cs="Times New Roman"/>
          <w:szCs w:val="24"/>
          <w:lang w:val="en-US"/>
        </w:rPr>
        <w:t xml:space="preserve"> a large research project; it is the beginning of a lifelong quest for knowledge. It's as much about the love of discovering new ideas as it is about </w:t>
      </w:r>
      <w:r w:rsidR="00EB01FD">
        <w:rPr>
          <w:rFonts w:cs="Times New Roman"/>
          <w:szCs w:val="24"/>
          <w:lang w:val="en-US"/>
        </w:rPr>
        <w:t>pursuing</w:t>
      </w:r>
      <w:r w:rsidRPr="00704F58">
        <w:rPr>
          <w:rFonts w:cs="Times New Roman"/>
          <w:szCs w:val="24"/>
          <w:lang w:val="en-US"/>
        </w:rPr>
        <w:t xml:space="preserve"> knowledge. Given the </w:t>
      </w:r>
      <w:r w:rsidR="00EB01FD">
        <w:rPr>
          <w:rFonts w:cs="Times New Roman"/>
          <w:szCs w:val="24"/>
          <w:lang w:val="en-US"/>
        </w:rPr>
        <w:t>preced</w:t>
      </w:r>
      <w:r w:rsidRPr="00704F58">
        <w:rPr>
          <w:rFonts w:cs="Times New Roman"/>
          <w:szCs w:val="24"/>
          <w:lang w:val="en-US"/>
        </w:rPr>
        <w:t xml:space="preserve">ing facts, </w:t>
      </w:r>
      <w:r w:rsidR="00053109">
        <w:rPr>
          <w:rFonts w:cs="Times New Roman"/>
          <w:szCs w:val="24"/>
          <w:lang w:val="en-US"/>
        </w:rPr>
        <w:t>it’s clear that</w:t>
      </w:r>
      <w:r w:rsidRPr="00704F58">
        <w:rPr>
          <w:rFonts w:cs="Times New Roman"/>
          <w:szCs w:val="24"/>
          <w:lang w:val="en-US"/>
        </w:rPr>
        <w:t xml:space="preserve"> the voyage encompassed so many people and institutions that it would be impossible to list them all here. However, any individual, group of people</w:t>
      </w:r>
      <w:r w:rsidR="00D56E3A">
        <w:rPr>
          <w:rFonts w:cs="Times New Roman"/>
          <w:szCs w:val="24"/>
          <w:lang w:val="en-US"/>
        </w:rPr>
        <w:t>,</w:t>
      </w:r>
      <w:r w:rsidRPr="00704F58">
        <w:rPr>
          <w:rFonts w:cs="Times New Roman"/>
          <w:szCs w:val="24"/>
          <w:lang w:val="en-US"/>
        </w:rPr>
        <w:t xml:space="preserve"> or institution that assist</w:t>
      </w:r>
      <w:r w:rsidR="00CB6AEE">
        <w:rPr>
          <w:rFonts w:cs="Times New Roman"/>
          <w:szCs w:val="24"/>
          <w:lang w:val="en-US"/>
        </w:rPr>
        <w:t>ed</w:t>
      </w:r>
      <w:r w:rsidRPr="00704F58">
        <w:rPr>
          <w:rFonts w:cs="Times New Roman"/>
          <w:szCs w:val="24"/>
          <w:lang w:val="en-US"/>
        </w:rPr>
        <w:t xml:space="preserve"> in </w:t>
      </w:r>
      <w:r w:rsidR="00EB01FD">
        <w:rPr>
          <w:rFonts w:cs="Times New Roman"/>
          <w:szCs w:val="24"/>
          <w:lang w:val="en-US"/>
        </w:rPr>
        <w:t>completing</w:t>
      </w:r>
      <w:r w:rsidRPr="00704F58">
        <w:rPr>
          <w:rFonts w:cs="Times New Roman"/>
          <w:szCs w:val="24"/>
          <w:lang w:val="en-US"/>
        </w:rPr>
        <w:t xml:space="preserve"> the study is greatly appreciated.</w:t>
      </w:r>
    </w:p>
    <w:p w14:paraId="0A548B05" w14:textId="77777777" w:rsidR="006A35C2" w:rsidRDefault="006A35C2" w:rsidP="00484B31">
      <w:pPr>
        <w:ind w:firstLine="0"/>
        <w:jc w:val="center"/>
        <w:rPr>
          <w:lang w:val="en-US"/>
        </w:rPr>
      </w:pPr>
    </w:p>
    <w:p w14:paraId="6496D980" w14:textId="77777777" w:rsidR="0041126D" w:rsidRDefault="0041126D" w:rsidP="0041126D">
      <w:pPr>
        <w:rPr>
          <w:lang w:val="en-US"/>
        </w:rPr>
      </w:pPr>
    </w:p>
    <w:p w14:paraId="7C3AE318" w14:textId="77777777" w:rsidR="0041126D" w:rsidRDefault="0041126D" w:rsidP="0041126D">
      <w:pPr>
        <w:rPr>
          <w:lang w:val="en-US"/>
        </w:rPr>
      </w:pPr>
    </w:p>
    <w:p w14:paraId="46BA6C92" w14:textId="77777777" w:rsidR="0041126D" w:rsidRDefault="0041126D" w:rsidP="0041126D">
      <w:pPr>
        <w:rPr>
          <w:lang w:val="en-US"/>
        </w:rPr>
      </w:pPr>
    </w:p>
    <w:p w14:paraId="59EDC527" w14:textId="77777777" w:rsidR="0041126D" w:rsidRDefault="0041126D" w:rsidP="0041126D">
      <w:pPr>
        <w:rPr>
          <w:lang w:val="en-US"/>
        </w:rPr>
      </w:pPr>
    </w:p>
    <w:p w14:paraId="5C63C75B" w14:textId="77777777" w:rsidR="0041126D" w:rsidRDefault="0041126D" w:rsidP="0041126D">
      <w:pPr>
        <w:rPr>
          <w:lang w:val="en-US"/>
        </w:rPr>
      </w:pPr>
    </w:p>
    <w:p w14:paraId="13C2A2D4" w14:textId="77777777" w:rsidR="0041126D" w:rsidRDefault="0041126D" w:rsidP="0041126D">
      <w:pPr>
        <w:rPr>
          <w:lang w:val="en-US"/>
        </w:rPr>
      </w:pPr>
    </w:p>
    <w:p w14:paraId="273D808D" w14:textId="77777777" w:rsidR="0041126D" w:rsidRDefault="0041126D" w:rsidP="0041126D">
      <w:pPr>
        <w:rPr>
          <w:lang w:val="en-US"/>
        </w:rPr>
      </w:pPr>
    </w:p>
    <w:p w14:paraId="35F4C332" w14:textId="77777777" w:rsidR="0041126D" w:rsidRDefault="0041126D" w:rsidP="0041126D">
      <w:pPr>
        <w:rPr>
          <w:lang w:val="en-US"/>
        </w:rPr>
      </w:pPr>
    </w:p>
    <w:p w14:paraId="03B395E7" w14:textId="77777777" w:rsidR="0041126D" w:rsidRDefault="0041126D" w:rsidP="0041126D">
      <w:pPr>
        <w:rPr>
          <w:lang w:val="en-US"/>
        </w:rPr>
      </w:pPr>
    </w:p>
    <w:p w14:paraId="29649D97" w14:textId="77777777" w:rsidR="0041126D" w:rsidRDefault="0041126D" w:rsidP="0041126D">
      <w:pPr>
        <w:rPr>
          <w:lang w:val="en-US"/>
        </w:rPr>
      </w:pPr>
    </w:p>
    <w:p w14:paraId="224940CB" w14:textId="77777777" w:rsidR="0041126D" w:rsidRDefault="0041126D" w:rsidP="0041126D">
      <w:pPr>
        <w:rPr>
          <w:lang w:val="en-US"/>
        </w:rPr>
      </w:pPr>
    </w:p>
    <w:p w14:paraId="209599F3" w14:textId="77777777" w:rsidR="0041126D" w:rsidRDefault="0041126D" w:rsidP="0041126D">
      <w:pPr>
        <w:rPr>
          <w:lang w:val="en-US"/>
        </w:rPr>
      </w:pPr>
    </w:p>
    <w:p w14:paraId="7776C83A" w14:textId="77777777" w:rsidR="0041126D" w:rsidRDefault="0041126D" w:rsidP="0041126D">
      <w:pPr>
        <w:rPr>
          <w:lang w:val="en-US"/>
        </w:rPr>
      </w:pPr>
    </w:p>
    <w:p w14:paraId="6DA9E9CD" w14:textId="263FC50A" w:rsidR="00351F60" w:rsidRPr="006A35C2" w:rsidRDefault="00351F60" w:rsidP="0041126D">
      <w:pPr>
        <w:ind w:firstLine="0"/>
        <w:jc w:val="center"/>
        <w:rPr>
          <w:lang w:val="en-US"/>
        </w:rPr>
      </w:pPr>
      <w:r w:rsidRPr="006A35C2">
        <w:rPr>
          <w:lang w:val="en-US"/>
        </w:rPr>
        <w:lastRenderedPageBreak/>
        <w:t>TABLE OF CONTENTS</w:t>
      </w:r>
    </w:p>
    <w:p w14:paraId="3BD9D88F" w14:textId="76E45B44" w:rsidR="00087753" w:rsidRDefault="00D270E1">
      <w:pPr>
        <w:pStyle w:val="11"/>
        <w:rPr>
          <w:rFonts w:asciiTheme="minorHAnsi" w:eastAsiaTheme="minorEastAsia" w:hAnsiTheme="minorHAnsi"/>
          <w:caps w:val="0"/>
          <w:noProof/>
          <w:sz w:val="22"/>
          <w:lang w:eastAsia="ru-RU"/>
        </w:rPr>
      </w:pPr>
      <w:r>
        <w:rPr>
          <w:lang w:val="en-US"/>
        </w:rPr>
        <w:fldChar w:fldCharType="begin"/>
      </w:r>
      <w:r>
        <w:rPr>
          <w:lang w:val="en-US"/>
        </w:rPr>
        <w:instrText xml:space="preserve"> TOC \o "1-6" \h \z \u </w:instrText>
      </w:r>
      <w:r>
        <w:rPr>
          <w:lang w:val="en-US"/>
        </w:rPr>
        <w:fldChar w:fldCharType="separate"/>
      </w:r>
      <w:hyperlink w:anchor="_Toc104985152" w:history="1">
        <w:r w:rsidR="00087753" w:rsidRPr="00277050">
          <w:rPr>
            <w:rStyle w:val="a7"/>
            <w:noProof/>
            <w:lang w:val="en-US"/>
          </w:rPr>
          <w:t>ABSTRACT</w:t>
        </w:r>
        <w:r w:rsidR="00087753">
          <w:rPr>
            <w:noProof/>
            <w:webHidden/>
          </w:rPr>
          <w:tab/>
        </w:r>
        <w:r w:rsidR="00087753">
          <w:rPr>
            <w:noProof/>
            <w:webHidden/>
          </w:rPr>
          <w:fldChar w:fldCharType="begin"/>
        </w:r>
        <w:r w:rsidR="00087753">
          <w:rPr>
            <w:noProof/>
            <w:webHidden/>
          </w:rPr>
          <w:instrText xml:space="preserve"> PAGEREF _Toc104985152 \h </w:instrText>
        </w:r>
        <w:r w:rsidR="00087753">
          <w:rPr>
            <w:noProof/>
            <w:webHidden/>
          </w:rPr>
        </w:r>
        <w:r w:rsidR="00087753">
          <w:rPr>
            <w:noProof/>
            <w:webHidden/>
          </w:rPr>
          <w:fldChar w:fldCharType="separate"/>
        </w:r>
        <w:r w:rsidR="004870F1">
          <w:rPr>
            <w:noProof/>
            <w:webHidden/>
          </w:rPr>
          <w:t>2</w:t>
        </w:r>
        <w:r w:rsidR="00087753">
          <w:rPr>
            <w:noProof/>
            <w:webHidden/>
          </w:rPr>
          <w:fldChar w:fldCharType="end"/>
        </w:r>
      </w:hyperlink>
    </w:p>
    <w:p w14:paraId="2F55B05B" w14:textId="4CC6DF39" w:rsidR="00087753" w:rsidRDefault="00536556">
      <w:pPr>
        <w:pStyle w:val="11"/>
        <w:rPr>
          <w:rFonts w:asciiTheme="minorHAnsi" w:eastAsiaTheme="minorEastAsia" w:hAnsiTheme="minorHAnsi"/>
          <w:caps w:val="0"/>
          <w:noProof/>
          <w:sz w:val="22"/>
          <w:lang w:eastAsia="ru-RU"/>
        </w:rPr>
      </w:pPr>
      <w:hyperlink w:anchor="_Toc104985153" w:history="1">
        <w:r w:rsidR="00087753" w:rsidRPr="00277050">
          <w:rPr>
            <w:rStyle w:val="a7"/>
            <w:noProof/>
            <w:lang w:val="en-US"/>
          </w:rPr>
          <w:t>STATEMENT OF ORIGINAL AUTHORSHIP</w:t>
        </w:r>
        <w:r w:rsidR="00087753">
          <w:rPr>
            <w:noProof/>
            <w:webHidden/>
          </w:rPr>
          <w:tab/>
        </w:r>
        <w:r w:rsidR="00087753">
          <w:rPr>
            <w:noProof/>
            <w:webHidden/>
          </w:rPr>
          <w:fldChar w:fldCharType="begin"/>
        </w:r>
        <w:r w:rsidR="00087753">
          <w:rPr>
            <w:noProof/>
            <w:webHidden/>
          </w:rPr>
          <w:instrText xml:space="preserve"> PAGEREF _Toc104985153 \h </w:instrText>
        </w:r>
        <w:r w:rsidR="00087753">
          <w:rPr>
            <w:noProof/>
            <w:webHidden/>
          </w:rPr>
        </w:r>
        <w:r w:rsidR="00087753">
          <w:rPr>
            <w:noProof/>
            <w:webHidden/>
          </w:rPr>
          <w:fldChar w:fldCharType="separate"/>
        </w:r>
        <w:r w:rsidR="004870F1">
          <w:rPr>
            <w:noProof/>
            <w:webHidden/>
          </w:rPr>
          <w:t>3</w:t>
        </w:r>
        <w:r w:rsidR="00087753">
          <w:rPr>
            <w:noProof/>
            <w:webHidden/>
          </w:rPr>
          <w:fldChar w:fldCharType="end"/>
        </w:r>
      </w:hyperlink>
    </w:p>
    <w:p w14:paraId="055B54B3" w14:textId="1DCBB1E6" w:rsidR="00087753" w:rsidRDefault="00536556">
      <w:pPr>
        <w:pStyle w:val="11"/>
        <w:rPr>
          <w:rFonts w:asciiTheme="minorHAnsi" w:eastAsiaTheme="minorEastAsia" w:hAnsiTheme="minorHAnsi"/>
          <w:caps w:val="0"/>
          <w:noProof/>
          <w:sz w:val="22"/>
          <w:lang w:eastAsia="ru-RU"/>
        </w:rPr>
      </w:pPr>
      <w:hyperlink w:anchor="_Toc104985154" w:history="1">
        <w:r w:rsidR="00087753" w:rsidRPr="00277050">
          <w:rPr>
            <w:rStyle w:val="a7"/>
            <w:noProof/>
            <w:lang w:val="en-US"/>
          </w:rPr>
          <w:t>ACKNOWLEDGMENTS</w:t>
        </w:r>
        <w:r w:rsidR="00087753">
          <w:rPr>
            <w:noProof/>
            <w:webHidden/>
          </w:rPr>
          <w:tab/>
        </w:r>
        <w:r w:rsidR="00087753">
          <w:rPr>
            <w:noProof/>
            <w:webHidden/>
          </w:rPr>
          <w:fldChar w:fldCharType="begin"/>
        </w:r>
        <w:r w:rsidR="00087753">
          <w:rPr>
            <w:noProof/>
            <w:webHidden/>
          </w:rPr>
          <w:instrText xml:space="preserve"> PAGEREF _Toc104985154 \h </w:instrText>
        </w:r>
        <w:r w:rsidR="00087753">
          <w:rPr>
            <w:noProof/>
            <w:webHidden/>
          </w:rPr>
        </w:r>
        <w:r w:rsidR="00087753">
          <w:rPr>
            <w:noProof/>
            <w:webHidden/>
          </w:rPr>
          <w:fldChar w:fldCharType="separate"/>
        </w:r>
        <w:r w:rsidR="004870F1">
          <w:rPr>
            <w:noProof/>
            <w:webHidden/>
          </w:rPr>
          <w:t>4</w:t>
        </w:r>
        <w:r w:rsidR="00087753">
          <w:rPr>
            <w:noProof/>
            <w:webHidden/>
          </w:rPr>
          <w:fldChar w:fldCharType="end"/>
        </w:r>
      </w:hyperlink>
    </w:p>
    <w:p w14:paraId="1BCD0F00" w14:textId="555DCC57" w:rsidR="00087753" w:rsidRDefault="00536556">
      <w:pPr>
        <w:pStyle w:val="11"/>
        <w:rPr>
          <w:rFonts w:asciiTheme="minorHAnsi" w:eastAsiaTheme="minorEastAsia" w:hAnsiTheme="minorHAnsi"/>
          <w:caps w:val="0"/>
          <w:noProof/>
          <w:sz w:val="22"/>
          <w:lang w:eastAsia="ru-RU"/>
        </w:rPr>
      </w:pPr>
      <w:hyperlink w:anchor="_Toc104985155" w:history="1">
        <w:r w:rsidR="00087753" w:rsidRPr="00277050">
          <w:rPr>
            <w:rStyle w:val="a7"/>
            <w:noProof/>
            <w:lang w:val="en-US"/>
          </w:rPr>
          <w:t>LIST OF FIGURES</w:t>
        </w:r>
        <w:r w:rsidR="00087753">
          <w:rPr>
            <w:noProof/>
            <w:webHidden/>
          </w:rPr>
          <w:tab/>
        </w:r>
        <w:r w:rsidR="00087753">
          <w:rPr>
            <w:noProof/>
            <w:webHidden/>
          </w:rPr>
          <w:fldChar w:fldCharType="begin"/>
        </w:r>
        <w:r w:rsidR="00087753">
          <w:rPr>
            <w:noProof/>
            <w:webHidden/>
          </w:rPr>
          <w:instrText xml:space="preserve"> PAGEREF _Toc104985155 \h </w:instrText>
        </w:r>
        <w:r w:rsidR="00087753">
          <w:rPr>
            <w:noProof/>
            <w:webHidden/>
          </w:rPr>
        </w:r>
        <w:r w:rsidR="00087753">
          <w:rPr>
            <w:noProof/>
            <w:webHidden/>
          </w:rPr>
          <w:fldChar w:fldCharType="separate"/>
        </w:r>
        <w:r w:rsidR="004870F1">
          <w:rPr>
            <w:noProof/>
            <w:webHidden/>
          </w:rPr>
          <w:t>14</w:t>
        </w:r>
        <w:r w:rsidR="00087753">
          <w:rPr>
            <w:noProof/>
            <w:webHidden/>
          </w:rPr>
          <w:fldChar w:fldCharType="end"/>
        </w:r>
      </w:hyperlink>
    </w:p>
    <w:p w14:paraId="24C540C7" w14:textId="4502AF63" w:rsidR="00087753" w:rsidRDefault="00536556">
      <w:pPr>
        <w:pStyle w:val="11"/>
        <w:rPr>
          <w:rFonts w:asciiTheme="minorHAnsi" w:eastAsiaTheme="minorEastAsia" w:hAnsiTheme="minorHAnsi"/>
          <w:caps w:val="0"/>
          <w:noProof/>
          <w:sz w:val="22"/>
          <w:lang w:eastAsia="ru-RU"/>
        </w:rPr>
      </w:pPr>
      <w:hyperlink w:anchor="_Toc104985156" w:history="1">
        <w:r w:rsidR="00087753" w:rsidRPr="00277050">
          <w:rPr>
            <w:rStyle w:val="a7"/>
            <w:noProof/>
            <w:lang w:val="en-US"/>
          </w:rPr>
          <w:t>LIST OF TABLES</w:t>
        </w:r>
        <w:r w:rsidR="00087753">
          <w:rPr>
            <w:noProof/>
            <w:webHidden/>
          </w:rPr>
          <w:tab/>
        </w:r>
        <w:r w:rsidR="00087753">
          <w:rPr>
            <w:noProof/>
            <w:webHidden/>
          </w:rPr>
          <w:fldChar w:fldCharType="begin"/>
        </w:r>
        <w:r w:rsidR="00087753">
          <w:rPr>
            <w:noProof/>
            <w:webHidden/>
          </w:rPr>
          <w:instrText xml:space="preserve"> PAGEREF _Toc104985156 \h </w:instrText>
        </w:r>
        <w:r w:rsidR="00087753">
          <w:rPr>
            <w:noProof/>
            <w:webHidden/>
          </w:rPr>
        </w:r>
        <w:r w:rsidR="00087753">
          <w:rPr>
            <w:noProof/>
            <w:webHidden/>
          </w:rPr>
          <w:fldChar w:fldCharType="separate"/>
        </w:r>
        <w:r w:rsidR="004870F1">
          <w:rPr>
            <w:noProof/>
            <w:webHidden/>
          </w:rPr>
          <w:t>22</w:t>
        </w:r>
        <w:r w:rsidR="00087753">
          <w:rPr>
            <w:noProof/>
            <w:webHidden/>
          </w:rPr>
          <w:fldChar w:fldCharType="end"/>
        </w:r>
      </w:hyperlink>
    </w:p>
    <w:p w14:paraId="3E52DA99" w14:textId="4DC47083" w:rsidR="00087753" w:rsidRDefault="00536556">
      <w:pPr>
        <w:pStyle w:val="11"/>
        <w:rPr>
          <w:rFonts w:asciiTheme="minorHAnsi" w:eastAsiaTheme="minorEastAsia" w:hAnsiTheme="minorHAnsi"/>
          <w:caps w:val="0"/>
          <w:noProof/>
          <w:sz w:val="22"/>
          <w:lang w:eastAsia="ru-RU"/>
        </w:rPr>
      </w:pPr>
      <w:hyperlink w:anchor="_Toc104985157" w:history="1">
        <w:r w:rsidR="00087753" w:rsidRPr="00277050">
          <w:rPr>
            <w:rStyle w:val="a7"/>
            <w:noProof/>
            <w:lang w:val="en-US"/>
          </w:rPr>
          <w:t>NORMATIVE REFERENCES</w:t>
        </w:r>
        <w:r w:rsidR="00087753">
          <w:rPr>
            <w:noProof/>
            <w:webHidden/>
          </w:rPr>
          <w:tab/>
        </w:r>
        <w:r w:rsidR="00087753">
          <w:rPr>
            <w:noProof/>
            <w:webHidden/>
          </w:rPr>
          <w:fldChar w:fldCharType="begin"/>
        </w:r>
        <w:r w:rsidR="00087753">
          <w:rPr>
            <w:noProof/>
            <w:webHidden/>
          </w:rPr>
          <w:instrText xml:space="preserve"> PAGEREF _Toc104985157 \h </w:instrText>
        </w:r>
        <w:r w:rsidR="00087753">
          <w:rPr>
            <w:noProof/>
            <w:webHidden/>
          </w:rPr>
        </w:r>
        <w:r w:rsidR="00087753">
          <w:rPr>
            <w:noProof/>
            <w:webHidden/>
          </w:rPr>
          <w:fldChar w:fldCharType="separate"/>
        </w:r>
        <w:r w:rsidR="004870F1">
          <w:rPr>
            <w:noProof/>
            <w:webHidden/>
          </w:rPr>
          <w:t>24</w:t>
        </w:r>
        <w:r w:rsidR="00087753">
          <w:rPr>
            <w:noProof/>
            <w:webHidden/>
          </w:rPr>
          <w:fldChar w:fldCharType="end"/>
        </w:r>
      </w:hyperlink>
    </w:p>
    <w:p w14:paraId="0B99044A" w14:textId="705F7261" w:rsidR="00087753" w:rsidRDefault="00536556">
      <w:pPr>
        <w:pStyle w:val="11"/>
        <w:rPr>
          <w:rFonts w:asciiTheme="minorHAnsi" w:eastAsiaTheme="minorEastAsia" w:hAnsiTheme="minorHAnsi"/>
          <w:caps w:val="0"/>
          <w:noProof/>
          <w:sz w:val="22"/>
          <w:lang w:eastAsia="ru-RU"/>
        </w:rPr>
      </w:pPr>
      <w:hyperlink w:anchor="_Toc104985158" w:history="1">
        <w:r w:rsidR="00087753" w:rsidRPr="00277050">
          <w:rPr>
            <w:rStyle w:val="a7"/>
            <w:noProof/>
            <w:lang w:val="en-US"/>
          </w:rPr>
          <w:t>DEFINITIONS</w:t>
        </w:r>
        <w:r w:rsidR="00087753">
          <w:rPr>
            <w:noProof/>
            <w:webHidden/>
          </w:rPr>
          <w:tab/>
        </w:r>
        <w:r w:rsidR="00087753">
          <w:rPr>
            <w:noProof/>
            <w:webHidden/>
          </w:rPr>
          <w:fldChar w:fldCharType="begin"/>
        </w:r>
        <w:r w:rsidR="00087753">
          <w:rPr>
            <w:noProof/>
            <w:webHidden/>
          </w:rPr>
          <w:instrText xml:space="preserve"> PAGEREF _Toc104985158 \h </w:instrText>
        </w:r>
        <w:r w:rsidR="00087753">
          <w:rPr>
            <w:noProof/>
            <w:webHidden/>
          </w:rPr>
        </w:r>
        <w:r w:rsidR="00087753">
          <w:rPr>
            <w:noProof/>
            <w:webHidden/>
          </w:rPr>
          <w:fldChar w:fldCharType="separate"/>
        </w:r>
        <w:r w:rsidR="004870F1">
          <w:rPr>
            <w:noProof/>
            <w:webHidden/>
          </w:rPr>
          <w:t>25</w:t>
        </w:r>
        <w:r w:rsidR="00087753">
          <w:rPr>
            <w:noProof/>
            <w:webHidden/>
          </w:rPr>
          <w:fldChar w:fldCharType="end"/>
        </w:r>
      </w:hyperlink>
    </w:p>
    <w:p w14:paraId="08464328" w14:textId="45DA9DE9" w:rsidR="00087753" w:rsidRDefault="00536556">
      <w:pPr>
        <w:pStyle w:val="11"/>
        <w:rPr>
          <w:rFonts w:asciiTheme="minorHAnsi" w:eastAsiaTheme="minorEastAsia" w:hAnsiTheme="minorHAnsi"/>
          <w:caps w:val="0"/>
          <w:noProof/>
          <w:sz w:val="22"/>
          <w:lang w:eastAsia="ru-RU"/>
        </w:rPr>
      </w:pPr>
      <w:hyperlink w:anchor="_Toc104985159" w:history="1">
        <w:r w:rsidR="00087753" w:rsidRPr="00277050">
          <w:rPr>
            <w:rStyle w:val="a7"/>
            <w:noProof/>
            <w:lang w:val="en-US"/>
          </w:rPr>
          <w:t>SYMBOLS AND ABBREVIATIONS</w:t>
        </w:r>
        <w:r w:rsidR="00087753">
          <w:rPr>
            <w:noProof/>
            <w:webHidden/>
          </w:rPr>
          <w:tab/>
        </w:r>
        <w:r w:rsidR="00087753">
          <w:rPr>
            <w:noProof/>
            <w:webHidden/>
          </w:rPr>
          <w:fldChar w:fldCharType="begin"/>
        </w:r>
        <w:r w:rsidR="00087753">
          <w:rPr>
            <w:noProof/>
            <w:webHidden/>
          </w:rPr>
          <w:instrText xml:space="preserve"> PAGEREF _Toc104985159 \h </w:instrText>
        </w:r>
        <w:r w:rsidR="00087753">
          <w:rPr>
            <w:noProof/>
            <w:webHidden/>
          </w:rPr>
        </w:r>
        <w:r w:rsidR="00087753">
          <w:rPr>
            <w:noProof/>
            <w:webHidden/>
          </w:rPr>
          <w:fldChar w:fldCharType="separate"/>
        </w:r>
        <w:r w:rsidR="004870F1">
          <w:rPr>
            <w:noProof/>
            <w:webHidden/>
          </w:rPr>
          <w:t>27</w:t>
        </w:r>
        <w:r w:rsidR="00087753">
          <w:rPr>
            <w:noProof/>
            <w:webHidden/>
          </w:rPr>
          <w:fldChar w:fldCharType="end"/>
        </w:r>
      </w:hyperlink>
    </w:p>
    <w:p w14:paraId="0A8B18D2" w14:textId="741CFFD8" w:rsidR="00087753" w:rsidRDefault="00536556">
      <w:pPr>
        <w:pStyle w:val="11"/>
        <w:rPr>
          <w:rFonts w:asciiTheme="minorHAnsi" w:eastAsiaTheme="minorEastAsia" w:hAnsiTheme="minorHAnsi"/>
          <w:caps w:val="0"/>
          <w:noProof/>
          <w:sz w:val="22"/>
          <w:lang w:eastAsia="ru-RU"/>
        </w:rPr>
      </w:pPr>
      <w:hyperlink w:anchor="_Toc104985160" w:history="1">
        <w:r w:rsidR="00087753" w:rsidRPr="00277050">
          <w:rPr>
            <w:rStyle w:val="a7"/>
            <w:noProof/>
            <w:lang w:val="en-US"/>
          </w:rPr>
          <w:t>INTRODUCTION</w:t>
        </w:r>
        <w:r w:rsidR="00087753">
          <w:rPr>
            <w:noProof/>
            <w:webHidden/>
          </w:rPr>
          <w:tab/>
        </w:r>
        <w:r w:rsidR="00087753">
          <w:rPr>
            <w:noProof/>
            <w:webHidden/>
          </w:rPr>
          <w:fldChar w:fldCharType="begin"/>
        </w:r>
        <w:r w:rsidR="00087753">
          <w:rPr>
            <w:noProof/>
            <w:webHidden/>
          </w:rPr>
          <w:instrText xml:space="preserve"> PAGEREF _Toc104985160 \h </w:instrText>
        </w:r>
        <w:r w:rsidR="00087753">
          <w:rPr>
            <w:noProof/>
            <w:webHidden/>
          </w:rPr>
        </w:r>
        <w:r w:rsidR="00087753">
          <w:rPr>
            <w:noProof/>
            <w:webHidden/>
          </w:rPr>
          <w:fldChar w:fldCharType="separate"/>
        </w:r>
        <w:r w:rsidR="004870F1">
          <w:rPr>
            <w:noProof/>
            <w:webHidden/>
          </w:rPr>
          <w:t>30</w:t>
        </w:r>
        <w:r w:rsidR="00087753">
          <w:rPr>
            <w:noProof/>
            <w:webHidden/>
          </w:rPr>
          <w:fldChar w:fldCharType="end"/>
        </w:r>
      </w:hyperlink>
    </w:p>
    <w:p w14:paraId="1543E81D" w14:textId="0B2CAEC5" w:rsidR="00087753" w:rsidRDefault="00536556">
      <w:pPr>
        <w:pStyle w:val="11"/>
        <w:rPr>
          <w:rFonts w:asciiTheme="minorHAnsi" w:eastAsiaTheme="minorEastAsia" w:hAnsiTheme="minorHAnsi"/>
          <w:caps w:val="0"/>
          <w:noProof/>
          <w:sz w:val="22"/>
          <w:lang w:eastAsia="ru-RU"/>
        </w:rPr>
      </w:pPr>
      <w:hyperlink w:anchor="_Toc104985161" w:history="1">
        <w:r w:rsidR="00087753" w:rsidRPr="00277050">
          <w:rPr>
            <w:rStyle w:val="a7"/>
            <w:noProof/>
            <w:lang w:val="en-US"/>
          </w:rPr>
          <w:t>1 Literature review</w:t>
        </w:r>
        <w:r w:rsidR="00087753">
          <w:rPr>
            <w:noProof/>
            <w:webHidden/>
          </w:rPr>
          <w:tab/>
        </w:r>
        <w:r w:rsidR="00087753">
          <w:rPr>
            <w:noProof/>
            <w:webHidden/>
          </w:rPr>
          <w:fldChar w:fldCharType="begin"/>
        </w:r>
        <w:r w:rsidR="00087753">
          <w:rPr>
            <w:noProof/>
            <w:webHidden/>
          </w:rPr>
          <w:instrText xml:space="preserve"> PAGEREF _Toc104985161 \h </w:instrText>
        </w:r>
        <w:r w:rsidR="00087753">
          <w:rPr>
            <w:noProof/>
            <w:webHidden/>
          </w:rPr>
        </w:r>
        <w:r w:rsidR="00087753">
          <w:rPr>
            <w:noProof/>
            <w:webHidden/>
          </w:rPr>
          <w:fldChar w:fldCharType="separate"/>
        </w:r>
        <w:r w:rsidR="004870F1">
          <w:rPr>
            <w:noProof/>
            <w:webHidden/>
          </w:rPr>
          <w:t>37</w:t>
        </w:r>
        <w:r w:rsidR="00087753">
          <w:rPr>
            <w:noProof/>
            <w:webHidden/>
          </w:rPr>
          <w:fldChar w:fldCharType="end"/>
        </w:r>
      </w:hyperlink>
    </w:p>
    <w:p w14:paraId="692C605F" w14:textId="513DB7FD" w:rsidR="00087753" w:rsidRDefault="00536556">
      <w:pPr>
        <w:pStyle w:val="21"/>
        <w:rPr>
          <w:rFonts w:asciiTheme="minorHAnsi" w:eastAsiaTheme="minorEastAsia" w:hAnsiTheme="minorHAnsi"/>
          <w:noProof/>
          <w:sz w:val="22"/>
          <w:lang w:eastAsia="ru-RU"/>
        </w:rPr>
      </w:pPr>
      <w:hyperlink w:anchor="_Toc104985162" w:history="1">
        <w:r w:rsidR="00087753" w:rsidRPr="00277050">
          <w:rPr>
            <w:rStyle w:val="a7"/>
            <w:noProof/>
            <w:lang w:val="en-US"/>
          </w:rPr>
          <w:t>1.1 Land use and land cover changes impacts on stormwater</w:t>
        </w:r>
        <w:r w:rsidR="00087753">
          <w:rPr>
            <w:noProof/>
            <w:webHidden/>
          </w:rPr>
          <w:tab/>
        </w:r>
        <w:r w:rsidR="00087753">
          <w:rPr>
            <w:noProof/>
            <w:webHidden/>
          </w:rPr>
          <w:fldChar w:fldCharType="begin"/>
        </w:r>
        <w:r w:rsidR="00087753">
          <w:rPr>
            <w:noProof/>
            <w:webHidden/>
          </w:rPr>
          <w:instrText xml:space="preserve"> PAGEREF _Toc104985162 \h </w:instrText>
        </w:r>
        <w:r w:rsidR="00087753">
          <w:rPr>
            <w:noProof/>
            <w:webHidden/>
          </w:rPr>
        </w:r>
        <w:r w:rsidR="00087753">
          <w:rPr>
            <w:noProof/>
            <w:webHidden/>
          </w:rPr>
          <w:fldChar w:fldCharType="separate"/>
        </w:r>
        <w:r w:rsidR="004870F1">
          <w:rPr>
            <w:noProof/>
            <w:webHidden/>
          </w:rPr>
          <w:t>37</w:t>
        </w:r>
        <w:r w:rsidR="00087753">
          <w:rPr>
            <w:noProof/>
            <w:webHidden/>
          </w:rPr>
          <w:fldChar w:fldCharType="end"/>
        </w:r>
      </w:hyperlink>
    </w:p>
    <w:p w14:paraId="667A136C" w14:textId="6869B9EE" w:rsidR="00087753" w:rsidRDefault="00536556">
      <w:pPr>
        <w:pStyle w:val="21"/>
        <w:rPr>
          <w:rFonts w:asciiTheme="minorHAnsi" w:eastAsiaTheme="minorEastAsia" w:hAnsiTheme="minorHAnsi"/>
          <w:noProof/>
          <w:sz w:val="22"/>
          <w:lang w:eastAsia="ru-RU"/>
        </w:rPr>
      </w:pPr>
      <w:hyperlink w:anchor="_Toc104985163" w:history="1">
        <w:r w:rsidR="00087753" w:rsidRPr="00277050">
          <w:rPr>
            <w:rStyle w:val="a7"/>
            <w:noProof/>
            <w:lang w:val="en-US"/>
          </w:rPr>
          <w:t>1.2 Climatic impacts on stormwater</w:t>
        </w:r>
        <w:r w:rsidR="00087753">
          <w:rPr>
            <w:noProof/>
            <w:webHidden/>
          </w:rPr>
          <w:tab/>
        </w:r>
        <w:r w:rsidR="00087753">
          <w:rPr>
            <w:noProof/>
            <w:webHidden/>
          </w:rPr>
          <w:fldChar w:fldCharType="begin"/>
        </w:r>
        <w:r w:rsidR="00087753">
          <w:rPr>
            <w:noProof/>
            <w:webHidden/>
          </w:rPr>
          <w:instrText xml:space="preserve"> PAGEREF _Toc104985163 \h </w:instrText>
        </w:r>
        <w:r w:rsidR="00087753">
          <w:rPr>
            <w:noProof/>
            <w:webHidden/>
          </w:rPr>
        </w:r>
        <w:r w:rsidR="00087753">
          <w:rPr>
            <w:noProof/>
            <w:webHidden/>
          </w:rPr>
          <w:fldChar w:fldCharType="separate"/>
        </w:r>
        <w:r w:rsidR="004870F1">
          <w:rPr>
            <w:noProof/>
            <w:webHidden/>
          </w:rPr>
          <w:t>38</w:t>
        </w:r>
        <w:r w:rsidR="00087753">
          <w:rPr>
            <w:noProof/>
            <w:webHidden/>
          </w:rPr>
          <w:fldChar w:fldCharType="end"/>
        </w:r>
      </w:hyperlink>
    </w:p>
    <w:p w14:paraId="7447FA30" w14:textId="3F68EAD3" w:rsidR="00087753" w:rsidRDefault="00536556">
      <w:pPr>
        <w:pStyle w:val="21"/>
        <w:rPr>
          <w:rFonts w:asciiTheme="minorHAnsi" w:eastAsiaTheme="minorEastAsia" w:hAnsiTheme="minorHAnsi"/>
          <w:noProof/>
          <w:sz w:val="22"/>
          <w:lang w:eastAsia="ru-RU"/>
        </w:rPr>
      </w:pPr>
      <w:hyperlink w:anchor="_Toc104985164" w:history="1">
        <w:r w:rsidR="00087753" w:rsidRPr="00277050">
          <w:rPr>
            <w:rStyle w:val="a7"/>
            <w:noProof/>
            <w:lang w:val="en-US"/>
          </w:rPr>
          <w:t>1.3 Stormwater-related issues on dams</w:t>
        </w:r>
        <w:r w:rsidR="00087753">
          <w:rPr>
            <w:noProof/>
            <w:webHidden/>
          </w:rPr>
          <w:tab/>
        </w:r>
        <w:r w:rsidR="00087753">
          <w:rPr>
            <w:noProof/>
            <w:webHidden/>
          </w:rPr>
          <w:fldChar w:fldCharType="begin"/>
        </w:r>
        <w:r w:rsidR="00087753">
          <w:rPr>
            <w:noProof/>
            <w:webHidden/>
          </w:rPr>
          <w:instrText xml:space="preserve"> PAGEREF _Toc104985164 \h </w:instrText>
        </w:r>
        <w:r w:rsidR="00087753">
          <w:rPr>
            <w:noProof/>
            <w:webHidden/>
          </w:rPr>
        </w:r>
        <w:r w:rsidR="00087753">
          <w:rPr>
            <w:noProof/>
            <w:webHidden/>
          </w:rPr>
          <w:fldChar w:fldCharType="separate"/>
        </w:r>
        <w:r w:rsidR="004870F1">
          <w:rPr>
            <w:noProof/>
            <w:webHidden/>
          </w:rPr>
          <w:t>38</w:t>
        </w:r>
        <w:r w:rsidR="00087753">
          <w:rPr>
            <w:noProof/>
            <w:webHidden/>
          </w:rPr>
          <w:fldChar w:fldCharType="end"/>
        </w:r>
      </w:hyperlink>
    </w:p>
    <w:p w14:paraId="0855E91E" w14:textId="691C1B3A" w:rsidR="00087753" w:rsidRDefault="00536556">
      <w:pPr>
        <w:pStyle w:val="31"/>
        <w:tabs>
          <w:tab w:val="right" w:leader="dot" w:pos="9344"/>
        </w:tabs>
        <w:rPr>
          <w:rFonts w:asciiTheme="minorHAnsi" w:eastAsiaTheme="minorEastAsia" w:hAnsiTheme="minorHAnsi"/>
          <w:noProof/>
          <w:sz w:val="22"/>
          <w:lang w:eastAsia="ru-RU"/>
        </w:rPr>
      </w:pPr>
      <w:hyperlink w:anchor="_Toc104985165" w:history="1">
        <w:r w:rsidR="00087753" w:rsidRPr="00277050">
          <w:rPr>
            <w:rStyle w:val="a7"/>
            <w:noProof/>
            <w:spacing w:val="-4"/>
          </w:rPr>
          <w:t>1.3.1 Storm extreme event</w:t>
        </w:r>
        <w:r w:rsidR="00087753">
          <w:rPr>
            <w:noProof/>
            <w:webHidden/>
          </w:rPr>
          <w:tab/>
        </w:r>
        <w:r w:rsidR="00087753">
          <w:rPr>
            <w:noProof/>
            <w:webHidden/>
          </w:rPr>
          <w:fldChar w:fldCharType="begin"/>
        </w:r>
        <w:r w:rsidR="00087753">
          <w:rPr>
            <w:noProof/>
            <w:webHidden/>
          </w:rPr>
          <w:instrText xml:space="preserve"> PAGEREF _Toc104985165 \h </w:instrText>
        </w:r>
        <w:r w:rsidR="00087753">
          <w:rPr>
            <w:noProof/>
            <w:webHidden/>
          </w:rPr>
        </w:r>
        <w:r w:rsidR="00087753">
          <w:rPr>
            <w:noProof/>
            <w:webHidden/>
          </w:rPr>
          <w:fldChar w:fldCharType="separate"/>
        </w:r>
        <w:r w:rsidR="004870F1">
          <w:rPr>
            <w:noProof/>
            <w:webHidden/>
          </w:rPr>
          <w:t>38</w:t>
        </w:r>
        <w:r w:rsidR="00087753">
          <w:rPr>
            <w:noProof/>
            <w:webHidden/>
          </w:rPr>
          <w:fldChar w:fldCharType="end"/>
        </w:r>
      </w:hyperlink>
    </w:p>
    <w:p w14:paraId="62DCEA1B" w14:textId="1361D015" w:rsidR="00087753" w:rsidRDefault="00536556">
      <w:pPr>
        <w:pStyle w:val="31"/>
        <w:tabs>
          <w:tab w:val="right" w:leader="dot" w:pos="9344"/>
        </w:tabs>
        <w:rPr>
          <w:rFonts w:asciiTheme="minorHAnsi" w:eastAsiaTheme="minorEastAsia" w:hAnsiTheme="minorHAnsi"/>
          <w:noProof/>
          <w:sz w:val="22"/>
          <w:lang w:eastAsia="ru-RU"/>
        </w:rPr>
      </w:pPr>
      <w:hyperlink w:anchor="_Toc104985166" w:history="1">
        <w:r w:rsidR="00087753" w:rsidRPr="00277050">
          <w:rPr>
            <w:rStyle w:val="a7"/>
            <w:noProof/>
            <w:spacing w:val="-4"/>
            <w:lang w:val="en-US"/>
          </w:rPr>
          <w:t>1.3.2 Dam hazard potential</w:t>
        </w:r>
        <w:r w:rsidR="00087753">
          <w:rPr>
            <w:noProof/>
            <w:webHidden/>
          </w:rPr>
          <w:tab/>
        </w:r>
        <w:r w:rsidR="00087753">
          <w:rPr>
            <w:noProof/>
            <w:webHidden/>
          </w:rPr>
          <w:fldChar w:fldCharType="begin"/>
        </w:r>
        <w:r w:rsidR="00087753">
          <w:rPr>
            <w:noProof/>
            <w:webHidden/>
          </w:rPr>
          <w:instrText xml:space="preserve"> PAGEREF _Toc104985166 \h </w:instrText>
        </w:r>
        <w:r w:rsidR="00087753">
          <w:rPr>
            <w:noProof/>
            <w:webHidden/>
          </w:rPr>
        </w:r>
        <w:r w:rsidR="00087753">
          <w:rPr>
            <w:noProof/>
            <w:webHidden/>
          </w:rPr>
          <w:fldChar w:fldCharType="separate"/>
        </w:r>
        <w:r w:rsidR="004870F1">
          <w:rPr>
            <w:noProof/>
            <w:webHidden/>
          </w:rPr>
          <w:t>39</w:t>
        </w:r>
        <w:r w:rsidR="00087753">
          <w:rPr>
            <w:noProof/>
            <w:webHidden/>
          </w:rPr>
          <w:fldChar w:fldCharType="end"/>
        </w:r>
      </w:hyperlink>
    </w:p>
    <w:p w14:paraId="500DEF37" w14:textId="6A986921" w:rsidR="00087753" w:rsidRDefault="00536556">
      <w:pPr>
        <w:pStyle w:val="31"/>
        <w:tabs>
          <w:tab w:val="right" w:leader="dot" w:pos="9344"/>
        </w:tabs>
        <w:rPr>
          <w:rFonts w:asciiTheme="minorHAnsi" w:eastAsiaTheme="minorEastAsia" w:hAnsiTheme="minorHAnsi"/>
          <w:noProof/>
          <w:sz w:val="22"/>
          <w:lang w:eastAsia="ru-RU"/>
        </w:rPr>
      </w:pPr>
      <w:hyperlink w:anchor="_Toc104985167" w:history="1">
        <w:r w:rsidR="00087753" w:rsidRPr="00277050">
          <w:rPr>
            <w:rStyle w:val="a7"/>
            <w:noProof/>
            <w:spacing w:val="-4"/>
          </w:rPr>
          <w:t>1.3.3 General dam failure mechanisms</w:t>
        </w:r>
        <w:r w:rsidR="00087753">
          <w:rPr>
            <w:noProof/>
            <w:webHidden/>
          </w:rPr>
          <w:tab/>
        </w:r>
        <w:r w:rsidR="00087753">
          <w:rPr>
            <w:noProof/>
            <w:webHidden/>
          </w:rPr>
          <w:fldChar w:fldCharType="begin"/>
        </w:r>
        <w:r w:rsidR="00087753">
          <w:rPr>
            <w:noProof/>
            <w:webHidden/>
          </w:rPr>
          <w:instrText xml:space="preserve"> PAGEREF _Toc104985167 \h </w:instrText>
        </w:r>
        <w:r w:rsidR="00087753">
          <w:rPr>
            <w:noProof/>
            <w:webHidden/>
          </w:rPr>
        </w:r>
        <w:r w:rsidR="00087753">
          <w:rPr>
            <w:noProof/>
            <w:webHidden/>
          </w:rPr>
          <w:fldChar w:fldCharType="separate"/>
        </w:r>
        <w:r w:rsidR="004870F1">
          <w:rPr>
            <w:noProof/>
            <w:webHidden/>
          </w:rPr>
          <w:t>39</w:t>
        </w:r>
        <w:r w:rsidR="00087753">
          <w:rPr>
            <w:noProof/>
            <w:webHidden/>
          </w:rPr>
          <w:fldChar w:fldCharType="end"/>
        </w:r>
      </w:hyperlink>
    </w:p>
    <w:p w14:paraId="419EEFEA" w14:textId="2852C8DF" w:rsidR="00087753" w:rsidRDefault="00536556">
      <w:pPr>
        <w:pStyle w:val="21"/>
        <w:rPr>
          <w:rFonts w:asciiTheme="minorHAnsi" w:eastAsiaTheme="minorEastAsia" w:hAnsiTheme="minorHAnsi"/>
          <w:noProof/>
          <w:sz w:val="22"/>
          <w:lang w:eastAsia="ru-RU"/>
        </w:rPr>
      </w:pPr>
      <w:hyperlink w:anchor="_Toc104985168" w:history="1">
        <w:r w:rsidR="00087753" w:rsidRPr="00277050">
          <w:rPr>
            <w:rStyle w:val="a7"/>
            <w:noProof/>
            <w:spacing w:val="-4"/>
          </w:rPr>
          <w:t>1.4</w:t>
        </w:r>
        <w:r w:rsidR="00087753" w:rsidRPr="00277050">
          <w:rPr>
            <w:rStyle w:val="a7"/>
            <w:noProof/>
            <w:spacing w:val="-4"/>
            <w:lang w:val="en-US"/>
          </w:rPr>
          <w:t xml:space="preserve"> Stormwater</w:t>
        </w:r>
        <w:r w:rsidR="00087753" w:rsidRPr="00277050">
          <w:rPr>
            <w:rStyle w:val="a7"/>
            <w:noProof/>
            <w:spacing w:val="-4"/>
          </w:rPr>
          <w:t xml:space="preserve"> </w:t>
        </w:r>
        <w:r w:rsidR="00087753" w:rsidRPr="00277050">
          <w:rPr>
            <w:rStyle w:val="a7"/>
            <w:noProof/>
            <w:spacing w:val="-4"/>
            <w:lang w:val="en-US"/>
          </w:rPr>
          <w:t>estimation methods</w:t>
        </w:r>
        <w:r w:rsidR="00087753">
          <w:rPr>
            <w:noProof/>
            <w:webHidden/>
          </w:rPr>
          <w:tab/>
        </w:r>
        <w:r w:rsidR="00087753">
          <w:rPr>
            <w:noProof/>
            <w:webHidden/>
          </w:rPr>
          <w:fldChar w:fldCharType="begin"/>
        </w:r>
        <w:r w:rsidR="00087753">
          <w:rPr>
            <w:noProof/>
            <w:webHidden/>
          </w:rPr>
          <w:instrText xml:space="preserve"> PAGEREF _Toc104985168 \h </w:instrText>
        </w:r>
        <w:r w:rsidR="00087753">
          <w:rPr>
            <w:noProof/>
            <w:webHidden/>
          </w:rPr>
        </w:r>
        <w:r w:rsidR="00087753">
          <w:rPr>
            <w:noProof/>
            <w:webHidden/>
          </w:rPr>
          <w:fldChar w:fldCharType="separate"/>
        </w:r>
        <w:r w:rsidR="004870F1">
          <w:rPr>
            <w:noProof/>
            <w:webHidden/>
          </w:rPr>
          <w:t>40</w:t>
        </w:r>
        <w:r w:rsidR="00087753">
          <w:rPr>
            <w:noProof/>
            <w:webHidden/>
          </w:rPr>
          <w:fldChar w:fldCharType="end"/>
        </w:r>
      </w:hyperlink>
    </w:p>
    <w:p w14:paraId="0966C32C" w14:textId="55AA50AA" w:rsidR="00087753" w:rsidRDefault="00536556">
      <w:pPr>
        <w:pStyle w:val="31"/>
        <w:tabs>
          <w:tab w:val="right" w:leader="dot" w:pos="9344"/>
        </w:tabs>
        <w:rPr>
          <w:rFonts w:asciiTheme="minorHAnsi" w:eastAsiaTheme="minorEastAsia" w:hAnsiTheme="minorHAnsi"/>
          <w:noProof/>
          <w:sz w:val="22"/>
          <w:lang w:eastAsia="ru-RU"/>
        </w:rPr>
      </w:pPr>
      <w:hyperlink w:anchor="_Toc104985169" w:history="1">
        <w:r w:rsidR="00087753" w:rsidRPr="00277050">
          <w:rPr>
            <w:rStyle w:val="a7"/>
            <w:rFonts w:cs="Times New Roman"/>
            <w:noProof/>
          </w:rPr>
          <w:t>1.4.1</w:t>
        </w:r>
        <w:r w:rsidR="00087753" w:rsidRPr="00277050">
          <w:rPr>
            <w:rStyle w:val="a7"/>
            <w:noProof/>
          </w:rPr>
          <w:t xml:space="preserve"> Rational </w:t>
        </w:r>
        <w:r w:rsidR="00087753" w:rsidRPr="00277050">
          <w:rPr>
            <w:rStyle w:val="a7"/>
            <w:noProof/>
            <w:lang w:val="en-US"/>
          </w:rPr>
          <w:t>formula approach</w:t>
        </w:r>
        <w:r w:rsidR="00087753">
          <w:rPr>
            <w:noProof/>
            <w:webHidden/>
          </w:rPr>
          <w:tab/>
        </w:r>
        <w:r w:rsidR="00087753">
          <w:rPr>
            <w:noProof/>
            <w:webHidden/>
          </w:rPr>
          <w:fldChar w:fldCharType="begin"/>
        </w:r>
        <w:r w:rsidR="00087753">
          <w:rPr>
            <w:noProof/>
            <w:webHidden/>
          </w:rPr>
          <w:instrText xml:space="preserve"> PAGEREF _Toc104985169 \h </w:instrText>
        </w:r>
        <w:r w:rsidR="00087753">
          <w:rPr>
            <w:noProof/>
            <w:webHidden/>
          </w:rPr>
        </w:r>
        <w:r w:rsidR="00087753">
          <w:rPr>
            <w:noProof/>
            <w:webHidden/>
          </w:rPr>
          <w:fldChar w:fldCharType="separate"/>
        </w:r>
        <w:r w:rsidR="004870F1">
          <w:rPr>
            <w:noProof/>
            <w:webHidden/>
          </w:rPr>
          <w:t>41</w:t>
        </w:r>
        <w:r w:rsidR="00087753">
          <w:rPr>
            <w:noProof/>
            <w:webHidden/>
          </w:rPr>
          <w:fldChar w:fldCharType="end"/>
        </w:r>
      </w:hyperlink>
    </w:p>
    <w:p w14:paraId="465A1652" w14:textId="56C0868C" w:rsidR="00087753" w:rsidRDefault="00536556">
      <w:pPr>
        <w:pStyle w:val="41"/>
        <w:tabs>
          <w:tab w:val="right" w:leader="dot" w:pos="9344"/>
        </w:tabs>
        <w:rPr>
          <w:rFonts w:asciiTheme="minorHAnsi" w:eastAsiaTheme="minorEastAsia" w:hAnsiTheme="minorHAnsi"/>
          <w:noProof/>
          <w:sz w:val="22"/>
          <w:lang w:eastAsia="ru-RU"/>
        </w:rPr>
      </w:pPr>
      <w:hyperlink w:anchor="_Toc104985170" w:history="1">
        <w:r w:rsidR="00087753" w:rsidRPr="00277050">
          <w:rPr>
            <w:rStyle w:val="a7"/>
            <w:noProof/>
          </w:rPr>
          <w:t xml:space="preserve">1.4.1.1 Rational Method </w:t>
        </w:r>
        <w:r w:rsidR="00087753" w:rsidRPr="00277050">
          <w:rPr>
            <w:rStyle w:val="a7"/>
            <w:noProof/>
            <w:lang w:val="en-US"/>
          </w:rPr>
          <w:t>c</w:t>
        </w:r>
        <w:r w:rsidR="00087753" w:rsidRPr="00277050">
          <w:rPr>
            <w:rStyle w:val="a7"/>
            <w:noProof/>
          </w:rPr>
          <w:t xml:space="preserve">alculation </w:t>
        </w:r>
        <w:r w:rsidR="00087753" w:rsidRPr="00277050">
          <w:rPr>
            <w:rStyle w:val="a7"/>
            <w:noProof/>
            <w:lang w:val="en-US"/>
          </w:rPr>
          <w:t>p</w:t>
        </w:r>
        <w:r w:rsidR="00087753" w:rsidRPr="00277050">
          <w:rPr>
            <w:rStyle w:val="a7"/>
            <w:noProof/>
          </w:rPr>
          <w:t>rocedure</w:t>
        </w:r>
        <w:r w:rsidR="00087753">
          <w:rPr>
            <w:noProof/>
            <w:webHidden/>
          </w:rPr>
          <w:tab/>
        </w:r>
        <w:r w:rsidR="00087753">
          <w:rPr>
            <w:noProof/>
            <w:webHidden/>
          </w:rPr>
          <w:fldChar w:fldCharType="begin"/>
        </w:r>
        <w:r w:rsidR="00087753">
          <w:rPr>
            <w:noProof/>
            <w:webHidden/>
          </w:rPr>
          <w:instrText xml:space="preserve"> PAGEREF _Toc104985170 \h </w:instrText>
        </w:r>
        <w:r w:rsidR="00087753">
          <w:rPr>
            <w:noProof/>
            <w:webHidden/>
          </w:rPr>
        </w:r>
        <w:r w:rsidR="00087753">
          <w:rPr>
            <w:noProof/>
            <w:webHidden/>
          </w:rPr>
          <w:fldChar w:fldCharType="separate"/>
        </w:r>
        <w:r w:rsidR="004870F1">
          <w:rPr>
            <w:noProof/>
            <w:webHidden/>
          </w:rPr>
          <w:t>41</w:t>
        </w:r>
        <w:r w:rsidR="00087753">
          <w:rPr>
            <w:noProof/>
            <w:webHidden/>
          </w:rPr>
          <w:fldChar w:fldCharType="end"/>
        </w:r>
      </w:hyperlink>
    </w:p>
    <w:p w14:paraId="09172F7E" w14:textId="3903530B" w:rsidR="00087753" w:rsidRDefault="00536556">
      <w:pPr>
        <w:pStyle w:val="41"/>
        <w:tabs>
          <w:tab w:val="right" w:leader="dot" w:pos="9344"/>
        </w:tabs>
        <w:rPr>
          <w:rFonts w:asciiTheme="minorHAnsi" w:eastAsiaTheme="minorEastAsia" w:hAnsiTheme="minorHAnsi"/>
          <w:noProof/>
          <w:sz w:val="22"/>
          <w:lang w:eastAsia="ru-RU"/>
        </w:rPr>
      </w:pPr>
      <w:hyperlink w:anchor="_Toc104985171" w:history="1">
        <w:r w:rsidR="00087753" w:rsidRPr="00277050">
          <w:rPr>
            <w:rStyle w:val="a7"/>
            <w:noProof/>
            <w:lang w:val="en-US"/>
          </w:rPr>
          <w:t>1.4.1.2 Assumptions used in the rational method</w:t>
        </w:r>
        <w:r w:rsidR="00087753">
          <w:rPr>
            <w:noProof/>
            <w:webHidden/>
          </w:rPr>
          <w:tab/>
        </w:r>
        <w:r w:rsidR="00087753">
          <w:rPr>
            <w:noProof/>
            <w:webHidden/>
          </w:rPr>
          <w:fldChar w:fldCharType="begin"/>
        </w:r>
        <w:r w:rsidR="00087753">
          <w:rPr>
            <w:noProof/>
            <w:webHidden/>
          </w:rPr>
          <w:instrText xml:space="preserve"> PAGEREF _Toc104985171 \h </w:instrText>
        </w:r>
        <w:r w:rsidR="00087753">
          <w:rPr>
            <w:noProof/>
            <w:webHidden/>
          </w:rPr>
        </w:r>
        <w:r w:rsidR="00087753">
          <w:rPr>
            <w:noProof/>
            <w:webHidden/>
          </w:rPr>
          <w:fldChar w:fldCharType="separate"/>
        </w:r>
        <w:r w:rsidR="004870F1">
          <w:rPr>
            <w:noProof/>
            <w:webHidden/>
          </w:rPr>
          <w:t>41</w:t>
        </w:r>
        <w:r w:rsidR="00087753">
          <w:rPr>
            <w:noProof/>
            <w:webHidden/>
          </w:rPr>
          <w:fldChar w:fldCharType="end"/>
        </w:r>
      </w:hyperlink>
    </w:p>
    <w:p w14:paraId="5985B73C" w14:textId="3AF793DF" w:rsidR="00087753" w:rsidRDefault="00536556">
      <w:pPr>
        <w:pStyle w:val="41"/>
        <w:tabs>
          <w:tab w:val="right" w:leader="dot" w:pos="9344"/>
        </w:tabs>
        <w:rPr>
          <w:rFonts w:asciiTheme="minorHAnsi" w:eastAsiaTheme="minorEastAsia" w:hAnsiTheme="minorHAnsi"/>
          <w:noProof/>
          <w:sz w:val="22"/>
          <w:lang w:eastAsia="ru-RU"/>
        </w:rPr>
      </w:pPr>
      <w:hyperlink w:anchor="_Toc104985172" w:history="1">
        <w:r w:rsidR="00087753" w:rsidRPr="00277050">
          <w:rPr>
            <w:rStyle w:val="a7"/>
            <w:noProof/>
            <w:lang w:val="en-US"/>
          </w:rPr>
          <w:t>1.4.1.3 Limitations of the rational formula</w:t>
        </w:r>
        <w:r w:rsidR="00087753">
          <w:rPr>
            <w:noProof/>
            <w:webHidden/>
          </w:rPr>
          <w:tab/>
        </w:r>
        <w:r w:rsidR="00087753">
          <w:rPr>
            <w:noProof/>
            <w:webHidden/>
          </w:rPr>
          <w:fldChar w:fldCharType="begin"/>
        </w:r>
        <w:r w:rsidR="00087753">
          <w:rPr>
            <w:noProof/>
            <w:webHidden/>
          </w:rPr>
          <w:instrText xml:space="preserve"> PAGEREF _Toc104985172 \h </w:instrText>
        </w:r>
        <w:r w:rsidR="00087753">
          <w:rPr>
            <w:noProof/>
            <w:webHidden/>
          </w:rPr>
        </w:r>
        <w:r w:rsidR="00087753">
          <w:rPr>
            <w:noProof/>
            <w:webHidden/>
          </w:rPr>
          <w:fldChar w:fldCharType="separate"/>
        </w:r>
        <w:r w:rsidR="004870F1">
          <w:rPr>
            <w:noProof/>
            <w:webHidden/>
          </w:rPr>
          <w:t>42</w:t>
        </w:r>
        <w:r w:rsidR="00087753">
          <w:rPr>
            <w:noProof/>
            <w:webHidden/>
          </w:rPr>
          <w:fldChar w:fldCharType="end"/>
        </w:r>
      </w:hyperlink>
    </w:p>
    <w:p w14:paraId="79D3570E" w14:textId="1A28B9EE" w:rsidR="00087753" w:rsidRDefault="00536556">
      <w:pPr>
        <w:pStyle w:val="41"/>
        <w:tabs>
          <w:tab w:val="right" w:leader="dot" w:pos="9344"/>
        </w:tabs>
        <w:rPr>
          <w:rFonts w:asciiTheme="minorHAnsi" w:eastAsiaTheme="minorEastAsia" w:hAnsiTheme="minorHAnsi"/>
          <w:noProof/>
          <w:sz w:val="22"/>
          <w:lang w:eastAsia="ru-RU"/>
        </w:rPr>
      </w:pPr>
      <w:hyperlink w:anchor="_Toc104985173" w:history="1">
        <w:r w:rsidR="00087753" w:rsidRPr="00277050">
          <w:rPr>
            <w:rStyle w:val="a7"/>
            <w:noProof/>
          </w:rPr>
          <w:t xml:space="preserve">1.4.1.4 Runoff </w:t>
        </w:r>
        <w:r w:rsidR="00087753" w:rsidRPr="00277050">
          <w:rPr>
            <w:rStyle w:val="a7"/>
            <w:noProof/>
            <w:lang w:val="en-US"/>
          </w:rPr>
          <w:t>c</w:t>
        </w:r>
        <w:r w:rsidR="00087753" w:rsidRPr="00277050">
          <w:rPr>
            <w:rStyle w:val="a7"/>
            <w:noProof/>
          </w:rPr>
          <w:t>oefficient</w:t>
        </w:r>
        <w:r w:rsidR="00087753">
          <w:rPr>
            <w:noProof/>
            <w:webHidden/>
          </w:rPr>
          <w:tab/>
        </w:r>
        <w:r w:rsidR="00087753">
          <w:rPr>
            <w:noProof/>
            <w:webHidden/>
          </w:rPr>
          <w:fldChar w:fldCharType="begin"/>
        </w:r>
        <w:r w:rsidR="00087753">
          <w:rPr>
            <w:noProof/>
            <w:webHidden/>
          </w:rPr>
          <w:instrText xml:space="preserve"> PAGEREF _Toc104985173 \h </w:instrText>
        </w:r>
        <w:r w:rsidR="00087753">
          <w:rPr>
            <w:noProof/>
            <w:webHidden/>
          </w:rPr>
        </w:r>
        <w:r w:rsidR="00087753">
          <w:rPr>
            <w:noProof/>
            <w:webHidden/>
          </w:rPr>
          <w:fldChar w:fldCharType="separate"/>
        </w:r>
        <w:r w:rsidR="004870F1">
          <w:rPr>
            <w:noProof/>
            <w:webHidden/>
          </w:rPr>
          <w:t>42</w:t>
        </w:r>
        <w:r w:rsidR="00087753">
          <w:rPr>
            <w:noProof/>
            <w:webHidden/>
          </w:rPr>
          <w:fldChar w:fldCharType="end"/>
        </w:r>
      </w:hyperlink>
    </w:p>
    <w:p w14:paraId="3BBFA142" w14:textId="4D4999E6" w:rsidR="00087753" w:rsidRDefault="00536556">
      <w:pPr>
        <w:pStyle w:val="41"/>
        <w:tabs>
          <w:tab w:val="right" w:leader="dot" w:pos="9344"/>
        </w:tabs>
        <w:rPr>
          <w:rFonts w:asciiTheme="minorHAnsi" w:eastAsiaTheme="minorEastAsia" w:hAnsiTheme="minorHAnsi"/>
          <w:noProof/>
          <w:sz w:val="22"/>
          <w:lang w:eastAsia="ru-RU"/>
        </w:rPr>
      </w:pPr>
      <w:hyperlink w:anchor="_Toc104985174" w:history="1">
        <w:r w:rsidR="00087753" w:rsidRPr="00277050">
          <w:rPr>
            <w:rStyle w:val="a7"/>
            <w:noProof/>
          </w:rPr>
          <w:t>1.4.1.5</w:t>
        </w:r>
        <w:r w:rsidR="00087753" w:rsidRPr="00277050">
          <w:rPr>
            <w:rStyle w:val="a7"/>
            <w:noProof/>
            <w:lang w:val="en-US"/>
          </w:rPr>
          <w:t xml:space="preserve"> Soil characteristics</w:t>
        </w:r>
        <w:r w:rsidR="00087753">
          <w:rPr>
            <w:noProof/>
            <w:webHidden/>
          </w:rPr>
          <w:tab/>
        </w:r>
        <w:r w:rsidR="00087753">
          <w:rPr>
            <w:noProof/>
            <w:webHidden/>
          </w:rPr>
          <w:fldChar w:fldCharType="begin"/>
        </w:r>
        <w:r w:rsidR="00087753">
          <w:rPr>
            <w:noProof/>
            <w:webHidden/>
          </w:rPr>
          <w:instrText xml:space="preserve"> PAGEREF _Toc104985174 \h </w:instrText>
        </w:r>
        <w:r w:rsidR="00087753">
          <w:rPr>
            <w:noProof/>
            <w:webHidden/>
          </w:rPr>
        </w:r>
        <w:r w:rsidR="00087753">
          <w:rPr>
            <w:noProof/>
            <w:webHidden/>
          </w:rPr>
          <w:fldChar w:fldCharType="separate"/>
        </w:r>
        <w:r w:rsidR="004870F1">
          <w:rPr>
            <w:noProof/>
            <w:webHidden/>
          </w:rPr>
          <w:t>43</w:t>
        </w:r>
        <w:r w:rsidR="00087753">
          <w:rPr>
            <w:noProof/>
            <w:webHidden/>
          </w:rPr>
          <w:fldChar w:fldCharType="end"/>
        </w:r>
      </w:hyperlink>
    </w:p>
    <w:p w14:paraId="419A2D7B" w14:textId="2E89116C" w:rsidR="00087753" w:rsidRDefault="00536556">
      <w:pPr>
        <w:pStyle w:val="41"/>
        <w:tabs>
          <w:tab w:val="right" w:leader="dot" w:pos="9344"/>
        </w:tabs>
        <w:rPr>
          <w:rFonts w:asciiTheme="minorHAnsi" w:eastAsiaTheme="minorEastAsia" w:hAnsiTheme="minorHAnsi"/>
          <w:noProof/>
          <w:sz w:val="22"/>
          <w:lang w:eastAsia="ru-RU"/>
        </w:rPr>
      </w:pPr>
      <w:hyperlink w:anchor="_Toc104985175" w:history="1">
        <w:r w:rsidR="00087753" w:rsidRPr="00277050">
          <w:rPr>
            <w:rStyle w:val="a7"/>
            <w:noProof/>
            <w:lang w:val="en-US"/>
          </w:rPr>
          <w:t>1.4.1.6 Selection of runoff coefficients</w:t>
        </w:r>
        <w:r w:rsidR="00087753">
          <w:rPr>
            <w:noProof/>
            <w:webHidden/>
          </w:rPr>
          <w:tab/>
        </w:r>
        <w:r w:rsidR="00087753">
          <w:rPr>
            <w:noProof/>
            <w:webHidden/>
          </w:rPr>
          <w:fldChar w:fldCharType="begin"/>
        </w:r>
        <w:r w:rsidR="00087753">
          <w:rPr>
            <w:noProof/>
            <w:webHidden/>
          </w:rPr>
          <w:instrText xml:space="preserve"> PAGEREF _Toc104985175 \h </w:instrText>
        </w:r>
        <w:r w:rsidR="00087753">
          <w:rPr>
            <w:noProof/>
            <w:webHidden/>
          </w:rPr>
        </w:r>
        <w:r w:rsidR="00087753">
          <w:rPr>
            <w:noProof/>
            <w:webHidden/>
          </w:rPr>
          <w:fldChar w:fldCharType="separate"/>
        </w:r>
        <w:r w:rsidR="004870F1">
          <w:rPr>
            <w:noProof/>
            <w:webHidden/>
          </w:rPr>
          <w:t>43</w:t>
        </w:r>
        <w:r w:rsidR="00087753">
          <w:rPr>
            <w:noProof/>
            <w:webHidden/>
          </w:rPr>
          <w:fldChar w:fldCharType="end"/>
        </w:r>
      </w:hyperlink>
    </w:p>
    <w:p w14:paraId="52CF8C9E" w14:textId="2DA1AE23" w:rsidR="00087753" w:rsidRDefault="00536556">
      <w:pPr>
        <w:pStyle w:val="41"/>
        <w:tabs>
          <w:tab w:val="right" w:leader="dot" w:pos="9344"/>
        </w:tabs>
        <w:rPr>
          <w:rFonts w:asciiTheme="minorHAnsi" w:eastAsiaTheme="minorEastAsia" w:hAnsiTheme="minorHAnsi"/>
          <w:noProof/>
          <w:sz w:val="22"/>
          <w:lang w:eastAsia="ru-RU"/>
        </w:rPr>
      </w:pPr>
      <w:hyperlink w:anchor="_Toc104985176" w:history="1">
        <w:r w:rsidR="00087753" w:rsidRPr="00277050">
          <w:rPr>
            <w:rStyle w:val="a7"/>
            <w:noProof/>
          </w:rPr>
          <w:t>1.4.1.7 Rainfall Intensity</w:t>
        </w:r>
        <w:r w:rsidR="00087753">
          <w:rPr>
            <w:noProof/>
            <w:webHidden/>
          </w:rPr>
          <w:tab/>
        </w:r>
        <w:r w:rsidR="00087753">
          <w:rPr>
            <w:noProof/>
            <w:webHidden/>
          </w:rPr>
          <w:fldChar w:fldCharType="begin"/>
        </w:r>
        <w:r w:rsidR="00087753">
          <w:rPr>
            <w:noProof/>
            <w:webHidden/>
          </w:rPr>
          <w:instrText xml:space="preserve"> PAGEREF _Toc104985176 \h </w:instrText>
        </w:r>
        <w:r w:rsidR="00087753">
          <w:rPr>
            <w:noProof/>
            <w:webHidden/>
          </w:rPr>
        </w:r>
        <w:r w:rsidR="00087753">
          <w:rPr>
            <w:noProof/>
            <w:webHidden/>
          </w:rPr>
          <w:fldChar w:fldCharType="separate"/>
        </w:r>
        <w:r w:rsidR="004870F1">
          <w:rPr>
            <w:noProof/>
            <w:webHidden/>
          </w:rPr>
          <w:t>44</w:t>
        </w:r>
        <w:r w:rsidR="00087753">
          <w:rPr>
            <w:noProof/>
            <w:webHidden/>
          </w:rPr>
          <w:fldChar w:fldCharType="end"/>
        </w:r>
      </w:hyperlink>
    </w:p>
    <w:p w14:paraId="7F52676E" w14:textId="216AA941" w:rsidR="00087753" w:rsidRDefault="00536556">
      <w:pPr>
        <w:pStyle w:val="41"/>
        <w:tabs>
          <w:tab w:val="right" w:leader="dot" w:pos="9344"/>
        </w:tabs>
        <w:rPr>
          <w:rFonts w:asciiTheme="minorHAnsi" w:eastAsiaTheme="minorEastAsia" w:hAnsiTheme="minorHAnsi"/>
          <w:noProof/>
          <w:sz w:val="22"/>
          <w:lang w:eastAsia="ru-RU"/>
        </w:rPr>
      </w:pPr>
      <w:hyperlink w:anchor="_Toc104985177" w:history="1">
        <w:r w:rsidR="00087753" w:rsidRPr="00277050">
          <w:rPr>
            <w:rStyle w:val="a7"/>
            <w:noProof/>
          </w:rPr>
          <w:t xml:space="preserve">1.4.1.8 Drainage </w:t>
        </w:r>
        <w:r w:rsidR="00087753" w:rsidRPr="00277050">
          <w:rPr>
            <w:rStyle w:val="a7"/>
            <w:noProof/>
            <w:lang w:val="en-US"/>
          </w:rPr>
          <w:t>a</w:t>
        </w:r>
        <w:r w:rsidR="00087753" w:rsidRPr="00277050">
          <w:rPr>
            <w:rStyle w:val="a7"/>
            <w:noProof/>
          </w:rPr>
          <w:t>rea</w:t>
        </w:r>
        <w:r w:rsidR="00087753">
          <w:rPr>
            <w:noProof/>
            <w:webHidden/>
          </w:rPr>
          <w:tab/>
        </w:r>
        <w:r w:rsidR="00087753">
          <w:rPr>
            <w:noProof/>
            <w:webHidden/>
          </w:rPr>
          <w:fldChar w:fldCharType="begin"/>
        </w:r>
        <w:r w:rsidR="00087753">
          <w:rPr>
            <w:noProof/>
            <w:webHidden/>
          </w:rPr>
          <w:instrText xml:space="preserve"> PAGEREF _Toc104985177 \h </w:instrText>
        </w:r>
        <w:r w:rsidR="00087753">
          <w:rPr>
            <w:noProof/>
            <w:webHidden/>
          </w:rPr>
        </w:r>
        <w:r w:rsidR="00087753">
          <w:rPr>
            <w:noProof/>
            <w:webHidden/>
          </w:rPr>
          <w:fldChar w:fldCharType="separate"/>
        </w:r>
        <w:r w:rsidR="004870F1">
          <w:rPr>
            <w:noProof/>
            <w:webHidden/>
          </w:rPr>
          <w:t>44</w:t>
        </w:r>
        <w:r w:rsidR="00087753">
          <w:rPr>
            <w:noProof/>
            <w:webHidden/>
          </w:rPr>
          <w:fldChar w:fldCharType="end"/>
        </w:r>
      </w:hyperlink>
    </w:p>
    <w:p w14:paraId="1756E598" w14:textId="5CD6BB9E" w:rsidR="00087753" w:rsidRDefault="00536556">
      <w:pPr>
        <w:pStyle w:val="41"/>
        <w:tabs>
          <w:tab w:val="right" w:leader="dot" w:pos="9344"/>
        </w:tabs>
        <w:rPr>
          <w:rFonts w:asciiTheme="minorHAnsi" w:eastAsiaTheme="minorEastAsia" w:hAnsiTheme="minorHAnsi"/>
          <w:noProof/>
          <w:sz w:val="22"/>
          <w:lang w:eastAsia="ru-RU"/>
        </w:rPr>
      </w:pPr>
      <w:hyperlink w:anchor="_Toc104985178" w:history="1">
        <w:r w:rsidR="00087753" w:rsidRPr="00277050">
          <w:rPr>
            <w:rStyle w:val="a7"/>
            <w:noProof/>
          </w:rPr>
          <w:t xml:space="preserve">1.4.1.9 Time of </w:t>
        </w:r>
        <w:r w:rsidR="00087753" w:rsidRPr="00277050">
          <w:rPr>
            <w:rStyle w:val="a7"/>
            <w:noProof/>
            <w:lang w:val="en-US"/>
          </w:rPr>
          <w:t>c</w:t>
        </w:r>
        <w:r w:rsidR="00087753" w:rsidRPr="00277050">
          <w:rPr>
            <w:rStyle w:val="a7"/>
            <w:noProof/>
          </w:rPr>
          <w:t>oncentration</w:t>
        </w:r>
        <w:r w:rsidR="00087753">
          <w:rPr>
            <w:noProof/>
            <w:webHidden/>
          </w:rPr>
          <w:tab/>
        </w:r>
        <w:r w:rsidR="00087753">
          <w:rPr>
            <w:noProof/>
            <w:webHidden/>
          </w:rPr>
          <w:fldChar w:fldCharType="begin"/>
        </w:r>
        <w:r w:rsidR="00087753">
          <w:rPr>
            <w:noProof/>
            <w:webHidden/>
          </w:rPr>
          <w:instrText xml:space="preserve"> PAGEREF _Toc104985178 \h </w:instrText>
        </w:r>
        <w:r w:rsidR="00087753">
          <w:rPr>
            <w:noProof/>
            <w:webHidden/>
          </w:rPr>
        </w:r>
        <w:r w:rsidR="00087753">
          <w:rPr>
            <w:noProof/>
            <w:webHidden/>
          </w:rPr>
          <w:fldChar w:fldCharType="separate"/>
        </w:r>
        <w:r w:rsidR="004870F1">
          <w:rPr>
            <w:noProof/>
            <w:webHidden/>
          </w:rPr>
          <w:t>44</w:t>
        </w:r>
        <w:r w:rsidR="00087753">
          <w:rPr>
            <w:noProof/>
            <w:webHidden/>
          </w:rPr>
          <w:fldChar w:fldCharType="end"/>
        </w:r>
      </w:hyperlink>
    </w:p>
    <w:p w14:paraId="7BB2AACB" w14:textId="55886E45" w:rsidR="00087753" w:rsidRDefault="00536556">
      <w:pPr>
        <w:pStyle w:val="31"/>
        <w:tabs>
          <w:tab w:val="right" w:leader="dot" w:pos="9344"/>
        </w:tabs>
        <w:rPr>
          <w:rFonts w:asciiTheme="minorHAnsi" w:eastAsiaTheme="minorEastAsia" w:hAnsiTheme="minorHAnsi"/>
          <w:noProof/>
          <w:sz w:val="22"/>
          <w:lang w:eastAsia="ru-RU"/>
        </w:rPr>
      </w:pPr>
      <w:hyperlink w:anchor="_Toc104985179" w:history="1">
        <w:r w:rsidR="00087753" w:rsidRPr="00277050">
          <w:rPr>
            <w:rStyle w:val="a7"/>
            <w:noProof/>
            <w:lang w:val="en-US"/>
          </w:rPr>
          <w:t>1.4.2 Soil Conservation Service Method</w:t>
        </w:r>
        <w:r w:rsidR="00087753">
          <w:rPr>
            <w:noProof/>
            <w:webHidden/>
          </w:rPr>
          <w:tab/>
        </w:r>
        <w:r w:rsidR="00087753">
          <w:rPr>
            <w:noProof/>
            <w:webHidden/>
          </w:rPr>
          <w:fldChar w:fldCharType="begin"/>
        </w:r>
        <w:r w:rsidR="00087753">
          <w:rPr>
            <w:noProof/>
            <w:webHidden/>
          </w:rPr>
          <w:instrText xml:space="preserve"> PAGEREF _Toc104985179 \h </w:instrText>
        </w:r>
        <w:r w:rsidR="00087753">
          <w:rPr>
            <w:noProof/>
            <w:webHidden/>
          </w:rPr>
        </w:r>
        <w:r w:rsidR="00087753">
          <w:rPr>
            <w:noProof/>
            <w:webHidden/>
          </w:rPr>
          <w:fldChar w:fldCharType="separate"/>
        </w:r>
        <w:r w:rsidR="004870F1">
          <w:rPr>
            <w:noProof/>
            <w:webHidden/>
          </w:rPr>
          <w:t>45</w:t>
        </w:r>
        <w:r w:rsidR="00087753">
          <w:rPr>
            <w:noProof/>
            <w:webHidden/>
          </w:rPr>
          <w:fldChar w:fldCharType="end"/>
        </w:r>
      </w:hyperlink>
    </w:p>
    <w:p w14:paraId="104F1EE4" w14:textId="592FAB82" w:rsidR="00087753" w:rsidRDefault="00536556">
      <w:pPr>
        <w:pStyle w:val="41"/>
        <w:tabs>
          <w:tab w:val="right" w:leader="dot" w:pos="9344"/>
        </w:tabs>
        <w:rPr>
          <w:rFonts w:asciiTheme="minorHAnsi" w:eastAsiaTheme="minorEastAsia" w:hAnsiTheme="minorHAnsi"/>
          <w:noProof/>
          <w:sz w:val="22"/>
          <w:lang w:eastAsia="ru-RU"/>
        </w:rPr>
      </w:pPr>
      <w:hyperlink w:anchor="_Toc104985180" w:history="1">
        <w:r w:rsidR="00087753" w:rsidRPr="00277050">
          <w:rPr>
            <w:rStyle w:val="a7"/>
            <w:noProof/>
            <w:lang w:val="en-US"/>
          </w:rPr>
          <w:t>1.4.2.1 General overview</w:t>
        </w:r>
        <w:r w:rsidR="00087753">
          <w:rPr>
            <w:noProof/>
            <w:webHidden/>
          </w:rPr>
          <w:tab/>
        </w:r>
        <w:r w:rsidR="00087753">
          <w:rPr>
            <w:noProof/>
            <w:webHidden/>
          </w:rPr>
          <w:fldChar w:fldCharType="begin"/>
        </w:r>
        <w:r w:rsidR="00087753">
          <w:rPr>
            <w:noProof/>
            <w:webHidden/>
          </w:rPr>
          <w:instrText xml:space="preserve"> PAGEREF _Toc104985180 \h </w:instrText>
        </w:r>
        <w:r w:rsidR="00087753">
          <w:rPr>
            <w:noProof/>
            <w:webHidden/>
          </w:rPr>
        </w:r>
        <w:r w:rsidR="00087753">
          <w:rPr>
            <w:noProof/>
            <w:webHidden/>
          </w:rPr>
          <w:fldChar w:fldCharType="separate"/>
        </w:r>
        <w:r w:rsidR="004870F1">
          <w:rPr>
            <w:noProof/>
            <w:webHidden/>
          </w:rPr>
          <w:t>45</w:t>
        </w:r>
        <w:r w:rsidR="00087753">
          <w:rPr>
            <w:noProof/>
            <w:webHidden/>
          </w:rPr>
          <w:fldChar w:fldCharType="end"/>
        </w:r>
      </w:hyperlink>
    </w:p>
    <w:p w14:paraId="4660CF18" w14:textId="130C5454" w:rsidR="00087753" w:rsidRDefault="00536556">
      <w:pPr>
        <w:pStyle w:val="41"/>
        <w:tabs>
          <w:tab w:val="right" w:leader="dot" w:pos="9344"/>
        </w:tabs>
        <w:rPr>
          <w:rFonts w:asciiTheme="minorHAnsi" w:eastAsiaTheme="minorEastAsia" w:hAnsiTheme="minorHAnsi"/>
          <w:noProof/>
          <w:sz w:val="22"/>
          <w:lang w:eastAsia="ru-RU"/>
        </w:rPr>
      </w:pPr>
      <w:hyperlink w:anchor="_Toc104985181" w:history="1">
        <w:r w:rsidR="00087753" w:rsidRPr="00277050">
          <w:rPr>
            <w:rStyle w:val="a7"/>
            <w:noProof/>
          </w:rPr>
          <w:t>1.4.2.2 Design Storm Data</w:t>
        </w:r>
        <w:r w:rsidR="00087753">
          <w:rPr>
            <w:noProof/>
            <w:webHidden/>
          </w:rPr>
          <w:tab/>
        </w:r>
        <w:r w:rsidR="00087753">
          <w:rPr>
            <w:noProof/>
            <w:webHidden/>
          </w:rPr>
          <w:fldChar w:fldCharType="begin"/>
        </w:r>
        <w:r w:rsidR="00087753">
          <w:rPr>
            <w:noProof/>
            <w:webHidden/>
          </w:rPr>
          <w:instrText xml:space="preserve"> PAGEREF _Toc104985181 \h </w:instrText>
        </w:r>
        <w:r w:rsidR="00087753">
          <w:rPr>
            <w:noProof/>
            <w:webHidden/>
          </w:rPr>
        </w:r>
        <w:r w:rsidR="00087753">
          <w:rPr>
            <w:noProof/>
            <w:webHidden/>
          </w:rPr>
          <w:fldChar w:fldCharType="separate"/>
        </w:r>
        <w:r w:rsidR="004870F1">
          <w:rPr>
            <w:noProof/>
            <w:webHidden/>
          </w:rPr>
          <w:t>47</w:t>
        </w:r>
        <w:r w:rsidR="00087753">
          <w:rPr>
            <w:noProof/>
            <w:webHidden/>
          </w:rPr>
          <w:fldChar w:fldCharType="end"/>
        </w:r>
      </w:hyperlink>
    </w:p>
    <w:p w14:paraId="0AF5A363" w14:textId="6FED0F4E" w:rsidR="00087753" w:rsidRDefault="00536556">
      <w:pPr>
        <w:pStyle w:val="41"/>
        <w:tabs>
          <w:tab w:val="right" w:leader="dot" w:pos="9344"/>
        </w:tabs>
        <w:rPr>
          <w:rFonts w:asciiTheme="minorHAnsi" w:eastAsiaTheme="minorEastAsia" w:hAnsiTheme="minorHAnsi"/>
          <w:noProof/>
          <w:sz w:val="22"/>
          <w:lang w:eastAsia="ru-RU"/>
        </w:rPr>
      </w:pPr>
      <w:hyperlink w:anchor="_Toc104985182" w:history="1">
        <w:r w:rsidR="00087753" w:rsidRPr="00277050">
          <w:rPr>
            <w:rStyle w:val="a7"/>
            <w:noProof/>
            <w:lang w:val="en-US"/>
          </w:rPr>
          <w:t>1.4.2.3 Determination of Runoff Curve Number (CN)</w:t>
        </w:r>
        <w:r w:rsidR="00087753">
          <w:rPr>
            <w:noProof/>
            <w:webHidden/>
          </w:rPr>
          <w:tab/>
        </w:r>
        <w:r w:rsidR="00087753">
          <w:rPr>
            <w:noProof/>
            <w:webHidden/>
          </w:rPr>
          <w:fldChar w:fldCharType="begin"/>
        </w:r>
        <w:r w:rsidR="00087753">
          <w:rPr>
            <w:noProof/>
            <w:webHidden/>
          </w:rPr>
          <w:instrText xml:space="preserve"> PAGEREF _Toc104985182 \h </w:instrText>
        </w:r>
        <w:r w:rsidR="00087753">
          <w:rPr>
            <w:noProof/>
            <w:webHidden/>
          </w:rPr>
        </w:r>
        <w:r w:rsidR="00087753">
          <w:rPr>
            <w:noProof/>
            <w:webHidden/>
          </w:rPr>
          <w:fldChar w:fldCharType="separate"/>
        </w:r>
        <w:r w:rsidR="004870F1">
          <w:rPr>
            <w:noProof/>
            <w:webHidden/>
          </w:rPr>
          <w:t>47</w:t>
        </w:r>
        <w:r w:rsidR="00087753">
          <w:rPr>
            <w:noProof/>
            <w:webHidden/>
          </w:rPr>
          <w:fldChar w:fldCharType="end"/>
        </w:r>
      </w:hyperlink>
    </w:p>
    <w:p w14:paraId="0C89D460" w14:textId="2F84E3E3" w:rsidR="00087753" w:rsidRDefault="00536556">
      <w:pPr>
        <w:pStyle w:val="41"/>
        <w:tabs>
          <w:tab w:val="right" w:leader="dot" w:pos="9344"/>
        </w:tabs>
        <w:rPr>
          <w:rFonts w:asciiTheme="minorHAnsi" w:eastAsiaTheme="minorEastAsia" w:hAnsiTheme="minorHAnsi"/>
          <w:noProof/>
          <w:sz w:val="22"/>
          <w:lang w:eastAsia="ru-RU"/>
        </w:rPr>
      </w:pPr>
      <w:hyperlink w:anchor="_Toc104985183" w:history="1">
        <w:r w:rsidR="00087753" w:rsidRPr="00277050">
          <w:rPr>
            <w:rStyle w:val="a7"/>
            <w:noProof/>
            <w:lang w:val="en-US"/>
          </w:rPr>
          <w:t>1.4.2.4 The perspective of the Hydrologic Soil Group</w:t>
        </w:r>
        <w:r w:rsidR="00087753">
          <w:rPr>
            <w:noProof/>
            <w:webHidden/>
          </w:rPr>
          <w:tab/>
        </w:r>
        <w:r w:rsidR="00087753">
          <w:rPr>
            <w:noProof/>
            <w:webHidden/>
          </w:rPr>
          <w:fldChar w:fldCharType="begin"/>
        </w:r>
        <w:r w:rsidR="00087753">
          <w:rPr>
            <w:noProof/>
            <w:webHidden/>
          </w:rPr>
          <w:instrText xml:space="preserve"> PAGEREF _Toc104985183 \h </w:instrText>
        </w:r>
        <w:r w:rsidR="00087753">
          <w:rPr>
            <w:noProof/>
            <w:webHidden/>
          </w:rPr>
        </w:r>
        <w:r w:rsidR="00087753">
          <w:rPr>
            <w:noProof/>
            <w:webHidden/>
          </w:rPr>
          <w:fldChar w:fldCharType="separate"/>
        </w:r>
        <w:r w:rsidR="004870F1">
          <w:rPr>
            <w:noProof/>
            <w:webHidden/>
          </w:rPr>
          <w:t>47</w:t>
        </w:r>
        <w:r w:rsidR="00087753">
          <w:rPr>
            <w:noProof/>
            <w:webHidden/>
          </w:rPr>
          <w:fldChar w:fldCharType="end"/>
        </w:r>
      </w:hyperlink>
    </w:p>
    <w:p w14:paraId="1EA51E53" w14:textId="3571007F" w:rsidR="00087753" w:rsidRDefault="00536556">
      <w:pPr>
        <w:pStyle w:val="41"/>
        <w:tabs>
          <w:tab w:val="right" w:leader="dot" w:pos="9344"/>
        </w:tabs>
        <w:rPr>
          <w:rFonts w:asciiTheme="minorHAnsi" w:eastAsiaTheme="minorEastAsia" w:hAnsiTheme="minorHAnsi"/>
          <w:noProof/>
          <w:sz w:val="22"/>
          <w:lang w:eastAsia="ru-RU"/>
        </w:rPr>
      </w:pPr>
      <w:hyperlink w:anchor="_Toc104985184" w:history="1">
        <w:r w:rsidR="00087753" w:rsidRPr="00277050">
          <w:rPr>
            <w:rStyle w:val="a7"/>
            <w:noProof/>
            <w:lang w:val="en-US"/>
          </w:rPr>
          <w:t>1.4.2.5 Surface coverage and hydrologic pattern of a watershed</w:t>
        </w:r>
        <w:r w:rsidR="00087753">
          <w:rPr>
            <w:noProof/>
            <w:webHidden/>
          </w:rPr>
          <w:tab/>
        </w:r>
        <w:r w:rsidR="00087753">
          <w:rPr>
            <w:noProof/>
            <w:webHidden/>
          </w:rPr>
          <w:fldChar w:fldCharType="begin"/>
        </w:r>
        <w:r w:rsidR="00087753">
          <w:rPr>
            <w:noProof/>
            <w:webHidden/>
          </w:rPr>
          <w:instrText xml:space="preserve"> PAGEREF _Toc104985184 \h </w:instrText>
        </w:r>
        <w:r w:rsidR="00087753">
          <w:rPr>
            <w:noProof/>
            <w:webHidden/>
          </w:rPr>
        </w:r>
        <w:r w:rsidR="00087753">
          <w:rPr>
            <w:noProof/>
            <w:webHidden/>
          </w:rPr>
          <w:fldChar w:fldCharType="separate"/>
        </w:r>
        <w:r w:rsidR="004870F1">
          <w:rPr>
            <w:noProof/>
            <w:webHidden/>
          </w:rPr>
          <w:t>48</w:t>
        </w:r>
        <w:r w:rsidR="00087753">
          <w:rPr>
            <w:noProof/>
            <w:webHidden/>
          </w:rPr>
          <w:fldChar w:fldCharType="end"/>
        </w:r>
      </w:hyperlink>
    </w:p>
    <w:p w14:paraId="3F891983" w14:textId="10E967E5" w:rsidR="00087753" w:rsidRDefault="00536556">
      <w:pPr>
        <w:pStyle w:val="41"/>
        <w:tabs>
          <w:tab w:val="right" w:leader="dot" w:pos="9344"/>
        </w:tabs>
        <w:rPr>
          <w:rFonts w:asciiTheme="minorHAnsi" w:eastAsiaTheme="minorEastAsia" w:hAnsiTheme="minorHAnsi"/>
          <w:noProof/>
          <w:sz w:val="22"/>
          <w:lang w:eastAsia="ru-RU"/>
        </w:rPr>
      </w:pPr>
      <w:hyperlink w:anchor="_Toc104985185" w:history="1">
        <w:r w:rsidR="00087753" w:rsidRPr="00277050">
          <w:rPr>
            <w:rStyle w:val="a7"/>
            <w:noProof/>
          </w:rPr>
          <w:t>1.4.2.6 Antecedent Moisture Condition</w:t>
        </w:r>
        <w:r w:rsidR="00087753">
          <w:rPr>
            <w:noProof/>
            <w:webHidden/>
          </w:rPr>
          <w:tab/>
        </w:r>
        <w:r w:rsidR="00087753">
          <w:rPr>
            <w:noProof/>
            <w:webHidden/>
          </w:rPr>
          <w:fldChar w:fldCharType="begin"/>
        </w:r>
        <w:r w:rsidR="00087753">
          <w:rPr>
            <w:noProof/>
            <w:webHidden/>
          </w:rPr>
          <w:instrText xml:space="preserve"> PAGEREF _Toc104985185 \h </w:instrText>
        </w:r>
        <w:r w:rsidR="00087753">
          <w:rPr>
            <w:noProof/>
            <w:webHidden/>
          </w:rPr>
        </w:r>
        <w:r w:rsidR="00087753">
          <w:rPr>
            <w:noProof/>
            <w:webHidden/>
          </w:rPr>
          <w:fldChar w:fldCharType="separate"/>
        </w:r>
        <w:r w:rsidR="004870F1">
          <w:rPr>
            <w:noProof/>
            <w:webHidden/>
          </w:rPr>
          <w:t>48</w:t>
        </w:r>
        <w:r w:rsidR="00087753">
          <w:rPr>
            <w:noProof/>
            <w:webHidden/>
          </w:rPr>
          <w:fldChar w:fldCharType="end"/>
        </w:r>
      </w:hyperlink>
    </w:p>
    <w:p w14:paraId="09A49BBF" w14:textId="6A5B9F8B" w:rsidR="00087753" w:rsidRDefault="00536556">
      <w:pPr>
        <w:pStyle w:val="41"/>
        <w:tabs>
          <w:tab w:val="right" w:leader="dot" w:pos="9344"/>
        </w:tabs>
        <w:rPr>
          <w:rFonts w:asciiTheme="minorHAnsi" w:eastAsiaTheme="minorEastAsia" w:hAnsiTheme="minorHAnsi"/>
          <w:noProof/>
          <w:sz w:val="22"/>
          <w:lang w:eastAsia="ru-RU"/>
        </w:rPr>
      </w:pPr>
      <w:hyperlink w:anchor="_Toc104985186" w:history="1">
        <w:r w:rsidR="00087753" w:rsidRPr="00277050">
          <w:rPr>
            <w:rStyle w:val="a7"/>
            <w:noProof/>
          </w:rPr>
          <w:t>1.4.2.7 Connected impervious areas</w:t>
        </w:r>
        <w:r w:rsidR="00087753">
          <w:rPr>
            <w:noProof/>
            <w:webHidden/>
          </w:rPr>
          <w:tab/>
        </w:r>
        <w:r w:rsidR="00087753">
          <w:rPr>
            <w:noProof/>
            <w:webHidden/>
          </w:rPr>
          <w:fldChar w:fldCharType="begin"/>
        </w:r>
        <w:r w:rsidR="00087753">
          <w:rPr>
            <w:noProof/>
            <w:webHidden/>
          </w:rPr>
          <w:instrText xml:space="preserve"> PAGEREF _Toc104985186 \h </w:instrText>
        </w:r>
        <w:r w:rsidR="00087753">
          <w:rPr>
            <w:noProof/>
            <w:webHidden/>
          </w:rPr>
        </w:r>
        <w:r w:rsidR="00087753">
          <w:rPr>
            <w:noProof/>
            <w:webHidden/>
          </w:rPr>
          <w:fldChar w:fldCharType="separate"/>
        </w:r>
        <w:r w:rsidR="004870F1">
          <w:rPr>
            <w:noProof/>
            <w:webHidden/>
          </w:rPr>
          <w:t>48</w:t>
        </w:r>
        <w:r w:rsidR="00087753">
          <w:rPr>
            <w:noProof/>
            <w:webHidden/>
          </w:rPr>
          <w:fldChar w:fldCharType="end"/>
        </w:r>
      </w:hyperlink>
    </w:p>
    <w:p w14:paraId="0AF7AA1C" w14:textId="43873C56" w:rsidR="00087753" w:rsidRDefault="00536556">
      <w:pPr>
        <w:pStyle w:val="41"/>
        <w:tabs>
          <w:tab w:val="right" w:leader="dot" w:pos="9344"/>
        </w:tabs>
        <w:rPr>
          <w:rFonts w:asciiTheme="minorHAnsi" w:eastAsiaTheme="minorEastAsia" w:hAnsiTheme="minorHAnsi"/>
          <w:noProof/>
          <w:sz w:val="22"/>
          <w:lang w:eastAsia="ru-RU"/>
        </w:rPr>
      </w:pPr>
      <w:hyperlink w:anchor="_Toc104985187" w:history="1">
        <w:r w:rsidR="00087753" w:rsidRPr="00277050">
          <w:rPr>
            <w:rStyle w:val="a7"/>
            <w:noProof/>
          </w:rPr>
          <w:t>1.4.2.8 Unconnected impervious areas</w:t>
        </w:r>
        <w:r w:rsidR="00087753">
          <w:rPr>
            <w:noProof/>
            <w:webHidden/>
          </w:rPr>
          <w:tab/>
        </w:r>
        <w:r w:rsidR="00087753">
          <w:rPr>
            <w:noProof/>
            <w:webHidden/>
          </w:rPr>
          <w:fldChar w:fldCharType="begin"/>
        </w:r>
        <w:r w:rsidR="00087753">
          <w:rPr>
            <w:noProof/>
            <w:webHidden/>
          </w:rPr>
          <w:instrText xml:space="preserve"> PAGEREF _Toc104985187 \h </w:instrText>
        </w:r>
        <w:r w:rsidR="00087753">
          <w:rPr>
            <w:noProof/>
            <w:webHidden/>
          </w:rPr>
        </w:r>
        <w:r w:rsidR="00087753">
          <w:rPr>
            <w:noProof/>
            <w:webHidden/>
          </w:rPr>
          <w:fldChar w:fldCharType="separate"/>
        </w:r>
        <w:r w:rsidR="004870F1">
          <w:rPr>
            <w:noProof/>
            <w:webHidden/>
          </w:rPr>
          <w:t>48</w:t>
        </w:r>
        <w:r w:rsidR="00087753">
          <w:rPr>
            <w:noProof/>
            <w:webHidden/>
          </w:rPr>
          <w:fldChar w:fldCharType="end"/>
        </w:r>
      </w:hyperlink>
    </w:p>
    <w:p w14:paraId="5A459EBB" w14:textId="67112F5E" w:rsidR="00087753" w:rsidRDefault="00536556">
      <w:pPr>
        <w:pStyle w:val="41"/>
        <w:tabs>
          <w:tab w:val="right" w:leader="dot" w:pos="9344"/>
        </w:tabs>
        <w:rPr>
          <w:rFonts w:asciiTheme="minorHAnsi" w:eastAsiaTheme="minorEastAsia" w:hAnsiTheme="minorHAnsi"/>
          <w:noProof/>
          <w:sz w:val="22"/>
          <w:lang w:eastAsia="ru-RU"/>
        </w:rPr>
      </w:pPr>
      <w:hyperlink w:anchor="_Toc104985188" w:history="1">
        <w:r w:rsidR="00087753" w:rsidRPr="00277050">
          <w:rPr>
            <w:rStyle w:val="a7"/>
            <w:noProof/>
            <w:lang w:val="en-US"/>
          </w:rPr>
          <w:t>1.4.2.9 Limitations on use of SCS method</w:t>
        </w:r>
        <w:r w:rsidR="00087753">
          <w:rPr>
            <w:noProof/>
            <w:webHidden/>
          </w:rPr>
          <w:tab/>
        </w:r>
        <w:r w:rsidR="00087753">
          <w:rPr>
            <w:noProof/>
            <w:webHidden/>
          </w:rPr>
          <w:fldChar w:fldCharType="begin"/>
        </w:r>
        <w:r w:rsidR="00087753">
          <w:rPr>
            <w:noProof/>
            <w:webHidden/>
          </w:rPr>
          <w:instrText xml:space="preserve"> PAGEREF _Toc104985188 \h </w:instrText>
        </w:r>
        <w:r w:rsidR="00087753">
          <w:rPr>
            <w:noProof/>
            <w:webHidden/>
          </w:rPr>
        </w:r>
        <w:r w:rsidR="00087753">
          <w:rPr>
            <w:noProof/>
            <w:webHidden/>
          </w:rPr>
          <w:fldChar w:fldCharType="separate"/>
        </w:r>
        <w:r w:rsidR="004870F1">
          <w:rPr>
            <w:noProof/>
            <w:webHidden/>
          </w:rPr>
          <w:t>51</w:t>
        </w:r>
        <w:r w:rsidR="00087753">
          <w:rPr>
            <w:noProof/>
            <w:webHidden/>
          </w:rPr>
          <w:fldChar w:fldCharType="end"/>
        </w:r>
      </w:hyperlink>
    </w:p>
    <w:p w14:paraId="3BE74C5E" w14:textId="2210A54A" w:rsidR="00087753" w:rsidRDefault="00536556">
      <w:pPr>
        <w:pStyle w:val="41"/>
        <w:tabs>
          <w:tab w:val="right" w:leader="dot" w:pos="9344"/>
        </w:tabs>
        <w:rPr>
          <w:rFonts w:asciiTheme="minorHAnsi" w:eastAsiaTheme="minorEastAsia" w:hAnsiTheme="minorHAnsi"/>
          <w:noProof/>
          <w:sz w:val="22"/>
          <w:lang w:eastAsia="ru-RU"/>
        </w:rPr>
      </w:pPr>
      <w:hyperlink w:anchor="_Toc104985189" w:history="1">
        <w:r w:rsidR="00087753" w:rsidRPr="00277050">
          <w:rPr>
            <w:rStyle w:val="a7"/>
            <w:noProof/>
          </w:rPr>
          <w:t xml:space="preserve">1.4.2.10 Computer </w:t>
        </w:r>
        <w:r w:rsidR="00087753" w:rsidRPr="00277050">
          <w:rPr>
            <w:rStyle w:val="a7"/>
            <w:noProof/>
            <w:lang w:val="en-US"/>
          </w:rPr>
          <w:t>Modeling</w:t>
        </w:r>
        <w:r w:rsidR="00087753">
          <w:rPr>
            <w:noProof/>
            <w:webHidden/>
          </w:rPr>
          <w:tab/>
        </w:r>
        <w:r w:rsidR="00087753">
          <w:rPr>
            <w:noProof/>
            <w:webHidden/>
          </w:rPr>
          <w:fldChar w:fldCharType="begin"/>
        </w:r>
        <w:r w:rsidR="00087753">
          <w:rPr>
            <w:noProof/>
            <w:webHidden/>
          </w:rPr>
          <w:instrText xml:space="preserve"> PAGEREF _Toc104985189 \h </w:instrText>
        </w:r>
        <w:r w:rsidR="00087753">
          <w:rPr>
            <w:noProof/>
            <w:webHidden/>
          </w:rPr>
        </w:r>
        <w:r w:rsidR="00087753">
          <w:rPr>
            <w:noProof/>
            <w:webHidden/>
          </w:rPr>
          <w:fldChar w:fldCharType="separate"/>
        </w:r>
        <w:r w:rsidR="004870F1">
          <w:rPr>
            <w:noProof/>
            <w:webHidden/>
          </w:rPr>
          <w:t>51</w:t>
        </w:r>
        <w:r w:rsidR="00087753">
          <w:rPr>
            <w:noProof/>
            <w:webHidden/>
          </w:rPr>
          <w:fldChar w:fldCharType="end"/>
        </w:r>
      </w:hyperlink>
    </w:p>
    <w:p w14:paraId="33698339" w14:textId="21386C18" w:rsidR="00087753" w:rsidRDefault="00536556">
      <w:pPr>
        <w:pStyle w:val="21"/>
        <w:rPr>
          <w:rFonts w:asciiTheme="minorHAnsi" w:eastAsiaTheme="minorEastAsia" w:hAnsiTheme="minorHAnsi"/>
          <w:noProof/>
          <w:sz w:val="22"/>
          <w:lang w:eastAsia="ru-RU"/>
        </w:rPr>
      </w:pPr>
      <w:hyperlink w:anchor="_Toc104985190" w:history="1">
        <w:r w:rsidR="00087753" w:rsidRPr="00277050">
          <w:rPr>
            <w:rStyle w:val="a7"/>
            <w:noProof/>
          </w:rPr>
          <w:t>1.5 Embankment dams</w:t>
        </w:r>
        <w:r w:rsidR="00087753">
          <w:rPr>
            <w:noProof/>
            <w:webHidden/>
          </w:rPr>
          <w:tab/>
        </w:r>
        <w:r w:rsidR="00087753">
          <w:rPr>
            <w:noProof/>
            <w:webHidden/>
          </w:rPr>
          <w:fldChar w:fldCharType="begin"/>
        </w:r>
        <w:r w:rsidR="00087753">
          <w:rPr>
            <w:noProof/>
            <w:webHidden/>
          </w:rPr>
          <w:instrText xml:space="preserve"> PAGEREF _Toc104985190 \h </w:instrText>
        </w:r>
        <w:r w:rsidR="00087753">
          <w:rPr>
            <w:noProof/>
            <w:webHidden/>
          </w:rPr>
        </w:r>
        <w:r w:rsidR="00087753">
          <w:rPr>
            <w:noProof/>
            <w:webHidden/>
          </w:rPr>
          <w:fldChar w:fldCharType="separate"/>
        </w:r>
        <w:r w:rsidR="004870F1">
          <w:rPr>
            <w:noProof/>
            <w:webHidden/>
          </w:rPr>
          <w:t>52</w:t>
        </w:r>
        <w:r w:rsidR="00087753">
          <w:rPr>
            <w:noProof/>
            <w:webHidden/>
          </w:rPr>
          <w:fldChar w:fldCharType="end"/>
        </w:r>
      </w:hyperlink>
    </w:p>
    <w:p w14:paraId="71DBE9B6" w14:textId="2CB8332F" w:rsidR="00087753" w:rsidRDefault="00536556">
      <w:pPr>
        <w:pStyle w:val="31"/>
        <w:tabs>
          <w:tab w:val="right" w:leader="dot" w:pos="9344"/>
        </w:tabs>
        <w:rPr>
          <w:rFonts w:asciiTheme="minorHAnsi" w:eastAsiaTheme="minorEastAsia" w:hAnsiTheme="minorHAnsi"/>
          <w:noProof/>
          <w:sz w:val="22"/>
          <w:lang w:eastAsia="ru-RU"/>
        </w:rPr>
      </w:pPr>
      <w:hyperlink w:anchor="_Toc104985191" w:history="1">
        <w:r w:rsidR="00087753" w:rsidRPr="00277050">
          <w:rPr>
            <w:rStyle w:val="a7"/>
            <w:noProof/>
            <w:lang w:val="en-US"/>
          </w:rPr>
          <w:t>1.5.1 General overview</w:t>
        </w:r>
        <w:r w:rsidR="00087753">
          <w:rPr>
            <w:noProof/>
            <w:webHidden/>
          </w:rPr>
          <w:tab/>
        </w:r>
        <w:r w:rsidR="00087753">
          <w:rPr>
            <w:noProof/>
            <w:webHidden/>
          </w:rPr>
          <w:fldChar w:fldCharType="begin"/>
        </w:r>
        <w:r w:rsidR="00087753">
          <w:rPr>
            <w:noProof/>
            <w:webHidden/>
          </w:rPr>
          <w:instrText xml:space="preserve"> PAGEREF _Toc104985191 \h </w:instrText>
        </w:r>
        <w:r w:rsidR="00087753">
          <w:rPr>
            <w:noProof/>
            <w:webHidden/>
          </w:rPr>
        </w:r>
        <w:r w:rsidR="00087753">
          <w:rPr>
            <w:noProof/>
            <w:webHidden/>
          </w:rPr>
          <w:fldChar w:fldCharType="separate"/>
        </w:r>
        <w:r w:rsidR="004870F1">
          <w:rPr>
            <w:noProof/>
            <w:webHidden/>
          </w:rPr>
          <w:t>52</w:t>
        </w:r>
        <w:r w:rsidR="00087753">
          <w:rPr>
            <w:noProof/>
            <w:webHidden/>
          </w:rPr>
          <w:fldChar w:fldCharType="end"/>
        </w:r>
      </w:hyperlink>
    </w:p>
    <w:p w14:paraId="1CA1DA50" w14:textId="077B3BE1" w:rsidR="00087753" w:rsidRDefault="00536556">
      <w:pPr>
        <w:pStyle w:val="31"/>
        <w:tabs>
          <w:tab w:val="right" w:leader="dot" w:pos="9344"/>
        </w:tabs>
        <w:rPr>
          <w:rFonts w:asciiTheme="minorHAnsi" w:eastAsiaTheme="minorEastAsia" w:hAnsiTheme="minorHAnsi"/>
          <w:noProof/>
          <w:sz w:val="22"/>
          <w:lang w:eastAsia="ru-RU"/>
        </w:rPr>
      </w:pPr>
      <w:hyperlink w:anchor="_Toc104985192" w:history="1">
        <w:r w:rsidR="00087753" w:rsidRPr="00277050">
          <w:rPr>
            <w:rStyle w:val="a7"/>
            <w:noProof/>
            <w:lang w:val="en-US"/>
          </w:rPr>
          <w:t>1.5.2 Design of earthen dam components</w:t>
        </w:r>
        <w:r w:rsidR="00087753">
          <w:rPr>
            <w:noProof/>
            <w:webHidden/>
          </w:rPr>
          <w:tab/>
        </w:r>
        <w:r w:rsidR="00087753">
          <w:rPr>
            <w:noProof/>
            <w:webHidden/>
          </w:rPr>
          <w:fldChar w:fldCharType="begin"/>
        </w:r>
        <w:r w:rsidR="00087753">
          <w:rPr>
            <w:noProof/>
            <w:webHidden/>
          </w:rPr>
          <w:instrText xml:space="preserve"> PAGEREF _Toc104985192 \h </w:instrText>
        </w:r>
        <w:r w:rsidR="00087753">
          <w:rPr>
            <w:noProof/>
            <w:webHidden/>
          </w:rPr>
        </w:r>
        <w:r w:rsidR="00087753">
          <w:rPr>
            <w:noProof/>
            <w:webHidden/>
          </w:rPr>
          <w:fldChar w:fldCharType="separate"/>
        </w:r>
        <w:r w:rsidR="004870F1">
          <w:rPr>
            <w:noProof/>
            <w:webHidden/>
          </w:rPr>
          <w:t>53</w:t>
        </w:r>
        <w:r w:rsidR="00087753">
          <w:rPr>
            <w:noProof/>
            <w:webHidden/>
          </w:rPr>
          <w:fldChar w:fldCharType="end"/>
        </w:r>
      </w:hyperlink>
    </w:p>
    <w:p w14:paraId="0840F7D2" w14:textId="40072BED" w:rsidR="00087753" w:rsidRDefault="00536556">
      <w:pPr>
        <w:pStyle w:val="41"/>
        <w:tabs>
          <w:tab w:val="right" w:leader="dot" w:pos="9344"/>
        </w:tabs>
        <w:rPr>
          <w:rFonts w:asciiTheme="minorHAnsi" w:eastAsiaTheme="minorEastAsia" w:hAnsiTheme="minorHAnsi"/>
          <w:noProof/>
          <w:sz w:val="22"/>
          <w:lang w:eastAsia="ru-RU"/>
        </w:rPr>
      </w:pPr>
      <w:hyperlink w:anchor="_Toc104985193" w:history="1">
        <w:r w:rsidR="00087753" w:rsidRPr="00277050">
          <w:rPr>
            <w:rStyle w:val="a7"/>
            <w:noProof/>
          </w:rPr>
          <w:t xml:space="preserve">1.5.2.1 Top </w:t>
        </w:r>
        <w:r w:rsidR="00087753" w:rsidRPr="00277050">
          <w:rPr>
            <w:rStyle w:val="a7"/>
            <w:noProof/>
            <w:lang w:val="en-US"/>
          </w:rPr>
          <w:t>w</w:t>
        </w:r>
        <w:r w:rsidR="00087753" w:rsidRPr="00277050">
          <w:rPr>
            <w:rStyle w:val="a7"/>
            <w:noProof/>
          </w:rPr>
          <w:t>idth</w:t>
        </w:r>
        <w:r w:rsidR="00087753">
          <w:rPr>
            <w:noProof/>
            <w:webHidden/>
          </w:rPr>
          <w:tab/>
        </w:r>
        <w:r w:rsidR="00087753">
          <w:rPr>
            <w:noProof/>
            <w:webHidden/>
          </w:rPr>
          <w:fldChar w:fldCharType="begin"/>
        </w:r>
        <w:r w:rsidR="00087753">
          <w:rPr>
            <w:noProof/>
            <w:webHidden/>
          </w:rPr>
          <w:instrText xml:space="preserve"> PAGEREF _Toc104985193 \h </w:instrText>
        </w:r>
        <w:r w:rsidR="00087753">
          <w:rPr>
            <w:noProof/>
            <w:webHidden/>
          </w:rPr>
        </w:r>
        <w:r w:rsidR="00087753">
          <w:rPr>
            <w:noProof/>
            <w:webHidden/>
          </w:rPr>
          <w:fldChar w:fldCharType="separate"/>
        </w:r>
        <w:r w:rsidR="004870F1">
          <w:rPr>
            <w:noProof/>
            <w:webHidden/>
          </w:rPr>
          <w:t>53</w:t>
        </w:r>
        <w:r w:rsidR="00087753">
          <w:rPr>
            <w:noProof/>
            <w:webHidden/>
          </w:rPr>
          <w:fldChar w:fldCharType="end"/>
        </w:r>
      </w:hyperlink>
    </w:p>
    <w:p w14:paraId="3F6FF514" w14:textId="4E9A18BD" w:rsidR="00087753" w:rsidRDefault="00536556">
      <w:pPr>
        <w:pStyle w:val="41"/>
        <w:tabs>
          <w:tab w:val="right" w:leader="dot" w:pos="9344"/>
        </w:tabs>
        <w:rPr>
          <w:rFonts w:asciiTheme="minorHAnsi" w:eastAsiaTheme="minorEastAsia" w:hAnsiTheme="minorHAnsi"/>
          <w:noProof/>
          <w:sz w:val="22"/>
          <w:lang w:eastAsia="ru-RU"/>
        </w:rPr>
      </w:pPr>
      <w:hyperlink w:anchor="_Toc104985194" w:history="1">
        <w:r w:rsidR="00087753" w:rsidRPr="00277050">
          <w:rPr>
            <w:rStyle w:val="a7"/>
            <w:noProof/>
          </w:rPr>
          <w:t xml:space="preserve">1.5.2.2 Free </w:t>
        </w:r>
        <w:r w:rsidR="00087753" w:rsidRPr="00277050">
          <w:rPr>
            <w:rStyle w:val="a7"/>
            <w:noProof/>
            <w:lang w:val="en-US"/>
          </w:rPr>
          <w:t>b</w:t>
        </w:r>
        <w:r w:rsidR="00087753" w:rsidRPr="00277050">
          <w:rPr>
            <w:rStyle w:val="a7"/>
            <w:noProof/>
          </w:rPr>
          <w:t>oard</w:t>
        </w:r>
        <w:r w:rsidR="00087753">
          <w:rPr>
            <w:noProof/>
            <w:webHidden/>
          </w:rPr>
          <w:tab/>
        </w:r>
        <w:r w:rsidR="00087753">
          <w:rPr>
            <w:noProof/>
            <w:webHidden/>
          </w:rPr>
          <w:fldChar w:fldCharType="begin"/>
        </w:r>
        <w:r w:rsidR="00087753">
          <w:rPr>
            <w:noProof/>
            <w:webHidden/>
          </w:rPr>
          <w:instrText xml:space="preserve"> PAGEREF _Toc104985194 \h </w:instrText>
        </w:r>
        <w:r w:rsidR="00087753">
          <w:rPr>
            <w:noProof/>
            <w:webHidden/>
          </w:rPr>
        </w:r>
        <w:r w:rsidR="00087753">
          <w:rPr>
            <w:noProof/>
            <w:webHidden/>
          </w:rPr>
          <w:fldChar w:fldCharType="separate"/>
        </w:r>
        <w:r w:rsidR="004870F1">
          <w:rPr>
            <w:noProof/>
            <w:webHidden/>
          </w:rPr>
          <w:t>54</w:t>
        </w:r>
        <w:r w:rsidR="00087753">
          <w:rPr>
            <w:noProof/>
            <w:webHidden/>
          </w:rPr>
          <w:fldChar w:fldCharType="end"/>
        </w:r>
      </w:hyperlink>
    </w:p>
    <w:p w14:paraId="4519C62C" w14:textId="79884634" w:rsidR="00087753" w:rsidRDefault="00536556">
      <w:pPr>
        <w:pStyle w:val="41"/>
        <w:tabs>
          <w:tab w:val="right" w:leader="dot" w:pos="9344"/>
        </w:tabs>
        <w:rPr>
          <w:rFonts w:asciiTheme="minorHAnsi" w:eastAsiaTheme="minorEastAsia" w:hAnsiTheme="minorHAnsi"/>
          <w:noProof/>
          <w:sz w:val="22"/>
          <w:lang w:eastAsia="ru-RU"/>
        </w:rPr>
      </w:pPr>
      <w:hyperlink w:anchor="_Toc104985195" w:history="1">
        <w:r w:rsidR="00087753" w:rsidRPr="00277050">
          <w:rPr>
            <w:rStyle w:val="a7"/>
            <w:noProof/>
          </w:rPr>
          <w:t xml:space="preserve">1.5.2.3 Cutoff </w:t>
        </w:r>
        <w:r w:rsidR="00087753" w:rsidRPr="00277050">
          <w:rPr>
            <w:rStyle w:val="a7"/>
            <w:noProof/>
            <w:lang w:val="en-US"/>
          </w:rPr>
          <w:t>t</w:t>
        </w:r>
        <w:r w:rsidR="00087753" w:rsidRPr="00277050">
          <w:rPr>
            <w:rStyle w:val="a7"/>
            <w:noProof/>
          </w:rPr>
          <w:t>rench</w:t>
        </w:r>
        <w:r w:rsidR="00087753">
          <w:rPr>
            <w:noProof/>
            <w:webHidden/>
          </w:rPr>
          <w:tab/>
        </w:r>
        <w:r w:rsidR="00087753">
          <w:rPr>
            <w:noProof/>
            <w:webHidden/>
          </w:rPr>
          <w:fldChar w:fldCharType="begin"/>
        </w:r>
        <w:r w:rsidR="00087753">
          <w:rPr>
            <w:noProof/>
            <w:webHidden/>
          </w:rPr>
          <w:instrText xml:space="preserve"> PAGEREF _Toc104985195 \h </w:instrText>
        </w:r>
        <w:r w:rsidR="00087753">
          <w:rPr>
            <w:noProof/>
            <w:webHidden/>
          </w:rPr>
        </w:r>
        <w:r w:rsidR="00087753">
          <w:rPr>
            <w:noProof/>
            <w:webHidden/>
          </w:rPr>
          <w:fldChar w:fldCharType="separate"/>
        </w:r>
        <w:r w:rsidR="004870F1">
          <w:rPr>
            <w:noProof/>
            <w:webHidden/>
          </w:rPr>
          <w:t>55</w:t>
        </w:r>
        <w:r w:rsidR="00087753">
          <w:rPr>
            <w:noProof/>
            <w:webHidden/>
          </w:rPr>
          <w:fldChar w:fldCharType="end"/>
        </w:r>
      </w:hyperlink>
    </w:p>
    <w:p w14:paraId="08D471E3" w14:textId="45E68813" w:rsidR="00087753" w:rsidRDefault="00536556">
      <w:pPr>
        <w:pStyle w:val="41"/>
        <w:tabs>
          <w:tab w:val="right" w:leader="dot" w:pos="9344"/>
        </w:tabs>
        <w:rPr>
          <w:rFonts w:asciiTheme="minorHAnsi" w:eastAsiaTheme="minorEastAsia" w:hAnsiTheme="minorHAnsi"/>
          <w:noProof/>
          <w:sz w:val="22"/>
          <w:lang w:eastAsia="ru-RU"/>
        </w:rPr>
      </w:pPr>
      <w:hyperlink w:anchor="_Toc104985196" w:history="1">
        <w:r w:rsidR="00087753" w:rsidRPr="00277050">
          <w:rPr>
            <w:rStyle w:val="a7"/>
            <w:rFonts w:eastAsiaTheme="majorEastAsia" w:cstheme="majorBidi"/>
            <w:iCs/>
            <w:noProof/>
          </w:rPr>
          <w:t>1.5.2.4 Central impervious core</w:t>
        </w:r>
        <w:r w:rsidR="00087753">
          <w:rPr>
            <w:noProof/>
            <w:webHidden/>
          </w:rPr>
          <w:tab/>
        </w:r>
        <w:r w:rsidR="00087753">
          <w:rPr>
            <w:noProof/>
            <w:webHidden/>
          </w:rPr>
          <w:fldChar w:fldCharType="begin"/>
        </w:r>
        <w:r w:rsidR="00087753">
          <w:rPr>
            <w:noProof/>
            <w:webHidden/>
          </w:rPr>
          <w:instrText xml:space="preserve"> PAGEREF _Toc104985196 \h </w:instrText>
        </w:r>
        <w:r w:rsidR="00087753">
          <w:rPr>
            <w:noProof/>
            <w:webHidden/>
          </w:rPr>
        </w:r>
        <w:r w:rsidR="00087753">
          <w:rPr>
            <w:noProof/>
            <w:webHidden/>
          </w:rPr>
          <w:fldChar w:fldCharType="separate"/>
        </w:r>
        <w:r w:rsidR="004870F1">
          <w:rPr>
            <w:noProof/>
            <w:webHidden/>
          </w:rPr>
          <w:t>56</w:t>
        </w:r>
        <w:r w:rsidR="00087753">
          <w:rPr>
            <w:noProof/>
            <w:webHidden/>
          </w:rPr>
          <w:fldChar w:fldCharType="end"/>
        </w:r>
      </w:hyperlink>
    </w:p>
    <w:p w14:paraId="5921B428" w14:textId="50220329" w:rsidR="00087753" w:rsidRDefault="00536556">
      <w:pPr>
        <w:pStyle w:val="41"/>
        <w:tabs>
          <w:tab w:val="right" w:leader="dot" w:pos="9344"/>
        </w:tabs>
        <w:rPr>
          <w:rFonts w:asciiTheme="minorHAnsi" w:eastAsiaTheme="minorEastAsia" w:hAnsiTheme="minorHAnsi"/>
          <w:noProof/>
          <w:sz w:val="22"/>
          <w:lang w:eastAsia="ru-RU"/>
        </w:rPr>
      </w:pPr>
      <w:hyperlink w:anchor="_Toc104985197" w:history="1">
        <w:r w:rsidR="00087753" w:rsidRPr="00277050">
          <w:rPr>
            <w:rStyle w:val="a7"/>
            <w:rFonts w:cs="Times New Roman"/>
            <w:noProof/>
          </w:rPr>
          <w:t>1.5.2.5</w:t>
        </w:r>
        <w:r w:rsidR="00087753" w:rsidRPr="00277050">
          <w:rPr>
            <w:rStyle w:val="a7"/>
            <w:noProof/>
          </w:rPr>
          <w:t xml:space="preserve"> Suitable core material</w:t>
        </w:r>
        <w:r w:rsidR="00087753">
          <w:rPr>
            <w:noProof/>
            <w:webHidden/>
          </w:rPr>
          <w:tab/>
        </w:r>
        <w:r w:rsidR="00087753">
          <w:rPr>
            <w:noProof/>
            <w:webHidden/>
          </w:rPr>
          <w:fldChar w:fldCharType="begin"/>
        </w:r>
        <w:r w:rsidR="00087753">
          <w:rPr>
            <w:noProof/>
            <w:webHidden/>
          </w:rPr>
          <w:instrText xml:space="preserve"> PAGEREF _Toc104985197 \h </w:instrText>
        </w:r>
        <w:r w:rsidR="00087753">
          <w:rPr>
            <w:noProof/>
            <w:webHidden/>
          </w:rPr>
        </w:r>
        <w:r w:rsidR="00087753">
          <w:rPr>
            <w:noProof/>
            <w:webHidden/>
          </w:rPr>
          <w:fldChar w:fldCharType="separate"/>
        </w:r>
        <w:r w:rsidR="004870F1">
          <w:rPr>
            <w:noProof/>
            <w:webHidden/>
          </w:rPr>
          <w:t>56</w:t>
        </w:r>
        <w:r w:rsidR="00087753">
          <w:rPr>
            <w:noProof/>
            <w:webHidden/>
          </w:rPr>
          <w:fldChar w:fldCharType="end"/>
        </w:r>
      </w:hyperlink>
    </w:p>
    <w:p w14:paraId="7D094030" w14:textId="08BF872D" w:rsidR="00087753" w:rsidRDefault="00536556">
      <w:pPr>
        <w:pStyle w:val="41"/>
        <w:tabs>
          <w:tab w:val="right" w:leader="dot" w:pos="9344"/>
        </w:tabs>
        <w:rPr>
          <w:rFonts w:asciiTheme="minorHAnsi" w:eastAsiaTheme="minorEastAsia" w:hAnsiTheme="minorHAnsi"/>
          <w:noProof/>
          <w:sz w:val="22"/>
          <w:lang w:eastAsia="ru-RU"/>
        </w:rPr>
      </w:pPr>
      <w:hyperlink w:anchor="_Toc104985198" w:history="1">
        <w:r w:rsidR="00087753" w:rsidRPr="00277050">
          <w:rPr>
            <w:rStyle w:val="a7"/>
            <w:noProof/>
          </w:rPr>
          <w:t xml:space="preserve">1.5.2.6 Casing or </w:t>
        </w:r>
        <w:r w:rsidR="00087753" w:rsidRPr="00277050">
          <w:rPr>
            <w:rStyle w:val="a7"/>
            <w:noProof/>
            <w:lang w:val="en-US"/>
          </w:rPr>
          <w:t>o</w:t>
        </w:r>
        <w:r w:rsidR="00087753" w:rsidRPr="00277050">
          <w:rPr>
            <w:rStyle w:val="a7"/>
            <w:noProof/>
          </w:rPr>
          <w:t xml:space="preserve">uter </w:t>
        </w:r>
        <w:r w:rsidR="00087753" w:rsidRPr="00277050">
          <w:rPr>
            <w:rStyle w:val="a7"/>
            <w:noProof/>
            <w:lang w:val="en-US"/>
          </w:rPr>
          <w:t>s</w:t>
        </w:r>
        <w:r w:rsidR="00087753" w:rsidRPr="00277050">
          <w:rPr>
            <w:rStyle w:val="a7"/>
            <w:noProof/>
          </w:rPr>
          <w:t>hell</w:t>
        </w:r>
        <w:r w:rsidR="00087753">
          <w:rPr>
            <w:noProof/>
            <w:webHidden/>
          </w:rPr>
          <w:tab/>
        </w:r>
        <w:r w:rsidR="00087753">
          <w:rPr>
            <w:noProof/>
            <w:webHidden/>
          </w:rPr>
          <w:fldChar w:fldCharType="begin"/>
        </w:r>
        <w:r w:rsidR="00087753">
          <w:rPr>
            <w:noProof/>
            <w:webHidden/>
          </w:rPr>
          <w:instrText xml:space="preserve"> PAGEREF _Toc104985198 \h </w:instrText>
        </w:r>
        <w:r w:rsidR="00087753">
          <w:rPr>
            <w:noProof/>
            <w:webHidden/>
          </w:rPr>
        </w:r>
        <w:r w:rsidR="00087753">
          <w:rPr>
            <w:noProof/>
            <w:webHidden/>
          </w:rPr>
          <w:fldChar w:fldCharType="separate"/>
        </w:r>
        <w:r w:rsidR="004870F1">
          <w:rPr>
            <w:noProof/>
            <w:webHidden/>
          </w:rPr>
          <w:t>57</w:t>
        </w:r>
        <w:r w:rsidR="00087753">
          <w:rPr>
            <w:noProof/>
            <w:webHidden/>
          </w:rPr>
          <w:fldChar w:fldCharType="end"/>
        </w:r>
      </w:hyperlink>
    </w:p>
    <w:p w14:paraId="66F07396" w14:textId="53562D95" w:rsidR="00087753" w:rsidRDefault="00536556">
      <w:pPr>
        <w:pStyle w:val="41"/>
        <w:tabs>
          <w:tab w:val="right" w:leader="dot" w:pos="9344"/>
        </w:tabs>
        <w:rPr>
          <w:rFonts w:asciiTheme="minorHAnsi" w:eastAsiaTheme="minorEastAsia" w:hAnsiTheme="minorHAnsi"/>
          <w:noProof/>
          <w:sz w:val="22"/>
          <w:lang w:eastAsia="ru-RU"/>
        </w:rPr>
      </w:pPr>
      <w:hyperlink w:anchor="_Toc104985199" w:history="1">
        <w:r w:rsidR="00087753" w:rsidRPr="00277050">
          <w:rPr>
            <w:rStyle w:val="a7"/>
            <w:noProof/>
          </w:rPr>
          <w:t xml:space="preserve">1.5.2.7 Internal </w:t>
        </w:r>
        <w:r w:rsidR="00087753" w:rsidRPr="00277050">
          <w:rPr>
            <w:rStyle w:val="a7"/>
            <w:noProof/>
            <w:lang w:val="en-US"/>
          </w:rPr>
          <w:t>d</w:t>
        </w:r>
        <w:r w:rsidR="00087753" w:rsidRPr="00277050">
          <w:rPr>
            <w:rStyle w:val="a7"/>
            <w:noProof/>
          </w:rPr>
          <w:t xml:space="preserve">rainage </w:t>
        </w:r>
        <w:r w:rsidR="00087753" w:rsidRPr="00277050">
          <w:rPr>
            <w:rStyle w:val="a7"/>
            <w:noProof/>
            <w:lang w:val="en-US"/>
          </w:rPr>
          <w:t>s</w:t>
        </w:r>
        <w:r w:rsidR="00087753" w:rsidRPr="00277050">
          <w:rPr>
            <w:rStyle w:val="a7"/>
            <w:noProof/>
          </w:rPr>
          <w:t>ystem</w:t>
        </w:r>
        <w:r w:rsidR="00087753">
          <w:rPr>
            <w:noProof/>
            <w:webHidden/>
          </w:rPr>
          <w:tab/>
        </w:r>
        <w:r w:rsidR="00087753">
          <w:rPr>
            <w:noProof/>
            <w:webHidden/>
          </w:rPr>
          <w:fldChar w:fldCharType="begin"/>
        </w:r>
        <w:r w:rsidR="00087753">
          <w:rPr>
            <w:noProof/>
            <w:webHidden/>
          </w:rPr>
          <w:instrText xml:space="preserve"> PAGEREF _Toc104985199 \h </w:instrText>
        </w:r>
        <w:r w:rsidR="00087753">
          <w:rPr>
            <w:noProof/>
            <w:webHidden/>
          </w:rPr>
        </w:r>
        <w:r w:rsidR="00087753">
          <w:rPr>
            <w:noProof/>
            <w:webHidden/>
          </w:rPr>
          <w:fldChar w:fldCharType="separate"/>
        </w:r>
        <w:r w:rsidR="004870F1">
          <w:rPr>
            <w:noProof/>
            <w:webHidden/>
          </w:rPr>
          <w:t>57</w:t>
        </w:r>
        <w:r w:rsidR="00087753">
          <w:rPr>
            <w:noProof/>
            <w:webHidden/>
          </w:rPr>
          <w:fldChar w:fldCharType="end"/>
        </w:r>
      </w:hyperlink>
    </w:p>
    <w:p w14:paraId="318F2EF7" w14:textId="4F0E3AD6" w:rsidR="00087753" w:rsidRDefault="00536556">
      <w:pPr>
        <w:pStyle w:val="41"/>
        <w:tabs>
          <w:tab w:val="right" w:leader="dot" w:pos="9344"/>
        </w:tabs>
        <w:rPr>
          <w:rFonts w:asciiTheme="minorHAnsi" w:eastAsiaTheme="minorEastAsia" w:hAnsiTheme="minorHAnsi"/>
          <w:noProof/>
          <w:sz w:val="22"/>
          <w:lang w:eastAsia="ru-RU"/>
        </w:rPr>
      </w:pPr>
      <w:hyperlink w:anchor="_Toc104985200" w:history="1">
        <w:r w:rsidR="00087753" w:rsidRPr="00277050">
          <w:rPr>
            <w:rStyle w:val="a7"/>
            <w:noProof/>
          </w:rPr>
          <w:t>1.5.2.8 Slope protection</w:t>
        </w:r>
        <w:r w:rsidR="00087753">
          <w:rPr>
            <w:noProof/>
            <w:webHidden/>
          </w:rPr>
          <w:tab/>
        </w:r>
        <w:r w:rsidR="00087753">
          <w:rPr>
            <w:noProof/>
            <w:webHidden/>
          </w:rPr>
          <w:fldChar w:fldCharType="begin"/>
        </w:r>
        <w:r w:rsidR="00087753">
          <w:rPr>
            <w:noProof/>
            <w:webHidden/>
          </w:rPr>
          <w:instrText xml:space="preserve"> PAGEREF _Toc104985200 \h </w:instrText>
        </w:r>
        <w:r w:rsidR="00087753">
          <w:rPr>
            <w:noProof/>
            <w:webHidden/>
          </w:rPr>
        </w:r>
        <w:r w:rsidR="00087753">
          <w:rPr>
            <w:noProof/>
            <w:webHidden/>
          </w:rPr>
          <w:fldChar w:fldCharType="separate"/>
        </w:r>
        <w:r w:rsidR="004870F1">
          <w:rPr>
            <w:noProof/>
            <w:webHidden/>
          </w:rPr>
          <w:t>58</w:t>
        </w:r>
        <w:r w:rsidR="00087753">
          <w:rPr>
            <w:noProof/>
            <w:webHidden/>
          </w:rPr>
          <w:fldChar w:fldCharType="end"/>
        </w:r>
      </w:hyperlink>
    </w:p>
    <w:p w14:paraId="5D097BAA" w14:textId="7F4B43AD" w:rsidR="00087753" w:rsidRDefault="00536556">
      <w:pPr>
        <w:pStyle w:val="41"/>
        <w:tabs>
          <w:tab w:val="right" w:leader="dot" w:pos="9344"/>
        </w:tabs>
        <w:rPr>
          <w:rFonts w:asciiTheme="minorHAnsi" w:eastAsiaTheme="minorEastAsia" w:hAnsiTheme="minorHAnsi"/>
          <w:noProof/>
          <w:sz w:val="22"/>
          <w:lang w:eastAsia="ru-RU"/>
        </w:rPr>
      </w:pPr>
      <w:hyperlink w:anchor="_Toc104985201" w:history="1">
        <w:r w:rsidR="00087753" w:rsidRPr="00277050">
          <w:rPr>
            <w:rStyle w:val="a7"/>
            <w:noProof/>
          </w:rPr>
          <w:t>1.5.2.9 Surface drainage</w:t>
        </w:r>
        <w:r w:rsidR="00087753">
          <w:rPr>
            <w:noProof/>
            <w:webHidden/>
          </w:rPr>
          <w:tab/>
        </w:r>
        <w:r w:rsidR="00087753">
          <w:rPr>
            <w:noProof/>
            <w:webHidden/>
          </w:rPr>
          <w:fldChar w:fldCharType="begin"/>
        </w:r>
        <w:r w:rsidR="00087753">
          <w:rPr>
            <w:noProof/>
            <w:webHidden/>
          </w:rPr>
          <w:instrText xml:space="preserve"> PAGEREF _Toc104985201 \h </w:instrText>
        </w:r>
        <w:r w:rsidR="00087753">
          <w:rPr>
            <w:noProof/>
            <w:webHidden/>
          </w:rPr>
        </w:r>
        <w:r w:rsidR="00087753">
          <w:rPr>
            <w:noProof/>
            <w:webHidden/>
          </w:rPr>
          <w:fldChar w:fldCharType="separate"/>
        </w:r>
        <w:r w:rsidR="004870F1">
          <w:rPr>
            <w:noProof/>
            <w:webHidden/>
          </w:rPr>
          <w:t>58</w:t>
        </w:r>
        <w:r w:rsidR="00087753">
          <w:rPr>
            <w:noProof/>
            <w:webHidden/>
          </w:rPr>
          <w:fldChar w:fldCharType="end"/>
        </w:r>
      </w:hyperlink>
    </w:p>
    <w:p w14:paraId="4FDA22F7" w14:textId="3D7F8906" w:rsidR="00087753" w:rsidRDefault="00536556">
      <w:pPr>
        <w:pStyle w:val="41"/>
        <w:tabs>
          <w:tab w:val="right" w:leader="dot" w:pos="9344"/>
        </w:tabs>
        <w:rPr>
          <w:rFonts w:asciiTheme="minorHAnsi" w:eastAsiaTheme="minorEastAsia" w:hAnsiTheme="minorHAnsi"/>
          <w:noProof/>
          <w:sz w:val="22"/>
          <w:lang w:eastAsia="ru-RU"/>
        </w:rPr>
      </w:pPr>
      <w:hyperlink w:anchor="_Toc104985202" w:history="1">
        <w:r w:rsidR="00087753" w:rsidRPr="00277050">
          <w:rPr>
            <w:rStyle w:val="a7"/>
            <w:noProof/>
          </w:rPr>
          <w:t>1.5.2.10 Impervious blanket</w:t>
        </w:r>
        <w:r w:rsidR="00087753">
          <w:rPr>
            <w:noProof/>
            <w:webHidden/>
          </w:rPr>
          <w:tab/>
        </w:r>
        <w:r w:rsidR="00087753">
          <w:rPr>
            <w:noProof/>
            <w:webHidden/>
          </w:rPr>
          <w:fldChar w:fldCharType="begin"/>
        </w:r>
        <w:r w:rsidR="00087753">
          <w:rPr>
            <w:noProof/>
            <w:webHidden/>
          </w:rPr>
          <w:instrText xml:space="preserve"> PAGEREF _Toc104985202 \h </w:instrText>
        </w:r>
        <w:r w:rsidR="00087753">
          <w:rPr>
            <w:noProof/>
            <w:webHidden/>
          </w:rPr>
        </w:r>
        <w:r w:rsidR="00087753">
          <w:rPr>
            <w:noProof/>
            <w:webHidden/>
          </w:rPr>
          <w:fldChar w:fldCharType="separate"/>
        </w:r>
        <w:r w:rsidR="004870F1">
          <w:rPr>
            <w:noProof/>
            <w:webHidden/>
          </w:rPr>
          <w:t>58</w:t>
        </w:r>
        <w:r w:rsidR="00087753">
          <w:rPr>
            <w:noProof/>
            <w:webHidden/>
          </w:rPr>
          <w:fldChar w:fldCharType="end"/>
        </w:r>
      </w:hyperlink>
    </w:p>
    <w:p w14:paraId="7E7C4162" w14:textId="215E07CB" w:rsidR="00087753" w:rsidRDefault="00536556">
      <w:pPr>
        <w:pStyle w:val="41"/>
        <w:tabs>
          <w:tab w:val="right" w:leader="dot" w:pos="9344"/>
        </w:tabs>
        <w:rPr>
          <w:rFonts w:asciiTheme="minorHAnsi" w:eastAsiaTheme="minorEastAsia" w:hAnsiTheme="minorHAnsi"/>
          <w:noProof/>
          <w:sz w:val="22"/>
          <w:lang w:eastAsia="ru-RU"/>
        </w:rPr>
      </w:pPr>
      <w:hyperlink w:anchor="_Toc104985203" w:history="1">
        <w:r w:rsidR="00087753" w:rsidRPr="00277050">
          <w:rPr>
            <w:rStyle w:val="a7"/>
            <w:noProof/>
          </w:rPr>
          <w:t>1.5.2.11 Design of spillway</w:t>
        </w:r>
        <w:r w:rsidR="00087753">
          <w:rPr>
            <w:noProof/>
            <w:webHidden/>
          </w:rPr>
          <w:tab/>
        </w:r>
        <w:r w:rsidR="00087753">
          <w:rPr>
            <w:noProof/>
            <w:webHidden/>
          </w:rPr>
          <w:fldChar w:fldCharType="begin"/>
        </w:r>
        <w:r w:rsidR="00087753">
          <w:rPr>
            <w:noProof/>
            <w:webHidden/>
          </w:rPr>
          <w:instrText xml:space="preserve"> PAGEREF _Toc104985203 \h </w:instrText>
        </w:r>
        <w:r w:rsidR="00087753">
          <w:rPr>
            <w:noProof/>
            <w:webHidden/>
          </w:rPr>
        </w:r>
        <w:r w:rsidR="00087753">
          <w:rPr>
            <w:noProof/>
            <w:webHidden/>
          </w:rPr>
          <w:fldChar w:fldCharType="separate"/>
        </w:r>
        <w:r w:rsidR="004870F1">
          <w:rPr>
            <w:noProof/>
            <w:webHidden/>
          </w:rPr>
          <w:t>59</w:t>
        </w:r>
        <w:r w:rsidR="00087753">
          <w:rPr>
            <w:noProof/>
            <w:webHidden/>
          </w:rPr>
          <w:fldChar w:fldCharType="end"/>
        </w:r>
      </w:hyperlink>
    </w:p>
    <w:p w14:paraId="7FE53CC4" w14:textId="3999E463" w:rsidR="00087753" w:rsidRDefault="00536556">
      <w:pPr>
        <w:pStyle w:val="41"/>
        <w:tabs>
          <w:tab w:val="right" w:leader="dot" w:pos="9344"/>
        </w:tabs>
        <w:rPr>
          <w:rFonts w:asciiTheme="minorHAnsi" w:eastAsiaTheme="minorEastAsia" w:hAnsiTheme="minorHAnsi"/>
          <w:noProof/>
          <w:sz w:val="22"/>
          <w:lang w:eastAsia="ru-RU"/>
        </w:rPr>
      </w:pPr>
      <w:hyperlink w:anchor="_Toc104985204" w:history="1">
        <w:r w:rsidR="00087753" w:rsidRPr="00277050">
          <w:rPr>
            <w:rStyle w:val="a7"/>
            <w:noProof/>
          </w:rPr>
          <w:t>1.5.2.12 Embankment slope stability</w:t>
        </w:r>
        <w:r w:rsidR="00087753">
          <w:rPr>
            <w:noProof/>
            <w:webHidden/>
          </w:rPr>
          <w:tab/>
        </w:r>
        <w:r w:rsidR="00087753">
          <w:rPr>
            <w:noProof/>
            <w:webHidden/>
          </w:rPr>
          <w:fldChar w:fldCharType="begin"/>
        </w:r>
        <w:r w:rsidR="00087753">
          <w:rPr>
            <w:noProof/>
            <w:webHidden/>
          </w:rPr>
          <w:instrText xml:space="preserve"> PAGEREF _Toc104985204 \h </w:instrText>
        </w:r>
        <w:r w:rsidR="00087753">
          <w:rPr>
            <w:noProof/>
            <w:webHidden/>
          </w:rPr>
        </w:r>
        <w:r w:rsidR="00087753">
          <w:rPr>
            <w:noProof/>
            <w:webHidden/>
          </w:rPr>
          <w:fldChar w:fldCharType="separate"/>
        </w:r>
        <w:r w:rsidR="004870F1">
          <w:rPr>
            <w:noProof/>
            <w:webHidden/>
          </w:rPr>
          <w:t>60</w:t>
        </w:r>
        <w:r w:rsidR="00087753">
          <w:rPr>
            <w:noProof/>
            <w:webHidden/>
          </w:rPr>
          <w:fldChar w:fldCharType="end"/>
        </w:r>
      </w:hyperlink>
    </w:p>
    <w:p w14:paraId="18592843" w14:textId="7FE40F77" w:rsidR="00087753" w:rsidRDefault="00536556">
      <w:pPr>
        <w:pStyle w:val="51"/>
        <w:tabs>
          <w:tab w:val="right" w:leader="dot" w:pos="9344"/>
        </w:tabs>
        <w:rPr>
          <w:rFonts w:asciiTheme="minorHAnsi" w:eastAsiaTheme="minorEastAsia" w:hAnsiTheme="minorHAnsi"/>
          <w:noProof/>
          <w:sz w:val="22"/>
          <w:lang w:eastAsia="ru-RU"/>
        </w:rPr>
      </w:pPr>
      <w:hyperlink w:anchor="_Toc104985205" w:history="1">
        <w:r w:rsidR="00087753" w:rsidRPr="00277050">
          <w:rPr>
            <w:rStyle w:val="a7"/>
            <w:noProof/>
          </w:rPr>
          <w:t>1.5.2.12.1 Causes of slope instability</w:t>
        </w:r>
        <w:r w:rsidR="00087753">
          <w:rPr>
            <w:noProof/>
            <w:webHidden/>
          </w:rPr>
          <w:tab/>
        </w:r>
        <w:r w:rsidR="00087753">
          <w:rPr>
            <w:noProof/>
            <w:webHidden/>
          </w:rPr>
          <w:fldChar w:fldCharType="begin"/>
        </w:r>
        <w:r w:rsidR="00087753">
          <w:rPr>
            <w:noProof/>
            <w:webHidden/>
          </w:rPr>
          <w:instrText xml:space="preserve"> PAGEREF _Toc104985205 \h </w:instrText>
        </w:r>
        <w:r w:rsidR="00087753">
          <w:rPr>
            <w:noProof/>
            <w:webHidden/>
          </w:rPr>
        </w:r>
        <w:r w:rsidR="00087753">
          <w:rPr>
            <w:noProof/>
            <w:webHidden/>
          </w:rPr>
          <w:fldChar w:fldCharType="separate"/>
        </w:r>
        <w:r w:rsidR="004870F1">
          <w:rPr>
            <w:noProof/>
            <w:webHidden/>
          </w:rPr>
          <w:t>60</w:t>
        </w:r>
        <w:r w:rsidR="00087753">
          <w:rPr>
            <w:noProof/>
            <w:webHidden/>
          </w:rPr>
          <w:fldChar w:fldCharType="end"/>
        </w:r>
      </w:hyperlink>
    </w:p>
    <w:p w14:paraId="2F6A4BF6" w14:textId="041CEFF9" w:rsidR="00087753" w:rsidRDefault="00536556">
      <w:pPr>
        <w:pStyle w:val="51"/>
        <w:tabs>
          <w:tab w:val="right" w:leader="dot" w:pos="9344"/>
        </w:tabs>
        <w:rPr>
          <w:rFonts w:asciiTheme="minorHAnsi" w:eastAsiaTheme="minorEastAsia" w:hAnsiTheme="minorHAnsi"/>
          <w:noProof/>
          <w:sz w:val="22"/>
          <w:lang w:eastAsia="ru-RU"/>
        </w:rPr>
      </w:pPr>
      <w:hyperlink w:anchor="_Toc104985206" w:history="1">
        <w:r w:rsidR="00087753" w:rsidRPr="00277050">
          <w:rPr>
            <w:rStyle w:val="a7"/>
            <w:noProof/>
            <w:lang w:val="en-US"/>
          </w:rPr>
          <w:t>1.5.2.12.2 The significance of embankment stability analysis in terms of slope</w:t>
        </w:r>
        <w:r w:rsidR="00087753">
          <w:rPr>
            <w:noProof/>
            <w:webHidden/>
          </w:rPr>
          <w:tab/>
        </w:r>
        <w:r w:rsidR="00087753">
          <w:rPr>
            <w:noProof/>
            <w:webHidden/>
          </w:rPr>
          <w:fldChar w:fldCharType="begin"/>
        </w:r>
        <w:r w:rsidR="00087753">
          <w:rPr>
            <w:noProof/>
            <w:webHidden/>
          </w:rPr>
          <w:instrText xml:space="preserve"> PAGEREF _Toc104985206 \h </w:instrText>
        </w:r>
        <w:r w:rsidR="00087753">
          <w:rPr>
            <w:noProof/>
            <w:webHidden/>
          </w:rPr>
        </w:r>
        <w:r w:rsidR="00087753">
          <w:rPr>
            <w:noProof/>
            <w:webHidden/>
          </w:rPr>
          <w:fldChar w:fldCharType="separate"/>
        </w:r>
        <w:r w:rsidR="004870F1">
          <w:rPr>
            <w:noProof/>
            <w:webHidden/>
          </w:rPr>
          <w:t>61</w:t>
        </w:r>
        <w:r w:rsidR="00087753">
          <w:rPr>
            <w:noProof/>
            <w:webHidden/>
          </w:rPr>
          <w:fldChar w:fldCharType="end"/>
        </w:r>
      </w:hyperlink>
    </w:p>
    <w:p w14:paraId="1BF0E9FF" w14:textId="50F8607F" w:rsidR="00087753" w:rsidRDefault="00536556">
      <w:pPr>
        <w:pStyle w:val="51"/>
        <w:tabs>
          <w:tab w:val="right" w:leader="dot" w:pos="9344"/>
        </w:tabs>
        <w:rPr>
          <w:rFonts w:asciiTheme="minorHAnsi" w:eastAsiaTheme="minorEastAsia" w:hAnsiTheme="minorHAnsi"/>
          <w:noProof/>
          <w:sz w:val="22"/>
          <w:lang w:eastAsia="ru-RU"/>
        </w:rPr>
      </w:pPr>
      <w:hyperlink w:anchor="_Toc104985207" w:history="1">
        <w:r w:rsidR="00087753" w:rsidRPr="00277050">
          <w:rPr>
            <w:rStyle w:val="a7"/>
            <w:noProof/>
          </w:rPr>
          <w:t>1.5.2.12.3 Types of slope failure</w:t>
        </w:r>
        <w:r w:rsidR="00087753">
          <w:rPr>
            <w:noProof/>
            <w:webHidden/>
          </w:rPr>
          <w:tab/>
        </w:r>
        <w:r w:rsidR="00087753">
          <w:rPr>
            <w:noProof/>
            <w:webHidden/>
          </w:rPr>
          <w:fldChar w:fldCharType="begin"/>
        </w:r>
        <w:r w:rsidR="00087753">
          <w:rPr>
            <w:noProof/>
            <w:webHidden/>
          </w:rPr>
          <w:instrText xml:space="preserve"> PAGEREF _Toc104985207 \h </w:instrText>
        </w:r>
        <w:r w:rsidR="00087753">
          <w:rPr>
            <w:noProof/>
            <w:webHidden/>
          </w:rPr>
        </w:r>
        <w:r w:rsidR="00087753">
          <w:rPr>
            <w:noProof/>
            <w:webHidden/>
          </w:rPr>
          <w:fldChar w:fldCharType="separate"/>
        </w:r>
        <w:r w:rsidR="004870F1">
          <w:rPr>
            <w:noProof/>
            <w:webHidden/>
          </w:rPr>
          <w:t>61</w:t>
        </w:r>
        <w:r w:rsidR="00087753">
          <w:rPr>
            <w:noProof/>
            <w:webHidden/>
          </w:rPr>
          <w:fldChar w:fldCharType="end"/>
        </w:r>
      </w:hyperlink>
    </w:p>
    <w:p w14:paraId="044D9603" w14:textId="42FF2645" w:rsidR="00087753" w:rsidRDefault="00536556">
      <w:pPr>
        <w:pStyle w:val="51"/>
        <w:tabs>
          <w:tab w:val="right" w:leader="dot" w:pos="9344"/>
        </w:tabs>
        <w:rPr>
          <w:rFonts w:asciiTheme="minorHAnsi" w:eastAsiaTheme="minorEastAsia" w:hAnsiTheme="minorHAnsi"/>
          <w:noProof/>
          <w:sz w:val="22"/>
          <w:lang w:eastAsia="ru-RU"/>
        </w:rPr>
      </w:pPr>
      <w:hyperlink w:anchor="_Toc104985208" w:history="1">
        <w:r w:rsidR="00087753" w:rsidRPr="00277050">
          <w:rPr>
            <w:rStyle w:val="a7"/>
            <w:noProof/>
            <w:lang w:val="en-US"/>
          </w:rPr>
          <w:t>1.5.2.12.4 Assumptions for slope stability analysis</w:t>
        </w:r>
        <w:r w:rsidR="00087753">
          <w:rPr>
            <w:noProof/>
            <w:webHidden/>
          </w:rPr>
          <w:tab/>
        </w:r>
        <w:r w:rsidR="00087753">
          <w:rPr>
            <w:noProof/>
            <w:webHidden/>
          </w:rPr>
          <w:fldChar w:fldCharType="begin"/>
        </w:r>
        <w:r w:rsidR="00087753">
          <w:rPr>
            <w:noProof/>
            <w:webHidden/>
          </w:rPr>
          <w:instrText xml:space="preserve"> PAGEREF _Toc104985208 \h </w:instrText>
        </w:r>
        <w:r w:rsidR="00087753">
          <w:rPr>
            <w:noProof/>
            <w:webHidden/>
          </w:rPr>
        </w:r>
        <w:r w:rsidR="00087753">
          <w:rPr>
            <w:noProof/>
            <w:webHidden/>
          </w:rPr>
          <w:fldChar w:fldCharType="separate"/>
        </w:r>
        <w:r w:rsidR="004870F1">
          <w:rPr>
            <w:noProof/>
            <w:webHidden/>
          </w:rPr>
          <w:t>62</w:t>
        </w:r>
        <w:r w:rsidR="00087753">
          <w:rPr>
            <w:noProof/>
            <w:webHidden/>
          </w:rPr>
          <w:fldChar w:fldCharType="end"/>
        </w:r>
      </w:hyperlink>
    </w:p>
    <w:p w14:paraId="2F80914F" w14:textId="35027444" w:rsidR="00087753" w:rsidRDefault="00536556">
      <w:pPr>
        <w:pStyle w:val="51"/>
        <w:tabs>
          <w:tab w:val="right" w:leader="dot" w:pos="9344"/>
        </w:tabs>
        <w:rPr>
          <w:rFonts w:asciiTheme="minorHAnsi" w:eastAsiaTheme="minorEastAsia" w:hAnsiTheme="minorHAnsi"/>
          <w:noProof/>
          <w:sz w:val="22"/>
          <w:lang w:eastAsia="ru-RU"/>
        </w:rPr>
      </w:pPr>
      <w:hyperlink w:anchor="_Toc104985209" w:history="1">
        <w:r w:rsidR="00087753" w:rsidRPr="00277050">
          <w:rPr>
            <w:rStyle w:val="a7"/>
            <w:noProof/>
          </w:rPr>
          <w:t xml:space="preserve">1.5.2.12.5 Factor of </w:t>
        </w:r>
        <w:r w:rsidR="00087753" w:rsidRPr="00277050">
          <w:rPr>
            <w:rStyle w:val="a7"/>
            <w:noProof/>
            <w:lang w:val="en-US"/>
          </w:rPr>
          <w:t>s</w:t>
        </w:r>
        <w:r w:rsidR="00087753" w:rsidRPr="00277050">
          <w:rPr>
            <w:rStyle w:val="a7"/>
            <w:noProof/>
          </w:rPr>
          <w:t>afety</w:t>
        </w:r>
        <w:r w:rsidR="00087753">
          <w:rPr>
            <w:noProof/>
            <w:webHidden/>
          </w:rPr>
          <w:tab/>
        </w:r>
        <w:r w:rsidR="00087753">
          <w:rPr>
            <w:noProof/>
            <w:webHidden/>
          </w:rPr>
          <w:fldChar w:fldCharType="begin"/>
        </w:r>
        <w:r w:rsidR="00087753">
          <w:rPr>
            <w:noProof/>
            <w:webHidden/>
          </w:rPr>
          <w:instrText xml:space="preserve"> PAGEREF _Toc104985209 \h </w:instrText>
        </w:r>
        <w:r w:rsidR="00087753">
          <w:rPr>
            <w:noProof/>
            <w:webHidden/>
          </w:rPr>
        </w:r>
        <w:r w:rsidR="00087753">
          <w:rPr>
            <w:noProof/>
            <w:webHidden/>
          </w:rPr>
          <w:fldChar w:fldCharType="separate"/>
        </w:r>
        <w:r w:rsidR="004870F1">
          <w:rPr>
            <w:noProof/>
            <w:webHidden/>
          </w:rPr>
          <w:t>62</w:t>
        </w:r>
        <w:r w:rsidR="00087753">
          <w:rPr>
            <w:noProof/>
            <w:webHidden/>
          </w:rPr>
          <w:fldChar w:fldCharType="end"/>
        </w:r>
      </w:hyperlink>
    </w:p>
    <w:p w14:paraId="72536195" w14:textId="599B9003" w:rsidR="00087753" w:rsidRDefault="00536556">
      <w:pPr>
        <w:pStyle w:val="51"/>
        <w:tabs>
          <w:tab w:val="right" w:leader="dot" w:pos="9344"/>
        </w:tabs>
        <w:rPr>
          <w:rFonts w:asciiTheme="minorHAnsi" w:eastAsiaTheme="minorEastAsia" w:hAnsiTheme="minorHAnsi"/>
          <w:noProof/>
          <w:sz w:val="22"/>
          <w:lang w:eastAsia="ru-RU"/>
        </w:rPr>
      </w:pPr>
      <w:hyperlink w:anchor="_Toc104985210" w:history="1">
        <w:r w:rsidR="00087753" w:rsidRPr="00277050">
          <w:rPr>
            <w:rStyle w:val="a7"/>
            <w:noProof/>
          </w:rPr>
          <w:t>1.5.2.12.6 Slope stability analysis methods</w:t>
        </w:r>
        <w:r w:rsidR="00087753">
          <w:rPr>
            <w:noProof/>
            <w:webHidden/>
          </w:rPr>
          <w:tab/>
        </w:r>
        <w:r w:rsidR="00087753">
          <w:rPr>
            <w:noProof/>
            <w:webHidden/>
          </w:rPr>
          <w:fldChar w:fldCharType="begin"/>
        </w:r>
        <w:r w:rsidR="00087753">
          <w:rPr>
            <w:noProof/>
            <w:webHidden/>
          </w:rPr>
          <w:instrText xml:space="preserve"> PAGEREF _Toc104985210 \h </w:instrText>
        </w:r>
        <w:r w:rsidR="00087753">
          <w:rPr>
            <w:noProof/>
            <w:webHidden/>
          </w:rPr>
        </w:r>
        <w:r w:rsidR="00087753">
          <w:rPr>
            <w:noProof/>
            <w:webHidden/>
          </w:rPr>
          <w:fldChar w:fldCharType="separate"/>
        </w:r>
        <w:r w:rsidR="004870F1">
          <w:rPr>
            <w:noProof/>
            <w:webHidden/>
          </w:rPr>
          <w:t>63</w:t>
        </w:r>
        <w:r w:rsidR="00087753">
          <w:rPr>
            <w:noProof/>
            <w:webHidden/>
          </w:rPr>
          <w:fldChar w:fldCharType="end"/>
        </w:r>
      </w:hyperlink>
    </w:p>
    <w:p w14:paraId="03D381D3" w14:textId="0C202F61" w:rsidR="00087753" w:rsidRDefault="00536556">
      <w:pPr>
        <w:pStyle w:val="41"/>
        <w:tabs>
          <w:tab w:val="right" w:leader="dot" w:pos="9344"/>
        </w:tabs>
        <w:rPr>
          <w:rFonts w:asciiTheme="minorHAnsi" w:eastAsiaTheme="minorEastAsia" w:hAnsiTheme="minorHAnsi"/>
          <w:noProof/>
          <w:sz w:val="22"/>
          <w:lang w:eastAsia="ru-RU"/>
        </w:rPr>
      </w:pPr>
      <w:hyperlink w:anchor="_Toc104985211" w:history="1">
        <w:r w:rsidR="00087753" w:rsidRPr="00277050">
          <w:rPr>
            <w:rStyle w:val="a7"/>
            <w:noProof/>
          </w:rPr>
          <w:t>1.5.2.13 Dam safety</w:t>
        </w:r>
        <w:r w:rsidR="00087753">
          <w:rPr>
            <w:noProof/>
            <w:webHidden/>
          </w:rPr>
          <w:tab/>
        </w:r>
        <w:r w:rsidR="00087753">
          <w:rPr>
            <w:noProof/>
            <w:webHidden/>
          </w:rPr>
          <w:fldChar w:fldCharType="begin"/>
        </w:r>
        <w:r w:rsidR="00087753">
          <w:rPr>
            <w:noProof/>
            <w:webHidden/>
          </w:rPr>
          <w:instrText xml:space="preserve"> PAGEREF _Toc104985211 \h </w:instrText>
        </w:r>
        <w:r w:rsidR="00087753">
          <w:rPr>
            <w:noProof/>
            <w:webHidden/>
          </w:rPr>
        </w:r>
        <w:r w:rsidR="00087753">
          <w:rPr>
            <w:noProof/>
            <w:webHidden/>
          </w:rPr>
          <w:fldChar w:fldCharType="separate"/>
        </w:r>
        <w:r w:rsidR="004870F1">
          <w:rPr>
            <w:noProof/>
            <w:webHidden/>
          </w:rPr>
          <w:t>84</w:t>
        </w:r>
        <w:r w:rsidR="00087753">
          <w:rPr>
            <w:noProof/>
            <w:webHidden/>
          </w:rPr>
          <w:fldChar w:fldCharType="end"/>
        </w:r>
      </w:hyperlink>
    </w:p>
    <w:p w14:paraId="64283652" w14:textId="57F2B0E4" w:rsidR="00087753" w:rsidRDefault="00536556">
      <w:pPr>
        <w:pStyle w:val="51"/>
        <w:tabs>
          <w:tab w:val="right" w:leader="dot" w:pos="9344"/>
        </w:tabs>
        <w:rPr>
          <w:rFonts w:asciiTheme="minorHAnsi" w:eastAsiaTheme="minorEastAsia" w:hAnsiTheme="minorHAnsi"/>
          <w:noProof/>
          <w:sz w:val="22"/>
          <w:lang w:eastAsia="ru-RU"/>
        </w:rPr>
      </w:pPr>
      <w:hyperlink w:anchor="_Toc104985212" w:history="1">
        <w:r w:rsidR="00087753" w:rsidRPr="00277050">
          <w:rPr>
            <w:rStyle w:val="a7"/>
            <w:noProof/>
            <w:lang w:val="en-US"/>
          </w:rPr>
          <w:t>1.5.2.13.1 World declaration on dam safety</w:t>
        </w:r>
        <w:r w:rsidR="00087753">
          <w:rPr>
            <w:noProof/>
            <w:webHidden/>
          </w:rPr>
          <w:tab/>
        </w:r>
        <w:r w:rsidR="00087753">
          <w:rPr>
            <w:noProof/>
            <w:webHidden/>
          </w:rPr>
          <w:fldChar w:fldCharType="begin"/>
        </w:r>
        <w:r w:rsidR="00087753">
          <w:rPr>
            <w:noProof/>
            <w:webHidden/>
          </w:rPr>
          <w:instrText xml:space="preserve"> PAGEREF _Toc104985212 \h </w:instrText>
        </w:r>
        <w:r w:rsidR="00087753">
          <w:rPr>
            <w:noProof/>
            <w:webHidden/>
          </w:rPr>
        </w:r>
        <w:r w:rsidR="00087753">
          <w:rPr>
            <w:noProof/>
            <w:webHidden/>
          </w:rPr>
          <w:fldChar w:fldCharType="separate"/>
        </w:r>
        <w:r w:rsidR="004870F1">
          <w:rPr>
            <w:noProof/>
            <w:webHidden/>
          </w:rPr>
          <w:t>84</w:t>
        </w:r>
        <w:r w:rsidR="00087753">
          <w:rPr>
            <w:noProof/>
            <w:webHidden/>
          </w:rPr>
          <w:fldChar w:fldCharType="end"/>
        </w:r>
      </w:hyperlink>
    </w:p>
    <w:p w14:paraId="75B8CA3E" w14:textId="03C16295" w:rsidR="00087753" w:rsidRDefault="00536556">
      <w:pPr>
        <w:pStyle w:val="51"/>
        <w:tabs>
          <w:tab w:val="right" w:leader="dot" w:pos="9344"/>
        </w:tabs>
        <w:rPr>
          <w:rFonts w:asciiTheme="minorHAnsi" w:eastAsiaTheme="minorEastAsia" w:hAnsiTheme="minorHAnsi"/>
          <w:noProof/>
          <w:sz w:val="22"/>
          <w:lang w:eastAsia="ru-RU"/>
        </w:rPr>
      </w:pPr>
      <w:hyperlink w:anchor="_Toc104985213" w:history="1">
        <w:r w:rsidR="00087753" w:rsidRPr="00277050">
          <w:rPr>
            <w:rStyle w:val="a7"/>
            <w:noProof/>
          </w:rPr>
          <w:t>1.5.2.13.2 Dam safety management</w:t>
        </w:r>
        <w:r w:rsidR="00087753">
          <w:rPr>
            <w:noProof/>
            <w:webHidden/>
          </w:rPr>
          <w:tab/>
        </w:r>
        <w:r w:rsidR="00087753">
          <w:rPr>
            <w:noProof/>
            <w:webHidden/>
          </w:rPr>
          <w:fldChar w:fldCharType="begin"/>
        </w:r>
        <w:r w:rsidR="00087753">
          <w:rPr>
            <w:noProof/>
            <w:webHidden/>
          </w:rPr>
          <w:instrText xml:space="preserve"> PAGEREF _Toc104985213 \h </w:instrText>
        </w:r>
        <w:r w:rsidR="00087753">
          <w:rPr>
            <w:noProof/>
            <w:webHidden/>
          </w:rPr>
        </w:r>
        <w:r w:rsidR="00087753">
          <w:rPr>
            <w:noProof/>
            <w:webHidden/>
          </w:rPr>
          <w:fldChar w:fldCharType="separate"/>
        </w:r>
        <w:r w:rsidR="004870F1">
          <w:rPr>
            <w:noProof/>
            <w:webHidden/>
          </w:rPr>
          <w:t>88</w:t>
        </w:r>
        <w:r w:rsidR="00087753">
          <w:rPr>
            <w:noProof/>
            <w:webHidden/>
          </w:rPr>
          <w:fldChar w:fldCharType="end"/>
        </w:r>
      </w:hyperlink>
    </w:p>
    <w:p w14:paraId="4D33A04A" w14:textId="02ACAB3D" w:rsidR="00087753" w:rsidRDefault="00536556">
      <w:pPr>
        <w:pStyle w:val="51"/>
        <w:tabs>
          <w:tab w:val="right" w:leader="dot" w:pos="9344"/>
        </w:tabs>
        <w:rPr>
          <w:rFonts w:asciiTheme="minorHAnsi" w:eastAsiaTheme="minorEastAsia" w:hAnsiTheme="minorHAnsi"/>
          <w:noProof/>
          <w:sz w:val="22"/>
          <w:lang w:eastAsia="ru-RU"/>
        </w:rPr>
      </w:pPr>
      <w:hyperlink w:anchor="_Toc104985214" w:history="1">
        <w:r w:rsidR="00087753" w:rsidRPr="00277050">
          <w:rPr>
            <w:rStyle w:val="a7"/>
            <w:noProof/>
          </w:rPr>
          <w:t xml:space="preserve">1.5.2.13.3 Dam </w:t>
        </w:r>
        <w:r w:rsidR="00087753" w:rsidRPr="00277050">
          <w:rPr>
            <w:rStyle w:val="a7"/>
            <w:noProof/>
            <w:lang w:val="en-US"/>
          </w:rPr>
          <w:t>s</w:t>
        </w:r>
        <w:r w:rsidR="00087753" w:rsidRPr="00277050">
          <w:rPr>
            <w:rStyle w:val="a7"/>
            <w:noProof/>
          </w:rPr>
          <w:t xml:space="preserve">afety </w:t>
        </w:r>
        <w:r w:rsidR="00087753" w:rsidRPr="00277050">
          <w:rPr>
            <w:rStyle w:val="a7"/>
            <w:noProof/>
            <w:lang w:val="en-US"/>
          </w:rPr>
          <w:t>p</w:t>
        </w:r>
        <w:r w:rsidR="00087753" w:rsidRPr="00277050">
          <w:rPr>
            <w:rStyle w:val="a7"/>
            <w:noProof/>
          </w:rPr>
          <w:t>rograms</w:t>
        </w:r>
        <w:r w:rsidR="00087753">
          <w:rPr>
            <w:noProof/>
            <w:webHidden/>
          </w:rPr>
          <w:tab/>
        </w:r>
        <w:r w:rsidR="00087753">
          <w:rPr>
            <w:noProof/>
            <w:webHidden/>
          </w:rPr>
          <w:fldChar w:fldCharType="begin"/>
        </w:r>
        <w:r w:rsidR="00087753">
          <w:rPr>
            <w:noProof/>
            <w:webHidden/>
          </w:rPr>
          <w:instrText xml:space="preserve"> PAGEREF _Toc104985214 \h </w:instrText>
        </w:r>
        <w:r w:rsidR="00087753">
          <w:rPr>
            <w:noProof/>
            <w:webHidden/>
          </w:rPr>
        </w:r>
        <w:r w:rsidR="00087753">
          <w:rPr>
            <w:noProof/>
            <w:webHidden/>
          </w:rPr>
          <w:fldChar w:fldCharType="separate"/>
        </w:r>
        <w:r w:rsidR="004870F1">
          <w:rPr>
            <w:noProof/>
            <w:webHidden/>
          </w:rPr>
          <w:t>88</w:t>
        </w:r>
        <w:r w:rsidR="00087753">
          <w:rPr>
            <w:noProof/>
            <w:webHidden/>
          </w:rPr>
          <w:fldChar w:fldCharType="end"/>
        </w:r>
      </w:hyperlink>
    </w:p>
    <w:p w14:paraId="509902C9" w14:textId="5A6D8A44" w:rsidR="00087753" w:rsidRDefault="00536556">
      <w:pPr>
        <w:pStyle w:val="51"/>
        <w:tabs>
          <w:tab w:val="right" w:leader="dot" w:pos="9344"/>
        </w:tabs>
        <w:rPr>
          <w:rFonts w:asciiTheme="minorHAnsi" w:eastAsiaTheme="minorEastAsia" w:hAnsiTheme="minorHAnsi"/>
          <w:noProof/>
          <w:sz w:val="22"/>
          <w:lang w:eastAsia="ru-RU"/>
        </w:rPr>
      </w:pPr>
      <w:hyperlink w:anchor="_Toc104985215" w:history="1">
        <w:r w:rsidR="00087753" w:rsidRPr="00277050">
          <w:rPr>
            <w:rStyle w:val="a7"/>
            <w:noProof/>
            <w:lang w:val="en-US"/>
          </w:rPr>
          <w:t>1.5.2.13.4 Dam safety and flood evaluation</w:t>
        </w:r>
        <w:r w:rsidR="00087753">
          <w:rPr>
            <w:noProof/>
            <w:webHidden/>
          </w:rPr>
          <w:tab/>
        </w:r>
        <w:r w:rsidR="00087753">
          <w:rPr>
            <w:noProof/>
            <w:webHidden/>
          </w:rPr>
          <w:fldChar w:fldCharType="begin"/>
        </w:r>
        <w:r w:rsidR="00087753">
          <w:rPr>
            <w:noProof/>
            <w:webHidden/>
          </w:rPr>
          <w:instrText xml:space="preserve"> PAGEREF _Toc104985215 \h </w:instrText>
        </w:r>
        <w:r w:rsidR="00087753">
          <w:rPr>
            <w:noProof/>
            <w:webHidden/>
          </w:rPr>
        </w:r>
        <w:r w:rsidR="00087753">
          <w:rPr>
            <w:noProof/>
            <w:webHidden/>
          </w:rPr>
          <w:fldChar w:fldCharType="separate"/>
        </w:r>
        <w:r w:rsidR="004870F1">
          <w:rPr>
            <w:noProof/>
            <w:webHidden/>
          </w:rPr>
          <w:t>91</w:t>
        </w:r>
        <w:r w:rsidR="00087753">
          <w:rPr>
            <w:noProof/>
            <w:webHidden/>
          </w:rPr>
          <w:fldChar w:fldCharType="end"/>
        </w:r>
      </w:hyperlink>
    </w:p>
    <w:p w14:paraId="190CB2F0" w14:textId="338EFA48" w:rsidR="00087753" w:rsidRDefault="00536556">
      <w:pPr>
        <w:pStyle w:val="51"/>
        <w:tabs>
          <w:tab w:val="right" w:leader="dot" w:pos="9344"/>
        </w:tabs>
        <w:rPr>
          <w:rFonts w:asciiTheme="minorHAnsi" w:eastAsiaTheme="minorEastAsia" w:hAnsiTheme="minorHAnsi"/>
          <w:noProof/>
          <w:sz w:val="22"/>
          <w:lang w:eastAsia="ru-RU"/>
        </w:rPr>
      </w:pPr>
      <w:hyperlink w:anchor="_Toc104985216" w:history="1">
        <w:r w:rsidR="00087753" w:rsidRPr="00277050">
          <w:rPr>
            <w:rStyle w:val="a7"/>
            <w:noProof/>
          </w:rPr>
          <w:t>1.5.2.13.5 Dam internal erosion</w:t>
        </w:r>
        <w:r w:rsidR="00087753">
          <w:rPr>
            <w:noProof/>
            <w:webHidden/>
          </w:rPr>
          <w:tab/>
        </w:r>
        <w:r w:rsidR="00087753">
          <w:rPr>
            <w:noProof/>
            <w:webHidden/>
          </w:rPr>
          <w:fldChar w:fldCharType="begin"/>
        </w:r>
        <w:r w:rsidR="00087753">
          <w:rPr>
            <w:noProof/>
            <w:webHidden/>
          </w:rPr>
          <w:instrText xml:space="preserve"> PAGEREF _Toc104985216 \h </w:instrText>
        </w:r>
        <w:r w:rsidR="00087753">
          <w:rPr>
            <w:noProof/>
            <w:webHidden/>
          </w:rPr>
        </w:r>
        <w:r w:rsidR="00087753">
          <w:rPr>
            <w:noProof/>
            <w:webHidden/>
          </w:rPr>
          <w:fldChar w:fldCharType="separate"/>
        </w:r>
        <w:r w:rsidR="004870F1">
          <w:rPr>
            <w:noProof/>
            <w:webHidden/>
          </w:rPr>
          <w:t>91</w:t>
        </w:r>
        <w:r w:rsidR="00087753">
          <w:rPr>
            <w:noProof/>
            <w:webHidden/>
          </w:rPr>
          <w:fldChar w:fldCharType="end"/>
        </w:r>
      </w:hyperlink>
    </w:p>
    <w:p w14:paraId="17395378" w14:textId="0190CEB0" w:rsidR="00087753" w:rsidRDefault="00536556">
      <w:pPr>
        <w:pStyle w:val="51"/>
        <w:tabs>
          <w:tab w:val="right" w:leader="dot" w:pos="9344"/>
        </w:tabs>
        <w:rPr>
          <w:rFonts w:asciiTheme="minorHAnsi" w:eastAsiaTheme="minorEastAsia" w:hAnsiTheme="minorHAnsi"/>
          <w:noProof/>
          <w:sz w:val="22"/>
          <w:lang w:eastAsia="ru-RU"/>
        </w:rPr>
      </w:pPr>
      <w:hyperlink w:anchor="_Toc104985217" w:history="1">
        <w:r w:rsidR="00087753" w:rsidRPr="00277050">
          <w:rPr>
            <w:rStyle w:val="a7"/>
            <w:noProof/>
            <w:lang w:val="en-US"/>
          </w:rPr>
          <w:t>1.5.2.13.6 Tropical residual soils as dam foundation and fill material</w:t>
        </w:r>
        <w:r w:rsidR="00087753">
          <w:rPr>
            <w:noProof/>
            <w:webHidden/>
          </w:rPr>
          <w:tab/>
        </w:r>
        <w:r w:rsidR="00087753">
          <w:rPr>
            <w:noProof/>
            <w:webHidden/>
          </w:rPr>
          <w:fldChar w:fldCharType="begin"/>
        </w:r>
        <w:r w:rsidR="00087753">
          <w:rPr>
            <w:noProof/>
            <w:webHidden/>
          </w:rPr>
          <w:instrText xml:space="preserve"> PAGEREF _Toc104985217 \h </w:instrText>
        </w:r>
        <w:r w:rsidR="00087753">
          <w:rPr>
            <w:noProof/>
            <w:webHidden/>
          </w:rPr>
        </w:r>
        <w:r w:rsidR="00087753">
          <w:rPr>
            <w:noProof/>
            <w:webHidden/>
          </w:rPr>
          <w:fldChar w:fldCharType="separate"/>
        </w:r>
        <w:r w:rsidR="004870F1">
          <w:rPr>
            <w:noProof/>
            <w:webHidden/>
          </w:rPr>
          <w:t>93</w:t>
        </w:r>
        <w:r w:rsidR="00087753">
          <w:rPr>
            <w:noProof/>
            <w:webHidden/>
          </w:rPr>
          <w:fldChar w:fldCharType="end"/>
        </w:r>
      </w:hyperlink>
    </w:p>
    <w:p w14:paraId="0D43D181" w14:textId="1A1936FC" w:rsidR="00087753" w:rsidRDefault="00536556">
      <w:pPr>
        <w:pStyle w:val="51"/>
        <w:tabs>
          <w:tab w:val="right" w:leader="dot" w:pos="9344"/>
        </w:tabs>
        <w:rPr>
          <w:rFonts w:asciiTheme="minorHAnsi" w:eastAsiaTheme="minorEastAsia" w:hAnsiTheme="minorHAnsi"/>
          <w:noProof/>
          <w:sz w:val="22"/>
          <w:lang w:eastAsia="ru-RU"/>
        </w:rPr>
      </w:pPr>
      <w:hyperlink w:anchor="_Toc104985218" w:history="1">
        <w:r w:rsidR="00087753" w:rsidRPr="00277050">
          <w:rPr>
            <w:rStyle w:val="a7"/>
            <w:noProof/>
          </w:rPr>
          <w:t>1.5.2.13.7</w:t>
        </w:r>
        <w:r w:rsidR="00087753" w:rsidRPr="00277050">
          <w:rPr>
            <w:rStyle w:val="a7"/>
            <w:noProof/>
            <w:lang w:val="en-US"/>
          </w:rPr>
          <w:t xml:space="preserve"> Summary of the sub-section</w:t>
        </w:r>
        <w:r w:rsidR="00087753">
          <w:rPr>
            <w:noProof/>
            <w:webHidden/>
          </w:rPr>
          <w:tab/>
        </w:r>
        <w:r w:rsidR="00087753">
          <w:rPr>
            <w:noProof/>
            <w:webHidden/>
          </w:rPr>
          <w:fldChar w:fldCharType="begin"/>
        </w:r>
        <w:r w:rsidR="00087753">
          <w:rPr>
            <w:noProof/>
            <w:webHidden/>
          </w:rPr>
          <w:instrText xml:space="preserve"> PAGEREF _Toc104985218 \h </w:instrText>
        </w:r>
        <w:r w:rsidR="00087753">
          <w:rPr>
            <w:noProof/>
            <w:webHidden/>
          </w:rPr>
        </w:r>
        <w:r w:rsidR="00087753">
          <w:rPr>
            <w:noProof/>
            <w:webHidden/>
          </w:rPr>
          <w:fldChar w:fldCharType="separate"/>
        </w:r>
        <w:r w:rsidR="004870F1">
          <w:rPr>
            <w:noProof/>
            <w:webHidden/>
          </w:rPr>
          <w:t>93</w:t>
        </w:r>
        <w:r w:rsidR="00087753">
          <w:rPr>
            <w:noProof/>
            <w:webHidden/>
          </w:rPr>
          <w:fldChar w:fldCharType="end"/>
        </w:r>
      </w:hyperlink>
    </w:p>
    <w:p w14:paraId="7DC8EA19" w14:textId="615E2A44" w:rsidR="00087753" w:rsidRDefault="00536556">
      <w:pPr>
        <w:pStyle w:val="41"/>
        <w:tabs>
          <w:tab w:val="right" w:leader="dot" w:pos="9344"/>
        </w:tabs>
        <w:rPr>
          <w:rFonts w:asciiTheme="minorHAnsi" w:eastAsiaTheme="minorEastAsia" w:hAnsiTheme="minorHAnsi"/>
          <w:noProof/>
          <w:sz w:val="22"/>
          <w:lang w:eastAsia="ru-RU"/>
        </w:rPr>
      </w:pPr>
      <w:hyperlink w:anchor="_Toc104985219" w:history="1">
        <w:r w:rsidR="00087753" w:rsidRPr="00277050">
          <w:rPr>
            <w:rStyle w:val="a7"/>
            <w:noProof/>
            <w:lang w:val="en-US"/>
          </w:rPr>
          <w:t>1.5.2.14 Modeling of embankment dam behavior</w:t>
        </w:r>
        <w:r w:rsidR="00087753">
          <w:rPr>
            <w:noProof/>
            <w:webHidden/>
          </w:rPr>
          <w:tab/>
        </w:r>
        <w:r w:rsidR="00087753">
          <w:rPr>
            <w:noProof/>
            <w:webHidden/>
          </w:rPr>
          <w:fldChar w:fldCharType="begin"/>
        </w:r>
        <w:r w:rsidR="00087753">
          <w:rPr>
            <w:noProof/>
            <w:webHidden/>
          </w:rPr>
          <w:instrText xml:space="preserve"> PAGEREF _Toc104985219 \h </w:instrText>
        </w:r>
        <w:r w:rsidR="00087753">
          <w:rPr>
            <w:noProof/>
            <w:webHidden/>
          </w:rPr>
        </w:r>
        <w:r w:rsidR="00087753">
          <w:rPr>
            <w:noProof/>
            <w:webHidden/>
          </w:rPr>
          <w:fldChar w:fldCharType="separate"/>
        </w:r>
        <w:r w:rsidR="004870F1">
          <w:rPr>
            <w:noProof/>
            <w:webHidden/>
          </w:rPr>
          <w:t>94</w:t>
        </w:r>
        <w:r w:rsidR="00087753">
          <w:rPr>
            <w:noProof/>
            <w:webHidden/>
          </w:rPr>
          <w:fldChar w:fldCharType="end"/>
        </w:r>
      </w:hyperlink>
    </w:p>
    <w:p w14:paraId="1FC9AFAE" w14:textId="2C68DC9C" w:rsidR="00087753" w:rsidRDefault="00536556">
      <w:pPr>
        <w:pStyle w:val="51"/>
        <w:tabs>
          <w:tab w:val="right" w:leader="dot" w:pos="9344"/>
        </w:tabs>
        <w:rPr>
          <w:rFonts w:asciiTheme="minorHAnsi" w:eastAsiaTheme="minorEastAsia" w:hAnsiTheme="minorHAnsi"/>
          <w:noProof/>
          <w:sz w:val="22"/>
          <w:lang w:eastAsia="ru-RU"/>
        </w:rPr>
      </w:pPr>
      <w:hyperlink w:anchor="_Toc104985220" w:history="1">
        <w:r w:rsidR="00087753" w:rsidRPr="00277050">
          <w:rPr>
            <w:rStyle w:val="a7"/>
            <w:noProof/>
          </w:rPr>
          <w:t>1.5.2.14.1 Dam modeling during construction</w:t>
        </w:r>
        <w:r w:rsidR="00087753">
          <w:rPr>
            <w:noProof/>
            <w:webHidden/>
          </w:rPr>
          <w:tab/>
        </w:r>
        <w:r w:rsidR="00087753">
          <w:rPr>
            <w:noProof/>
            <w:webHidden/>
          </w:rPr>
          <w:fldChar w:fldCharType="begin"/>
        </w:r>
        <w:r w:rsidR="00087753">
          <w:rPr>
            <w:noProof/>
            <w:webHidden/>
          </w:rPr>
          <w:instrText xml:space="preserve"> PAGEREF _Toc104985220 \h </w:instrText>
        </w:r>
        <w:r w:rsidR="00087753">
          <w:rPr>
            <w:noProof/>
            <w:webHidden/>
          </w:rPr>
        </w:r>
        <w:r w:rsidR="00087753">
          <w:rPr>
            <w:noProof/>
            <w:webHidden/>
          </w:rPr>
          <w:fldChar w:fldCharType="separate"/>
        </w:r>
        <w:r w:rsidR="004870F1">
          <w:rPr>
            <w:noProof/>
            <w:webHidden/>
          </w:rPr>
          <w:t>94</w:t>
        </w:r>
        <w:r w:rsidR="00087753">
          <w:rPr>
            <w:noProof/>
            <w:webHidden/>
          </w:rPr>
          <w:fldChar w:fldCharType="end"/>
        </w:r>
      </w:hyperlink>
    </w:p>
    <w:p w14:paraId="17655D96" w14:textId="4108AAE8" w:rsidR="00087753" w:rsidRDefault="00536556">
      <w:pPr>
        <w:pStyle w:val="51"/>
        <w:tabs>
          <w:tab w:val="right" w:leader="dot" w:pos="9344"/>
        </w:tabs>
        <w:rPr>
          <w:rFonts w:asciiTheme="minorHAnsi" w:eastAsiaTheme="minorEastAsia" w:hAnsiTheme="minorHAnsi"/>
          <w:noProof/>
          <w:sz w:val="22"/>
          <w:lang w:eastAsia="ru-RU"/>
        </w:rPr>
      </w:pPr>
      <w:hyperlink w:anchor="_Toc104985221" w:history="1">
        <w:r w:rsidR="00087753" w:rsidRPr="00277050">
          <w:rPr>
            <w:rStyle w:val="a7"/>
            <w:noProof/>
            <w:lang w:val="en-US"/>
          </w:rPr>
          <w:t>1.5.2.14.2 Dam modeling during first filling</w:t>
        </w:r>
        <w:r w:rsidR="00087753">
          <w:rPr>
            <w:noProof/>
            <w:webHidden/>
          </w:rPr>
          <w:tab/>
        </w:r>
        <w:r w:rsidR="00087753">
          <w:rPr>
            <w:noProof/>
            <w:webHidden/>
          </w:rPr>
          <w:fldChar w:fldCharType="begin"/>
        </w:r>
        <w:r w:rsidR="00087753">
          <w:rPr>
            <w:noProof/>
            <w:webHidden/>
          </w:rPr>
          <w:instrText xml:space="preserve"> PAGEREF _Toc104985221 \h </w:instrText>
        </w:r>
        <w:r w:rsidR="00087753">
          <w:rPr>
            <w:noProof/>
            <w:webHidden/>
          </w:rPr>
        </w:r>
        <w:r w:rsidR="00087753">
          <w:rPr>
            <w:noProof/>
            <w:webHidden/>
          </w:rPr>
          <w:fldChar w:fldCharType="separate"/>
        </w:r>
        <w:r w:rsidR="004870F1">
          <w:rPr>
            <w:noProof/>
            <w:webHidden/>
          </w:rPr>
          <w:t>95</w:t>
        </w:r>
        <w:r w:rsidR="00087753">
          <w:rPr>
            <w:noProof/>
            <w:webHidden/>
          </w:rPr>
          <w:fldChar w:fldCharType="end"/>
        </w:r>
      </w:hyperlink>
    </w:p>
    <w:p w14:paraId="26C3FFE3" w14:textId="55B472DE" w:rsidR="00087753" w:rsidRDefault="00536556">
      <w:pPr>
        <w:pStyle w:val="51"/>
        <w:tabs>
          <w:tab w:val="right" w:leader="dot" w:pos="9344"/>
        </w:tabs>
        <w:rPr>
          <w:rFonts w:asciiTheme="minorHAnsi" w:eastAsiaTheme="minorEastAsia" w:hAnsiTheme="minorHAnsi"/>
          <w:noProof/>
          <w:sz w:val="22"/>
          <w:lang w:eastAsia="ru-RU"/>
        </w:rPr>
      </w:pPr>
      <w:hyperlink w:anchor="_Toc104985222" w:history="1">
        <w:r w:rsidR="00087753" w:rsidRPr="00277050">
          <w:rPr>
            <w:rStyle w:val="a7"/>
            <w:noProof/>
          </w:rPr>
          <w:t>1.5.2.14.3 Dam modeling during operation</w:t>
        </w:r>
        <w:r w:rsidR="00087753">
          <w:rPr>
            <w:noProof/>
            <w:webHidden/>
          </w:rPr>
          <w:tab/>
        </w:r>
        <w:r w:rsidR="00087753">
          <w:rPr>
            <w:noProof/>
            <w:webHidden/>
          </w:rPr>
          <w:fldChar w:fldCharType="begin"/>
        </w:r>
        <w:r w:rsidR="00087753">
          <w:rPr>
            <w:noProof/>
            <w:webHidden/>
          </w:rPr>
          <w:instrText xml:space="preserve"> PAGEREF _Toc104985222 \h </w:instrText>
        </w:r>
        <w:r w:rsidR="00087753">
          <w:rPr>
            <w:noProof/>
            <w:webHidden/>
          </w:rPr>
        </w:r>
        <w:r w:rsidR="00087753">
          <w:rPr>
            <w:noProof/>
            <w:webHidden/>
          </w:rPr>
          <w:fldChar w:fldCharType="separate"/>
        </w:r>
        <w:r w:rsidR="004870F1">
          <w:rPr>
            <w:noProof/>
            <w:webHidden/>
          </w:rPr>
          <w:t>96</w:t>
        </w:r>
        <w:r w:rsidR="00087753">
          <w:rPr>
            <w:noProof/>
            <w:webHidden/>
          </w:rPr>
          <w:fldChar w:fldCharType="end"/>
        </w:r>
      </w:hyperlink>
    </w:p>
    <w:p w14:paraId="483C6A60" w14:textId="6545A868" w:rsidR="00087753" w:rsidRDefault="00536556">
      <w:pPr>
        <w:pStyle w:val="51"/>
        <w:tabs>
          <w:tab w:val="right" w:leader="dot" w:pos="9344"/>
        </w:tabs>
        <w:rPr>
          <w:rFonts w:asciiTheme="minorHAnsi" w:eastAsiaTheme="minorEastAsia" w:hAnsiTheme="minorHAnsi"/>
          <w:noProof/>
          <w:sz w:val="22"/>
          <w:lang w:eastAsia="ru-RU"/>
        </w:rPr>
      </w:pPr>
      <w:hyperlink w:anchor="_Toc104985223" w:history="1">
        <w:r w:rsidR="00087753" w:rsidRPr="00277050">
          <w:rPr>
            <w:rStyle w:val="a7"/>
            <w:noProof/>
            <w:lang w:val="en-US"/>
          </w:rPr>
          <w:t>1.5.2.14.4 Dam modeling during rapid drawdown</w:t>
        </w:r>
        <w:r w:rsidR="00087753">
          <w:rPr>
            <w:noProof/>
            <w:webHidden/>
          </w:rPr>
          <w:tab/>
        </w:r>
        <w:r w:rsidR="00087753">
          <w:rPr>
            <w:noProof/>
            <w:webHidden/>
          </w:rPr>
          <w:fldChar w:fldCharType="begin"/>
        </w:r>
        <w:r w:rsidR="00087753">
          <w:rPr>
            <w:noProof/>
            <w:webHidden/>
          </w:rPr>
          <w:instrText xml:space="preserve"> PAGEREF _Toc104985223 \h </w:instrText>
        </w:r>
        <w:r w:rsidR="00087753">
          <w:rPr>
            <w:noProof/>
            <w:webHidden/>
          </w:rPr>
        </w:r>
        <w:r w:rsidR="00087753">
          <w:rPr>
            <w:noProof/>
            <w:webHidden/>
          </w:rPr>
          <w:fldChar w:fldCharType="separate"/>
        </w:r>
        <w:r w:rsidR="004870F1">
          <w:rPr>
            <w:noProof/>
            <w:webHidden/>
          </w:rPr>
          <w:t>97</w:t>
        </w:r>
        <w:r w:rsidR="00087753">
          <w:rPr>
            <w:noProof/>
            <w:webHidden/>
          </w:rPr>
          <w:fldChar w:fldCharType="end"/>
        </w:r>
      </w:hyperlink>
    </w:p>
    <w:p w14:paraId="50C9C695" w14:textId="785241E9" w:rsidR="00087753" w:rsidRDefault="00536556">
      <w:pPr>
        <w:pStyle w:val="61"/>
        <w:rPr>
          <w:rFonts w:asciiTheme="minorHAnsi" w:eastAsiaTheme="minorEastAsia" w:hAnsiTheme="minorHAnsi" w:cstheme="minorBidi"/>
          <w:sz w:val="22"/>
          <w:lang w:val="ru-RU" w:eastAsia="ru-RU"/>
        </w:rPr>
      </w:pPr>
      <w:hyperlink w:anchor="_Toc104985224" w:history="1">
        <w:r w:rsidR="00087753" w:rsidRPr="00277050">
          <w:rPr>
            <w:rStyle w:val="a7"/>
            <w:b/>
          </w:rPr>
          <w:t>Summary of chapter one</w:t>
        </w:r>
        <w:r w:rsidR="00087753">
          <w:rPr>
            <w:webHidden/>
          </w:rPr>
          <w:tab/>
        </w:r>
        <w:r w:rsidR="00087753">
          <w:rPr>
            <w:webHidden/>
          </w:rPr>
          <w:fldChar w:fldCharType="begin"/>
        </w:r>
        <w:r w:rsidR="00087753">
          <w:rPr>
            <w:webHidden/>
          </w:rPr>
          <w:instrText xml:space="preserve"> PAGEREF _Toc104985224 \h </w:instrText>
        </w:r>
        <w:r w:rsidR="00087753">
          <w:rPr>
            <w:webHidden/>
          </w:rPr>
        </w:r>
        <w:r w:rsidR="00087753">
          <w:rPr>
            <w:webHidden/>
          </w:rPr>
          <w:fldChar w:fldCharType="separate"/>
        </w:r>
        <w:r w:rsidR="004870F1">
          <w:rPr>
            <w:webHidden/>
          </w:rPr>
          <w:t>99</w:t>
        </w:r>
        <w:r w:rsidR="00087753">
          <w:rPr>
            <w:webHidden/>
          </w:rPr>
          <w:fldChar w:fldCharType="end"/>
        </w:r>
      </w:hyperlink>
    </w:p>
    <w:p w14:paraId="67D41692" w14:textId="47CCB9A2" w:rsidR="00087753" w:rsidRDefault="00536556">
      <w:pPr>
        <w:pStyle w:val="11"/>
        <w:rPr>
          <w:rFonts w:asciiTheme="minorHAnsi" w:eastAsiaTheme="minorEastAsia" w:hAnsiTheme="minorHAnsi"/>
          <w:caps w:val="0"/>
          <w:noProof/>
          <w:sz w:val="22"/>
          <w:lang w:eastAsia="ru-RU"/>
        </w:rPr>
      </w:pPr>
      <w:hyperlink w:anchor="_Toc104985225" w:history="1">
        <w:r w:rsidR="00087753" w:rsidRPr="00277050">
          <w:rPr>
            <w:rStyle w:val="a7"/>
            <w:noProof/>
            <w:lang w:val="en-US"/>
          </w:rPr>
          <w:t>2 Urbanization in catchments</w:t>
        </w:r>
        <w:r w:rsidR="00087753">
          <w:rPr>
            <w:noProof/>
            <w:webHidden/>
          </w:rPr>
          <w:tab/>
        </w:r>
        <w:r w:rsidR="00087753">
          <w:rPr>
            <w:noProof/>
            <w:webHidden/>
          </w:rPr>
          <w:fldChar w:fldCharType="begin"/>
        </w:r>
        <w:r w:rsidR="00087753">
          <w:rPr>
            <w:noProof/>
            <w:webHidden/>
          </w:rPr>
          <w:instrText xml:space="preserve"> PAGEREF _Toc104985225 \h </w:instrText>
        </w:r>
        <w:r w:rsidR="00087753">
          <w:rPr>
            <w:noProof/>
            <w:webHidden/>
          </w:rPr>
        </w:r>
        <w:r w:rsidR="00087753">
          <w:rPr>
            <w:noProof/>
            <w:webHidden/>
          </w:rPr>
          <w:fldChar w:fldCharType="separate"/>
        </w:r>
        <w:r w:rsidR="004870F1">
          <w:rPr>
            <w:noProof/>
            <w:webHidden/>
          </w:rPr>
          <w:t>100</w:t>
        </w:r>
        <w:r w:rsidR="00087753">
          <w:rPr>
            <w:noProof/>
            <w:webHidden/>
          </w:rPr>
          <w:fldChar w:fldCharType="end"/>
        </w:r>
      </w:hyperlink>
    </w:p>
    <w:p w14:paraId="4E72D414" w14:textId="06938F05" w:rsidR="00087753" w:rsidRDefault="00536556">
      <w:pPr>
        <w:pStyle w:val="21"/>
        <w:rPr>
          <w:rFonts w:asciiTheme="minorHAnsi" w:eastAsiaTheme="minorEastAsia" w:hAnsiTheme="minorHAnsi"/>
          <w:noProof/>
          <w:sz w:val="22"/>
          <w:lang w:eastAsia="ru-RU"/>
        </w:rPr>
      </w:pPr>
      <w:hyperlink w:anchor="_Toc104985226" w:history="1">
        <w:r w:rsidR="00087753" w:rsidRPr="00277050">
          <w:rPr>
            <w:rStyle w:val="a7"/>
            <w:noProof/>
            <w:lang w:val="en-US"/>
          </w:rPr>
          <w:t>2.1 Development of a geoprocessing tool</w:t>
        </w:r>
        <w:r w:rsidR="00087753">
          <w:rPr>
            <w:noProof/>
            <w:webHidden/>
          </w:rPr>
          <w:tab/>
        </w:r>
        <w:r w:rsidR="00087753">
          <w:rPr>
            <w:noProof/>
            <w:webHidden/>
          </w:rPr>
          <w:fldChar w:fldCharType="begin"/>
        </w:r>
        <w:r w:rsidR="00087753">
          <w:rPr>
            <w:noProof/>
            <w:webHidden/>
          </w:rPr>
          <w:instrText xml:space="preserve"> PAGEREF _Toc104985226 \h </w:instrText>
        </w:r>
        <w:r w:rsidR="00087753">
          <w:rPr>
            <w:noProof/>
            <w:webHidden/>
          </w:rPr>
        </w:r>
        <w:r w:rsidR="00087753">
          <w:rPr>
            <w:noProof/>
            <w:webHidden/>
          </w:rPr>
          <w:fldChar w:fldCharType="separate"/>
        </w:r>
        <w:r w:rsidR="004870F1">
          <w:rPr>
            <w:noProof/>
            <w:webHidden/>
          </w:rPr>
          <w:t>100</w:t>
        </w:r>
        <w:r w:rsidR="00087753">
          <w:rPr>
            <w:noProof/>
            <w:webHidden/>
          </w:rPr>
          <w:fldChar w:fldCharType="end"/>
        </w:r>
      </w:hyperlink>
    </w:p>
    <w:p w14:paraId="263ED277" w14:textId="37DA4FAC" w:rsidR="00087753" w:rsidRDefault="00536556">
      <w:pPr>
        <w:pStyle w:val="31"/>
        <w:tabs>
          <w:tab w:val="right" w:leader="dot" w:pos="9344"/>
        </w:tabs>
        <w:rPr>
          <w:rFonts w:asciiTheme="minorHAnsi" w:eastAsiaTheme="minorEastAsia" w:hAnsiTheme="minorHAnsi"/>
          <w:noProof/>
          <w:sz w:val="22"/>
          <w:lang w:eastAsia="ru-RU"/>
        </w:rPr>
      </w:pPr>
      <w:hyperlink w:anchor="_Toc104985227" w:history="1">
        <w:r w:rsidR="00087753" w:rsidRPr="00277050">
          <w:rPr>
            <w:rStyle w:val="a7"/>
            <w:noProof/>
          </w:rPr>
          <w:t>2.1.1 Overview</w:t>
        </w:r>
        <w:r w:rsidR="00087753">
          <w:rPr>
            <w:noProof/>
            <w:webHidden/>
          </w:rPr>
          <w:tab/>
        </w:r>
        <w:r w:rsidR="00087753">
          <w:rPr>
            <w:noProof/>
            <w:webHidden/>
          </w:rPr>
          <w:fldChar w:fldCharType="begin"/>
        </w:r>
        <w:r w:rsidR="00087753">
          <w:rPr>
            <w:noProof/>
            <w:webHidden/>
          </w:rPr>
          <w:instrText xml:space="preserve"> PAGEREF _Toc104985227 \h </w:instrText>
        </w:r>
        <w:r w:rsidR="00087753">
          <w:rPr>
            <w:noProof/>
            <w:webHidden/>
          </w:rPr>
        </w:r>
        <w:r w:rsidR="00087753">
          <w:rPr>
            <w:noProof/>
            <w:webHidden/>
          </w:rPr>
          <w:fldChar w:fldCharType="separate"/>
        </w:r>
        <w:r w:rsidR="004870F1">
          <w:rPr>
            <w:noProof/>
            <w:webHidden/>
          </w:rPr>
          <w:t>100</w:t>
        </w:r>
        <w:r w:rsidR="00087753">
          <w:rPr>
            <w:noProof/>
            <w:webHidden/>
          </w:rPr>
          <w:fldChar w:fldCharType="end"/>
        </w:r>
      </w:hyperlink>
    </w:p>
    <w:p w14:paraId="531CF8D8" w14:textId="291B65AA" w:rsidR="00087753" w:rsidRDefault="00536556">
      <w:pPr>
        <w:pStyle w:val="31"/>
        <w:tabs>
          <w:tab w:val="right" w:leader="dot" w:pos="9344"/>
        </w:tabs>
        <w:rPr>
          <w:rFonts w:asciiTheme="minorHAnsi" w:eastAsiaTheme="minorEastAsia" w:hAnsiTheme="minorHAnsi"/>
          <w:noProof/>
          <w:sz w:val="22"/>
          <w:lang w:eastAsia="ru-RU"/>
        </w:rPr>
      </w:pPr>
      <w:hyperlink w:anchor="_Toc104985228" w:history="1">
        <w:r w:rsidR="00087753" w:rsidRPr="00277050">
          <w:rPr>
            <w:rStyle w:val="a7"/>
            <w:noProof/>
          </w:rPr>
          <w:t>2.1.2 Integration of tools</w:t>
        </w:r>
        <w:r w:rsidR="00087753">
          <w:rPr>
            <w:noProof/>
            <w:webHidden/>
          </w:rPr>
          <w:tab/>
        </w:r>
        <w:r w:rsidR="00087753">
          <w:rPr>
            <w:noProof/>
            <w:webHidden/>
          </w:rPr>
          <w:fldChar w:fldCharType="begin"/>
        </w:r>
        <w:r w:rsidR="00087753">
          <w:rPr>
            <w:noProof/>
            <w:webHidden/>
          </w:rPr>
          <w:instrText xml:space="preserve"> PAGEREF _Toc104985228 \h </w:instrText>
        </w:r>
        <w:r w:rsidR="00087753">
          <w:rPr>
            <w:noProof/>
            <w:webHidden/>
          </w:rPr>
        </w:r>
        <w:r w:rsidR="00087753">
          <w:rPr>
            <w:noProof/>
            <w:webHidden/>
          </w:rPr>
          <w:fldChar w:fldCharType="separate"/>
        </w:r>
        <w:r w:rsidR="004870F1">
          <w:rPr>
            <w:noProof/>
            <w:webHidden/>
          </w:rPr>
          <w:t>100</w:t>
        </w:r>
        <w:r w:rsidR="00087753">
          <w:rPr>
            <w:noProof/>
            <w:webHidden/>
          </w:rPr>
          <w:fldChar w:fldCharType="end"/>
        </w:r>
      </w:hyperlink>
    </w:p>
    <w:p w14:paraId="1983599A" w14:textId="0321D702" w:rsidR="00087753" w:rsidRDefault="00536556">
      <w:pPr>
        <w:pStyle w:val="21"/>
        <w:rPr>
          <w:rFonts w:asciiTheme="minorHAnsi" w:eastAsiaTheme="minorEastAsia" w:hAnsiTheme="minorHAnsi"/>
          <w:noProof/>
          <w:sz w:val="22"/>
          <w:lang w:eastAsia="ru-RU"/>
        </w:rPr>
      </w:pPr>
      <w:hyperlink w:anchor="_Toc104985229" w:history="1">
        <w:r w:rsidR="00087753" w:rsidRPr="00277050">
          <w:rPr>
            <w:rStyle w:val="a7"/>
            <w:noProof/>
            <w:lang w:val="en-US"/>
          </w:rPr>
          <w:t>2.2 Rapid urbanization analysis: A case of Msimbazi catchment in Dar es Salaam, Tanzania</w:t>
        </w:r>
        <w:r w:rsidR="00087753">
          <w:rPr>
            <w:noProof/>
            <w:webHidden/>
          </w:rPr>
          <w:tab/>
        </w:r>
        <w:r w:rsidR="00087753">
          <w:rPr>
            <w:noProof/>
            <w:webHidden/>
          </w:rPr>
          <w:fldChar w:fldCharType="begin"/>
        </w:r>
        <w:r w:rsidR="00087753">
          <w:rPr>
            <w:noProof/>
            <w:webHidden/>
          </w:rPr>
          <w:instrText xml:space="preserve"> PAGEREF _Toc104985229 \h </w:instrText>
        </w:r>
        <w:r w:rsidR="00087753">
          <w:rPr>
            <w:noProof/>
            <w:webHidden/>
          </w:rPr>
        </w:r>
        <w:r w:rsidR="00087753">
          <w:rPr>
            <w:noProof/>
            <w:webHidden/>
          </w:rPr>
          <w:fldChar w:fldCharType="separate"/>
        </w:r>
        <w:r w:rsidR="004870F1">
          <w:rPr>
            <w:noProof/>
            <w:webHidden/>
          </w:rPr>
          <w:t>101</w:t>
        </w:r>
        <w:r w:rsidR="00087753">
          <w:rPr>
            <w:noProof/>
            <w:webHidden/>
          </w:rPr>
          <w:fldChar w:fldCharType="end"/>
        </w:r>
      </w:hyperlink>
    </w:p>
    <w:p w14:paraId="5F112855" w14:textId="37B2C4B6" w:rsidR="00087753" w:rsidRDefault="00536556">
      <w:pPr>
        <w:pStyle w:val="31"/>
        <w:tabs>
          <w:tab w:val="right" w:leader="dot" w:pos="9344"/>
        </w:tabs>
        <w:rPr>
          <w:rFonts w:asciiTheme="minorHAnsi" w:eastAsiaTheme="minorEastAsia" w:hAnsiTheme="minorHAnsi"/>
          <w:noProof/>
          <w:sz w:val="22"/>
          <w:lang w:eastAsia="ru-RU"/>
        </w:rPr>
      </w:pPr>
      <w:hyperlink w:anchor="_Toc104985230" w:history="1">
        <w:r w:rsidR="00087753" w:rsidRPr="00277050">
          <w:rPr>
            <w:rStyle w:val="a7"/>
            <w:rFonts w:eastAsia="Calibri"/>
            <w:noProof/>
          </w:rPr>
          <w:t>2.2.1 Study area description</w:t>
        </w:r>
        <w:r w:rsidR="00087753">
          <w:rPr>
            <w:noProof/>
            <w:webHidden/>
          </w:rPr>
          <w:tab/>
        </w:r>
        <w:r w:rsidR="00087753">
          <w:rPr>
            <w:noProof/>
            <w:webHidden/>
          </w:rPr>
          <w:fldChar w:fldCharType="begin"/>
        </w:r>
        <w:r w:rsidR="00087753">
          <w:rPr>
            <w:noProof/>
            <w:webHidden/>
          </w:rPr>
          <w:instrText xml:space="preserve"> PAGEREF _Toc104985230 \h </w:instrText>
        </w:r>
        <w:r w:rsidR="00087753">
          <w:rPr>
            <w:noProof/>
            <w:webHidden/>
          </w:rPr>
        </w:r>
        <w:r w:rsidR="00087753">
          <w:rPr>
            <w:noProof/>
            <w:webHidden/>
          </w:rPr>
          <w:fldChar w:fldCharType="separate"/>
        </w:r>
        <w:r w:rsidR="004870F1">
          <w:rPr>
            <w:noProof/>
            <w:webHidden/>
          </w:rPr>
          <w:t>101</w:t>
        </w:r>
        <w:r w:rsidR="00087753">
          <w:rPr>
            <w:noProof/>
            <w:webHidden/>
          </w:rPr>
          <w:fldChar w:fldCharType="end"/>
        </w:r>
      </w:hyperlink>
    </w:p>
    <w:p w14:paraId="30453858" w14:textId="5ED376A8" w:rsidR="00087753" w:rsidRDefault="00536556">
      <w:pPr>
        <w:pStyle w:val="31"/>
        <w:tabs>
          <w:tab w:val="right" w:leader="dot" w:pos="9344"/>
        </w:tabs>
        <w:rPr>
          <w:rFonts w:asciiTheme="minorHAnsi" w:eastAsiaTheme="minorEastAsia" w:hAnsiTheme="minorHAnsi"/>
          <w:noProof/>
          <w:sz w:val="22"/>
          <w:lang w:eastAsia="ru-RU"/>
        </w:rPr>
      </w:pPr>
      <w:hyperlink w:anchor="_Toc104985231" w:history="1">
        <w:r w:rsidR="00087753" w:rsidRPr="00277050">
          <w:rPr>
            <w:rStyle w:val="a7"/>
            <w:rFonts w:eastAsia="Calibri"/>
            <w:noProof/>
          </w:rPr>
          <w:t>2.2.2 Datasets</w:t>
        </w:r>
        <w:r w:rsidR="00087753">
          <w:rPr>
            <w:noProof/>
            <w:webHidden/>
          </w:rPr>
          <w:tab/>
        </w:r>
        <w:r w:rsidR="00087753">
          <w:rPr>
            <w:noProof/>
            <w:webHidden/>
          </w:rPr>
          <w:fldChar w:fldCharType="begin"/>
        </w:r>
        <w:r w:rsidR="00087753">
          <w:rPr>
            <w:noProof/>
            <w:webHidden/>
          </w:rPr>
          <w:instrText xml:space="preserve"> PAGEREF _Toc104985231 \h </w:instrText>
        </w:r>
        <w:r w:rsidR="00087753">
          <w:rPr>
            <w:noProof/>
            <w:webHidden/>
          </w:rPr>
        </w:r>
        <w:r w:rsidR="00087753">
          <w:rPr>
            <w:noProof/>
            <w:webHidden/>
          </w:rPr>
          <w:fldChar w:fldCharType="separate"/>
        </w:r>
        <w:r w:rsidR="004870F1">
          <w:rPr>
            <w:noProof/>
            <w:webHidden/>
          </w:rPr>
          <w:t>102</w:t>
        </w:r>
        <w:r w:rsidR="00087753">
          <w:rPr>
            <w:noProof/>
            <w:webHidden/>
          </w:rPr>
          <w:fldChar w:fldCharType="end"/>
        </w:r>
      </w:hyperlink>
    </w:p>
    <w:p w14:paraId="6A8F5E49" w14:textId="3D915C70" w:rsidR="00087753" w:rsidRDefault="00536556">
      <w:pPr>
        <w:pStyle w:val="31"/>
        <w:tabs>
          <w:tab w:val="right" w:leader="dot" w:pos="9344"/>
        </w:tabs>
        <w:rPr>
          <w:rFonts w:asciiTheme="minorHAnsi" w:eastAsiaTheme="minorEastAsia" w:hAnsiTheme="minorHAnsi"/>
          <w:noProof/>
          <w:sz w:val="22"/>
          <w:lang w:eastAsia="ru-RU"/>
        </w:rPr>
      </w:pPr>
      <w:hyperlink w:anchor="_Toc104985232" w:history="1">
        <w:r w:rsidR="00087753" w:rsidRPr="00277050">
          <w:rPr>
            <w:rStyle w:val="a7"/>
            <w:rFonts w:eastAsia="Calibri"/>
            <w:noProof/>
          </w:rPr>
          <w:t>2.2.3 Methodology</w:t>
        </w:r>
        <w:r w:rsidR="00087753">
          <w:rPr>
            <w:noProof/>
            <w:webHidden/>
          </w:rPr>
          <w:tab/>
        </w:r>
        <w:r w:rsidR="00087753">
          <w:rPr>
            <w:noProof/>
            <w:webHidden/>
          </w:rPr>
          <w:fldChar w:fldCharType="begin"/>
        </w:r>
        <w:r w:rsidR="00087753">
          <w:rPr>
            <w:noProof/>
            <w:webHidden/>
          </w:rPr>
          <w:instrText xml:space="preserve"> PAGEREF _Toc104985232 \h </w:instrText>
        </w:r>
        <w:r w:rsidR="00087753">
          <w:rPr>
            <w:noProof/>
            <w:webHidden/>
          </w:rPr>
        </w:r>
        <w:r w:rsidR="00087753">
          <w:rPr>
            <w:noProof/>
            <w:webHidden/>
          </w:rPr>
          <w:fldChar w:fldCharType="separate"/>
        </w:r>
        <w:r w:rsidR="004870F1">
          <w:rPr>
            <w:noProof/>
            <w:webHidden/>
          </w:rPr>
          <w:t>102</w:t>
        </w:r>
        <w:r w:rsidR="00087753">
          <w:rPr>
            <w:noProof/>
            <w:webHidden/>
          </w:rPr>
          <w:fldChar w:fldCharType="end"/>
        </w:r>
      </w:hyperlink>
    </w:p>
    <w:p w14:paraId="1920F9F4" w14:textId="24A83D9E" w:rsidR="00087753" w:rsidRDefault="00536556">
      <w:pPr>
        <w:pStyle w:val="41"/>
        <w:tabs>
          <w:tab w:val="right" w:leader="dot" w:pos="9344"/>
        </w:tabs>
        <w:rPr>
          <w:rFonts w:asciiTheme="minorHAnsi" w:eastAsiaTheme="minorEastAsia" w:hAnsiTheme="minorHAnsi"/>
          <w:noProof/>
          <w:sz w:val="22"/>
          <w:lang w:eastAsia="ru-RU"/>
        </w:rPr>
      </w:pPr>
      <w:hyperlink w:anchor="_Toc104985233" w:history="1">
        <w:r w:rsidR="00087753" w:rsidRPr="00277050">
          <w:rPr>
            <w:rStyle w:val="a7"/>
            <w:rFonts w:eastAsia="Calibri"/>
            <w:noProof/>
          </w:rPr>
          <w:t>2.2.3.1 DEM preprocessing</w:t>
        </w:r>
        <w:r w:rsidR="00087753">
          <w:rPr>
            <w:noProof/>
            <w:webHidden/>
          </w:rPr>
          <w:tab/>
        </w:r>
        <w:r w:rsidR="00087753">
          <w:rPr>
            <w:noProof/>
            <w:webHidden/>
          </w:rPr>
          <w:fldChar w:fldCharType="begin"/>
        </w:r>
        <w:r w:rsidR="00087753">
          <w:rPr>
            <w:noProof/>
            <w:webHidden/>
          </w:rPr>
          <w:instrText xml:space="preserve"> PAGEREF _Toc104985233 \h </w:instrText>
        </w:r>
        <w:r w:rsidR="00087753">
          <w:rPr>
            <w:noProof/>
            <w:webHidden/>
          </w:rPr>
        </w:r>
        <w:r w:rsidR="00087753">
          <w:rPr>
            <w:noProof/>
            <w:webHidden/>
          </w:rPr>
          <w:fldChar w:fldCharType="separate"/>
        </w:r>
        <w:r w:rsidR="004870F1">
          <w:rPr>
            <w:noProof/>
            <w:webHidden/>
          </w:rPr>
          <w:t>102</w:t>
        </w:r>
        <w:r w:rsidR="00087753">
          <w:rPr>
            <w:noProof/>
            <w:webHidden/>
          </w:rPr>
          <w:fldChar w:fldCharType="end"/>
        </w:r>
      </w:hyperlink>
    </w:p>
    <w:p w14:paraId="2121BA8B" w14:textId="5FAED20F" w:rsidR="00087753" w:rsidRDefault="00536556">
      <w:pPr>
        <w:pStyle w:val="41"/>
        <w:tabs>
          <w:tab w:val="right" w:leader="dot" w:pos="9344"/>
        </w:tabs>
        <w:rPr>
          <w:rFonts w:asciiTheme="minorHAnsi" w:eastAsiaTheme="minorEastAsia" w:hAnsiTheme="minorHAnsi"/>
          <w:noProof/>
          <w:sz w:val="22"/>
          <w:lang w:eastAsia="ru-RU"/>
        </w:rPr>
      </w:pPr>
      <w:hyperlink w:anchor="_Toc104985234" w:history="1">
        <w:r w:rsidR="00087753" w:rsidRPr="00277050">
          <w:rPr>
            <w:rStyle w:val="a7"/>
            <w:rFonts w:eastAsia="Calibri"/>
            <w:noProof/>
          </w:rPr>
          <w:t>2.2.3.2 Project development</w:t>
        </w:r>
        <w:r w:rsidR="00087753">
          <w:rPr>
            <w:noProof/>
            <w:webHidden/>
          </w:rPr>
          <w:tab/>
        </w:r>
        <w:r w:rsidR="00087753">
          <w:rPr>
            <w:noProof/>
            <w:webHidden/>
          </w:rPr>
          <w:fldChar w:fldCharType="begin"/>
        </w:r>
        <w:r w:rsidR="00087753">
          <w:rPr>
            <w:noProof/>
            <w:webHidden/>
          </w:rPr>
          <w:instrText xml:space="preserve"> PAGEREF _Toc104985234 \h </w:instrText>
        </w:r>
        <w:r w:rsidR="00087753">
          <w:rPr>
            <w:noProof/>
            <w:webHidden/>
          </w:rPr>
        </w:r>
        <w:r w:rsidR="00087753">
          <w:rPr>
            <w:noProof/>
            <w:webHidden/>
          </w:rPr>
          <w:fldChar w:fldCharType="separate"/>
        </w:r>
        <w:r w:rsidR="004870F1">
          <w:rPr>
            <w:noProof/>
            <w:webHidden/>
          </w:rPr>
          <w:t>104</w:t>
        </w:r>
        <w:r w:rsidR="00087753">
          <w:rPr>
            <w:noProof/>
            <w:webHidden/>
          </w:rPr>
          <w:fldChar w:fldCharType="end"/>
        </w:r>
      </w:hyperlink>
    </w:p>
    <w:p w14:paraId="25FE231D" w14:textId="10C42F73" w:rsidR="00087753" w:rsidRDefault="00536556">
      <w:pPr>
        <w:pStyle w:val="41"/>
        <w:tabs>
          <w:tab w:val="right" w:leader="dot" w:pos="9344"/>
        </w:tabs>
        <w:rPr>
          <w:rFonts w:asciiTheme="minorHAnsi" w:eastAsiaTheme="minorEastAsia" w:hAnsiTheme="minorHAnsi"/>
          <w:noProof/>
          <w:sz w:val="22"/>
          <w:lang w:eastAsia="ru-RU"/>
        </w:rPr>
      </w:pPr>
      <w:hyperlink w:anchor="_Toc104985235" w:history="1">
        <w:r w:rsidR="00087753" w:rsidRPr="00277050">
          <w:rPr>
            <w:rStyle w:val="a7"/>
            <w:rFonts w:eastAsia="Calibri"/>
            <w:noProof/>
          </w:rPr>
          <w:t>2.2.3.3 Estimation of discharge</w:t>
        </w:r>
        <w:r w:rsidR="00087753">
          <w:rPr>
            <w:noProof/>
            <w:webHidden/>
          </w:rPr>
          <w:tab/>
        </w:r>
        <w:r w:rsidR="00087753">
          <w:rPr>
            <w:noProof/>
            <w:webHidden/>
          </w:rPr>
          <w:fldChar w:fldCharType="begin"/>
        </w:r>
        <w:r w:rsidR="00087753">
          <w:rPr>
            <w:noProof/>
            <w:webHidden/>
          </w:rPr>
          <w:instrText xml:space="preserve"> PAGEREF _Toc104985235 \h </w:instrText>
        </w:r>
        <w:r w:rsidR="00087753">
          <w:rPr>
            <w:noProof/>
            <w:webHidden/>
          </w:rPr>
        </w:r>
        <w:r w:rsidR="00087753">
          <w:rPr>
            <w:noProof/>
            <w:webHidden/>
          </w:rPr>
          <w:fldChar w:fldCharType="separate"/>
        </w:r>
        <w:r w:rsidR="004870F1">
          <w:rPr>
            <w:noProof/>
            <w:webHidden/>
          </w:rPr>
          <w:t>104</w:t>
        </w:r>
        <w:r w:rsidR="00087753">
          <w:rPr>
            <w:noProof/>
            <w:webHidden/>
          </w:rPr>
          <w:fldChar w:fldCharType="end"/>
        </w:r>
      </w:hyperlink>
    </w:p>
    <w:p w14:paraId="2195E75A" w14:textId="78548779" w:rsidR="00087753" w:rsidRDefault="00536556">
      <w:pPr>
        <w:pStyle w:val="41"/>
        <w:tabs>
          <w:tab w:val="right" w:leader="dot" w:pos="9344"/>
        </w:tabs>
        <w:rPr>
          <w:rFonts w:asciiTheme="minorHAnsi" w:eastAsiaTheme="minorEastAsia" w:hAnsiTheme="minorHAnsi"/>
          <w:noProof/>
          <w:sz w:val="22"/>
          <w:lang w:eastAsia="ru-RU"/>
        </w:rPr>
      </w:pPr>
      <w:hyperlink w:anchor="_Toc104985236" w:history="1">
        <w:r w:rsidR="00087753" w:rsidRPr="00277050">
          <w:rPr>
            <w:rStyle w:val="a7"/>
            <w:rFonts w:eastAsia="Calibri"/>
            <w:noProof/>
            <w:lang w:val="en-US"/>
          </w:rPr>
          <w:t>2.2.3.4 Land use/ land cover analysis</w:t>
        </w:r>
        <w:r w:rsidR="00087753">
          <w:rPr>
            <w:noProof/>
            <w:webHidden/>
          </w:rPr>
          <w:tab/>
        </w:r>
        <w:r w:rsidR="00087753">
          <w:rPr>
            <w:noProof/>
            <w:webHidden/>
          </w:rPr>
          <w:fldChar w:fldCharType="begin"/>
        </w:r>
        <w:r w:rsidR="00087753">
          <w:rPr>
            <w:noProof/>
            <w:webHidden/>
          </w:rPr>
          <w:instrText xml:space="preserve"> PAGEREF _Toc104985236 \h </w:instrText>
        </w:r>
        <w:r w:rsidR="00087753">
          <w:rPr>
            <w:noProof/>
            <w:webHidden/>
          </w:rPr>
        </w:r>
        <w:r w:rsidR="00087753">
          <w:rPr>
            <w:noProof/>
            <w:webHidden/>
          </w:rPr>
          <w:fldChar w:fldCharType="separate"/>
        </w:r>
        <w:r w:rsidR="004870F1">
          <w:rPr>
            <w:noProof/>
            <w:webHidden/>
          </w:rPr>
          <w:t>104</w:t>
        </w:r>
        <w:r w:rsidR="00087753">
          <w:rPr>
            <w:noProof/>
            <w:webHidden/>
          </w:rPr>
          <w:fldChar w:fldCharType="end"/>
        </w:r>
      </w:hyperlink>
    </w:p>
    <w:p w14:paraId="0ED93D0B" w14:textId="2C8071C9" w:rsidR="00087753" w:rsidRDefault="00536556">
      <w:pPr>
        <w:pStyle w:val="51"/>
        <w:tabs>
          <w:tab w:val="right" w:leader="dot" w:pos="9344"/>
        </w:tabs>
        <w:rPr>
          <w:rFonts w:asciiTheme="minorHAnsi" w:eastAsiaTheme="minorEastAsia" w:hAnsiTheme="minorHAnsi"/>
          <w:noProof/>
          <w:sz w:val="22"/>
          <w:lang w:eastAsia="ru-RU"/>
        </w:rPr>
      </w:pPr>
      <w:hyperlink w:anchor="_Toc104985237" w:history="1">
        <w:r w:rsidR="00087753" w:rsidRPr="00277050">
          <w:rPr>
            <w:rStyle w:val="a7"/>
            <w:rFonts w:eastAsia="Times New Roman"/>
            <w:noProof/>
          </w:rPr>
          <w:t>2.2.3.4.1 Land use classification</w:t>
        </w:r>
        <w:r w:rsidR="00087753">
          <w:rPr>
            <w:noProof/>
            <w:webHidden/>
          </w:rPr>
          <w:tab/>
        </w:r>
        <w:r w:rsidR="00087753">
          <w:rPr>
            <w:noProof/>
            <w:webHidden/>
          </w:rPr>
          <w:fldChar w:fldCharType="begin"/>
        </w:r>
        <w:r w:rsidR="00087753">
          <w:rPr>
            <w:noProof/>
            <w:webHidden/>
          </w:rPr>
          <w:instrText xml:space="preserve"> PAGEREF _Toc104985237 \h </w:instrText>
        </w:r>
        <w:r w:rsidR="00087753">
          <w:rPr>
            <w:noProof/>
            <w:webHidden/>
          </w:rPr>
        </w:r>
        <w:r w:rsidR="00087753">
          <w:rPr>
            <w:noProof/>
            <w:webHidden/>
          </w:rPr>
          <w:fldChar w:fldCharType="separate"/>
        </w:r>
        <w:r w:rsidR="004870F1">
          <w:rPr>
            <w:noProof/>
            <w:webHidden/>
          </w:rPr>
          <w:t>105</w:t>
        </w:r>
        <w:r w:rsidR="00087753">
          <w:rPr>
            <w:noProof/>
            <w:webHidden/>
          </w:rPr>
          <w:fldChar w:fldCharType="end"/>
        </w:r>
      </w:hyperlink>
    </w:p>
    <w:p w14:paraId="3F077E34" w14:textId="6B2AD9C2" w:rsidR="00087753" w:rsidRDefault="00536556">
      <w:pPr>
        <w:pStyle w:val="41"/>
        <w:tabs>
          <w:tab w:val="right" w:leader="dot" w:pos="9344"/>
        </w:tabs>
        <w:rPr>
          <w:rFonts w:asciiTheme="minorHAnsi" w:eastAsiaTheme="minorEastAsia" w:hAnsiTheme="minorHAnsi"/>
          <w:noProof/>
          <w:sz w:val="22"/>
          <w:lang w:eastAsia="ru-RU"/>
        </w:rPr>
      </w:pPr>
      <w:hyperlink w:anchor="_Toc104985238" w:history="1">
        <w:r w:rsidR="00087753" w:rsidRPr="00277050">
          <w:rPr>
            <w:rStyle w:val="a7"/>
            <w:rFonts w:eastAsia="Calibri"/>
            <w:noProof/>
          </w:rPr>
          <w:t>2.2.3.5 Dam site selection</w:t>
        </w:r>
        <w:r w:rsidR="00087753">
          <w:rPr>
            <w:noProof/>
            <w:webHidden/>
          </w:rPr>
          <w:tab/>
        </w:r>
        <w:r w:rsidR="00087753">
          <w:rPr>
            <w:noProof/>
            <w:webHidden/>
          </w:rPr>
          <w:fldChar w:fldCharType="begin"/>
        </w:r>
        <w:r w:rsidR="00087753">
          <w:rPr>
            <w:noProof/>
            <w:webHidden/>
          </w:rPr>
          <w:instrText xml:space="preserve"> PAGEREF _Toc104985238 \h </w:instrText>
        </w:r>
        <w:r w:rsidR="00087753">
          <w:rPr>
            <w:noProof/>
            <w:webHidden/>
          </w:rPr>
        </w:r>
        <w:r w:rsidR="00087753">
          <w:rPr>
            <w:noProof/>
            <w:webHidden/>
          </w:rPr>
          <w:fldChar w:fldCharType="separate"/>
        </w:r>
        <w:r w:rsidR="004870F1">
          <w:rPr>
            <w:noProof/>
            <w:webHidden/>
          </w:rPr>
          <w:t>105</w:t>
        </w:r>
        <w:r w:rsidR="00087753">
          <w:rPr>
            <w:noProof/>
            <w:webHidden/>
          </w:rPr>
          <w:fldChar w:fldCharType="end"/>
        </w:r>
      </w:hyperlink>
    </w:p>
    <w:p w14:paraId="1D815501" w14:textId="653FB807" w:rsidR="00087753" w:rsidRDefault="00536556">
      <w:pPr>
        <w:pStyle w:val="41"/>
        <w:tabs>
          <w:tab w:val="right" w:leader="dot" w:pos="9344"/>
        </w:tabs>
        <w:rPr>
          <w:rFonts w:asciiTheme="minorHAnsi" w:eastAsiaTheme="minorEastAsia" w:hAnsiTheme="minorHAnsi"/>
          <w:noProof/>
          <w:sz w:val="22"/>
          <w:lang w:eastAsia="ru-RU"/>
        </w:rPr>
      </w:pPr>
      <w:hyperlink w:anchor="_Toc104985239" w:history="1">
        <w:r w:rsidR="00087753" w:rsidRPr="00277050">
          <w:rPr>
            <w:rStyle w:val="a7"/>
            <w:rFonts w:eastAsia="Calibri"/>
            <w:noProof/>
          </w:rPr>
          <w:t>2.2.3.6</w:t>
        </w:r>
        <w:r w:rsidR="00087753" w:rsidRPr="00277050">
          <w:rPr>
            <w:rStyle w:val="a7"/>
            <w:rFonts w:eastAsia="Calibri"/>
            <w:noProof/>
            <w:lang w:val="en-US"/>
          </w:rPr>
          <w:t xml:space="preserve"> R</w:t>
        </w:r>
        <w:r w:rsidR="00087753" w:rsidRPr="00277050">
          <w:rPr>
            <w:rStyle w:val="a7"/>
            <w:rFonts w:eastAsia="Calibri"/>
            <w:noProof/>
          </w:rPr>
          <w:t>esults and discussion</w:t>
        </w:r>
        <w:r w:rsidR="00087753">
          <w:rPr>
            <w:noProof/>
            <w:webHidden/>
          </w:rPr>
          <w:tab/>
        </w:r>
        <w:r w:rsidR="00087753">
          <w:rPr>
            <w:noProof/>
            <w:webHidden/>
          </w:rPr>
          <w:fldChar w:fldCharType="begin"/>
        </w:r>
        <w:r w:rsidR="00087753">
          <w:rPr>
            <w:noProof/>
            <w:webHidden/>
          </w:rPr>
          <w:instrText xml:space="preserve"> PAGEREF _Toc104985239 \h </w:instrText>
        </w:r>
        <w:r w:rsidR="00087753">
          <w:rPr>
            <w:noProof/>
            <w:webHidden/>
          </w:rPr>
        </w:r>
        <w:r w:rsidR="00087753">
          <w:rPr>
            <w:noProof/>
            <w:webHidden/>
          </w:rPr>
          <w:fldChar w:fldCharType="separate"/>
        </w:r>
        <w:r w:rsidR="004870F1">
          <w:rPr>
            <w:noProof/>
            <w:webHidden/>
          </w:rPr>
          <w:t>106</w:t>
        </w:r>
        <w:r w:rsidR="00087753">
          <w:rPr>
            <w:noProof/>
            <w:webHidden/>
          </w:rPr>
          <w:fldChar w:fldCharType="end"/>
        </w:r>
      </w:hyperlink>
    </w:p>
    <w:p w14:paraId="05A6BF1D" w14:textId="5583F539" w:rsidR="00087753" w:rsidRDefault="00536556">
      <w:pPr>
        <w:pStyle w:val="51"/>
        <w:tabs>
          <w:tab w:val="right" w:leader="dot" w:pos="9344"/>
        </w:tabs>
        <w:rPr>
          <w:rFonts w:asciiTheme="minorHAnsi" w:eastAsiaTheme="minorEastAsia" w:hAnsiTheme="minorHAnsi"/>
          <w:noProof/>
          <w:sz w:val="22"/>
          <w:lang w:eastAsia="ru-RU"/>
        </w:rPr>
      </w:pPr>
      <w:hyperlink w:anchor="_Toc104985240" w:history="1">
        <w:r w:rsidR="00087753" w:rsidRPr="00277050">
          <w:rPr>
            <w:rStyle w:val="a7"/>
            <w:rFonts w:eastAsia="Calibri"/>
            <w:noProof/>
          </w:rPr>
          <w:t>2.2.3.6.1 Results</w:t>
        </w:r>
        <w:r w:rsidR="00087753">
          <w:rPr>
            <w:noProof/>
            <w:webHidden/>
          </w:rPr>
          <w:tab/>
        </w:r>
        <w:r w:rsidR="00087753">
          <w:rPr>
            <w:noProof/>
            <w:webHidden/>
          </w:rPr>
          <w:fldChar w:fldCharType="begin"/>
        </w:r>
        <w:r w:rsidR="00087753">
          <w:rPr>
            <w:noProof/>
            <w:webHidden/>
          </w:rPr>
          <w:instrText xml:space="preserve"> PAGEREF _Toc104985240 \h </w:instrText>
        </w:r>
        <w:r w:rsidR="00087753">
          <w:rPr>
            <w:noProof/>
            <w:webHidden/>
          </w:rPr>
        </w:r>
        <w:r w:rsidR="00087753">
          <w:rPr>
            <w:noProof/>
            <w:webHidden/>
          </w:rPr>
          <w:fldChar w:fldCharType="separate"/>
        </w:r>
        <w:r w:rsidR="004870F1">
          <w:rPr>
            <w:noProof/>
            <w:webHidden/>
          </w:rPr>
          <w:t>106</w:t>
        </w:r>
        <w:r w:rsidR="00087753">
          <w:rPr>
            <w:noProof/>
            <w:webHidden/>
          </w:rPr>
          <w:fldChar w:fldCharType="end"/>
        </w:r>
      </w:hyperlink>
    </w:p>
    <w:p w14:paraId="68FE7467" w14:textId="7C9FC1FB" w:rsidR="00087753" w:rsidRDefault="00536556">
      <w:pPr>
        <w:pStyle w:val="41"/>
        <w:tabs>
          <w:tab w:val="right" w:leader="dot" w:pos="9344"/>
        </w:tabs>
        <w:rPr>
          <w:rFonts w:asciiTheme="minorHAnsi" w:eastAsiaTheme="minorEastAsia" w:hAnsiTheme="minorHAnsi"/>
          <w:noProof/>
          <w:sz w:val="22"/>
          <w:lang w:eastAsia="ru-RU"/>
        </w:rPr>
      </w:pPr>
      <w:hyperlink w:anchor="_Toc104985241" w:history="1">
        <w:r w:rsidR="00087753" w:rsidRPr="00277050">
          <w:rPr>
            <w:rStyle w:val="a7"/>
            <w:rFonts w:eastAsia="Calibri"/>
            <w:noProof/>
          </w:rPr>
          <w:t>2.2.3.7 Discussion</w:t>
        </w:r>
        <w:r w:rsidR="00087753">
          <w:rPr>
            <w:noProof/>
            <w:webHidden/>
          </w:rPr>
          <w:tab/>
        </w:r>
        <w:r w:rsidR="00087753">
          <w:rPr>
            <w:noProof/>
            <w:webHidden/>
          </w:rPr>
          <w:fldChar w:fldCharType="begin"/>
        </w:r>
        <w:r w:rsidR="00087753">
          <w:rPr>
            <w:noProof/>
            <w:webHidden/>
          </w:rPr>
          <w:instrText xml:space="preserve"> PAGEREF _Toc104985241 \h </w:instrText>
        </w:r>
        <w:r w:rsidR="00087753">
          <w:rPr>
            <w:noProof/>
            <w:webHidden/>
          </w:rPr>
        </w:r>
        <w:r w:rsidR="00087753">
          <w:rPr>
            <w:noProof/>
            <w:webHidden/>
          </w:rPr>
          <w:fldChar w:fldCharType="separate"/>
        </w:r>
        <w:r w:rsidR="004870F1">
          <w:rPr>
            <w:noProof/>
            <w:webHidden/>
          </w:rPr>
          <w:t>112</w:t>
        </w:r>
        <w:r w:rsidR="00087753">
          <w:rPr>
            <w:noProof/>
            <w:webHidden/>
          </w:rPr>
          <w:fldChar w:fldCharType="end"/>
        </w:r>
      </w:hyperlink>
    </w:p>
    <w:p w14:paraId="04C48E74" w14:textId="4A5652AC" w:rsidR="00087753" w:rsidRDefault="00536556">
      <w:pPr>
        <w:pStyle w:val="21"/>
        <w:rPr>
          <w:rFonts w:asciiTheme="minorHAnsi" w:eastAsiaTheme="minorEastAsia" w:hAnsiTheme="minorHAnsi"/>
          <w:noProof/>
          <w:sz w:val="22"/>
          <w:lang w:eastAsia="ru-RU"/>
        </w:rPr>
      </w:pPr>
      <w:hyperlink w:anchor="_Toc104985242" w:history="1">
        <w:r w:rsidR="00087753" w:rsidRPr="00277050">
          <w:rPr>
            <w:rStyle w:val="a7"/>
            <w:rFonts w:eastAsia="Calibri"/>
            <w:noProof/>
          </w:rPr>
          <w:t>2.3 Ndembera catchment, Tanzania</w:t>
        </w:r>
        <w:r w:rsidR="00087753">
          <w:rPr>
            <w:noProof/>
            <w:webHidden/>
          </w:rPr>
          <w:tab/>
        </w:r>
        <w:r w:rsidR="00087753">
          <w:rPr>
            <w:noProof/>
            <w:webHidden/>
          </w:rPr>
          <w:fldChar w:fldCharType="begin"/>
        </w:r>
        <w:r w:rsidR="00087753">
          <w:rPr>
            <w:noProof/>
            <w:webHidden/>
          </w:rPr>
          <w:instrText xml:space="preserve"> PAGEREF _Toc104985242 \h </w:instrText>
        </w:r>
        <w:r w:rsidR="00087753">
          <w:rPr>
            <w:noProof/>
            <w:webHidden/>
          </w:rPr>
        </w:r>
        <w:r w:rsidR="00087753">
          <w:rPr>
            <w:noProof/>
            <w:webHidden/>
          </w:rPr>
          <w:fldChar w:fldCharType="separate"/>
        </w:r>
        <w:r w:rsidR="004870F1">
          <w:rPr>
            <w:noProof/>
            <w:webHidden/>
          </w:rPr>
          <w:t>114</w:t>
        </w:r>
        <w:r w:rsidR="00087753">
          <w:rPr>
            <w:noProof/>
            <w:webHidden/>
          </w:rPr>
          <w:fldChar w:fldCharType="end"/>
        </w:r>
      </w:hyperlink>
    </w:p>
    <w:p w14:paraId="0399B55C" w14:textId="7CBE4677" w:rsidR="00087753" w:rsidRDefault="00536556">
      <w:pPr>
        <w:pStyle w:val="31"/>
        <w:tabs>
          <w:tab w:val="right" w:leader="dot" w:pos="9344"/>
        </w:tabs>
        <w:rPr>
          <w:rFonts w:asciiTheme="minorHAnsi" w:eastAsiaTheme="minorEastAsia" w:hAnsiTheme="minorHAnsi"/>
          <w:noProof/>
          <w:sz w:val="22"/>
          <w:lang w:eastAsia="ru-RU"/>
        </w:rPr>
      </w:pPr>
      <w:hyperlink w:anchor="_Toc104985243" w:history="1">
        <w:r w:rsidR="00087753" w:rsidRPr="00277050">
          <w:rPr>
            <w:rStyle w:val="a7"/>
            <w:rFonts w:eastAsia="Times New Roman"/>
            <w:noProof/>
            <w:lang w:val="en-GB" w:eastAsia="pl-PL"/>
          </w:rPr>
          <w:t>2.3.1 Case study description</w:t>
        </w:r>
        <w:r w:rsidR="00087753">
          <w:rPr>
            <w:noProof/>
            <w:webHidden/>
          </w:rPr>
          <w:tab/>
        </w:r>
        <w:r w:rsidR="00087753">
          <w:rPr>
            <w:noProof/>
            <w:webHidden/>
          </w:rPr>
          <w:fldChar w:fldCharType="begin"/>
        </w:r>
        <w:r w:rsidR="00087753">
          <w:rPr>
            <w:noProof/>
            <w:webHidden/>
          </w:rPr>
          <w:instrText xml:space="preserve"> PAGEREF _Toc104985243 \h </w:instrText>
        </w:r>
        <w:r w:rsidR="00087753">
          <w:rPr>
            <w:noProof/>
            <w:webHidden/>
          </w:rPr>
        </w:r>
        <w:r w:rsidR="00087753">
          <w:rPr>
            <w:noProof/>
            <w:webHidden/>
          </w:rPr>
          <w:fldChar w:fldCharType="separate"/>
        </w:r>
        <w:r w:rsidR="004870F1">
          <w:rPr>
            <w:noProof/>
            <w:webHidden/>
          </w:rPr>
          <w:t>114</w:t>
        </w:r>
        <w:r w:rsidR="00087753">
          <w:rPr>
            <w:noProof/>
            <w:webHidden/>
          </w:rPr>
          <w:fldChar w:fldCharType="end"/>
        </w:r>
      </w:hyperlink>
    </w:p>
    <w:p w14:paraId="3ACF4D42" w14:textId="2BBD2532" w:rsidR="00087753" w:rsidRDefault="00536556">
      <w:pPr>
        <w:pStyle w:val="31"/>
        <w:tabs>
          <w:tab w:val="right" w:leader="dot" w:pos="9344"/>
        </w:tabs>
        <w:rPr>
          <w:rFonts w:asciiTheme="minorHAnsi" w:eastAsiaTheme="minorEastAsia" w:hAnsiTheme="minorHAnsi"/>
          <w:noProof/>
          <w:sz w:val="22"/>
          <w:lang w:eastAsia="ru-RU"/>
        </w:rPr>
      </w:pPr>
      <w:hyperlink w:anchor="_Toc104985244" w:history="1">
        <w:r w:rsidR="00087753" w:rsidRPr="00277050">
          <w:rPr>
            <w:rStyle w:val="a7"/>
            <w:noProof/>
          </w:rPr>
          <w:t>2.3.2</w:t>
        </w:r>
        <w:r w:rsidR="00087753" w:rsidRPr="00277050">
          <w:rPr>
            <w:rStyle w:val="a7"/>
            <w:noProof/>
            <w:lang w:val="en-US"/>
          </w:rPr>
          <w:t xml:space="preserve"> Topography</w:t>
        </w:r>
        <w:r w:rsidR="00087753">
          <w:rPr>
            <w:noProof/>
            <w:webHidden/>
          </w:rPr>
          <w:tab/>
        </w:r>
        <w:r w:rsidR="00087753">
          <w:rPr>
            <w:noProof/>
            <w:webHidden/>
          </w:rPr>
          <w:fldChar w:fldCharType="begin"/>
        </w:r>
        <w:r w:rsidR="00087753">
          <w:rPr>
            <w:noProof/>
            <w:webHidden/>
          </w:rPr>
          <w:instrText xml:space="preserve"> PAGEREF _Toc104985244 \h </w:instrText>
        </w:r>
        <w:r w:rsidR="00087753">
          <w:rPr>
            <w:noProof/>
            <w:webHidden/>
          </w:rPr>
        </w:r>
        <w:r w:rsidR="00087753">
          <w:rPr>
            <w:noProof/>
            <w:webHidden/>
          </w:rPr>
          <w:fldChar w:fldCharType="separate"/>
        </w:r>
        <w:r w:rsidR="004870F1">
          <w:rPr>
            <w:noProof/>
            <w:webHidden/>
          </w:rPr>
          <w:t>115</w:t>
        </w:r>
        <w:r w:rsidR="00087753">
          <w:rPr>
            <w:noProof/>
            <w:webHidden/>
          </w:rPr>
          <w:fldChar w:fldCharType="end"/>
        </w:r>
      </w:hyperlink>
    </w:p>
    <w:p w14:paraId="3DD3B7B7" w14:textId="0C9365B4" w:rsidR="00087753" w:rsidRDefault="00536556">
      <w:pPr>
        <w:pStyle w:val="31"/>
        <w:tabs>
          <w:tab w:val="right" w:leader="dot" w:pos="9344"/>
        </w:tabs>
        <w:rPr>
          <w:rFonts w:asciiTheme="minorHAnsi" w:eastAsiaTheme="minorEastAsia" w:hAnsiTheme="minorHAnsi"/>
          <w:noProof/>
          <w:sz w:val="22"/>
          <w:lang w:eastAsia="ru-RU"/>
        </w:rPr>
      </w:pPr>
      <w:hyperlink w:anchor="_Toc104985245" w:history="1">
        <w:r w:rsidR="00087753" w:rsidRPr="00277050">
          <w:rPr>
            <w:rStyle w:val="a7"/>
            <w:noProof/>
          </w:rPr>
          <w:t>2.3.3 Geomorphology</w:t>
        </w:r>
        <w:r w:rsidR="00087753">
          <w:rPr>
            <w:noProof/>
            <w:webHidden/>
          </w:rPr>
          <w:tab/>
        </w:r>
        <w:r w:rsidR="00087753">
          <w:rPr>
            <w:noProof/>
            <w:webHidden/>
          </w:rPr>
          <w:fldChar w:fldCharType="begin"/>
        </w:r>
        <w:r w:rsidR="00087753">
          <w:rPr>
            <w:noProof/>
            <w:webHidden/>
          </w:rPr>
          <w:instrText xml:space="preserve"> PAGEREF _Toc104985245 \h </w:instrText>
        </w:r>
        <w:r w:rsidR="00087753">
          <w:rPr>
            <w:noProof/>
            <w:webHidden/>
          </w:rPr>
        </w:r>
        <w:r w:rsidR="00087753">
          <w:rPr>
            <w:noProof/>
            <w:webHidden/>
          </w:rPr>
          <w:fldChar w:fldCharType="separate"/>
        </w:r>
        <w:r w:rsidR="004870F1">
          <w:rPr>
            <w:noProof/>
            <w:webHidden/>
          </w:rPr>
          <w:t>115</w:t>
        </w:r>
        <w:r w:rsidR="00087753">
          <w:rPr>
            <w:noProof/>
            <w:webHidden/>
          </w:rPr>
          <w:fldChar w:fldCharType="end"/>
        </w:r>
      </w:hyperlink>
    </w:p>
    <w:p w14:paraId="7E3BC00B" w14:textId="697BF308" w:rsidR="00087753" w:rsidRDefault="00536556">
      <w:pPr>
        <w:pStyle w:val="31"/>
        <w:tabs>
          <w:tab w:val="right" w:leader="dot" w:pos="9344"/>
        </w:tabs>
        <w:rPr>
          <w:rFonts w:asciiTheme="minorHAnsi" w:eastAsiaTheme="minorEastAsia" w:hAnsiTheme="minorHAnsi"/>
          <w:noProof/>
          <w:sz w:val="22"/>
          <w:lang w:eastAsia="ru-RU"/>
        </w:rPr>
      </w:pPr>
      <w:hyperlink w:anchor="_Toc104985246" w:history="1">
        <w:r w:rsidR="00087753" w:rsidRPr="00277050">
          <w:rPr>
            <w:rStyle w:val="a7"/>
            <w:noProof/>
          </w:rPr>
          <w:t>2.3.4 Weather and hydrological conditions</w:t>
        </w:r>
        <w:r w:rsidR="00087753">
          <w:rPr>
            <w:noProof/>
            <w:webHidden/>
          </w:rPr>
          <w:tab/>
        </w:r>
        <w:r w:rsidR="00087753">
          <w:rPr>
            <w:noProof/>
            <w:webHidden/>
          </w:rPr>
          <w:fldChar w:fldCharType="begin"/>
        </w:r>
        <w:r w:rsidR="00087753">
          <w:rPr>
            <w:noProof/>
            <w:webHidden/>
          </w:rPr>
          <w:instrText xml:space="preserve"> PAGEREF _Toc104985246 \h </w:instrText>
        </w:r>
        <w:r w:rsidR="00087753">
          <w:rPr>
            <w:noProof/>
            <w:webHidden/>
          </w:rPr>
        </w:r>
        <w:r w:rsidR="00087753">
          <w:rPr>
            <w:noProof/>
            <w:webHidden/>
          </w:rPr>
          <w:fldChar w:fldCharType="separate"/>
        </w:r>
        <w:r w:rsidR="004870F1">
          <w:rPr>
            <w:noProof/>
            <w:webHidden/>
          </w:rPr>
          <w:t>116</w:t>
        </w:r>
        <w:r w:rsidR="00087753">
          <w:rPr>
            <w:noProof/>
            <w:webHidden/>
          </w:rPr>
          <w:fldChar w:fldCharType="end"/>
        </w:r>
      </w:hyperlink>
    </w:p>
    <w:p w14:paraId="55435AA9" w14:textId="2B454433" w:rsidR="00087753" w:rsidRDefault="00536556">
      <w:pPr>
        <w:pStyle w:val="31"/>
        <w:tabs>
          <w:tab w:val="right" w:leader="dot" w:pos="9344"/>
        </w:tabs>
        <w:rPr>
          <w:rFonts w:asciiTheme="minorHAnsi" w:eastAsiaTheme="minorEastAsia" w:hAnsiTheme="minorHAnsi"/>
          <w:noProof/>
          <w:sz w:val="22"/>
          <w:lang w:eastAsia="ru-RU"/>
        </w:rPr>
      </w:pPr>
      <w:hyperlink w:anchor="_Toc104985247" w:history="1">
        <w:r w:rsidR="00087753" w:rsidRPr="00277050">
          <w:rPr>
            <w:rStyle w:val="a7"/>
            <w:noProof/>
            <w:lang w:val="en-US"/>
          </w:rPr>
          <w:t>2.3.5 Basin Characteristics Factors of Lugoda Catchment</w:t>
        </w:r>
        <w:r w:rsidR="00087753">
          <w:rPr>
            <w:noProof/>
            <w:webHidden/>
          </w:rPr>
          <w:tab/>
        </w:r>
        <w:r w:rsidR="00087753">
          <w:rPr>
            <w:noProof/>
            <w:webHidden/>
          </w:rPr>
          <w:fldChar w:fldCharType="begin"/>
        </w:r>
        <w:r w:rsidR="00087753">
          <w:rPr>
            <w:noProof/>
            <w:webHidden/>
          </w:rPr>
          <w:instrText xml:space="preserve"> PAGEREF _Toc104985247 \h </w:instrText>
        </w:r>
        <w:r w:rsidR="00087753">
          <w:rPr>
            <w:noProof/>
            <w:webHidden/>
          </w:rPr>
        </w:r>
        <w:r w:rsidR="00087753">
          <w:rPr>
            <w:noProof/>
            <w:webHidden/>
          </w:rPr>
          <w:fldChar w:fldCharType="separate"/>
        </w:r>
        <w:r w:rsidR="004870F1">
          <w:rPr>
            <w:noProof/>
            <w:webHidden/>
          </w:rPr>
          <w:t>116</w:t>
        </w:r>
        <w:r w:rsidR="00087753">
          <w:rPr>
            <w:noProof/>
            <w:webHidden/>
          </w:rPr>
          <w:fldChar w:fldCharType="end"/>
        </w:r>
      </w:hyperlink>
    </w:p>
    <w:p w14:paraId="13F9D831" w14:textId="5455B7A4" w:rsidR="00087753" w:rsidRDefault="00536556">
      <w:pPr>
        <w:pStyle w:val="31"/>
        <w:tabs>
          <w:tab w:val="right" w:leader="dot" w:pos="9344"/>
        </w:tabs>
        <w:rPr>
          <w:rFonts w:asciiTheme="minorHAnsi" w:eastAsiaTheme="minorEastAsia" w:hAnsiTheme="minorHAnsi"/>
          <w:noProof/>
          <w:sz w:val="22"/>
          <w:lang w:eastAsia="ru-RU"/>
        </w:rPr>
      </w:pPr>
      <w:hyperlink w:anchor="_Toc104985248" w:history="1">
        <w:r w:rsidR="00087753" w:rsidRPr="00277050">
          <w:rPr>
            <w:rStyle w:val="a7"/>
            <w:noProof/>
          </w:rPr>
          <w:t>2.3.6 Seismic conditions</w:t>
        </w:r>
        <w:r w:rsidR="00087753">
          <w:rPr>
            <w:noProof/>
            <w:webHidden/>
          </w:rPr>
          <w:tab/>
        </w:r>
        <w:r w:rsidR="00087753">
          <w:rPr>
            <w:noProof/>
            <w:webHidden/>
          </w:rPr>
          <w:fldChar w:fldCharType="begin"/>
        </w:r>
        <w:r w:rsidR="00087753">
          <w:rPr>
            <w:noProof/>
            <w:webHidden/>
          </w:rPr>
          <w:instrText xml:space="preserve"> PAGEREF _Toc104985248 \h </w:instrText>
        </w:r>
        <w:r w:rsidR="00087753">
          <w:rPr>
            <w:noProof/>
            <w:webHidden/>
          </w:rPr>
        </w:r>
        <w:r w:rsidR="00087753">
          <w:rPr>
            <w:noProof/>
            <w:webHidden/>
          </w:rPr>
          <w:fldChar w:fldCharType="separate"/>
        </w:r>
        <w:r w:rsidR="004870F1">
          <w:rPr>
            <w:noProof/>
            <w:webHidden/>
          </w:rPr>
          <w:t>117</w:t>
        </w:r>
        <w:r w:rsidR="00087753">
          <w:rPr>
            <w:noProof/>
            <w:webHidden/>
          </w:rPr>
          <w:fldChar w:fldCharType="end"/>
        </w:r>
      </w:hyperlink>
    </w:p>
    <w:p w14:paraId="72E79E9F" w14:textId="0D458E51" w:rsidR="00087753" w:rsidRDefault="00536556">
      <w:pPr>
        <w:pStyle w:val="31"/>
        <w:tabs>
          <w:tab w:val="right" w:leader="dot" w:pos="9344"/>
        </w:tabs>
        <w:rPr>
          <w:rFonts w:asciiTheme="minorHAnsi" w:eastAsiaTheme="minorEastAsia" w:hAnsiTheme="minorHAnsi"/>
          <w:noProof/>
          <w:sz w:val="22"/>
          <w:lang w:eastAsia="ru-RU"/>
        </w:rPr>
      </w:pPr>
      <w:hyperlink w:anchor="_Toc104985249" w:history="1">
        <w:r w:rsidR="00087753" w:rsidRPr="00277050">
          <w:rPr>
            <w:rStyle w:val="a7"/>
            <w:noProof/>
          </w:rPr>
          <w:t>2.3.7 Catchment delineation</w:t>
        </w:r>
        <w:r w:rsidR="00087753">
          <w:rPr>
            <w:noProof/>
            <w:webHidden/>
          </w:rPr>
          <w:tab/>
        </w:r>
        <w:r w:rsidR="00087753">
          <w:rPr>
            <w:noProof/>
            <w:webHidden/>
          </w:rPr>
          <w:fldChar w:fldCharType="begin"/>
        </w:r>
        <w:r w:rsidR="00087753">
          <w:rPr>
            <w:noProof/>
            <w:webHidden/>
          </w:rPr>
          <w:instrText xml:space="preserve"> PAGEREF _Toc104985249 \h </w:instrText>
        </w:r>
        <w:r w:rsidR="00087753">
          <w:rPr>
            <w:noProof/>
            <w:webHidden/>
          </w:rPr>
        </w:r>
        <w:r w:rsidR="00087753">
          <w:rPr>
            <w:noProof/>
            <w:webHidden/>
          </w:rPr>
          <w:fldChar w:fldCharType="separate"/>
        </w:r>
        <w:r w:rsidR="004870F1">
          <w:rPr>
            <w:noProof/>
            <w:webHidden/>
          </w:rPr>
          <w:t>117</w:t>
        </w:r>
        <w:r w:rsidR="00087753">
          <w:rPr>
            <w:noProof/>
            <w:webHidden/>
          </w:rPr>
          <w:fldChar w:fldCharType="end"/>
        </w:r>
      </w:hyperlink>
    </w:p>
    <w:p w14:paraId="3ABD3D43" w14:textId="5912BB1C" w:rsidR="00087753" w:rsidRDefault="00536556">
      <w:pPr>
        <w:pStyle w:val="31"/>
        <w:tabs>
          <w:tab w:val="right" w:leader="dot" w:pos="9344"/>
        </w:tabs>
        <w:rPr>
          <w:rFonts w:asciiTheme="minorHAnsi" w:eastAsiaTheme="minorEastAsia" w:hAnsiTheme="minorHAnsi"/>
          <w:noProof/>
          <w:sz w:val="22"/>
          <w:lang w:eastAsia="ru-RU"/>
        </w:rPr>
      </w:pPr>
      <w:hyperlink w:anchor="_Toc104985250" w:history="1">
        <w:r w:rsidR="00087753" w:rsidRPr="00277050">
          <w:rPr>
            <w:rStyle w:val="a7"/>
            <w:rFonts w:eastAsia="Calibri"/>
            <w:noProof/>
            <w:lang w:val="en-US"/>
          </w:rPr>
          <w:t>2.3.8 Curve Number (CN) Grid Inputs Preparation</w:t>
        </w:r>
        <w:r w:rsidR="00087753">
          <w:rPr>
            <w:noProof/>
            <w:webHidden/>
          </w:rPr>
          <w:tab/>
        </w:r>
        <w:r w:rsidR="00087753">
          <w:rPr>
            <w:noProof/>
            <w:webHidden/>
          </w:rPr>
          <w:fldChar w:fldCharType="begin"/>
        </w:r>
        <w:r w:rsidR="00087753">
          <w:rPr>
            <w:noProof/>
            <w:webHidden/>
          </w:rPr>
          <w:instrText xml:space="preserve"> PAGEREF _Toc104985250 \h </w:instrText>
        </w:r>
        <w:r w:rsidR="00087753">
          <w:rPr>
            <w:noProof/>
            <w:webHidden/>
          </w:rPr>
        </w:r>
        <w:r w:rsidR="00087753">
          <w:rPr>
            <w:noProof/>
            <w:webHidden/>
          </w:rPr>
          <w:fldChar w:fldCharType="separate"/>
        </w:r>
        <w:r w:rsidR="004870F1">
          <w:rPr>
            <w:noProof/>
            <w:webHidden/>
          </w:rPr>
          <w:t>119</w:t>
        </w:r>
        <w:r w:rsidR="00087753">
          <w:rPr>
            <w:noProof/>
            <w:webHidden/>
          </w:rPr>
          <w:fldChar w:fldCharType="end"/>
        </w:r>
      </w:hyperlink>
    </w:p>
    <w:p w14:paraId="08E404CA" w14:textId="40183BC8" w:rsidR="00087753" w:rsidRDefault="00536556">
      <w:pPr>
        <w:pStyle w:val="41"/>
        <w:tabs>
          <w:tab w:val="right" w:leader="dot" w:pos="9344"/>
        </w:tabs>
        <w:rPr>
          <w:rFonts w:asciiTheme="minorHAnsi" w:eastAsiaTheme="minorEastAsia" w:hAnsiTheme="minorHAnsi"/>
          <w:noProof/>
          <w:sz w:val="22"/>
          <w:lang w:eastAsia="ru-RU"/>
        </w:rPr>
      </w:pPr>
      <w:hyperlink w:anchor="_Toc104985251" w:history="1">
        <w:r w:rsidR="00087753" w:rsidRPr="00277050">
          <w:rPr>
            <w:rStyle w:val="a7"/>
            <w:noProof/>
            <w:lang w:val="en-US"/>
          </w:rPr>
          <w:t>2.3.8.1 General overview</w:t>
        </w:r>
        <w:r w:rsidR="00087753">
          <w:rPr>
            <w:noProof/>
            <w:webHidden/>
          </w:rPr>
          <w:tab/>
        </w:r>
        <w:r w:rsidR="00087753">
          <w:rPr>
            <w:noProof/>
            <w:webHidden/>
          </w:rPr>
          <w:fldChar w:fldCharType="begin"/>
        </w:r>
        <w:r w:rsidR="00087753">
          <w:rPr>
            <w:noProof/>
            <w:webHidden/>
          </w:rPr>
          <w:instrText xml:space="preserve"> PAGEREF _Toc104985251 \h </w:instrText>
        </w:r>
        <w:r w:rsidR="00087753">
          <w:rPr>
            <w:noProof/>
            <w:webHidden/>
          </w:rPr>
        </w:r>
        <w:r w:rsidR="00087753">
          <w:rPr>
            <w:noProof/>
            <w:webHidden/>
          </w:rPr>
          <w:fldChar w:fldCharType="separate"/>
        </w:r>
        <w:r w:rsidR="004870F1">
          <w:rPr>
            <w:noProof/>
            <w:webHidden/>
          </w:rPr>
          <w:t>119</w:t>
        </w:r>
        <w:r w:rsidR="00087753">
          <w:rPr>
            <w:noProof/>
            <w:webHidden/>
          </w:rPr>
          <w:fldChar w:fldCharType="end"/>
        </w:r>
      </w:hyperlink>
    </w:p>
    <w:p w14:paraId="2E987DDE" w14:textId="0E6A0E17" w:rsidR="00087753" w:rsidRDefault="00536556">
      <w:pPr>
        <w:pStyle w:val="41"/>
        <w:tabs>
          <w:tab w:val="right" w:leader="dot" w:pos="9344"/>
        </w:tabs>
        <w:rPr>
          <w:rFonts w:asciiTheme="minorHAnsi" w:eastAsiaTheme="minorEastAsia" w:hAnsiTheme="minorHAnsi"/>
          <w:noProof/>
          <w:sz w:val="22"/>
          <w:lang w:eastAsia="ru-RU"/>
        </w:rPr>
      </w:pPr>
      <w:hyperlink w:anchor="_Toc104985252" w:history="1">
        <w:r w:rsidR="00087753" w:rsidRPr="00277050">
          <w:rPr>
            <w:rStyle w:val="a7"/>
            <w:noProof/>
            <w:lang w:val="en-US"/>
          </w:rPr>
          <w:t>2.3.8.2 Land use and land cover analysis processes</w:t>
        </w:r>
        <w:r w:rsidR="00087753">
          <w:rPr>
            <w:noProof/>
            <w:webHidden/>
          </w:rPr>
          <w:tab/>
        </w:r>
        <w:r w:rsidR="00087753">
          <w:rPr>
            <w:noProof/>
            <w:webHidden/>
          </w:rPr>
          <w:fldChar w:fldCharType="begin"/>
        </w:r>
        <w:r w:rsidR="00087753">
          <w:rPr>
            <w:noProof/>
            <w:webHidden/>
          </w:rPr>
          <w:instrText xml:space="preserve"> PAGEREF _Toc104985252 \h </w:instrText>
        </w:r>
        <w:r w:rsidR="00087753">
          <w:rPr>
            <w:noProof/>
            <w:webHidden/>
          </w:rPr>
        </w:r>
        <w:r w:rsidR="00087753">
          <w:rPr>
            <w:noProof/>
            <w:webHidden/>
          </w:rPr>
          <w:fldChar w:fldCharType="separate"/>
        </w:r>
        <w:r w:rsidR="004870F1">
          <w:rPr>
            <w:noProof/>
            <w:webHidden/>
          </w:rPr>
          <w:t>120</w:t>
        </w:r>
        <w:r w:rsidR="00087753">
          <w:rPr>
            <w:noProof/>
            <w:webHidden/>
          </w:rPr>
          <w:fldChar w:fldCharType="end"/>
        </w:r>
      </w:hyperlink>
    </w:p>
    <w:p w14:paraId="2B21883D" w14:textId="67061652" w:rsidR="00087753" w:rsidRDefault="00536556">
      <w:pPr>
        <w:pStyle w:val="51"/>
        <w:tabs>
          <w:tab w:val="right" w:leader="dot" w:pos="9344"/>
        </w:tabs>
        <w:rPr>
          <w:rFonts w:asciiTheme="minorHAnsi" w:eastAsiaTheme="minorEastAsia" w:hAnsiTheme="minorHAnsi"/>
          <w:noProof/>
          <w:sz w:val="22"/>
          <w:lang w:eastAsia="ru-RU"/>
        </w:rPr>
      </w:pPr>
      <w:hyperlink w:anchor="_Toc104985253" w:history="1">
        <w:r w:rsidR="00087753" w:rsidRPr="00277050">
          <w:rPr>
            <w:rStyle w:val="a7"/>
            <w:noProof/>
          </w:rPr>
          <w:t>2.3.8.2.1 Landsat data processing</w:t>
        </w:r>
        <w:r w:rsidR="00087753">
          <w:rPr>
            <w:noProof/>
            <w:webHidden/>
          </w:rPr>
          <w:tab/>
        </w:r>
        <w:r w:rsidR="00087753">
          <w:rPr>
            <w:noProof/>
            <w:webHidden/>
          </w:rPr>
          <w:fldChar w:fldCharType="begin"/>
        </w:r>
        <w:r w:rsidR="00087753">
          <w:rPr>
            <w:noProof/>
            <w:webHidden/>
          </w:rPr>
          <w:instrText xml:space="preserve"> PAGEREF _Toc104985253 \h </w:instrText>
        </w:r>
        <w:r w:rsidR="00087753">
          <w:rPr>
            <w:noProof/>
            <w:webHidden/>
          </w:rPr>
        </w:r>
        <w:r w:rsidR="00087753">
          <w:rPr>
            <w:noProof/>
            <w:webHidden/>
          </w:rPr>
          <w:fldChar w:fldCharType="separate"/>
        </w:r>
        <w:r w:rsidR="004870F1">
          <w:rPr>
            <w:noProof/>
            <w:webHidden/>
          </w:rPr>
          <w:t>120</w:t>
        </w:r>
        <w:r w:rsidR="00087753">
          <w:rPr>
            <w:noProof/>
            <w:webHidden/>
          </w:rPr>
          <w:fldChar w:fldCharType="end"/>
        </w:r>
      </w:hyperlink>
    </w:p>
    <w:p w14:paraId="407456CA" w14:textId="7FE770D2" w:rsidR="00087753" w:rsidRDefault="00536556">
      <w:pPr>
        <w:pStyle w:val="41"/>
        <w:tabs>
          <w:tab w:val="right" w:leader="dot" w:pos="9344"/>
        </w:tabs>
        <w:rPr>
          <w:rFonts w:asciiTheme="minorHAnsi" w:eastAsiaTheme="minorEastAsia" w:hAnsiTheme="minorHAnsi"/>
          <w:noProof/>
          <w:sz w:val="22"/>
          <w:lang w:eastAsia="ru-RU"/>
        </w:rPr>
      </w:pPr>
      <w:hyperlink w:anchor="_Toc104985254" w:history="1">
        <w:r w:rsidR="00087753" w:rsidRPr="00277050">
          <w:rPr>
            <w:rStyle w:val="a7"/>
            <w:noProof/>
            <w:lang w:val="en-US"/>
          </w:rPr>
          <w:t>2.3.8.3 Land use and land cover analysis results</w:t>
        </w:r>
        <w:r w:rsidR="00087753">
          <w:rPr>
            <w:noProof/>
            <w:webHidden/>
          </w:rPr>
          <w:tab/>
        </w:r>
        <w:r w:rsidR="00087753">
          <w:rPr>
            <w:noProof/>
            <w:webHidden/>
          </w:rPr>
          <w:fldChar w:fldCharType="begin"/>
        </w:r>
        <w:r w:rsidR="00087753">
          <w:rPr>
            <w:noProof/>
            <w:webHidden/>
          </w:rPr>
          <w:instrText xml:space="preserve"> PAGEREF _Toc104985254 \h </w:instrText>
        </w:r>
        <w:r w:rsidR="00087753">
          <w:rPr>
            <w:noProof/>
            <w:webHidden/>
          </w:rPr>
        </w:r>
        <w:r w:rsidR="00087753">
          <w:rPr>
            <w:noProof/>
            <w:webHidden/>
          </w:rPr>
          <w:fldChar w:fldCharType="separate"/>
        </w:r>
        <w:r w:rsidR="004870F1">
          <w:rPr>
            <w:noProof/>
            <w:webHidden/>
          </w:rPr>
          <w:t>120</w:t>
        </w:r>
        <w:r w:rsidR="00087753">
          <w:rPr>
            <w:noProof/>
            <w:webHidden/>
          </w:rPr>
          <w:fldChar w:fldCharType="end"/>
        </w:r>
      </w:hyperlink>
    </w:p>
    <w:p w14:paraId="4A3259ED" w14:textId="6FB4AD8D" w:rsidR="00087753" w:rsidRDefault="00536556">
      <w:pPr>
        <w:pStyle w:val="51"/>
        <w:tabs>
          <w:tab w:val="right" w:leader="dot" w:pos="9344"/>
        </w:tabs>
        <w:rPr>
          <w:rFonts w:asciiTheme="minorHAnsi" w:eastAsiaTheme="minorEastAsia" w:hAnsiTheme="minorHAnsi"/>
          <w:noProof/>
          <w:sz w:val="22"/>
          <w:lang w:eastAsia="ru-RU"/>
        </w:rPr>
      </w:pPr>
      <w:hyperlink w:anchor="_Toc104985255" w:history="1">
        <w:r w:rsidR="00087753" w:rsidRPr="00277050">
          <w:rPr>
            <w:rStyle w:val="a7"/>
            <w:noProof/>
            <w:lang w:val="en-US"/>
          </w:rPr>
          <w:t>2.3.8.3.1 Preparing Soil Data for CN Grid</w:t>
        </w:r>
        <w:r w:rsidR="00087753">
          <w:rPr>
            <w:noProof/>
            <w:webHidden/>
          </w:rPr>
          <w:tab/>
        </w:r>
        <w:r w:rsidR="00087753">
          <w:rPr>
            <w:noProof/>
            <w:webHidden/>
          </w:rPr>
          <w:fldChar w:fldCharType="begin"/>
        </w:r>
        <w:r w:rsidR="00087753">
          <w:rPr>
            <w:noProof/>
            <w:webHidden/>
          </w:rPr>
          <w:instrText xml:space="preserve"> PAGEREF _Toc104985255 \h </w:instrText>
        </w:r>
        <w:r w:rsidR="00087753">
          <w:rPr>
            <w:noProof/>
            <w:webHidden/>
          </w:rPr>
        </w:r>
        <w:r w:rsidR="00087753">
          <w:rPr>
            <w:noProof/>
            <w:webHidden/>
          </w:rPr>
          <w:fldChar w:fldCharType="separate"/>
        </w:r>
        <w:r w:rsidR="004870F1">
          <w:rPr>
            <w:noProof/>
            <w:webHidden/>
          </w:rPr>
          <w:t>124</w:t>
        </w:r>
        <w:r w:rsidR="00087753">
          <w:rPr>
            <w:noProof/>
            <w:webHidden/>
          </w:rPr>
          <w:fldChar w:fldCharType="end"/>
        </w:r>
      </w:hyperlink>
    </w:p>
    <w:p w14:paraId="08B0AB13" w14:textId="308595CC" w:rsidR="00087753" w:rsidRDefault="00536556">
      <w:pPr>
        <w:pStyle w:val="51"/>
        <w:tabs>
          <w:tab w:val="right" w:leader="dot" w:pos="9344"/>
        </w:tabs>
        <w:rPr>
          <w:rFonts w:asciiTheme="minorHAnsi" w:eastAsiaTheme="minorEastAsia" w:hAnsiTheme="minorHAnsi"/>
          <w:noProof/>
          <w:sz w:val="22"/>
          <w:lang w:eastAsia="ru-RU"/>
        </w:rPr>
      </w:pPr>
      <w:hyperlink w:anchor="_Toc104985256" w:history="1">
        <w:r w:rsidR="00087753" w:rsidRPr="00277050">
          <w:rPr>
            <w:rStyle w:val="a7"/>
            <w:noProof/>
            <w:lang w:val="en-US"/>
          </w:rPr>
          <w:t>2.3.8.3.2 Merging of Soil and Land Use Data</w:t>
        </w:r>
        <w:r w:rsidR="00087753">
          <w:rPr>
            <w:noProof/>
            <w:webHidden/>
          </w:rPr>
          <w:tab/>
        </w:r>
        <w:r w:rsidR="00087753">
          <w:rPr>
            <w:noProof/>
            <w:webHidden/>
          </w:rPr>
          <w:fldChar w:fldCharType="begin"/>
        </w:r>
        <w:r w:rsidR="00087753">
          <w:rPr>
            <w:noProof/>
            <w:webHidden/>
          </w:rPr>
          <w:instrText xml:space="preserve"> PAGEREF _Toc104985256 \h </w:instrText>
        </w:r>
        <w:r w:rsidR="00087753">
          <w:rPr>
            <w:noProof/>
            <w:webHidden/>
          </w:rPr>
        </w:r>
        <w:r w:rsidR="00087753">
          <w:rPr>
            <w:noProof/>
            <w:webHidden/>
          </w:rPr>
          <w:fldChar w:fldCharType="separate"/>
        </w:r>
        <w:r w:rsidR="004870F1">
          <w:rPr>
            <w:noProof/>
            <w:webHidden/>
          </w:rPr>
          <w:t>124</w:t>
        </w:r>
        <w:r w:rsidR="00087753">
          <w:rPr>
            <w:noProof/>
            <w:webHidden/>
          </w:rPr>
          <w:fldChar w:fldCharType="end"/>
        </w:r>
      </w:hyperlink>
    </w:p>
    <w:p w14:paraId="7C9FA06F" w14:textId="4D99D083" w:rsidR="00087753" w:rsidRDefault="00536556">
      <w:pPr>
        <w:pStyle w:val="51"/>
        <w:tabs>
          <w:tab w:val="right" w:leader="dot" w:pos="9344"/>
        </w:tabs>
        <w:rPr>
          <w:rFonts w:asciiTheme="minorHAnsi" w:eastAsiaTheme="minorEastAsia" w:hAnsiTheme="minorHAnsi"/>
          <w:noProof/>
          <w:sz w:val="22"/>
          <w:lang w:eastAsia="ru-RU"/>
        </w:rPr>
      </w:pPr>
      <w:hyperlink w:anchor="_Toc104985257" w:history="1">
        <w:r w:rsidR="00087753" w:rsidRPr="00277050">
          <w:rPr>
            <w:rStyle w:val="a7"/>
            <w:noProof/>
            <w:lang w:val="en-US"/>
          </w:rPr>
          <w:t>2.3.8.3.3 Creating CN Look-up Table</w:t>
        </w:r>
        <w:r w:rsidR="00087753">
          <w:rPr>
            <w:noProof/>
            <w:webHidden/>
          </w:rPr>
          <w:tab/>
        </w:r>
        <w:r w:rsidR="00087753">
          <w:rPr>
            <w:noProof/>
            <w:webHidden/>
          </w:rPr>
          <w:fldChar w:fldCharType="begin"/>
        </w:r>
        <w:r w:rsidR="00087753">
          <w:rPr>
            <w:noProof/>
            <w:webHidden/>
          </w:rPr>
          <w:instrText xml:space="preserve"> PAGEREF _Toc104985257 \h </w:instrText>
        </w:r>
        <w:r w:rsidR="00087753">
          <w:rPr>
            <w:noProof/>
            <w:webHidden/>
          </w:rPr>
        </w:r>
        <w:r w:rsidR="00087753">
          <w:rPr>
            <w:noProof/>
            <w:webHidden/>
          </w:rPr>
          <w:fldChar w:fldCharType="separate"/>
        </w:r>
        <w:r w:rsidR="004870F1">
          <w:rPr>
            <w:noProof/>
            <w:webHidden/>
          </w:rPr>
          <w:t>125</w:t>
        </w:r>
        <w:r w:rsidR="00087753">
          <w:rPr>
            <w:noProof/>
            <w:webHidden/>
          </w:rPr>
          <w:fldChar w:fldCharType="end"/>
        </w:r>
      </w:hyperlink>
    </w:p>
    <w:p w14:paraId="12DACCCB" w14:textId="75C3AE0B" w:rsidR="00087753" w:rsidRDefault="00536556">
      <w:pPr>
        <w:pStyle w:val="51"/>
        <w:tabs>
          <w:tab w:val="right" w:leader="dot" w:pos="9344"/>
        </w:tabs>
        <w:rPr>
          <w:rFonts w:asciiTheme="minorHAnsi" w:eastAsiaTheme="minorEastAsia" w:hAnsiTheme="minorHAnsi"/>
          <w:noProof/>
          <w:sz w:val="22"/>
          <w:lang w:eastAsia="ru-RU"/>
        </w:rPr>
      </w:pPr>
      <w:hyperlink w:anchor="_Toc104985258" w:history="1">
        <w:r w:rsidR="00087753" w:rsidRPr="00277050">
          <w:rPr>
            <w:rStyle w:val="a7"/>
            <w:noProof/>
          </w:rPr>
          <w:t>2.3.8.3.4 Curve Number Grid Generation</w:t>
        </w:r>
        <w:r w:rsidR="00087753">
          <w:rPr>
            <w:noProof/>
            <w:webHidden/>
          </w:rPr>
          <w:tab/>
        </w:r>
        <w:r w:rsidR="00087753">
          <w:rPr>
            <w:noProof/>
            <w:webHidden/>
          </w:rPr>
          <w:fldChar w:fldCharType="begin"/>
        </w:r>
        <w:r w:rsidR="00087753">
          <w:rPr>
            <w:noProof/>
            <w:webHidden/>
          </w:rPr>
          <w:instrText xml:space="preserve"> PAGEREF _Toc104985258 \h </w:instrText>
        </w:r>
        <w:r w:rsidR="00087753">
          <w:rPr>
            <w:noProof/>
            <w:webHidden/>
          </w:rPr>
        </w:r>
        <w:r w:rsidR="00087753">
          <w:rPr>
            <w:noProof/>
            <w:webHidden/>
          </w:rPr>
          <w:fldChar w:fldCharType="separate"/>
        </w:r>
        <w:r w:rsidR="004870F1">
          <w:rPr>
            <w:noProof/>
            <w:webHidden/>
          </w:rPr>
          <w:t>125</w:t>
        </w:r>
        <w:r w:rsidR="00087753">
          <w:rPr>
            <w:noProof/>
            <w:webHidden/>
          </w:rPr>
          <w:fldChar w:fldCharType="end"/>
        </w:r>
      </w:hyperlink>
    </w:p>
    <w:p w14:paraId="6EEF54FF" w14:textId="5B106EB0" w:rsidR="00087753" w:rsidRDefault="00536556">
      <w:pPr>
        <w:pStyle w:val="31"/>
        <w:tabs>
          <w:tab w:val="right" w:leader="dot" w:pos="9344"/>
        </w:tabs>
        <w:rPr>
          <w:rFonts w:asciiTheme="minorHAnsi" w:eastAsiaTheme="minorEastAsia" w:hAnsiTheme="minorHAnsi"/>
          <w:noProof/>
          <w:sz w:val="22"/>
          <w:lang w:eastAsia="ru-RU"/>
        </w:rPr>
      </w:pPr>
      <w:hyperlink w:anchor="_Toc104985259" w:history="1">
        <w:r w:rsidR="00087753" w:rsidRPr="00277050">
          <w:rPr>
            <w:rStyle w:val="a7"/>
            <w:rFonts w:eastAsia="Calibri"/>
            <w:noProof/>
            <w:lang w:val="en-US"/>
          </w:rPr>
          <w:t>2.3.9 Curve Number grid</w:t>
        </w:r>
        <w:r w:rsidR="00087753">
          <w:rPr>
            <w:noProof/>
            <w:webHidden/>
          </w:rPr>
          <w:tab/>
        </w:r>
        <w:r w:rsidR="00087753">
          <w:rPr>
            <w:noProof/>
            <w:webHidden/>
          </w:rPr>
          <w:fldChar w:fldCharType="begin"/>
        </w:r>
        <w:r w:rsidR="00087753">
          <w:rPr>
            <w:noProof/>
            <w:webHidden/>
          </w:rPr>
          <w:instrText xml:space="preserve"> PAGEREF _Toc104985259 \h </w:instrText>
        </w:r>
        <w:r w:rsidR="00087753">
          <w:rPr>
            <w:noProof/>
            <w:webHidden/>
          </w:rPr>
        </w:r>
        <w:r w:rsidR="00087753">
          <w:rPr>
            <w:noProof/>
            <w:webHidden/>
          </w:rPr>
          <w:fldChar w:fldCharType="separate"/>
        </w:r>
        <w:r w:rsidR="004870F1">
          <w:rPr>
            <w:noProof/>
            <w:webHidden/>
          </w:rPr>
          <w:t>125</w:t>
        </w:r>
        <w:r w:rsidR="00087753">
          <w:rPr>
            <w:noProof/>
            <w:webHidden/>
          </w:rPr>
          <w:fldChar w:fldCharType="end"/>
        </w:r>
      </w:hyperlink>
    </w:p>
    <w:p w14:paraId="6E9C9EE3" w14:textId="00C596E5" w:rsidR="00087753" w:rsidRDefault="00536556">
      <w:pPr>
        <w:pStyle w:val="21"/>
        <w:rPr>
          <w:rFonts w:asciiTheme="minorHAnsi" w:eastAsiaTheme="minorEastAsia" w:hAnsiTheme="minorHAnsi"/>
          <w:noProof/>
          <w:sz w:val="22"/>
          <w:lang w:eastAsia="ru-RU"/>
        </w:rPr>
      </w:pPr>
      <w:hyperlink w:anchor="_Toc104985260" w:history="1">
        <w:r w:rsidR="00087753" w:rsidRPr="00277050">
          <w:rPr>
            <w:rStyle w:val="a7"/>
            <w:noProof/>
          </w:rPr>
          <w:t>2.4 Chardara catchment, Kazakhstan</w:t>
        </w:r>
        <w:r w:rsidR="00087753">
          <w:rPr>
            <w:noProof/>
            <w:webHidden/>
          </w:rPr>
          <w:tab/>
        </w:r>
        <w:r w:rsidR="00087753">
          <w:rPr>
            <w:noProof/>
            <w:webHidden/>
          </w:rPr>
          <w:fldChar w:fldCharType="begin"/>
        </w:r>
        <w:r w:rsidR="00087753">
          <w:rPr>
            <w:noProof/>
            <w:webHidden/>
          </w:rPr>
          <w:instrText xml:space="preserve"> PAGEREF _Toc104985260 \h </w:instrText>
        </w:r>
        <w:r w:rsidR="00087753">
          <w:rPr>
            <w:noProof/>
            <w:webHidden/>
          </w:rPr>
        </w:r>
        <w:r w:rsidR="00087753">
          <w:rPr>
            <w:noProof/>
            <w:webHidden/>
          </w:rPr>
          <w:fldChar w:fldCharType="separate"/>
        </w:r>
        <w:r w:rsidR="004870F1">
          <w:rPr>
            <w:noProof/>
            <w:webHidden/>
          </w:rPr>
          <w:t>126</w:t>
        </w:r>
        <w:r w:rsidR="00087753">
          <w:rPr>
            <w:noProof/>
            <w:webHidden/>
          </w:rPr>
          <w:fldChar w:fldCharType="end"/>
        </w:r>
      </w:hyperlink>
    </w:p>
    <w:p w14:paraId="09886C2B" w14:textId="5CB354C6" w:rsidR="00087753" w:rsidRDefault="00536556">
      <w:pPr>
        <w:pStyle w:val="31"/>
        <w:tabs>
          <w:tab w:val="right" w:leader="dot" w:pos="9344"/>
        </w:tabs>
        <w:rPr>
          <w:rFonts w:asciiTheme="minorHAnsi" w:eastAsiaTheme="minorEastAsia" w:hAnsiTheme="minorHAnsi"/>
          <w:noProof/>
          <w:sz w:val="22"/>
          <w:lang w:eastAsia="ru-RU"/>
        </w:rPr>
      </w:pPr>
      <w:hyperlink w:anchor="_Toc104985261" w:history="1">
        <w:r w:rsidR="00087753" w:rsidRPr="00277050">
          <w:rPr>
            <w:rStyle w:val="a7"/>
            <w:noProof/>
          </w:rPr>
          <w:t>2.4.1 Case study description</w:t>
        </w:r>
        <w:r w:rsidR="00087753">
          <w:rPr>
            <w:noProof/>
            <w:webHidden/>
          </w:rPr>
          <w:tab/>
        </w:r>
        <w:r w:rsidR="00087753">
          <w:rPr>
            <w:noProof/>
            <w:webHidden/>
          </w:rPr>
          <w:fldChar w:fldCharType="begin"/>
        </w:r>
        <w:r w:rsidR="00087753">
          <w:rPr>
            <w:noProof/>
            <w:webHidden/>
          </w:rPr>
          <w:instrText xml:space="preserve"> PAGEREF _Toc104985261 \h </w:instrText>
        </w:r>
        <w:r w:rsidR="00087753">
          <w:rPr>
            <w:noProof/>
            <w:webHidden/>
          </w:rPr>
        </w:r>
        <w:r w:rsidR="00087753">
          <w:rPr>
            <w:noProof/>
            <w:webHidden/>
          </w:rPr>
          <w:fldChar w:fldCharType="separate"/>
        </w:r>
        <w:r w:rsidR="004870F1">
          <w:rPr>
            <w:noProof/>
            <w:webHidden/>
          </w:rPr>
          <w:t>126</w:t>
        </w:r>
        <w:r w:rsidR="00087753">
          <w:rPr>
            <w:noProof/>
            <w:webHidden/>
          </w:rPr>
          <w:fldChar w:fldCharType="end"/>
        </w:r>
      </w:hyperlink>
    </w:p>
    <w:p w14:paraId="51AA7148" w14:textId="241FF13F" w:rsidR="00087753" w:rsidRDefault="00536556">
      <w:pPr>
        <w:pStyle w:val="41"/>
        <w:tabs>
          <w:tab w:val="right" w:leader="dot" w:pos="9344"/>
        </w:tabs>
        <w:rPr>
          <w:rFonts w:asciiTheme="minorHAnsi" w:eastAsiaTheme="minorEastAsia" w:hAnsiTheme="minorHAnsi"/>
          <w:noProof/>
          <w:sz w:val="22"/>
          <w:lang w:eastAsia="ru-RU"/>
        </w:rPr>
      </w:pPr>
      <w:hyperlink w:anchor="_Toc104985262" w:history="1">
        <w:r w:rsidR="00087753" w:rsidRPr="00277050">
          <w:rPr>
            <w:rStyle w:val="a7"/>
            <w:rFonts w:eastAsiaTheme="majorEastAsia" w:cs="Times New Roman"/>
            <w:iCs/>
            <w:noProof/>
          </w:rPr>
          <w:t>2.4.1.1 Catchment delineation</w:t>
        </w:r>
        <w:r w:rsidR="00087753">
          <w:rPr>
            <w:noProof/>
            <w:webHidden/>
          </w:rPr>
          <w:tab/>
        </w:r>
        <w:r w:rsidR="00087753">
          <w:rPr>
            <w:noProof/>
            <w:webHidden/>
          </w:rPr>
          <w:fldChar w:fldCharType="begin"/>
        </w:r>
        <w:r w:rsidR="00087753">
          <w:rPr>
            <w:noProof/>
            <w:webHidden/>
          </w:rPr>
          <w:instrText xml:space="preserve"> PAGEREF _Toc104985262 \h </w:instrText>
        </w:r>
        <w:r w:rsidR="00087753">
          <w:rPr>
            <w:noProof/>
            <w:webHidden/>
          </w:rPr>
        </w:r>
        <w:r w:rsidR="00087753">
          <w:rPr>
            <w:noProof/>
            <w:webHidden/>
          </w:rPr>
          <w:fldChar w:fldCharType="separate"/>
        </w:r>
        <w:r w:rsidR="004870F1">
          <w:rPr>
            <w:noProof/>
            <w:webHidden/>
          </w:rPr>
          <w:t>127</w:t>
        </w:r>
        <w:r w:rsidR="00087753">
          <w:rPr>
            <w:noProof/>
            <w:webHidden/>
          </w:rPr>
          <w:fldChar w:fldCharType="end"/>
        </w:r>
      </w:hyperlink>
    </w:p>
    <w:p w14:paraId="12C8B1D3" w14:textId="016CF5B0" w:rsidR="00087753" w:rsidRDefault="00536556">
      <w:pPr>
        <w:pStyle w:val="41"/>
        <w:tabs>
          <w:tab w:val="right" w:leader="dot" w:pos="9344"/>
        </w:tabs>
        <w:rPr>
          <w:rFonts w:asciiTheme="minorHAnsi" w:eastAsiaTheme="minorEastAsia" w:hAnsiTheme="minorHAnsi"/>
          <w:noProof/>
          <w:sz w:val="22"/>
          <w:lang w:eastAsia="ru-RU"/>
        </w:rPr>
      </w:pPr>
      <w:hyperlink w:anchor="_Toc104985263" w:history="1">
        <w:r w:rsidR="00087753" w:rsidRPr="00277050">
          <w:rPr>
            <w:rStyle w:val="a7"/>
            <w:rFonts w:eastAsiaTheme="majorEastAsia" w:cs="Times New Roman"/>
            <w:iCs/>
            <w:noProof/>
            <w:lang w:val="en-US"/>
          </w:rPr>
          <w:t>2.4.1.2 Land use and land cover change analysis</w:t>
        </w:r>
        <w:r w:rsidR="00087753">
          <w:rPr>
            <w:noProof/>
            <w:webHidden/>
          </w:rPr>
          <w:tab/>
        </w:r>
        <w:r w:rsidR="00087753">
          <w:rPr>
            <w:noProof/>
            <w:webHidden/>
          </w:rPr>
          <w:fldChar w:fldCharType="begin"/>
        </w:r>
        <w:r w:rsidR="00087753">
          <w:rPr>
            <w:noProof/>
            <w:webHidden/>
          </w:rPr>
          <w:instrText xml:space="preserve"> PAGEREF _Toc104985263 \h </w:instrText>
        </w:r>
        <w:r w:rsidR="00087753">
          <w:rPr>
            <w:noProof/>
            <w:webHidden/>
          </w:rPr>
        </w:r>
        <w:r w:rsidR="00087753">
          <w:rPr>
            <w:noProof/>
            <w:webHidden/>
          </w:rPr>
          <w:fldChar w:fldCharType="separate"/>
        </w:r>
        <w:r w:rsidR="004870F1">
          <w:rPr>
            <w:noProof/>
            <w:webHidden/>
          </w:rPr>
          <w:t>128</w:t>
        </w:r>
        <w:r w:rsidR="00087753">
          <w:rPr>
            <w:noProof/>
            <w:webHidden/>
          </w:rPr>
          <w:fldChar w:fldCharType="end"/>
        </w:r>
      </w:hyperlink>
    </w:p>
    <w:p w14:paraId="385A96E3" w14:textId="1E96C34E" w:rsidR="00087753" w:rsidRDefault="00536556">
      <w:pPr>
        <w:pStyle w:val="61"/>
        <w:rPr>
          <w:rFonts w:asciiTheme="minorHAnsi" w:eastAsiaTheme="minorEastAsia" w:hAnsiTheme="minorHAnsi" w:cstheme="minorBidi"/>
          <w:sz w:val="22"/>
          <w:lang w:val="ru-RU" w:eastAsia="ru-RU"/>
        </w:rPr>
      </w:pPr>
      <w:hyperlink w:anchor="_Toc104985264" w:history="1">
        <w:r w:rsidR="00087753" w:rsidRPr="00277050">
          <w:rPr>
            <w:rStyle w:val="a7"/>
            <w:b/>
          </w:rPr>
          <w:t>Summary for chapter two</w:t>
        </w:r>
        <w:r w:rsidR="00087753">
          <w:rPr>
            <w:webHidden/>
          </w:rPr>
          <w:tab/>
        </w:r>
        <w:r w:rsidR="00087753">
          <w:rPr>
            <w:webHidden/>
          </w:rPr>
          <w:fldChar w:fldCharType="begin"/>
        </w:r>
        <w:r w:rsidR="00087753">
          <w:rPr>
            <w:webHidden/>
          </w:rPr>
          <w:instrText xml:space="preserve"> PAGEREF _Toc104985264 \h </w:instrText>
        </w:r>
        <w:r w:rsidR="00087753">
          <w:rPr>
            <w:webHidden/>
          </w:rPr>
        </w:r>
        <w:r w:rsidR="00087753">
          <w:rPr>
            <w:webHidden/>
          </w:rPr>
          <w:fldChar w:fldCharType="separate"/>
        </w:r>
        <w:r w:rsidR="004870F1">
          <w:rPr>
            <w:webHidden/>
          </w:rPr>
          <w:t>132</w:t>
        </w:r>
        <w:r w:rsidR="00087753">
          <w:rPr>
            <w:webHidden/>
          </w:rPr>
          <w:fldChar w:fldCharType="end"/>
        </w:r>
      </w:hyperlink>
    </w:p>
    <w:p w14:paraId="065B54E4" w14:textId="64154C72" w:rsidR="00087753" w:rsidRDefault="00536556">
      <w:pPr>
        <w:pStyle w:val="11"/>
        <w:rPr>
          <w:rFonts w:asciiTheme="minorHAnsi" w:eastAsiaTheme="minorEastAsia" w:hAnsiTheme="minorHAnsi"/>
          <w:caps w:val="0"/>
          <w:noProof/>
          <w:sz w:val="22"/>
          <w:lang w:eastAsia="ru-RU"/>
        </w:rPr>
      </w:pPr>
      <w:hyperlink w:anchor="_Toc104985265" w:history="1">
        <w:r w:rsidR="00087753" w:rsidRPr="00277050">
          <w:rPr>
            <w:rStyle w:val="a7"/>
            <w:rFonts w:eastAsia="Calibri"/>
            <w:noProof/>
            <w:lang w:val="en-US"/>
          </w:rPr>
          <w:t>3 Stormwater modeling</w:t>
        </w:r>
        <w:r w:rsidR="00087753">
          <w:rPr>
            <w:noProof/>
            <w:webHidden/>
          </w:rPr>
          <w:tab/>
        </w:r>
        <w:r w:rsidR="00087753">
          <w:rPr>
            <w:noProof/>
            <w:webHidden/>
          </w:rPr>
          <w:fldChar w:fldCharType="begin"/>
        </w:r>
        <w:r w:rsidR="00087753">
          <w:rPr>
            <w:noProof/>
            <w:webHidden/>
          </w:rPr>
          <w:instrText xml:space="preserve"> PAGEREF _Toc104985265 \h </w:instrText>
        </w:r>
        <w:r w:rsidR="00087753">
          <w:rPr>
            <w:noProof/>
            <w:webHidden/>
          </w:rPr>
        </w:r>
        <w:r w:rsidR="00087753">
          <w:rPr>
            <w:noProof/>
            <w:webHidden/>
          </w:rPr>
          <w:fldChar w:fldCharType="separate"/>
        </w:r>
        <w:r w:rsidR="004870F1">
          <w:rPr>
            <w:noProof/>
            <w:webHidden/>
          </w:rPr>
          <w:t>134</w:t>
        </w:r>
        <w:r w:rsidR="00087753">
          <w:rPr>
            <w:noProof/>
            <w:webHidden/>
          </w:rPr>
          <w:fldChar w:fldCharType="end"/>
        </w:r>
      </w:hyperlink>
    </w:p>
    <w:p w14:paraId="78D45ACF" w14:textId="68CC2834" w:rsidR="00087753" w:rsidRDefault="00536556">
      <w:pPr>
        <w:pStyle w:val="21"/>
        <w:rPr>
          <w:rFonts w:asciiTheme="minorHAnsi" w:eastAsiaTheme="minorEastAsia" w:hAnsiTheme="minorHAnsi"/>
          <w:noProof/>
          <w:sz w:val="22"/>
          <w:lang w:eastAsia="ru-RU"/>
        </w:rPr>
      </w:pPr>
      <w:hyperlink w:anchor="_Toc104985266" w:history="1">
        <w:r w:rsidR="00087753" w:rsidRPr="00277050">
          <w:rPr>
            <w:rStyle w:val="a7"/>
            <w:noProof/>
          </w:rPr>
          <w:t>3.1 Modeling approach</w:t>
        </w:r>
        <w:r w:rsidR="00087753">
          <w:rPr>
            <w:noProof/>
            <w:webHidden/>
          </w:rPr>
          <w:tab/>
        </w:r>
        <w:r w:rsidR="00087753">
          <w:rPr>
            <w:noProof/>
            <w:webHidden/>
          </w:rPr>
          <w:fldChar w:fldCharType="begin"/>
        </w:r>
        <w:r w:rsidR="00087753">
          <w:rPr>
            <w:noProof/>
            <w:webHidden/>
          </w:rPr>
          <w:instrText xml:space="preserve"> PAGEREF _Toc104985266 \h </w:instrText>
        </w:r>
        <w:r w:rsidR="00087753">
          <w:rPr>
            <w:noProof/>
            <w:webHidden/>
          </w:rPr>
        </w:r>
        <w:r w:rsidR="00087753">
          <w:rPr>
            <w:noProof/>
            <w:webHidden/>
          </w:rPr>
          <w:fldChar w:fldCharType="separate"/>
        </w:r>
        <w:r w:rsidR="004870F1">
          <w:rPr>
            <w:noProof/>
            <w:webHidden/>
          </w:rPr>
          <w:t>134</w:t>
        </w:r>
        <w:r w:rsidR="00087753">
          <w:rPr>
            <w:noProof/>
            <w:webHidden/>
          </w:rPr>
          <w:fldChar w:fldCharType="end"/>
        </w:r>
      </w:hyperlink>
    </w:p>
    <w:p w14:paraId="05ACA8F2" w14:textId="613A7566" w:rsidR="00087753" w:rsidRDefault="00536556">
      <w:pPr>
        <w:pStyle w:val="21"/>
        <w:rPr>
          <w:rFonts w:asciiTheme="minorHAnsi" w:eastAsiaTheme="minorEastAsia" w:hAnsiTheme="minorHAnsi"/>
          <w:noProof/>
          <w:sz w:val="22"/>
          <w:lang w:eastAsia="ru-RU"/>
        </w:rPr>
      </w:pPr>
      <w:hyperlink w:anchor="_Toc104985267" w:history="1">
        <w:r w:rsidR="00087753" w:rsidRPr="00277050">
          <w:rPr>
            <w:rStyle w:val="a7"/>
            <w:noProof/>
          </w:rPr>
          <w:t>3.2 Ndembera catchment</w:t>
        </w:r>
        <w:r w:rsidR="00087753">
          <w:rPr>
            <w:noProof/>
            <w:webHidden/>
          </w:rPr>
          <w:tab/>
        </w:r>
        <w:r w:rsidR="00087753">
          <w:rPr>
            <w:noProof/>
            <w:webHidden/>
          </w:rPr>
          <w:fldChar w:fldCharType="begin"/>
        </w:r>
        <w:r w:rsidR="00087753">
          <w:rPr>
            <w:noProof/>
            <w:webHidden/>
          </w:rPr>
          <w:instrText xml:space="preserve"> PAGEREF _Toc104985267 \h </w:instrText>
        </w:r>
        <w:r w:rsidR="00087753">
          <w:rPr>
            <w:noProof/>
            <w:webHidden/>
          </w:rPr>
        </w:r>
        <w:r w:rsidR="00087753">
          <w:rPr>
            <w:noProof/>
            <w:webHidden/>
          </w:rPr>
          <w:fldChar w:fldCharType="separate"/>
        </w:r>
        <w:r w:rsidR="004870F1">
          <w:rPr>
            <w:noProof/>
            <w:webHidden/>
          </w:rPr>
          <w:t>134</w:t>
        </w:r>
        <w:r w:rsidR="00087753">
          <w:rPr>
            <w:noProof/>
            <w:webHidden/>
          </w:rPr>
          <w:fldChar w:fldCharType="end"/>
        </w:r>
      </w:hyperlink>
    </w:p>
    <w:p w14:paraId="4BD9F533" w14:textId="6D91C4A7" w:rsidR="00087753" w:rsidRDefault="00536556">
      <w:pPr>
        <w:pStyle w:val="21"/>
        <w:rPr>
          <w:rFonts w:asciiTheme="minorHAnsi" w:eastAsiaTheme="minorEastAsia" w:hAnsiTheme="minorHAnsi"/>
          <w:noProof/>
          <w:sz w:val="22"/>
          <w:lang w:eastAsia="ru-RU"/>
        </w:rPr>
      </w:pPr>
      <w:hyperlink w:anchor="_Toc104985268" w:history="1">
        <w:r w:rsidR="00087753" w:rsidRPr="00277050">
          <w:rPr>
            <w:rStyle w:val="a7"/>
            <w:rFonts w:eastAsia="Calibri"/>
            <w:noProof/>
          </w:rPr>
          <w:t>3.3</w:t>
        </w:r>
        <w:r w:rsidR="00087753" w:rsidRPr="00277050">
          <w:rPr>
            <w:rStyle w:val="a7"/>
            <w:noProof/>
          </w:rPr>
          <w:t xml:space="preserve"> Chardara</w:t>
        </w:r>
        <w:r w:rsidR="00087753" w:rsidRPr="00277050">
          <w:rPr>
            <w:rStyle w:val="a7"/>
            <w:rFonts w:eastAsia="Calibri"/>
            <w:noProof/>
          </w:rPr>
          <w:t xml:space="preserve"> catchment</w:t>
        </w:r>
        <w:r w:rsidR="00087753">
          <w:rPr>
            <w:noProof/>
            <w:webHidden/>
          </w:rPr>
          <w:tab/>
        </w:r>
        <w:r w:rsidR="00087753">
          <w:rPr>
            <w:noProof/>
            <w:webHidden/>
          </w:rPr>
          <w:fldChar w:fldCharType="begin"/>
        </w:r>
        <w:r w:rsidR="00087753">
          <w:rPr>
            <w:noProof/>
            <w:webHidden/>
          </w:rPr>
          <w:instrText xml:space="preserve"> PAGEREF _Toc104985268 \h </w:instrText>
        </w:r>
        <w:r w:rsidR="00087753">
          <w:rPr>
            <w:noProof/>
            <w:webHidden/>
          </w:rPr>
        </w:r>
        <w:r w:rsidR="00087753">
          <w:rPr>
            <w:noProof/>
            <w:webHidden/>
          </w:rPr>
          <w:fldChar w:fldCharType="separate"/>
        </w:r>
        <w:r w:rsidR="004870F1">
          <w:rPr>
            <w:noProof/>
            <w:webHidden/>
          </w:rPr>
          <w:t>137</w:t>
        </w:r>
        <w:r w:rsidR="00087753">
          <w:rPr>
            <w:noProof/>
            <w:webHidden/>
          </w:rPr>
          <w:fldChar w:fldCharType="end"/>
        </w:r>
      </w:hyperlink>
    </w:p>
    <w:p w14:paraId="03A08298" w14:textId="7A6BB866" w:rsidR="00087753" w:rsidRDefault="00536556">
      <w:pPr>
        <w:pStyle w:val="61"/>
        <w:rPr>
          <w:rFonts w:asciiTheme="minorHAnsi" w:eastAsiaTheme="minorEastAsia" w:hAnsiTheme="minorHAnsi" w:cstheme="minorBidi"/>
          <w:sz w:val="22"/>
          <w:lang w:val="ru-RU" w:eastAsia="ru-RU"/>
        </w:rPr>
      </w:pPr>
      <w:hyperlink w:anchor="_Toc104985269" w:history="1">
        <w:r w:rsidR="00087753" w:rsidRPr="00277050">
          <w:rPr>
            <w:rStyle w:val="a7"/>
            <w:b/>
          </w:rPr>
          <w:t>Summary of chapter three</w:t>
        </w:r>
        <w:r w:rsidR="00087753">
          <w:rPr>
            <w:webHidden/>
          </w:rPr>
          <w:tab/>
        </w:r>
        <w:r w:rsidR="00087753">
          <w:rPr>
            <w:webHidden/>
          </w:rPr>
          <w:fldChar w:fldCharType="begin"/>
        </w:r>
        <w:r w:rsidR="00087753">
          <w:rPr>
            <w:webHidden/>
          </w:rPr>
          <w:instrText xml:space="preserve"> PAGEREF _Toc104985269 \h </w:instrText>
        </w:r>
        <w:r w:rsidR="00087753">
          <w:rPr>
            <w:webHidden/>
          </w:rPr>
        </w:r>
        <w:r w:rsidR="00087753">
          <w:rPr>
            <w:webHidden/>
          </w:rPr>
          <w:fldChar w:fldCharType="separate"/>
        </w:r>
        <w:r w:rsidR="004870F1">
          <w:rPr>
            <w:webHidden/>
          </w:rPr>
          <w:t>138</w:t>
        </w:r>
        <w:r w:rsidR="00087753">
          <w:rPr>
            <w:webHidden/>
          </w:rPr>
          <w:fldChar w:fldCharType="end"/>
        </w:r>
      </w:hyperlink>
    </w:p>
    <w:p w14:paraId="3FBEA542" w14:textId="133D228F" w:rsidR="00087753" w:rsidRDefault="00536556">
      <w:pPr>
        <w:pStyle w:val="11"/>
        <w:rPr>
          <w:rFonts w:asciiTheme="minorHAnsi" w:eastAsiaTheme="minorEastAsia" w:hAnsiTheme="minorHAnsi"/>
          <w:caps w:val="0"/>
          <w:noProof/>
          <w:sz w:val="22"/>
          <w:lang w:eastAsia="ru-RU"/>
        </w:rPr>
      </w:pPr>
      <w:hyperlink w:anchor="_Toc104985270" w:history="1">
        <w:r w:rsidR="00087753" w:rsidRPr="00277050">
          <w:rPr>
            <w:rStyle w:val="a7"/>
            <w:noProof/>
            <w:lang w:val="en-US"/>
          </w:rPr>
          <w:t>4 Seepage and slope stability analysis based on virtual models</w:t>
        </w:r>
        <w:r w:rsidR="00087753">
          <w:rPr>
            <w:noProof/>
            <w:webHidden/>
          </w:rPr>
          <w:tab/>
        </w:r>
        <w:r w:rsidR="00087753">
          <w:rPr>
            <w:noProof/>
            <w:webHidden/>
          </w:rPr>
          <w:fldChar w:fldCharType="begin"/>
        </w:r>
        <w:r w:rsidR="00087753">
          <w:rPr>
            <w:noProof/>
            <w:webHidden/>
          </w:rPr>
          <w:instrText xml:space="preserve"> PAGEREF _Toc104985270 \h </w:instrText>
        </w:r>
        <w:r w:rsidR="00087753">
          <w:rPr>
            <w:noProof/>
            <w:webHidden/>
          </w:rPr>
        </w:r>
        <w:r w:rsidR="00087753">
          <w:rPr>
            <w:noProof/>
            <w:webHidden/>
          </w:rPr>
          <w:fldChar w:fldCharType="separate"/>
        </w:r>
        <w:r w:rsidR="004870F1">
          <w:rPr>
            <w:noProof/>
            <w:webHidden/>
          </w:rPr>
          <w:t>139</w:t>
        </w:r>
        <w:r w:rsidR="00087753">
          <w:rPr>
            <w:noProof/>
            <w:webHidden/>
          </w:rPr>
          <w:fldChar w:fldCharType="end"/>
        </w:r>
      </w:hyperlink>
    </w:p>
    <w:p w14:paraId="0FD6BCFB" w14:textId="23AAE8F3" w:rsidR="00087753" w:rsidRDefault="00536556">
      <w:pPr>
        <w:pStyle w:val="21"/>
        <w:rPr>
          <w:rFonts w:asciiTheme="minorHAnsi" w:eastAsiaTheme="minorEastAsia" w:hAnsiTheme="minorHAnsi"/>
          <w:noProof/>
          <w:sz w:val="22"/>
          <w:lang w:eastAsia="ru-RU"/>
        </w:rPr>
      </w:pPr>
      <w:hyperlink w:anchor="_Toc104985271" w:history="1">
        <w:r w:rsidR="00087753" w:rsidRPr="00277050">
          <w:rPr>
            <w:rStyle w:val="a7"/>
            <w:noProof/>
            <w:lang w:val="en-US"/>
          </w:rPr>
          <w:t>4.1 Homogeneous case with water level: The potential effects caused by long-term water level changes on embankment slope stability under rapid drawdown</w:t>
        </w:r>
        <w:r w:rsidR="00087753">
          <w:rPr>
            <w:noProof/>
            <w:webHidden/>
          </w:rPr>
          <w:tab/>
        </w:r>
        <w:r w:rsidR="00087753">
          <w:rPr>
            <w:noProof/>
            <w:webHidden/>
          </w:rPr>
          <w:fldChar w:fldCharType="begin"/>
        </w:r>
        <w:r w:rsidR="00087753">
          <w:rPr>
            <w:noProof/>
            <w:webHidden/>
          </w:rPr>
          <w:instrText xml:space="preserve"> PAGEREF _Toc104985271 \h </w:instrText>
        </w:r>
        <w:r w:rsidR="00087753">
          <w:rPr>
            <w:noProof/>
            <w:webHidden/>
          </w:rPr>
        </w:r>
        <w:r w:rsidR="00087753">
          <w:rPr>
            <w:noProof/>
            <w:webHidden/>
          </w:rPr>
          <w:fldChar w:fldCharType="separate"/>
        </w:r>
        <w:r w:rsidR="004870F1">
          <w:rPr>
            <w:noProof/>
            <w:webHidden/>
          </w:rPr>
          <w:t>139</w:t>
        </w:r>
        <w:r w:rsidR="00087753">
          <w:rPr>
            <w:noProof/>
            <w:webHidden/>
          </w:rPr>
          <w:fldChar w:fldCharType="end"/>
        </w:r>
      </w:hyperlink>
    </w:p>
    <w:p w14:paraId="3C1CA128" w14:textId="1217119E" w:rsidR="00087753" w:rsidRDefault="00536556">
      <w:pPr>
        <w:pStyle w:val="31"/>
        <w:tabs>
          <w:tab w:val="right" w:leader="dot" w:pos="9344"/>
        </w:tabs>
        <w:rPr>
          <w:rFonts w:asciiTheme="minorHAnsi" w:eastAsiaTheme="minorEastAsia" w:hAnsiTheme="minorHAnsi"/>
          <w:noProof/>
          <w:sz w:val="22"/>
          <w:lang w:eastAsia="ru-RU"/>
        </w:rPr>
      </w:pPr>
      <w:hyperlink w:anchor="_Toc104985272" w:history="1">
        <w:r w:rsidR="00087753" w:rsidRPr="00277050">
          <w:rPr>
            <w:rStyle w:val="a7"/>
            <w:noProof/>
            <w:lang w:bidi="en-US"/>
          </w:rPr>
          <w:t>4.1.1 Materials and methods</w:t>
        </w:r>
        <w:r w:rsidR="00087753">
          <w:rPr>
            <w:noProof/>
            <w:webHidden/>
          </w:rPr>
          <w:tab/>
        </w:r>
        <w:r w:rsidR="00087753">
          <w:rPr>
            <w:noProof/>
            <w:webHidden/>
          </w:rPr>
          <w:fldChar w:fldCharType="begin"/>
        </w:r>
        <w:r w:rsidR="00087753">
          <w:rPr>
            <w:noProof/>
            <w:webHidden/>
          </w:rPr>
          <w:instrText xml:space="preserve"> PAGEREF _Toc104985272 \h </w:instrText>
        </w:r>
        <w:r w:rsidR="00087753">
          <w:rPr>
            <w:noProof/>
            <w:webHidden/>
          </w:rPr>
        </w:r>
        <w:r w:rsidR="00087753">
          <w:rPr>
            <w:noProof/>
            <w:webHidden/>
          </w:rPr>
          <w:fldChar w:fldCharType="separate"/>
        </w:r>
        <w:r w:rsidR="004870F1">
          <w:rPr>
            <w:noProof/>
            <w:webHidden/>
          </w:rPr>
          <w:t>139</w:t>
        </w:r>
        <w:r w:rsidR="00087753">
          <w:rPr>
            <w:noProof/>
            <w:webHidden/>
          </w:rPr>
          <w:fldChar w:fldCharType="end"/>
        </w:r>
      </w:hyperlink>
    </w:p>
    <w:p w14:paraId="315F494F" w14:textId="49571026" w:rsidR="00087753" w:rsidRDefault="00536556">
      <w:pPr>
        <w:pStyle w:val="41"/>
        <w:tabs>
          <w:tab w:val="right" w:leader="dot" w:pos="9344"/>
        </w:tabs>
        <w:rPr>
          <w:rFonts w:asciiTheme="minorHAnsi" w:eastAsiaTheme="minorEastAsia" w:hAnsiTheme="minorHAnsi"/>
          <w:noProof/>
          <w:sz w:val="22"/>
          <w:lang w:eastAsia="ru-RU"/>
        </w:rPr>
      </w:pPr>
      <w:hyperlink w:anchor="_Toc104985273" w:history="1">
        <w:r w:rsidR="00087753" w:rsidRPr="00277050">
          <w:rPr>
            <w:rStyle w:val="a7"/>
            <w:noProof/>
            <w:lang w:val="en-US" w:bidi="en-US"/>
          </w:rPr>
          <w:t>4.1.1.1 General description of the numerical simulation</w:t>
        </w:r>
        <w:r w:rsidR="00087753">
          <w:rPr>
            <w:noProof/>
            <w:webHidden/>
          </w:rPr>
          <w:tab/>
        </w:r>
        <w:r w:rsidR="00087753">
          <w:rPr>
            <w:noProof/>
            <w:webHidden/>
          </w:rPr>
          <w:fldChar w:fldCharType="begin"/>
        </w:r>
        <w:r w:rsidR="00087753">
          <w:rPr>
            <w:noProof/>
            <w:webHidden/>
          </w:rPr>
          <w:instrText xml:space="preserve"> PAGEREF _Toc104985273 \h </w:instrText>
        </w:r>
        <w:r w:rsidR="00087753">
          <w:rPr>
            <w:noProof/>
            <w:webHidden/>
          </w:rPr>
        </w:r>
        <w:r w:rsidR="00087753">
          <w:rPr>
            <w:noProof/>
            <w:webHidden/>
          </w:rPr>
          <w:fldChar w:fldCharType="separate"/>
        </w:r>
        <w:r w:rsidR="004870F1">
          <w:rPr>
            <w:noProof/>
            <w:webHidden/>
          </w:rPr>
          <w:t>139</w:t>
        </w:r>
        <w:r w:rsidR="00087753">
          <w:rPr>
            <w:noProof/>
            <w:webHidden/>
          </w:rPr>
          <w:fldChar w:fldCharType="end"/>
        </w:r>
      </w:hyperlink>
    </w:p>
    <w:p w14:paraId="2F8C2402" w14:textId="7E4AD3A0" w:rsidR="00087753" w:rsidRDefault="00536556">
      <w:pPr>
        <w:pStyle w:val="41"/>
        <w:tabs>
          <w:tab w:val="right" w:leader="dot" w:pos="9344"/>
        </w:tabs>
        <w:rPr>
          <w:rFonts w:asciiTheme="minorHAnsi" w:eastAsiaTheme="minorEastAsia" w:hAnsiTheme="minorHAnsi"/>
          <w:noProof/>
          <w:sz w:val="22"/>
          <w:lang w:eastAsia="ru-RU"/>
        </w:rPr>
      </w:pPr>
      <w:hyperlink w:anchor="_Toc104985274" w:history="1">
        <w:r w:rsidR="00087753" w:rsidRPr="00277050">
          <w:rPr>
            <w:rStyle w:val="a7"/>
            <w:noProof/>
            <w:lang w:bidi="en-US"/>
          </w:rPr>
          <w:t>4.1.1.2 The geometry of the embankment</w:t>
        </w:r>
        <w:r w:rsidR="00087753">
          <w:rPr>
            <w:noProof/>
            <w:webHidden/>
          </w:rPr>
          <w:tab/>
        </w:r>
        <w:r w:rsidR="00087753">
          <w:rPr>
            <w:noProof/>
            <w:webHidden/>
          </w:rPr>
          <w:fldChar w:fldCharType="begin"/>
        </w:r>
        <w:r w:rsidR="00087753">
          <w:rPr>
            <w:noProof/>
            <w:webHidden/>
          </w:rPr>
          <w:instrText xml:space="preserve"> PAGEREF _Toc104985274 \h </w:instrText>
        </w:r>
        <w:r w:rsidR="00087753">
          <w:rPr>
            <w:noProof/>
            <w:webHidden/>
          </w:rPr>
        </w:r>
        <w:r w:rsidR="00087753">
          <w:rPr>
            <w:noProof/>
            <w:webHidden/>
          </w:rPr>
          <w:fldChar w:fldCharType="separate"/>
        </w:r>
        <w:r w:rsidR="004870F1">
          <w:rPr>
            <w:noProof/>
            <w:webHidden/>
          </w:rPr>
          <w:t>139</w:t>
        </w:r>
        <w:r w:rsidR="00087753">
          <w:rPr>
            <w:noProof/>
            <w:webHidden/>
          </w:rPr>
          <w:fldChar w:fldCharType="end"/>
        </w:r>
      </w:hyperlink>
    </w:p>
    <w:p w14:paraId="2E4E1F11" w14:textId="493ED8D9" w:rsidR="00087753" w:rsidRDefault="00536556">
      <w:pPr>
        <w:pStyle w:val="41"/>
        <w:tabs>
          <w:tab w:val="right" w:leader="dot" w:pos="9344"/>
        </w:tabs>
        <w:rPr>
          <w:rFonts w:asciiTheme="minorHAnsi" w:eastAsiaTheme="minorEastAsia" w:hAnsiTheme="minorHAnsi"/>
          <w:noProof/>
          <w:sz w:val="22"/>
          <w:lang w:eastAsia="ru-RU"/>
        </w:rPr>
      </w:pPr>
      <w:hyperlink w:anchor="_Toc104985275" w:history="1">
        <w:r w:rsidR="00087753" w:rsidRPr="00277050">
          <w:rPr>
            <w:rStyle w:val="a7"/>
            <w:noProof/>
            <w:lang w:bidi="en-US"/>
          </w:rPr>
          <w:t>4.1.1.3 Seepage analysis</w:t>
        </w:r>
        <w:r w:rsidR="00087753">
          <w:rPr>
            <w:noProof/>
            <w:webHidden/>
          </w:rPr>
          <w:tab/>
        </w:r>
        <w:r w:rsidR="00087753">
          <w:rPr>
            <w:noProof/>
            <w:webHidden/>
          </w:rPr>
          <w:fldChar w:fldCharType="begin"/>
        </w:r>
        <w:r w:rsidR="00087753">
          <w:rPr>
            <w:noProof/>
            <w:webHidden/>
          </w:rPr>
          <w:instrText xml:space="preserve"> PAGEREF _Toc104985275 \h </w:instrText>
        </w:r>
        <w:r w:rsidR="00087753">
          <w:rPr>
            <w:noProof/>
            <w:webHidden/>
          </w:rPr>
        </w:r>
        <w:r w:rsidR="00087753">
          <w:rPr>
            <w:noProof/>
            <w:webHidden/>
          </w:rPr>
          <w:fldChar w:fldCharType="separate"/>
        </w:r>
        <w:r w:rsidR="004870F1">
          <w:rPr>
            <w:noProof/>
            <w:webHidden/>
          </w:rPr>
          <w:t>140</w:t>
        </w:r>
        <w:r w:rsidR="00087753">
          <w:rPr>
            <w:noProof/>
            <w:webHidden/>
          </w:rPr>
          <w:fldChar w:fldCharType="end"/>
        </w:r>
      </w:hyperlink>
    </w:p>
    <w:p w14:paraId="060AADD0" w14:textId="45937F99" w:rsidR="00087753" w:rsidRDefault="00536556">
      <w:pPr>
        <w:pStyle w:val="41"/>
        <w:tabs>
          <w:tab w:val="right" w:leader="dot" w:pos="9344"/>
        </w:tabs>
        <w:rPr>
          <w:rFonts w:asciiTheme="minorHAnsi" w:eastAsiaTheme="minorEastAsia" w:hAnsiTheme="minorHAnsi"/>
          <w:noProof/>
          <w:sz w:val="22"/>
          <w:lang w:eastAsia="ru-RU"/>
        </w:rPr>
      </w:pPr>
      <w:hyperlink w:anchor="_Toc104985276" w:history="1">
        <w:r w:rsidR="00087753" w:rsidRPr="00277050">
          <w:rPr>
            <w:rStyle w:val="a7"/>
            <w:noProof/>
            <w:lang w:bidi="en-US"/>
          </w:rPr>
          <w:t>4.1.1.4 Slope stability analysis</w:t>
        </w:r>
        <w:r w:rsidR="00087753">
          <w:rPr>
            <w:noProof/>
            <w:webHidden/>
          </w:rPr>
          <w:tab/>
        </w:r>
        <w:r w:rsidR="00087753">
          <w:rPr>
            <w:noProof/>
            <w:webHidden/>
          </w:rPr>
          <w:fldChar w:fldCharType="begin"/>
        </w:r>
        <w:r w:rsidR="00087753">
          <w:rPr>
            <w:noProof/>
            <w:webHidden/>
          </w:rPr>
          <w:instrText xml:space="preserve"> PAGEREF _Toc104985276 \h </w:instrText>
        </w:r>
        <w:r w:rsidR="00087753">
          <w:rPr>
            <w:noProof/>
            <w:webHidden/>
          </w:rPr>
        </w:r>
        <w:r w:rsidR="00087753">
          <w:rPr>
            <w:noProof/>
            <w:webHidden/>
          </w:rPr>
          <w:fldChar w:fldCharType="separate"/>
        </w:r>
        <w:r w:rsidR="004870F1">
          <w:rPr>
            <w:noProof/>
            <w:webHidden/>
          </w:rPr>
          <w:t>140</w:t>
        </w:r>
        <w:r w:rsidR="00087753">
          <w:rPr>
            <w:noProof/>
            <w:webHidden/>
          </w:rPr>
          <w:fldChar w:fldCharType="end"/>
        </w:r>
      </w:hyperlink>
    </w:p>
    <w:p w14:paraId="62BAC7D9" w14:textId="0C3DEE29" w:rsidR="00087753" w:rsidRDefault="00536556">
      <w:pPr>
        <w:pStyle w:val="41"/>
        <w:tabs>
          <w:tab w:val="right" w:leader="dot" w:pos="9344"/>
        </w:tabs>
        <w:rPr>
          <w:rFonts w:asciiTheme="minorHAnsi" w:eastAsiaTheme="minorEastAsia" w:hAnsiTheme="minorHAnsi"/>
          <w:noProof/>
          <w:sz w:val="22"/>
          <w:lang w:eastAsia="ru-RU"/>
        </w:rPr>
      </w:pPr>
      <w:hyperlink w:anchor="_Toc104985277" w:history="1">
        <w:r w:rsidR="00087753" w:rsidRPr="00277050">
          <w:rPr>
            <w:rStyle w:val="a7"/>
            <w:noProof/>
            <w:lang w:bidi="en-US"/>
          </w:rPr>
          <w:t>4.1.1.5 Soil material characteristics</w:t>
        </w:r>
        <w:r w:rsidR="00087753">
          <w:rPr>
            <w:noProof/>
            <w:webHidden/>
          </w:rPr>
          <w:tab/>
        </w:r>
        <w:r w:rsidR="00087753">
          <w:rPr>
            <w:noProof/>
            <w:webHidden/>
          </w:rPr>
          <w:fldChar w:fldCharType="begin"/>
        </w:r>
        <w:r w:rsidR="00087753">
          <w:rPr>
            <w:noProof/>
            <w:webHidden/>
          </w:rPr>
          <w:instrText xml:space="preserve"> PAGEREF _Toc104985277 \h </w:instrText>
        </w:r>
        <w:r w:rsidR="00087753">
          <w:rPr>
            <w:noProof/>
            <w:webHidden/>
          </w:rPr>
        </w:r>
        <w:r w:rsidR="00087753">
          <w:rPr>
            <w:noProof/>
            <w:webHidden/>
          </w:rPr>
          <w:fldChar w:fldCharType="separate"/>
        </w:r>
        <w:r w:rsidR="004870F1">
          <w:rPr>
            <w:noProof/>
            <w:webHidden/>
          </w:rPr>
          <w:t>141</w:t>
        </w:r>
        <w:r w:rsidR="00087753">
          <w:rPr>
            <w:noProof/>
            <w:webHidden/>
          </w:rPr>
          <w:fldChar w:fldCharType="end"/>
        </w:r>
      </w:hyperlink>
    </w:p>
    <w:p w14:paraId="3291AE05" w14:textId="2644EE12" w:rsidR="00087753" w:rsidRDefault="00536556">
      <w:pPr>
        <w:pStyle w:val="31"/>
        <w:tabs>
          <w:tab w:val="right" w:leader="dot" w:pos="9344"/>
        </w:tabs>
        <w:rPr>
          <w:rFonts w:asciiTheme="minorHAnsi" w:eastAsiaTheme="minorEastAsia" w:hAnsiTheme="minorHAnsi"/>
          <w:noProof/>
          <w:sz w:val="22"/>
          <w:lang w:eastAsia="ru-RU"/>
        </w:rPr>
      </w:pPr>
      <w:hyperlink w:anchor="_Toc104985278" w:history="1">
        <w:r w:rsidR="00087753" w:rsidRPr="00277050">
          <w:rPr>
            <w:rStyle w:val="a7"/>
            <w:noProof/>
            <w:lang w:bidi="en-US"/>
          </w:rPr>
          <w:t>4.1.2 Results and discussion</w:t>
        </w:r>
        <w:r w:rsidR="00087753">
          <w:rPr>
            <w:noProof/>
            <w:webHidden/>
          </w:rPr>
          <w:tab/>
        </w:r>
        <w:r w:rsidR="00087753">
          <w:rPr>
            <w:noProof/>
            <w:webHidden/>
          </w:rPr>
          <w:fldChar w:fldCharType="begin"/>
        </w:r>
        <w:r w:rsidR="00087753">
          <w:rPr>
            <w:noProof/>
            <w:webHidden/>
          </w:rPr>
          <w:instrText xml:space="preserve"> PAGEREF _Toc104985278 \h </w:instrText>
        </w:r>
        <w:r w:rsidR="00087753">
          <w:rPr>
            <w:noProof/>
            <w:webHidden/>
          </w:rPr>
        </w:r>
        <w:r w:rsidR="00087753">
          <w:rPr>
            <w:noProof/>
            <w:webHidden/>
          </w:rPr>
          <w:fldChar w:fldCharType="separate"/>
        </w:r>
        <w:r w:rsidR="004870F1">
          <w:rPr>
            <w:noProof/>
            <w:webHidden/>
          </w:rPr>
          <w:t>142</w:t>
        </w:r>
        <w:r w:rsidR="00087753">
          <w:rPr>
            <w:noProof/>
            <w:webHidden/>
          </w:rPr>
          <w:fldChar w:fldCharType="end"/>
        </w:r>
      </w:hyperlink>
    </w:p>
    <w:p w14:paraId="19CDB5A8" w14:textId="3E2D8E21" w:rsidR="00087753" w:rsidRDefault="00536556">
      <w:pPr>
        <w:pStyle w:val="41"/>
        <w:tabs>
          <w:tab w:val="right" w:leader="dot" w:pos="9344"/>
        </w:tabs>
        <w:rPr>
          <w:rFonts w:asciiTheme="minorHAnsi" w:eastAsiaTheme="minorEastAsia" w:hAnsiTheme="minorHAnsi"/>
          <w:noProof/>
          <w:sz w:val="22"/>
          <w:lang w:eastAsia="ru-RU"/>
        </w:rPr>
      </w:pPr>
      <w:hyperlink w:anchor="_Toc104985279" w:history="1">
        <w:r w:rsidR="00087753" w:rsidRPr="00277050">
          <w:rPr>
            <w:rStyle w:val="a7"/>
            <w:noProof/>
            <w:lang w:bidi="en-US"/>
          </w:rPr>
          <w:t>4.1.2.1 Seepage analysis</w:t>
        </w:r>
        <w:r w:rsidR="00087753">
          <w:rPr>
            <w:noProof/>
            <w:webHidden/>
          </w:rPr>
          <w:tab/>
        </w:r>
        <w:r w:rsidR="00087753">
          <w:rPr>
            <w:noProof/>
            <w:webHidden/>
          </w:rPr>
          <w:fldChar w:fldCharType="begin"/>
        </w:r>
        <w:r w:rsidR="00087753">
          <w:rPr>
            <w:noProof/>
            <w:webHidden/>
          </w:rPr>
          <w:instrText xml:space="preserve"> PAGEREF _Toc104985279 \h </w:instrText>
        </w:r>
        <w:r w:rsidR="00087753">
          <w:rPr>
            <w:noProof/>
            <w:webHidden/>
          </w:rPr>
        </w:r>
        <w:r w:rsidR="00087753">
          <w:rPr>
            <w:noProof/>
            <w:webHidden/>
          </w:rPr>
          <w:fldChar w:fldCharType="separate"/>
        </w:r>
        <w:r w:rsidR="004870F1">
          <w:rPr>
            <w:noProof/>
            <w:webHidden/>
          </w:rPr>
          <w:t>142</w:t>
        </w:r>
        <w:r w:rsidR="00087753">
          <w:rPr>
            <w:noProof/>
            <w:webHidden/>
          </w:rPr>
          <w:fldChar w:fldCharType="end"/>
        </w:r>
      </w:hyperlink>
    </w:p>
    <w:p w14:paraId="03BEBE95" w14:textId="7A00F7F4" w:rsidR="00087753" w:rsidRDefault="00536556">
      <w:pPr>
        <w:pStyle w:val="51"/>
        <w:tabs>
          <w:tab w:val="right" w:leader="dot" w:pos="9344"/>
        </w:tabs>
        <w:rPr>
          <w:rFonts w:asciiTheme="minorHAnsi" w:eastAsiaTheme="minorEastAsia" w:hAnsiTheme="minorHAnsi"/>
          <w:noProof/>
          <w:sz w:val="22"/>
          <w:lang w:eastAsia="ru-RU"/>
        </w:rPr>
      </w:pPr>
      <w:hyperlink w:anchor="_Toc104985280" w:history="1">
        <w:r w:rsidR="00087753" w:rsidRPr="00277050">
          <w:rPr>
            <w:rStyle w:val="a7"/>
            <w:noProof/>
            <w:lang w:val="en-US" w:bidi="en-US"/>
          </w:rPr>
          <w:t>4.1.2.1.1 Seepage analysis results from 10 m water level</w:t>
        </w:r>
        <w:r w:rsidR="00087753">
          <w:rPr>
            <w:noProof/>
            <w:webHidden/>
          </w:rPr>
          <w:tab/>
        </w:r>
        <w:r w:rsidR="00087753">
          <w:rPr>
            <w:noProof/>
            <w:webHidden/>
          </w:rPr>
          <w:fldChar w:fldCharType="begin"/>
        </w:r>
        <w:r w:rsidR="00087753">
          <w:rPr>
            <w:noProof/>
            <w:webHidden/>
          </w:rPr>
          <w:instrText xml:space="preserve"> PAGEREF _Toc104985280 \h </w:instrText>
        </w:r>
        <w:r w:rsidR="00087753">
          <w:rPr>
            <w:noProof/>
            <w:webHidden/>
          </w:rPr>
        </w:r>
        <w:r w:rsidR="00087753">
          <w:rPr>
            <w:noProof/>
            <w:webHidden/>
          </w:rPr>
          <w:fldChar w:fldCharType="separate"/>
        </w:r>
        <w:r w:rsidR="004870F1">
          <w:rPr>
            <w:noProof/>
            <w:webHidden/>
          </w:rPr>
          <w:t>142</w:t>
        </w:r>
        <w:r w:rsidR="00087753">
          <w:rPr>
            <w:noProof/>
            <w:webHidden/>
          </w:rPr>
          <w:fldChar w:fldCharType="end"/>
        </w:r>
      </w:hyperlink>
    </w:p>
    <w:p w14:paraId="47A217B8" w14:textId="1EFF4DFF" w:rsidR="00087753" w:rsidRDefault="00536556">
      <w:pPr>
        <w:pStyle w:val="51"/>
        <w:tabs>
          <w:tab w:val="right" w:leader="dot" w:pos="9344"/>
        </w:tabs>
        <w:rPr>
          <w:rFonts w:asciiTheme="minorHAnsi" w:eastAsiaTheme="minorEastAsia" w:hAnsiTheme="minorHAnsi"/>
          <w:noProof/>
          <w:sz w:val="22"/>
          <w:lang w:eastAsia="ru-RU"/>
        </w:rPr>
      </w:pPr>
      <w:hyperlink w:anchor="_Toc104985281" w:history="1">
        <w:r w:rsidR="00087753" w:rsidRPr="00277050">
          <w:rPr>
            <w:rStyle w:val="a7"/>
            <w:noProof/>
            <w:lang w:val="en-US" w:bidi="en-US"/>
          </w:rPr>
          <w:t>4.1.2.1.2 Seepage analysis results from 8m water level</w:t>
        </w:r>
        <w:r w:rsidR="00087753">
          <w:rPr>
            <w:noProof/>
            <w:webHidden/>
          </w:rPr>
          <w:tab/>
        </w:r>
        <w:r w:rsidR="00087753">
          <w:rPr>
            <w:noProof/>
            <w:webHidden/>
          </w:rPr>
          <w:fldChar w:fldCharType="begin"/>
        </w:r>
        <w:r w:rsidR="00087753">
          <w:rPr>
            <w:noProof/>
            <w:webHidden/>
          </w:rPr>
          <w:instrText xml:space="preserve"> PAGEREF _Toc104985281 \h </w:instrText>
        </w:r>
        <w:r w:rsidR="00087753">
          <w:rPr>
            <w:noProof/>
            <w:webHidden/>
          </w:rPr>
        </w:r>
        <w:r w:rsidR="00087753">
          <w:rPr>
            <w:noProof/>
            <w:webHidden/>
          </w:rPr>
          <w:fldChar w:fldCharType="separate"/>
        </w:r>
        <w:r w:rsidR="004870F1">
          <w:rPr>
            <w:noProof/>
            <w:webHidden/>
          </w:rPr>
          <w:t>143</w:t>
        </w:r>
        <w:r w:rsidR="00087753">
          <w:rPr>
            <w:noProof/>
            <w:webHidden/>
          </w:rPr>
          <w:fldChar w:fldCharType="end"/>
        </w:r>
      </w:hyperlink>
    </w:p>
    <w:p w14:paraId="3074D386" w14:textId="54D45073" w:rsidR="00087753" w:rsidRDefault="00536556">
      <w:pPr>
        <w:pStyle w:val="51"/>
        <w:tabs>
          <w:tab w:val="right" w:leader="dot" w:pos="9344"/>
        </w:tabs>
        <w:rPr>
          <w:rFonts w:asciiTheme="minorHAnsi" w:eastAsiaTheme="minorEastAsia" w:hAnsiTheme="minorHAnsi"/>
          <w:noProof/>
          <w:sz w:val="22"/>
          <w:lang w:eastAsia="ru-RU"/>
        </w:rPr>
      </w:pPr>
      <w:hyperlink w:anchor="_Toc104985282" w:history="1">
        <w:r w:rsidR="00087753" w:rsidRPr="00277050">
          <w:rPr>
            <w:rStyle w:val="a7"/>
            <w:noProof/>
            <w:lang w:val="en-US" w:bidi="en-US"/>
          </w:rPr>
          <w:t>4.1.2.1.3 Seepage analysis results from 6m water level</w:t>
        </w:r>
        <w:r w:rsidR="00087753">
          <w:rPr>
            <w:noProof/>
            <w:webHidden/>
          </w:rPr>
          <w:tab/>
        </w:r>
        <w:r w:rsidR="00087753">
          <w:rPr>
            <w:noProof/>
            <w:webHidden/>
          </w:rPr>
          <w:fldChar w:fldCharType="begin"/>
        </w:r>
        <w:r w:rsidR="00087753">
          <w:rPr>
            <w:noProof/>
            <w:webHidden/>
          </w:rPr>
          <w:instrText xml:space="preserve"> PAGEREF _Toc104985282 \h </w:instrText>
        </w:r>
        <w:r w:rsidR="00087753">
          <w:rPr>
            <w:noProof/>
            <w:webHidden/>
          </w:rPr>
        </w:r>
        <w:r w:rsidR="00087753">
          <w:rPr>
            <w:noProof/>
            <w:webHidden/>
          </w:rPr>
          <w:fldChar w:fldCharType="separate"/>
        </w:r>
        <w:r w:rsidR="004870F1">
          <w:rPr>
            <w:noProof/>
            <w:webHidden/>
          </w:rPr>
          <w:t>144</w:t>
        </w:r>
        <w:r w:rsidR="00087753">
          <w:rPr>
            <w:noProof/>
            <w:webHidden/>
          </w:rPr>
          <w:fldChar w:fldCharType="end"/>
        </w:r>
      </w:hyperlink>
    </w:p>
    <w:p w14:paraId="0CE381D1" w14:textId="78C46F9B" w:rsidR="00087753" w:rsidRDefault="00536556">
      <w:pPr>
        <w:pStyle w:val="41"/>
        <w:tabs>
          <w:tab w:val="right" w:leader="dot" w:pos="9344"/>
        </w:tabs>
        <w:rPr>
          <w:rFonts w:asciiTheme="minorHAnsi" w:eastAsiaTheme="minorEastAsia" w:hAnsiTheme="minorHAnsi"/>
          <w:noProof/>
          <w:sz w:val="22"/>
          <w:lang w:eastAsia="ru-RU"/>
        </w:rPr>
      </w:pPr>
      <w:hyperlink w:anchor="_Toc104985283" w:history="1">
        <w:r w:rsidR="00087753" w:rsidRPr="00277050">
          <w:rPr>
            <w:rStyle w:val="a7"/>
            <w:noProof/>
            <w:lang w:bidi="en-US"/>
          </w:rPr>
          <w:t>4.1.2.2 Slope stability</w:t>
        </w:r>
        <w:r w:rsidR="00087753">
          <w:rPr>
            <w:noProof/>
            <w:webHidden/>
          </w:rPr>
          <w:tab/>
        </w:r>
        <w:r w:rsidR="00087753">
          <w:rPr>
            <w:noProof/>
            <w:webHidden/>
          </w:rPr>
          <w:fldChar w:fldCharType="begin"/>
        </w:r>
        <w:r w:rsidR="00087753">
          <w:rPr>
            <w:noProof/>
            <w:webHidden/>
          </w:rPr>
          <w:instrText xml:space="preserve"> PAGEREF _Toc104985283 \h </w:instrText>
        </w:r>
        <w:r w:rsidR="00087753">
          <w:rPr>
            <w:noProof/>
            <w:webHidden/>
          </w:rPr>
        </w:r>
        <w:r w:rsidR="00087753">
          <w:rPr>
            <w:noProof/>
            <w:webHidden/>
          </w:rPr>
          <w:fldChar w:fldCharType="separate"/>
        </w:r>
        <w:r w:rsidR="004870F1">
          <w:rPr>
            <w:noProof/>
            <w:webHidden/>
          </w:rPr>
          <w:t>145</w:t>
        </w:r>
        <w:r w:rsidR="00087753">
          <w:rPr>
            <w:noProof/>
            <w:webHidden/>
          </w:rPr>
          <w:fldChar w:fldCharType="end"/>
        </w:r>
      </w:hyperlink>
    </w:p>
    <w:p w14:paraId="0EF7E301" w14:textId="013BEA88" w:rsidR="00087753" w:rsidRDefault="00536556">
      <w:pPr>
        <w:pStyle w:val="51"/>
        <w:tabs>
          <w:tab w:val="right" w:leader="dot" w:pos="9344"/>
        </w:tabs>
        <w:rPr>
          <w:rFonts w:asciiTheme="minorHAnsi" w:eastAsiaTheme="minorEastAsia" w:hAnsiTheme="minorHAnsi"/>
          <w:noProof/>
          <w:sz w:val="22"/>
          <w:lang w:eastAsia="ru-RU"/>
        </w:rPr>
      </w:pPr>
      <w:hyperlink w:anchor="_Toc104985284" w:history="1">
        <w:r w:rsidR="00087753" w:rsidRPr="00277050">
          <w:rPr>
            <w:rStyle w:val="a7"/>
            <w:noProof/>
            <w:lang w:val="en-US" w:bidi="en-US"/>
          </w:rPr>
          <w:t>4.1.2.2.1 Slope stability analysis results from 10 m water level</w:t>
        </w:r>
        <w:r w:rsidR="00087753">
          <w:rPr>
            <w:noProof/>
            <w:webHidden/>
          </w:rPr>
          <w:tab/>
        </w:r>
        <w:r w:rsidR="00087753">
          <w:rPr>
            <w:noProof/>
            <w:webHidden/>
          </w:rPr>
          <w:fldChar w:fldCharType="begin"/>
        </w:r>
        <w:r w:rsidR="00087753">
          <w:rPr>
            <w:noProof/>
            <w:webHidden/>
          </w:rPr>
          <w:instrText xml:space="preserve"> PAGEREF _Toc104985284 \h </w:instrText>
        </w:r>
        <w:r w:rsidR="00087753">
          <w:rPr>
            <w:noProof/>
            <w:webHidden/>
          </w:rPr>
        </w:r>
        <w:r w:rsidR="00087753">
          <w:rPr>
            <w:noProof/>
            <w:webHidden/>
          </w:rPr>
          <w:fldChar w:fldCharType="separate"/>
        </w:r>
        <w:r w:rsidR="004870F1">
          <w:rPr>
            <w:noProof/>
            <w:webHidden/>
          </w:rPr>
          <w:t>145</w:t>
        </w:r>
        <w:r w:rsidR="00087753">
          <w:rPr>
            <w:noProof/>
            <w:webHidden/>
          </w:rPr>
          <w:fldChar w:fldCharType="end"/>
        </w:r>
      </w:hyperlink>
    </w:p>
    <w:p w14:paraId="56CC5A0E" w14:textId="270C23E4" w:rsidR="00087753" w:rsidRDefault="00536556">
      <w:pPr>
        <w:pStyle w:val="51"/>
        <w:tabs>
          <w:tab w:val="right" w:leader="dot" w:pos="9344"/>
        </w:tabs>
        <w:rPr>
          <w:rFonts w:asciiTheme="minorHAnsi" w:eastAsiaTheme="minorEastAsia" w:hAnsiTheme="minorHAnsi"/>
          <w:noProof/>
          <w:sz w:val="22"/>
          <w:lang w:eastAsia="ru-RU"/>
        </w:rPr>
      </w:pPr>
      <w:hyperlink w:anchor="_Toc104985285" w:history="1">
        <w:r w:rsidR="00087753" w:rsidRPr="00277050">
          <w:rPr>
            <w:rStyle w:val="a7"/>
            <w:noProof/>
            <w:lang w:val="en-US" w:bidi="en-US"/>
          </w:rPr>
          <w:t>4.1.2.2.2 Slope stability analysis results from 8m water level</w:t>
        </w:r>
        <w:r w:rsidR="00087753">
          <w:rPr>
            <w:noProof/>
            <w:webHidden/>
          </w:rPr>
          <w:tab/>
        </w:r>
        <w:r w:rsidR="00087753">
          <w:rPr>
            <w:noProof/>
            <w:webHidden/>
          </w:rPr>
          <w:fldChar w:fldCharType="begin"/>
        </w:r>
        <w:r w:rsidR="00087753">
          <w:rPr>
            <w:noProof/>
            <w:webHidden/>
          </w:rPr>
          <w:instrText xml:space="preserve"> PAGEREF _Toc104985285 \h </w:instrText>
        </w:r>
        <w:r w:rsidR="00087753">
          <w:rPr>
            <w:noProof/>
            <w:webHidden/>
          </w:rPr>
        </w:r>
        <w:r w:rsidR="00087753">
          <w:rPr>
            <w:noProof/>
            <w:webHidden/>
          </w:rPr>
          <w:fldChar w:fldCharType="separate"/>
        </w:r>
        <w:r w:rsidR="004870F1">
          <w:rPr>
            <w:noProof/>
            <w:webHidden/>
          </w:rPr>
          <w:t>147</w:t>
        </w:r>
        <w:r w:rsidR="00087753">
          <w:rPr>
            <w:noProof/>
            <w:webHidden/>
          </w:rPr>
          <w:fldChar w:fldCharType="end"/>
        </w:r>
      </w:hyperlink>
    </w:p>
    <w:p w14:paraId="78A7A9DE" w14:textId="2F3D374C" w:rsidR="00087753" w:rsidRDefault="00536556">
      <w:pPr>
        <w:pStyle w:val="51"/>
        <w:tabs>
          <w:tab w:val="right" w:leader="dot" w:pos="9344"/>
        </w:tabs>
        <w:rPr>
          <w:rFonts w:asciiTheme="minorHAnsi" w:eastAsiaTheme="minorEastAsia" w:hAnsiTheme="minorHAnsi"/>
          <w:noProof/>
          <w:sz w:val="22"/>
          <w:lang w:eastAsia="ru-RU"/>
        </w:rPr>
      </w:pPr>
      <w:hyperlink w:anchor="_Toc104985286" w:history="1">
        <w:r w:rsidR="00087753" w:rsidRPr="00277050">
          <w:rPr>
            <w:rStyle w:val="a7"/>
            <w:noProof/>
            <w:lang w:val="en-US" w:bidi="en-US"/>
          </w:rPr>
          <w:t>4.1.2.2.3 Slope stability analysis results from 6m water level</w:t>
        </w:r>
        <w:r w:rsidR="00087753">
          <w:rPr>
            <w:noProof/>
            <w:webHidden/>
          </w:rPr>
          <w:tab/>
        </w:r>
        <w:r w:rsidR="00087753">
          <w:rPr>
            <w:noProof/>
            <w:webHidden/>
          </w:rPr>
          <w:fldChar w:fldCharType="begin"/>
        </w:r>
        <w:r w:rsidR="00087753">
          <w:rPr>
            <w:noProof/>
            <w:webHidden/>
          </w:rPr>
          <w:instrText xml:space="preserve"> PAGEREF _Toc104985286 \h </w:instrText>
        </w:r>
        <w:r w:rsidR="00087753">
          <w:rPr>
            <w:noProof/>
            <w:webHidden/>
          </w:rPr>
        </w:r>
        <w:r w:rsidR="00087753">
          <w:rPr>
            <w:noProof/>
            <w:webHidden/>
          </w:rPr>
          <w:fldChar w:fldCharType="separate"/>
        </w:r>
        <w:r w:rsidR="004870F1">
          <w:rPr>
            <w:noProof/>
            <w:webHidden/>
          </w:rPr>
          <w:t>149</w:t>
        </w:r>
        <w:r w:rsidR="00087753">
          <w:rPr>
            <w:noProof/>
            <w:webHidden/>
          </w:rPr>
          <w:fldChar w:fldCharType="end"/>
        </w:r>
      </w:hyperlink>
    </w:p>
    <w:p w14:paraId="532CA13C" w14:textId="5BCDFAA8" w:rsidR="00087753" w:rsidRDefault="00536556">
      <w:pPr>
        <w:pStyle w:val="31"/>
        <w:tabs>
          <w:tab w:val="right" w:leader="dot" w:pos="9344"/>
        </w:tabs>
        <w:rPr>
          <w:rFonts w:asciiTheme="minorHAnsi" w:eastAsiaTheme="minorEastAsia" w:hAnsiTheme="minorHAnsi"/>
          <w:noProof/>
          <w:sz w:val="22"/>
          <w:lang w:eastAsia="ru-RU"/>
        </w:rPr>
      </w:pPr>
      <w:hyperlink w:anchor="_Toc104985287" w:history="1">
        <w:r w:rsidR="00087753" w:rsidRPr="00277050">
          <w:rPr>
            <w:rStyle w:val="a7"/>
            <w:noProof/>
            <w:lang w:bidi="en-US"/>
          </w:rPr>
          <w:t>4.1.3</w:t>
        </w:r>
        <w:r w:rsidR="00087753" w:rsidRPr="00277050">
          <w:rPr>
            <w:rStyle w:val="a7"/>
            <w:noProof/>
            <w:lang w:val="en-US" w:bidi="en-US"/>
          </w:rPr>
          <w:t xml:space="preserve"> Summary of the sub-section</w:t>
        </w:r>
        <w:r w:rsidR="00087753">
          <w:rPr>
            <w:noProof/>
            <w:webHidden/>
          </w:rPr>
          <w:tab/>
        </w:r>
        <w:r w:rsidR="00087753">
          <w:rPr>
            <w:noProof/>
            <w:webHidden/>
          </w:rPr>
          <w:fldChar w:fldCharType="begin"/>
        </w:r>
        <w:r w:rsidR="00087753">
          <w:rPr>
            <w:noProof/>
            <w:webHidden/>
          </w:rPr>
          <w:instrText xml:space="preserve"> PAGEREF _Toc104985287 \h </w:instrText>
        </w:r>
        <w:r w:rsidR="00087753">
          <w:rPr>
            <w:noProof/>
            <w:webHidden/>
          </w:rPr>
        </w:r>
        <w:r w:rsidR="00087753">
          <w:rPr>
            <w:noProof/>
            <w:webHidden/>
          </w:rPr>
          <w:fldChar w:fldCharType="separate"/>
        </w:r>
        <w:r w:rsidR="004870F1">
          <w:rPr>
            <w:noProof/>
            <w:webHidden/>
          </w:rPr>
          <w:t>152</w:t>
        </w:r>
        <w:r w:rsidR="00087753">
          <w:rPr>
            <w:noProof/>
            <w:webHidden/>
          </w:rPr>
          <w:fldChar w:fldCharType="end"/>
        </w:r>
      </w:hyperlink>
    </w:p>
    <w:p w14:paraId="723250BD" w14:textId="4CA8CC98" w:rsidR="00087753" w:rsidRDefault="00536556">
      <w:pPr>
        <w:pStyle w:val="21"/>
        <w:rPr>
          <w:rFonts w:asciiTheme="minorHAnsi" w:eastAsiaTheme="minorEastAsia" w:hAnsiTheme="minorHAnsi"/>
          <w:noProof/>
          <w:sz w:val="22"/>
          <w:lang w:eastAsia="ru-RU"/>
        </w:rPr>
      </w:pPr>
      <w:hyperlink w:anchor="_Toc104985288" w:history="1">
        <w:r w:rsidR="00087753" w:rsidRPr="00277050">
          <w:rPr>
            <w:rStyle w:val="a7"/>
            <w:noProof/>
            <w:lang w:val="en-US"/>
          </w:rPr>
          <w:t>4.2 The potential effect of a toe-drain size on slope stability of a homogeneous embankment</w:t>
        </w:r>
        <w:r w:rsidR="00087753">
          <w:rPr>
            <w:noProof/>
            <w:webHidden/>
          </w:rPr>
          <w:tab/>
        </w:r>
        <w:r w:rsidR="00087753">
          <w:rPr>
            <w:noProof/>
            <w:webHidden/>
          </w:rPr>
          <w:fldChar w:fldCharType="begin"/>
        </w:r>
        <w:r w:rsidR="00087753">
          <w:rPr>
            <w:noProof/>
            <w:webHidden/>
          </w:rPr>
          <w:instrText xml:space="preserve"> PAGEREF _Toc104985288 \h </w:instrText>
        </w:r>
        <w:r w:rsidR="00087753">
          <w:rPr>
            <w:noProof/>
            <w:webHidden/>
          </w:rPr>
        </w:r>
        <w:r w:rsidR="00087753">
          <w:rPr>
            <w:noProof/>
            <w:webHidden/>
          </w:rPr>
          <w:fldChar w:fldCharType="separate"/>
        </w:r>
        <w:r w:rsidR="004870F1">
          <w:rPr>
            <w:noProof/>
            <w:webHidden/>
          </w:rPr>
          <w:t>152</w:t>
        </w:r>
        <w:r w:rsidR="00087753">
          <w:rPr>
            <w:noProof/>
            <w:webHidden/>
          </w:rPr>
          <w:fldChar w:fldCharType="end"/>
        </w:r>
      </w:hyperlink>
    </w:p>
    <w:p w14:paraId="0F50499D" w14:textId="423ECED0" w:rsidR="00087753" w:rsidRDefault="00536556">
      <w:pPr>
        <w:pStyle w:val="31"/>
        <w:tabs>
          <w:tab w:val="right" w:leader="dot" w:pos="9344"/>
        </w:tabs>
        <w:rPr>
          <w:rFonts w:asciiTheme="minorHAnsi" w:eastAsiaTheme="minorEastAsia" w:hAnsiTheme="minorHAnsi"/>
          <w:noProof/>
          <w:sz w:val="22"/>
          <w:lang w:eastAsia="ru-RU"/>
        </w:rPr>
      </w:pPr>
      <w:hyperlink w:anchor="_Toc104985289" w:history="1">
        <w:r w:rsidR="00087753" w:rsidRPr="00277050">
          <w:rPr>
            <w:rStyle w:val="a7"/>
            <w:noProof/>
            <w:lang w:bidi="en-US"/>
          </w:rPr>
          <w:t>4.2.1</w:t>
        </w:r>
        <w:r w:rsidR="00087753" w:rsidRPr="00277050">
          <w:rPr>
            <w:rStyle w:val="a7"/>
            <w:rFonts w:eastAsia="Calibri"/>
            <w:noProof/>
          </w:rPr>
          <w:t xml:space="preserve"> Materials and methods</w:t>
        </w:r>
        <w:r w:rsidR="00087753">
          <w:rPr>
            <w:noProof/>
            <w:webHidden/>
          </w:rPr>
          <w:tab/>
        </w:r>
        <w:r w:rsidR="00087753">
          <w:rPr>
            <w:noProof/>
            <w:webHidden/>
          </w:rPr>
          <w:fldChar w:fldCharType="begin"/>
        </w:r>
        <w:r w:rsidR="00087753">
          <w:rPr>
            <w:noProof/>
            <w:webHidden/>
          </w:rPr>
          <w:instrText xml:space="preserve"> PAGEREF _Toc104985289 \h </w:instrText>
        </w:r>
        <w:r w:rsidR="00087753">
          <w:rPr>
            <w:noProof/>
            <w:webHidden/>
          </w:rPr>
        </w:r>
        <w:r w:rsidR="00087753">
          <w:rPr>
            <w:noProof/>
            <w:webHidden/>
          </w:rPr>
          <w:fldChar w:fldCharType="separate"/>
        </w:r>
        <w:r w:rsidR="004870F1">
          <w:rPr>
            <w:noProof/>
            <w:webHidden/>
          </w:rPr>
          <w:t>152</w:t>
        </w:r>
        <w:r w:rsidR="00087753">
          <w:rPr>
            <w:noProof/>
            <w:webHidden/>
          </w:rPr>
          <w:fldChar w:fldCharType="end"/>
        </w:r>
      </w:hyperlink>
    </w:p>
    <w:p w14:paraId="1624D5B1" w14:textId="17409B75" w:rsidR="00087753" w:rsidRDefault="00536556">
      <w:pPr>
        <w:pStyle w:val="41"/>
        <w:tabs>
          <w:tab w:val="right" w:leader="dot" w:pos="9344"/>
        </w:tabs>
        <w:rPr>
          <w:rFonts w:asciiTheme="minorHAnsi" w:eastAsiaTheme="minorEastAsia" w:hAnsiTheme="minorHAnsi"/>
          <w:noProof/>
          <w:sz w:val="22"/>
          <w:lang w:eastAsia="ru-RU"/>
        </w:rPr>
      </w:pPr>
      <w:hyperlink w:anchor="_Toc104985290" w:history="1">
        <w:r w:rsidR="00087753" w:rsidRPr="00277050">
          <w:rPr>
            <w:rStyle w:val="a7"/>
            <w:rFonts w:eastAsia="Calibri"/>
            <w:noProof/>
            <w:lang w:val="en-US" w:bidi="en-US"/>
          </w:rPr>
          <w:t>4.2.1.1 Description of the numerical simulation in general</w:t>
        </w:r>
        <w:r w:rsidR="00087753">
          <w:rPr>
            <w:noProof/>
            <w:webHidden/>
          </w:rPr>
          <w:tab/>
        </w:r>
        <w:r w:rsidR="00087753">
          <w:rPr>
            <w:noProof/>
            <w:webHidden/>
          </w:rPr>
          <w:fldChar w:fldCharType="begin"/>
        </w:r>
        <w:r w:rsidR="00087753">
          <w:rPr>
            <w:noProof/>
            <w:webHidden/>
          </w:rPr>
          <w:instrText xml:space="preserve"> PAGEREF _Toc104985290 \h </w:instrText>
        </w:r>
        <w:r w:rsidR="00087753">
          <w:rPr>
            <w:noProof/>
            <w:webHidden/>
          </w:rPr>
        </w:r>
        <w:r w:rsidR="00087753">
          <w:rPr>
            <w:noProof/>
            <w:webHidden/>
          </w:rPr>
          <w:fldChar w:fldCharType="separate"/>
        </w:r>
        <w:r w:rsidR="004870F1">
          <w:rPr>
            <w:noProof/>
            <w:webHidden/>
          </w:rPr>
          <w:t>152</w:t>
        </w:r>
        <w:r w:rsidR="00087753">
          <w:rPr>
            <w:noProof/>
            <w:webHidden/>
          </w:rPr>
          <w:fldChar w:fldCharType="end"/>
        </w:r>
      </w:hyperlink>
    </w:p>
    <w:p w14:paraId="1E26AFFC" w14:textId="0B970B2B" w:rsidR="00087753" w:rsidRDefault="00536556">
      <w:pPr>
        <w:pStyle w:val="41"/>
        <w:tabs>
          <w:tab w:val="right" w:leader="dot" w:pos="9344"/>
        </w:tabs>
        <w:rPr>
          <w:rFonts w:asciiTheme="minorHAnsi" w:eastAsiaTheme="minorEastAsia" w:hAnsiTheme="minorHAnsi"/>
          <w:noProof/>
          <w:sz w:val="22"/>
          <w:lang w:eastAsia="ru-RU"/>
        </w:rPr>
      </w:pPr>
      <w:hyperlink w:anchor="_Toc104985291" w:history="1">
        <w:r w:rsidR="00087753" w:rsidRPr="00277050">
          <w:rPr>
            <w:rStyle w:val="a7"/>
            <w:rFonts w:eastAsia="Calibri"/>
            <w:noProof/>
            <w:lang w:bidi="en-US"/>
          </w:rPr>
          <w:t>4.2.1.2 The geometry of the embankment</w:t>
        </w:r>
        <w:r w:rsidR="00087753">
          <w:rPr>
            <w:noProof/>
            <w:webHidden/>
          </w:rPr>
          <w:tab/>
        </w:r>
        <w:r w:rsidR="00087753">
          <w:rPr>
            <w:noProof/>
            <w:webHidden/>
          </w:rPr>
          <w:fldChar w:fldCharType="begin"/>
        </w:r>
        <w:r w:rsidR="00087753">
          <w:rPr>
            <w:noProof/>
            <w:webHidden/>
          </w:rPr>
          <w:instrText xml:space="preserve"> PAGEREF _Toc104985291 \h </w:instrText>
        </w:r>
        <w:r w:rsidR="00087753">
          <w:rPr>
            <w:noProof/>
            <w:webHidden/>
          </w:rPr>
        </w:r>
        <w:r w:rsidR="00087753">
          <w:rPr>
            <w:noProof/>
            <w:webHidden/>
          </w:rPr>
          <w:fldChar w:fldCharType="separate"/>
        </w:r>
        <w:r w:rsidR="004870F1">
          <w:rPr>
            <w:noProof/>
            <w:webHidden/>
          </w:rPr>
          <w:t>153</w:t>
        </w:r>
        <w:r w:rsidR="00087753">
          <w:rPr>
            <w:noProof/>
            <w:webHidden/>
          </w:rPr>
          <w:fldChar w:fldCharType="end"/>
        </w:r>
      </w:hyperlink>
    </w:p>
    <w:p w14:paraId="4D3A115D" w14:textId="1BBAD36D" w:rsidR="00087753" w:rsidRDefault="00536556">
      <w:pPr>
        <w:pStyle w:val="41"/>
        <w:tabs>
          <w:tab w:val="right" w:leader="dot" w:pos="9344"/>
        </w:tabs>
        <w:rPr>
          <w:rFonts w:asciiTheme="minorHAnsi" w:eastAsiaTheme="minorEastAsia" w:hAnsiTheme="minorHAnsi"/>
          <w:noProof/>
          <w:sz w:val="22"/>
          <w:lang w:eastAsia="ru-RU"/>
        </w:rPr>
      </w:pPr>
      <w:hyperlink w:anchor="_Toc104985292" w:history="1">
        <w:r w:rsidR="00087753" w:rsidRPr="00277050">
          <w:rPr>
            <w:rStyle w:val="a7"/>
            <w:rFonts w:eastAsia="Calibri"/>
            <w:noProof/>
            <w:lang w:val="en-US" w:bidi="en-US"/>
          </w:rPr>
          <w:t>4.2.1.3 Analyses of seepage and slope stability</w:t>
        </w:r>
        <w:r w:rsidR="00087753">
          <w:rPr>
            <w:noProof/>
            <w:webHidden/>
          </w:rPr>
          <w:tab/>
        </w:r>
        <w:r w:rsidR="00087753">
          <w:rPr>
            <w:noProof/>
            <w:webHidden/>
          </w:rPr>
          <w:fldChar w:fldCharType="begin"/>
        </w:r>
        <w:r w:rsidR="00087753">
          <w:rPr>
            <w:noProof/>
            <w:webHidden/>
          </w:rPr>
          <w:instrText xml:space="preserve"> PAGEREF _Toc104985292 \h </w:instrText>
        </w:r>
        <w:r w:rsidR="00087753">
          <w:rPr>
            <w:noProof/>
            <w:webHidden/>
          </w:rPr>
        </w:r>
        <w:r w:rsidR="00087753">
          <w:rPr>
            <w:noProof/>
            <w:webHidden/>
          </w:rPr>
          <w:fldChar w:fldCharType="separate"/>
        </w:r>
        <w:r w:rsidR="004870F1">
          <w:rPr>
            <w:noProof/>
            <w:webHidden/>
          </w:rPr>
          <w:t>153</w:t>
        </w:r>
        <w:r w:rsidR="00087753">
          <w:rPr>
            <w:noProof/>
            <w:webHidden/>
          </w:rPr>
          <w:fldChar w:fldCharType="end"/>
        </w:r>
      </w:hyperlink>
    </w:p>
    <w:p w14:paraId="47B90D2D" w14:textId="67D27342" w:rsidR="00087753" w:rsidRDefault="00536556">
      <w:pPr>
        <w:pStyle w:val="41"/>
        <w:tabs>
          <w:tab w:val="right" w:leader="dot" w:pos="9344"/>
        </w:tabs>
        <w:rPr>
          <w:rFonts w:asciiTheme="minorHAnsi" w:eastAsiaTheme="minorEastAsia" w:hAnsiTheme="minorHAnsi"/>
          <w:noProof/>
          <w:sz w:val="22"/>
          <w:lang w:eastAsia="ru-RU"/>
        </w:rPr>
      </w:pPr>
      <w:hyperlink w:anchor="_Toc104985293" w:history="1">
        <w:r w:rsidR="00087753" w:rsidRPr="00277050">
          <w:rPr>
            <w:rStyle w:val="a7"/>
            <w:rFonts w:eastAsia="Calibri"/>
            <w:noProof/>
            <w:lang w:bidi="en-US"/>
          </w:rPr>
          <w:t>4.2.1.4 Characteristics of the soil</w:t>
        </w:r>
        <w:r w:rsidR="00087753">
          <w:rPr>
            <w:noProof/>
            <w:webHidden/>
          </w:rPr>
          <w:tab/>
        </w:r>
        <w:r w:rsidR="00087753">
          <w:rPr>
            <w:noProof/>
            <w:webHidden/>
          </w:rPr>
          <w:fldChar w:fldCharType="begin"/>
        </w:r>
        <w:r w:rsidR="00087753">
          <w:rPr>
            <w:noProof/>
            <w:webHidden/>
          </w:rPr>
          <w:instrText xml:space="preserve"> PAGEREF _Toc104985293 \h </w:instrText>
        </w:r>
        <w:r w:rsidR="00087753">
          <w:rPr>
            <w:noProof/>
            <w:webHidden/>
          </w:rPr>
        </w:r>
        <w:r w:rsidR="00087753">
          <w:rPr>
            <w:noProof/>
            <w:webHidden/>
          </w:rPr>
          <w:fldChar w:fldCharType="separate"/>
        </w:r>
        <w:r w:rsidR="004870F1">
          <w:rPr>
            <w:noProof/>
            <w:webHidden/>
          </w:rPr>
          <w:t>154</w:t>
        </w:r>
        <w:r w:rsidR="00087753">
          <w:rPr>
            <w:noProof/>
            <w:webHidden/>
          </w:rPr>
          <w:fldChar w:fldCharType="end"/>
        </w:r>
      </w:hyperlink>
    </w:p>
    <w:p w14:paraId="213B62DF" w14:textId="0488C19E" w:rsidR="00087753" w:rsidRDefault="00536556">
      <w:pPr>
        <w:pStyle w:val="31"/>
        <w:tabs>
          <w:tab w:val="right" w:leader="dot" w:pos="9344"/>
        </w:tabs>
        <w:rPr>
          <w:rFonts w:asciiTheme="minorHAnsi" w:eastAsiaTheme="minorEastAsia" w:hAnsiTheme="minorHAnsi"/>
          <w:noProof/>
          <w:sz w:val="22"/>
          <w:lang w:eastAsia="ru-RU"/>
        </w:rPr>
      </w:pPr>
      <w:hyperlink w:anchor="_Toc104985294" w:history="1">
        <w:r w:rsidR="00087753" w:rsidRPr="00277050">
          <w:rPr>
            <w:rStyle w:val="a7"/>
            <w:rFonts w:eastAsia="Calibri"/>
            <w:noProof/>
          </w:rPr>
          <w:t>4.2.2 Results and Discussion</w:t>
        </w:r>
        <w:r w:rsidR="00087753">
          <w:rPr>
            <w:noProof/>
            <w:webHidden/>
          </w:rPr>
          <w:tab/>
        </w:r>
        <w:r w:rsidR="00087753">
          <w:rPr>
            <w:noProof/>
            <w:webHidden/>
          </w:rPr>
          <w:fldChar w:fldCharType="begin"/>
        </w:r>
        <w:r w:rsidR="00087753">
          <w:rPr>
            <w:noProof/>
            <w:webHidden/>
          </w:rPr>
          <w:instrText xml:space="preserve"> PAGEREF _Toc104985294 \h </w:instrText>
        </w:r>
        <w:r w:rsidR="00087753">
          <w:rPr>
            <w:noProof/>
            <w:webHidden/>
          </w:rPr>
        </w:r>
        <w:r w:rsidR="00087753">
          <w:rPr>
            <w:noProof/>
            <w:webHidden/>
          </w:rPr>
          <w:fldChar w:fldCharType="separate"/>
        </w:r>
        <w:r w:rsidR="004870F1">
          <w:rPr>
            <w:noProof/>
            <w:webHidden/>
          </w:rPr>
          <w:t>154</w:t>
        </w:r>
        <w:r w:rsidR="00087753">
          <w:rPr>
            <w:noProof/>
            <w:webHidden/>
          </w:rPr>
          <w:fldChar w:fldCharType="end"/>
        </w:r>
      </w:hyperlink>
    </w:p>
    <w:p w14:paraId="7E4CD196" w14:textId="60EF5E27" w:rsidR="00087753" w:rsidRDefault="00536556">
      <w:pPr>
        <w:pStyle w:val="31"/>
        <w:tabs>
          <w:tab w:val="right" w:leader="dot" w:pos="9344"/>
        </w:tabs>
        <w:rPr>
          <w:rFonts w:asciiTheme="minorHAnsi" w:eastAsiaTheme="minorEastAsia" w:hAnsiTheme="minorHAnsi"/>
          <w:noProof/>
          <w:sz w:val="22"/>
          <w:lang w:eastAsia="ru-RU"/>
        </w:rPr>
      </w:pPr>
      <w:hyperlink w:anchor="_Toc104985295" w:history="1">
        <w:r w:rsidR="00087753" w:rsidRPr="00277050">
          <w:rPr>
            <w:rStyle w:val="a7"/>
            <w:rFonts w:eastAsia="Calibri"/>
            <w:noProof/>
          </w:rPr>
          <w:t>4.2.3</w:t>
        </w:r>
        <w:r w:rsidR="00087753" w:rsidRPr="00277050">
          <w:rPr>
            <w:rStyle w:val="a7"/>
            <w:rFonts w:eastAsia="Calibri"/>
            <w:noProof/>
            <w:lang w:val="en-US"/>
          </w:rPr>
          <w:t xml:space="preserve"> Section summary</w:t>
        </w:r>
        <w:r w:rsidR="00087753">
          <w:rPr>
            <w:noProof/>
            <w:webHidden/>
          </w:rPr>
          <w:tab/>
        </w:r>
        <w:r w:rsidR="00087753">
          <w:rPr>
            <w:noProof/>
            <w:webHidden/>
          </w:rPr>
          <w:fldChar w:fldCharType="begin"/>
        </w:r>
        <w:r w:rsidR="00087753">
          <w:rPr>
            <w:noProof/>
            <w:webHidden/>
          </w:rPr>
          <w:instrText xml:space="preserve"> PAGEREF _Toc104985295 \h </w:instrText>
        </w:r>
        <w:r w:rsidR="00087753">
          <w:rPr>
            <w:noProof/>
            <w:webHidden/>
          </w:rPr>
        </w:r>
        <w:r w:rsidR="00087753">
          <w:rPr>
            <w:noProof/>
            <w:webHidden/>
          </w:rPr>
          <w:fldChar w:fldCharType="separate"/>
        </w:r>
        <w:r w:rsidR="004870F1">
          <w:rPr>
            <w:noProof/>
            <w:webHidden/>
          </w:rPr>
          <w:t>157</w:t>
        </w:r>
        <w:r w:rsidR="00087753">
          <w:rPr>
            <w:noProof/>
            <w:webHidden/>
          </w:rPr>
          <w:fldChar w:fldCharType="end"/>
        </w:r>
      </w:hyperlink>
    </w:p>
    <w:p w14:paraId="641159C2" w14:textId="2DC2D497" w:rsidR="00087753" w:rsidRDefault="00536556">
      <w:pPr>
        <w:pStyle w:val="21"/>
        <w:rPr>
          <w:rFonts w:asciiTheme="minorHAnsi" w:eastAsiaTheme="minorEastAsia" w:hAnsiTheme="minorHAnsi"/>
          <w:noProof/>
          <w:sz w:val="22"/>
          <w:lang w:eastAsia="ru-RU"/>
        </w:rPr>
      </w:pPr>
      <w:hyperlink w:anchor="_Toc104985296" w:history="1">
        <w:r w:rsidR="00087753" w:rsidRPr="00277050">
          <w:rPr>
            <w:rStyle w:val="a7"/>
            <w:noProof/>
            <w:lang w:val="en-US" w:bidi="en-US"/>
          </w:rPr>
          <w:t>4.3 The effect of internal angle of friction on slope stability of homogeneous embankment under rapid drawdown</w:t>
        </w:r>
        <w:r w:rsidR="00087753">
          <w:rPr>
            <w:noProof/>
            <w:webHidden/>
          </w:rPr>
          <w:tab/>
        </w:r>
        <w:r w:rsidR="00087753">
          <w:rPr>
            <w:noProof/>
            <w:webHidden/>
          </w:rPr>
          <w:fldChar w:fldCharType="begin"/>
        </w:r>
        <w:r w:rsidR="00087753">
          <w:rPr>
            <w:noProof/>
            <w:webHidden/>
          </w:rPr>
          <w:instrText xml:space="preserve"> PAGEREF _Toc104985296 \h </w:instrText>
        </w:r>
        <w:r w:rsidR="00087753">
          <w:rPr>
            <w:noProof/>
            <w:webHidden/>
          </w:rPr>
        </w:r>
        <w:r w:rsidR="00087753">
          <w:rPr>
            <w:noProof/>
            <w:webHidden/>
          </w:rPr>
          <w:fldChar w:fldCharType="separate"/>
        </w:r>
        <w:r w:rsidR="004870F1">
          <w:rPr>
            <w:noProof/>
            <w:webHidden/>
          </w:rPr>
          <w:t>157</w:t>
        </w:r>
        <w:r w:rsidR="00087753">
          <w:rPr>
            <w:noProof/>
            <w:webHidden/>
          </w:rPr>
          <w:fldChar w:fldCharType="end"/>
        </w:r>
      </w:hyperlink>
    </w:p>
    <w:p w14:paraId="08AD4178" w14:textId="28AC667B" w:rsidR="00087753" w:rsidRDefault="00536556">
      <w:pPr>
        <w:pStyle w:val="31"/>
        <w:tabs>
          <w:tab w:val="right" w:leader="dot" w:pos="9344"/>
        </w:tabs>
        <w:rPr>
          <w:rFonts w:asciiTheme="minorHAnsi" w:eastAsiaTheme="minorEastAsia" w:hAnsiTheme="minorHAnsi"/>
          <w:noProof/>
          <w:sz w:val="22"/>
          <w:lang w:eastAsia="ru-RU"/>
        </w:rPr>
      </w:pPr>
      <w:hyperlink w:anchor="_Toc104985297" w:history="1">
        <w:r w:rsidR="00087753" w:rsidRPr="00277050">
          <w:rPr>
            <w:rStyle w:val="a7"/>
            <w:rFonts w:eastAsia="Malgun Gothic"/>
            <w:noProof/>
            <w:lang w:eastAsia="ko-KR"/>
          </w:rPr>
          <w:t>4.3.1 Materials and methods</w:t>
        </w:r>
        <w:r w:rsidR="00087753">
          <w:rPr>
            <w:noProof/>
            <w:webHidden/>
          </w:rPr>
          <w:tab/>
        </w:r>
        <w:r w:rsidR="00087753">
          <w:rPr>
            <w:noProof/>
            <w:webHidden/>
          </w:rPr>
          <w:fldChar w:fldCharType="begin"/>
        </w:r>
        <w:r w:rsidR="00087753">
          <w:rPr>
            <w:noProof/>
            <w:webHidden/>
          </w:rPr>
          <w:instrText xml:space="preserve"> PAGEREF _Toc104985297 \h </w:instrText>
        </w:r>
        <w:r w:rsidR="00087753">
          <w:rPr>
            <w:noProof/>
            <w:webHidden/>
          </w:rPr>
        </w:r>
        <w:r w:rsidR="00087753">
          <w:rPr>
            <w:noProof/>
            <w:webHidden/>
          </w:rPr>
          <w:fldChar w:fldCharType="separate"/>
        </w:r>
        <w:r w:rsidR="004870F1">
          <w:rPr>
            <w:noProof/>
            <w:webHidden/>
          </w:rPr>
          <w:t>157</w:t>
        </w:r>
        <w:r w:rsidR="00087753">
          <w:rPr>
            <w:noProof/>
            <w:webHidden/>
          </w:rPr>
          <w:fldChar w:fldCharType="end"/>
        </w:r>
      </w:hyperlink>
    </w:p>
    <w:p w14:paraId="79B551D6" w14:textId="67180F8B" w:rsidR="00087753" w:rsidRDefault="00536556">
      <w:pPr>
        <w:pStyle w:val="41"/>
        <w:tabs>
          <w:tab w:val="right" w:leader="dot" w:pos="9344"/>
        </w:tabs>
        <w:rPr>
          <w:rFonts w:asciiTheme="minorHAnsi" w:eastAsiaTheme="minorEastAsia" w:hAnsiTheme="minorHAnsi"/>
          <w:noProof/>
          <w:sz w:val="22"/>
          <w:lang w:eastAsia="ru-RU"/>
        </w:rPr>
      </w:pPr>
      <w:hyperlink w:anchor="_Toc104985298" w:history="1">
        <w:r w:rsidR="00087753" w:rsidRPr="00277050">
          <w:rPr>
            <w:rStyle w:val="a7"/>
            <w:rFonts w:eastAsia="Malgun Gothic"/>
            <w:noProof/>
            <w:lang w:val="en-US" w:eastAsia="ko-KR"/>
          </w:rPr>
          <w:t>4.3.1.1 Description of the numerical simulation in general</w:t>
        </w:r>
        <w:r w:rsidR="00087753">
          <w:rPr>
            <w:noProof/>
            <w:webHidden/>
          </w:rPr>
          <w:tab/>
        </w:r>
        <w:r w:rsidR="00087753">
          <w:rPr>
            <w:noProof/>
            <w:webHidden/>
          </w:rPr>
          <w:fldChar w:fldCharType="begin"/>
        </w:r>
        <w:r w:rsidR="00087753">
          <w:rPr>
            <w:noProof/>
            <w:webHidden/>
          </w:rPr>
          <w:instrText xml:space="preserve"> PAGEREF _Toc104985298 \h </w:instrText>
        </w:r>
        <w:r w:rsidR="00087753">
          <w:rPr>
            <w:noProof/>
            <w:webHidden/>
          </w:rPr>
        </w:r>
        <w:r w:rsidR="00087753">
          <w:rPr>
            <w:noProof/>
            <w:webHidden/>
          </w:rPr>
          <w:fldChar w:fldCharType="separate"/>
        </w:r>
        <w:r w:rsidR="004870F1">
          <w:rPr>
            <w:noProof/>
            <w:webHidden/>
          </w:rPr>
          <w:t>157</w:t>
        </w:r>
        <w:r w:rsidR="00087753">
          <w:rPr>
            <w:noProof/>
            <w:webHidden/>
          </w:rPr>
          <w:fldChar w:fldCharType="end"/>
        </w:r>
      </w:hyperlink>
    </w:p>
    <w:p w14:paraId="3C117641" w14:textId="611CF87E" w:rsidR="00087753" w:rsidRDefault="00536556">
      <w:pPr>
        <w:pStyle w:val="41"/>
        <w:tabs>
          <w:tab w:val="right" w:leader="dot" w:pos="9344"/>
        </w:tabs>
        <w:rPr>
          <w:rFonts w:asciiTheme="minorHAnsi" w:eastAsiaTheme="minorEastAsia" w:hAnsiTheme="minorHAnsi"/>
          <w:noProof/>
          <w:sz w:val="22"/>
          <w:lang w:eastAsia="ru-RU"/>
        </w:rPr>
      </w:pPr>
      <w:hyperlink w:anchor="_Toc104985299" w:history="1">
        <w:r w:rsidR="00087753" w:rsidRPr="00277050">
          <w:rPr>
            <w:rStyle w:val="a7"/>
            <w:rFonts w:eastAsia="Malgun Gothic"/>
            <w:noProof/>
            <w:lang w:eastAsia="ko-KR"/>
          </w:rPr>
          <w:t>4.3.1.2 The geometry of the embankment</w:t>
        </w:r>
        <w:r w:rsidR="00087753">
          <w:rPr>
            <w:noProof/>
            <w:webHidden/>
          </w:rPr>
          <w:tab/>
        </w:r>
        <w:r w:rsidR="00087753">
          <w:rPr>
            <w:noProof/>
            <w:webHidden/>
          </w:rPr>
          <w:fldChar w:fldCharType="begin"/>
        </w:r>
        <w:r w:rsidR="00087753">
          <w:rPr>
            <w:noProof/>
            <w:webHidden/>
          </w:rPr>
          <w:instrText xml:space="preserve"> PAGEREF _Toc104985299 \h </w:instrText>
        </w:r>
        <w:r w:rsidR="00087753">
          <w:rPr>
            <w:noProof/>
            <w:webHidden/>
          </w:rPr>
        </w:r>
        <w:r w:rsidR="00087753">
          <w:rPr>
            <w:noProof/>
            <w:webHidden/>
          </w:rPr>
          <w:fldChar w:fldCharType="separate"/>
        </w:r>
        <w:r w:rsidR="004870F1">
          <w:rPr>
            <w:noProof/>
            <w:webHidden/>
          </w:rPr>
          <w:t>157</w:t>
        </w:r>
        <w:r w:rsidR="00087753">
          <w:rPr>
            <w:noProof/>
            <w:webHidden/>
          </w:rPr>
          <w:fldChar w:fldCharType="end"/>
        </w:r>
      </w:hyperlink>
    </w:p>
    <w:p w14:paraId="04F26AAB" w14:textId="57F32C4F" w:rsidR="00087753" w:rsidRDefault="00536556">
      <w:pPr>
        <w:pStyle w:val="41"/>
        <w:tabs>
          <w:tab w:val="right" w:leader="dot" w:pos="9344"/>
        </w:tabs>
        <w:rPr>
          <w:rFonts w:asciiTheme="minorHAnsi" w:eastAsiaTheme="minorEastAsia" w:hAnsiTheme="minorHAnsi"/>
          <w:noProof/>
          <w:sz w:val="22"/>
          <w:lang w:eastAsia="ru-RU"/>
        </w:rPr>
      </w:pPr>
      <w:hyperlink w:anchor="_Toc104985300" w:history="1">
        <w:r w:rsidR="00087753" w:rsidRPr="00277050">
          <w:rPr>
            <w:rStyle w:val="a7"/>
            <w:rFonts w:eastAsia="Malgun Gothic"/>
            <w:noProof/>
            <w:lang w:val="en-GB" w:eastAsia="ko-KR"/>
          </w:rPr>
          <w:t>4.3.1.3 Analyses of seepage and slope stability</w:t>
        </w:r>
        <w:r w:rsidR="00087753">
          <w:rPr>
            <w:noProof/>
            <w:webHidden/>
          </w:rPr>
          <w:tab/>
        </w:r>
        <w:r w:rsidR="00087753">
          <w:rPr>
            <w:noProof/>
            <w:webHidden/>
          </w:rPr>
          <w:fldChar w:fldCharType="begin"/>
        </w:r>
        <w:r w:rsidR="00087753">
          <w:rPr>
            <w:noProof/>
            <w:webHidden/>
          </w:rPr>
          <w:instrText xml:space="preserve"> PAGEREF _Toc104985300 \h </w:instrText>
        </w:r>
        <w:r w:rsidR="00087753">
          <w:rPr>
            <w:noProof/>
            <w:webHidden/>
          </w:rPr>
        </w:r>
        <w:r w:rsidR="00087753">
          <w:rPr>
            <w:noProof/>
            <w:webHidden/>
          </w:rPr>
          <w:fldChar w:fldCharType="separate"/>
        </w:r>
        <w:r w:rsidR="004870F1">
          <w:rPr>
            <w:noProof/>
            <w:webHidden/>
          </w:rPr>
          <w:t>158</w:t>
        </w:r>
        <w:r w:rsidR="00087753">
          <w:rPr>
            <w:noProof/>
            <w:webHidden/>
          </w:rPr>
          <w:fldChar w:fldCharType="end"/>
        </w:r>
      </w:hyperlink>
    </w:p>
    <w:p w14:paraId="62F2C76F" w14:textId="05EB0416" w:rsidR="00087753" w:rsidRDefault="00536556">
      <w:pPr>
        <w:pStyle w:val="41"/>
        <w:tabs>
          <w:tab w:val="right" w:leader="dot" w:pos="9344"/>
        </w:tabs>
        <w:rPr>
          <w:rFonts w:asciiTheme="minorHAnsi" w:eastAsiaTheme="minorEastAsia" w:hAnsiTheme="minorHAnsi"/>
          <w:noProof/>
          <w:sz w:val="22"/>
          <w:lang w:eastAsia="ru-RU"/>
        </w:rPr>
      </w:pPr>
      <w:hyperlink w:anchor="_Toc104985301" w:history="1">
        <w:r w:rsidR="00087753" w:rsidRPr="00277050">
          <w:rPr>
            <w:rStyle w:val="a7"/>
            <w:rFonts w:eastAsia="Malgun Gothic"/>
            <w:noProof/>
            <w:lang w:eastAsia="ko-KR"/>
          </w:rPr>
          <w:t>4.3.1.4 Characteristics of the soil</w:t>
        </w:r>
        <w:r w:rsidR="00087753">
          <w:rPr>
            <w:noProof/>
            <w:webHidden/>
          </w:rPr>
          <w:tab/>
        </w:r>
        <w:r w:rsidR="00087753">
          <w:rPr>
            <w:noProof/>
            <w:webHidden/>
          </w:rPr>
          <w:fldChar w:fldCharType="begin"/>
        </w:r>
        <w:r w:rsidR="00087753">
          <w:rPr>
            <w:noProof/>
            <w:webHidden/>
          </w:rPr>
          <w:instrText xml:space="preserve"> PAGEREF _Toc104985301 \h </w:instrText>
        </w:r>
        <w:r w:rsidR="00087753">
          <w:rPr>
            <w:noProof/>
            <w:webHidden/>
          </w:rPr>
        </w:r>
        <w:r w:rsidR="00087753">
          <w:rPr>
            <w:noProof/>
            <w:webHidden/>
          </w:rPr>
          <w:fldChar w:fldCharType="separate"/>
        </w:r>
        <w:r w:rsidR="004870F1">
          <w:rPr>
            <w:noProof/>
            <w:webHidden/>
          </w:rPr>
          <w:t>159</w:t>
        </w:r>
        <w:r w:rsidR="00087753">
          <w:rPr>
            <w:noProof/>
            <w:webHidden/>
          </w:rPr>
          <w:fldChar w:fldCharType="end"/>
        </w:r>
      </w:hyperlink>
    </w:p>
    <w:p w14:paraId="16D9D8B3" w14:textId="72795D51" w:rsidR="00087753" w:rsidRDefault="00536556">
      <w:pPr>
        <w:pStyle w:val="31"/>
        <w:tabs>
          <w:tab w:val="right" w:leader="dot" w:pos="9344"/>
        </w:tabs>
        <w:rPr>
          <w:rFonts w:asciiTheme="minorHAnsi" w:eastAsiaTheme="minorEastAsia" w:hAnsiTheme="minorHAnsi"/>
          <w:noProof/>
          <w:sz w:val="22"/>
          <w:lang w:eastAsia="ru-RU"/>
        </w:rPr>
      </w:pPr>
      <w:hyperlink w:anchor="_Toc104985302" w:history="1">
        <w:r w:rsidR="00087753" w:rsidRPr="00277050">
          <w:rPr>
            <w:rStyle w:val="a7"/>
            <w:rFonts w:eastAsia="Malgun Gothic"/>
            <w:noProof/>
            <w:lang w:val="en-GB" w:eastAsia="ko-KR"/>
          </w:rPr>
          <w:t>4.3.2 Results and discussion</w:t>
        </w:r>
        <w:r w:rsidR="00087753">
          <w:rPr>
            <w:noProof/>
            <w:webHidden/>
          </w:rPr>
          <w:tab/>
        </w:r>
        <w:r w:rsidR="00087753">
          <w:rPr>
            <w:noProof/>
            <w:webHidden/>
          </w:rPr>
          <w:fldChar w:fldCharType="begin"/>
        </w:r>
        <w:r w:rsidR="00087753">
          <w:rPr>
            <w:noProof/>
            <w:webHidden/>
          </w:rPr>
          <w:instrText xml:space="preserve"> PAGEREF _Toc104985302 \h </w:instrText>
        </w:r>
        <w:r w:rsidR="00087753">
          <w:rPr>
            <w:noProof/>
            <w:webHidden/>
          </w:rPr>
        </w:r>
        <w:r w:rsidR="00087753">
          <w:rPr>
            <w:noProof/>
            <w:webHidden/>
          </w:rPr>
          <w:fldChar w:fldCharType="separate"/>
        </w:r>
        <w:r w:rsidR="004870F1">
          <w:rPr>
            <w:noProof/>
            <w:webHidden/>
          </w:rPr>
          <w:t>159</w:t>
        </w:r>
        <w:r w:rsidR="00087753">
          <w:rPr>
            <w:noProof/>
            <w:webHidden/>
          </w:rPr>
          <w:fldChar w:fldCharType="end"/>
        </w:r>
      </w:hyperlink>
    </w:p>
    <w:p w14:paraId="3E5B09AB" w14:textId="09974ED4" w:rsidR="00087753" w:rsidRDefault="00536556">
      <w:pPr>
        <w:pStyle w:val="41"/>
        <w:tabs>
          <w:tab w:val="right" w:leader="dot" w:pos="9344"/>
        </w:tabs>
        <w:rPr>
          <w:rFonts w:asciiTheme="minorHAnsi" w:eastAsiaTheme="minorEastAsia" w:hAnsiTheme="minorHAnsi"/>
          <w:noProof/>
          <w:sz w:val="22"/>
          <w:lang w:eastAsia="ru-RU"/>
        </w:rPr>
      </w:pPr>
      <w:hyperlink w:anchor="_Toc104985303" w:history="1">
        <w:r w:rsidR="00087753" w:rsidRPr="00277050">
          <w:rPr>
            <w:rStyle w:val="a7"/>
            <w:rFonts w:eastAsia="Malgun Gothic"/>
            <w:noProof/>
            <w:lang w:val="en-GB" w:eastAsia="ko-KR"/>
          </w:rPr>
          <w:t>4.3.2.1 Summary of the sub-section</w:t>
        </w:r>
        <w:r w:rsidR="00087753">
          <w:rPr>
            <w:noProof/>
            <w:webHidden/>
          </w:rPr>
          <w:tab/>
        </w:r>
        <w:r w:rsidR="00087753">
          <w:rPr>
            <w:noProof/>
            <w:webHidden/>
          </w:rPr>
          <w:fldChar w:fldCharType="begin"/>
        </w:r>
        <w:r w:rsidR="00087753">
          <w:rPr>
            <w:noProof/>
            <w:webHidden/>
          </w:rPr>
          <w:instrText xml:space="preserve"> PAGEREF _Toc104985303 \h </w:instrText>
        </w:r>
        <w:r w:rsidR="00087753">
          <w:rPr>
            <w:noProof/>
            <w:webHidden/>
          </w:rPr>
        </w:r>
        <w:r w:rsidR="00087753">
          <w:rPr>
            <w:noProof/>
            <w:webHidden/>
          </w:rPr>
          <w:fldChar w:fldCharType="separate"/>
        </w:r>
        <w:r w:rsidR="004870F1">
          <w:rPr>
            <w:noProof/>
            <w:webHidden/>
          </w:rPr>
          <w:t>165</w:t>
        </w:r>
        <w:r w:rsidR="00087753">
          <w:rPr>
            <w:noProof/>
            <w:webHidden/>
          </w:rPr>
          <w:fldChar w:fldCharType="end"/>
        </w:r>
      </w:hyperlink>
    </w:p>
    <w:p w14:paraId="458EB944" w14:textId="03DB198B" w:rsidR="00087753" w:rsidRDefault="00536556">
      <w:pPr>
        <w:pStyle w:val="61"/>
        <w:rPr>
          <w:rFonts w:asciiTheme="minorHAnsi" w:eastAsiaTheme="minorEastAsia" w:hAnsiTheme="minorHAnsi" w:cstheme="minorBidi"/>
          <w:sz w:val="22"/>
          <w:lang w:val="ru-RU" w:eastAsia="ru-RU"/>
        </w:rPr>
      </w:pPr>
      <w:hyperlink w:anchor="_Toc104985304" w:history="1">
        <w:r w:rsidR="00087753" w:rsidRPr="00277050">
          <w:rPr>
            <w:rStyle w:val="a7"/>
            <w:b/>
          </w:rPr>
          <w:t>Summary of chapter four</w:t>
        </w:r>
        <w:r w:rsidR="00087753">
          <w:rPr>
            <w:webHidden/>
          </w:rPr>
          <w:tab/>
        </w:r>
        <w:r w:rsidR="00087753">
          <w:rPr>
            <w:webHidden/>
          </w:rPr>
          <w:fldChar w:fldCharType="begin"/>
        </w:r>
        <w:r w:rsidR="00087753">
          <w:rPr>
            <w:webHidden/>
          </w:rPr>
          <w:instrText xml:space="preserve"> PAGEREF _Toc104985304 \h </w:instrText>
        </w:r>
        <w:r w:rsidR="00087753">
          <w:rPr>
            <w:webHidden/>
          </w:rPr>
        </w:r>
        <w:r w:rsidR="00087753">
          <w:rPr>
            <w:webHidden/>
          </w:rPr>
          <w:fldChar w:fldCharType="separate"/>
        </w:r>
        <w:r w:rsidR="004870F1">
          <w:rPr>
            <w:webHidden/>
          </w:rPr>
          <w:t>166</w:t>
        </w:r>
        <w:r w:rsidR="00087753">
          <w:rPr>
            <w:webHidden/>
          </w:rPr>
          <w:fldChar w:fldCharType="end"/>
        </w:r>
      </w:hyperlink>
    </w:p>
    <w:p w14:paraId="0F663EDF" w14:textId="5E9B3D00" w:rsidR="00087753" w:rsidRDefault="00536556">
      <w:pPr>
        <w:pStyle w:val="11"/>
        <w:rPr>
          <w:rFonts w:asciiTheme="minorHAnsi" w:eastAsiaTheme="minorEastAsia" w:hAnsiTheme="minorHAnsi"/>
          <w:caps w:val="0"/>
          <w:noProof/>
          <w:sz w:val="22"/>
          <w:lang w:eastAsia="ru-RU"/>
        </w:rPr>
      </w:pPr>
      <w:hyperlink w:anchor="_Toc104985305" w:history="1">
        <w:r w:rsidR="00087753" w:rsidRPr="00277050">
          <w:rPr>
            <w:rStyle w:val="a7"/>
            <w:noProof/>
            <w:lang w:val="en-US"/>
          </w:rPr>
          <w:t>5 Slope stability analysis based on case studies</w:t>
        </w:r>
        <w:r w:rsidR="00087753">
          <w:rPr>
            <w:noProof/>
            <w:webHidden/>
          </w:rPr>
          <w:tab/>
        </w:r>
        <w:r w:rsidR="00087753">
          <w:rPr>
            <w:noProof/>
            <w:webHidden/>
          </w:rPr>
          <w:fldChar w:fldCharType="begin"/>
        </w:r>
        <w:r w:rsidR="00087753">
          <w:rPr>
            <w:noProof/>
            <w:webHidden/>
          </w:rPr>
          <w:instrText xml:space="preserve"> PAGEREF _Toc104985305 \h </w:instrText>
        </w:r>
        <w:r w:rsidR="00087753">
          <w:rPr>
            <w:noProof/>
            <w:webHidden/>
          </w:rPr>
        </w:r>
        <w:r w:rsidR="00087753">
          <w:rPr>
            <w:noProof/>
            <w:webHidden/>
          </w:rPr>
          <w:fldChar w:fldCharType="separate"/>
        </w:r>
        <w:r w:rsidR="004870F1">
          <w:rPr>
            <w:noProof/>
            <w:webHidden/>
          </w:rPr>
          <w:t>167</w:t>
        </w:r>
        <w:r w:rsidR="00087753">
          <w:rPr>
            <w:noProof/>
            <w:webHidden/>
          </w:rPr>
          <w:fldChar w:fldCharType="end"/>
        </w:r>
      </w:hyperlink>
    </w:p>
    <w:p w14:paraId="6086AA55" w14:textId="3FF0CD25" w:rsidR="00087753" w:rsidRDefault="00536556">
      <w:pPr>
        <w:pStyle w:val="21"/>
        <w:rPr>
          <w:rFonts w:asciiTheme="minorHAnsi" w:eastAsiaTheme="minorEastAsia" w:hAnsiTheme="minorHAnsi"/>
          <w:noProof/>
          <w:sz w:val="22"/>
          <w:lang w:eastAsia="ru-RU"/>
        </w:rPr>
      </w:pPr>
      <w:hyperlink w:anchor="_Toc104985306" w:history="1">
        <w:r w:rsidR="00087753" w:rsidRPr="00277050">
          <w:rPr>
            <w:rStyle w:val="a7"/>
            <w:noProof/>
          </w:rPr>
          <w:t>5.1 Samarkand dam in Kazakhstan</w:t>
        </w:r>
        <w:r w:rsidR="00087753">
          <w:rPr>
            <w:noProof/>
            <w:webHidden/>
          </w:rPr>
          <w:tab/>
        </w:r>
        <w:r w:rsidR="00087753">
          <w:rPr>
            <w:noProof/>
            <w:webHidden/>
          </w:rPr>
          <w:fldChar w:fldCharType="begin"/>
        </w:r>
        <w:r w:rsidR="00087753">
          <w:rPr>
            <w:noProof/>
            <w:webHidden/>
          </w:rPr>
          <w:instrText xml:space="preserve"> PAGEREF _Toc104985306 \h </w:instrText>
        </w:r>
        <w:r w:rsidR="00087753">
          <w:rPr>
            <w:noProof/>
            <w:webHidden/>
          </w:rPr>
        </w:r>
        <w:r w:rsidR="00087753">
          <w:rPr>
            <w:noProof/>
            <w:webHidden/>
          </w:rPr>
          <w:fldChar w:fldCharType="separate"/>
        </w:r>
        <w:r w:rsidR="004870F1">
          <w:rPr>
            <w:noProof/>
            <w:webHidden/>
          </w:rPr>
          <w:t>167</w:t>
        </w:r>
        <w:r w:rsidR="00087753">
          <w:rPr>
            <w:noProof/>
            <w:webHidden/>
          </w:rPr>
          <w:fldChar w:fldCharType="end"/>
        </w:r>
      </w:hyperlink>
    </w:p>
    <w:p w14:paraId="294156FF" w14:textId="1B451549" w:rsidR="00087753" w:rsidRDefault="00536556">
      <w:pPr>
        <w:pStyle w:val="31"/>
        <w:tabs>
          <w:tab w:val="right" w:leader="dot" w:pos="9344"/>
        </w:tabs>
        <w:rPr>
          <w:rFonts w:asciiTheme="minorHAnsi" w:eastAsiaTheme="minorEastAsia" w:hAnsiTheme="minorHAnsi"/>
          <w:noProof/>
          <w:sz w:val="22"/>
          <w:lang w:eastAsia="ru-RU"/>
        </w:rPr>
      </w:pPr>
      <w:hyperlink w:anchor="_Toc104985307" w:history="1">
        <w:r w:rsidR="00087753" w:rsidRPr="00277050">
          <w:rPr>
            <w:rStyle w:val="a7"/>
            <w:noProof/>
          </w:rPr>
          <w:t>5.1.1 Materials and methods</w:t>
        </w:r>
        <w:r w:rsidR="00087753">
          <w:rPr>
            <w:noProof/>
            <w:webHidden/>
          </w:rPr>
          <w:tab/>
        </w:r>
        <w:r w:rsidR="00087753">
          <w:rPr>
            <w:noProof/>
            <w:webHidden/>
          </w:rPr>
          <w:fldChar w:fldCharType="begin"/>
        </w:r>
        <w:r w:rsidR="00087753">
          <w:rPr>
            <w:noProof/>
            <w:webHidden/>
          </w:rPr>
          <w:instrText xml:space="preserve"> PAGEREF _Toc104985307 \h </w:instrText>
        </w:r>
        <w:r w:rsidR="00087753">
          <w:rPr>
            <w:noProof/>
            <w:webHidden/>
          </w:rPr>
        </w:r>
        <w:r w:rsidR="00087753">
          <w:rPr>
            <w:noProof/>
            <w:webHidden/>
          </w:rPr>
          <w:fldChar w:fldCharType="separate"/>
        </w:r>
        <w:r w:rsidR="004870F1">
          <w:rPr>
            <w:noProof/>
            <w:webHidden/>
          </w:rPr>
          <w:t>167</w:t>
        </w:r>
        <w:r w:rsidR="00087753">
          <w:rPr>
            <w:noProof/>
            <w:webHidden/>
          </w:rPr>
          <w:fldChar w:fldCharType="end"/>
        </w:r>
      </w:hyperlink>
    </w:p>
    <w:p w14:paraId="4AB33F7D" w14:textId="0CFE36AE" w:rsidR="00087753" w:rsidRDefault="00536556">
      <w:pPr>
        <w:pStyle w:val="41"/>
        <w:tabs>
          <w:tab w:val="right" w:leader="dot" w:pos="9344"/>
        </w:tabs>
        <w:rPr>
          <w:rFonts w:asciiTheme="minorHAnsi" w:eastAsiaTheme="minorEastAsia" w:hAnsiTheme="minorHAnsi"/>
          <w:noProof/>
          <w:sz w:val="22"/>
          <w:lang w:eastAsia="ru-RU"/>
        </w:rPr>
      </w:pPr>
      <w:hyperlink w:anchor="_Toc104985308" w:history="1">
        <w:r w:rsidR="00087753" w:rsidRPr="00277050">
          <w:rPr>
            <w:rStyle w:val="a7"/>
            <w:rFonts w:eastAsia="Times New Roman"/>
            <w:noProof/>
          </w:rPr>
          <w:t>5.1.1.1 Case study description</w:t>
        </w:r>
        <w:r w:rsidR="00087753">
          <w:rPr>
            <w:noProof/>
            <w:webHidden/>
          </w:rPr>
          <w:tab/>
        </w:r>
        <w:r w:rsidR="00087753">
          <w:rPr>
            <w:noProof/>
            <w:webHidden/>
          </w:rPr>
          <w:fldChar w:fldCharType="begin"/>
        </w:r>
        <w:r w:rsidR="00087753">
          <w:rPr>
            <w:noProof/>
            <w:webHidden/>
          </w:rPr>
          <w:instrText xml:space="preserve"> PAGEREF _Toc104985308 \h </w:instrText>
        </w:r>
        <w:r w:rsidR="00087753">
          <w:rPr>
            <w:noProof/>
            <w:webHidden/>
          </w:rPr>
        </w:r>
        <w:r w:rsidR="00087753">
          <w:rPr>
            <w:noProof/>
            <w:webHidden/>
          </w:rPr>
          <w:fldChar w:fldCharType="separate"/>
        </w:r>
        <w:r w:rsidR="004870F1">
          <w:rPr>
            <w:noProof/>
            <w:webHidden/>
          </w:rPr>
          <w:t>167</w:t>
        </w:r>
        <w:r w:rsidR="00087753">
          <w:rPr>
            <w:noProof/>
            <w:webHidden/>
          </w:rPr>
          <w:fldChar w:fldCharType="end"/>
        </w:r>
      </w:hyperlink>
    </w:p>
    <w:p w14:paraId="599789DB" w14:textId="6387F795" w:rsidR="00087753" w:rsidRDefault="00536556">
      <w:pPr>
        <w:pStyle w:val="41"/>
        <w:tabs>
          <w:tab w:val="right" w:leader="dot" w:pos="9344"/>
        </w:tabs>
        <w:rPr>
          <w:rFonts w:asciiTheme="minorHAnsi" w:eastAsiaTheme="minorEastAsia" w:hAnsiTheme="minorHAnsi"/>
          <w:noProof/>
          <w:sz w:val="22"/>
          <w:lang w:eastAsia="ru-RU"/>
        </w:rPr>
      </w:pPr>
      <w:hyperlink w:anchor="_Toc104985309" w:history="1">
        <w:r w:rsidR="00087753" w:rsidRPr="00277050">
          <w:rPr>
            <w:rStyle w:val="a7"/>
            <w:rFonts w:eastAsia="Times New Roman"/>
            <w:noProof/>
            <w:lang w:val="en-US"/>
          </w:rPr>
          <w:t>5.1.1.2 The historical perspective of the Samarkand dam</w:t>
        </w:r>
        <w:r w:rsidR="00087753">
          <w:rPr>
            <w:noProof/>
            <w:webHidden/>
          </w:rPr>
          <w:tab/>
        </w:r>
        <w:r w:rsidR="00087753">
          <w:rPr>
            <w:noProof/>
            <w:webHidden/>
          </w:rPr>
          <w:fldChar w:fldCharType="begin"/>
        </w:r>
        <w:r w:rsidR="00087753">
          <w:rPr>
            <w:noProof/>
            <w:webHidden/>
          </w:rPr>
          <w:instrText xml:space="preserve"> PAGEREF _Toc104985309 \h </w:instrText>
        </w:r>
        <w:r w:rsidR="00087753">
          <w:rPr>
            <w:noProof/>
            <w:webHidden/>
          </w:rPr>
        </w:r>
        <w:r w:rsidR="00087753">
          <w:rPr>
            <w:noProof/>
            <w:webHidden/>
          </w:rPr>
          <w:fldChar w:fldCharType="separate"/>
        </w:r>
        <w:r w:rsidR="004870F1">
          <w:rPr>
            <w:noProof/>
            <w:webHidden/>
          </w:rPr>
          <w:t>167</w:t>
        </w:r>
        <w:r w:rsidR="00087753">
          <w:rPr>
            <w:noProof/>
            <w:webHidden/>
          </w:rPr>
          <w:fldChar w:fldCharType="end"/>
        </w:r>
      </w:hyperlink>
    </w:p>
    <w:p w14:paraId="25908288" w14:textId="050D26DB" w:rsidR="00087753" w:rsidRDefault="00536556">
      <w:pPr>
        <w:pStyle w:val="41"/>
        <w:tabs>
          <w:tab w:val="right" w:leader="dot" w:pos="9344"/>
        </w:tabs>
        <w:rPr>
          <w:rFonts w:asciiTheme="minorHAnsi" w:eastAsiaTheme="minorEastAsia" w:hAnsiTheme="minorHAnsi"/>
          <w:noProof/>
          <w:sz w:val="22"/>
          <w:lang w:eastAsia="ru-RU"/>
        </w:rPr>
      </w:pPr>
      <w:hyperlink w:anchor="_Toc104985310" w:history="1">
        <w:r w:rsidR="00087753" w:rsidRPr="00277050">
          <w:rPr>
            <w:rStyle w:val="a7"/>
            <w:rFonts w:eastAsia="Times New Roman"/>
            <w:noProof/>
          </w:rPr>
          <w:t>5.1.1.3 General modeling process</w:t>
        </w:r>
        <w:r w:rsidR="00087753">
          <w:rPr>
            <w:noProof/>
            <w:webHidden/>
          </w:rPr>
          <w:tab/>
        </w:r>
        <w:r w:rsidR="00087753">
          <w:rPr>
            <w:noProof/>
            <w:webHidden/>
          </w:rPr>
          <w:fldChar w:fldCharType="begin"/>
        </w:r>
        <w:r w:rsidR="00087753">
          <w:rPr>
            <w:noProof/>
            <w:webHidden/>
          </w:rPr>
          <w:instrText xml:space="preserve"> PAGEREF _Toc104985310 \h </w:instrText>
        </w:r>
        <w:r w:rsidR="00087753">
          <w:rPr>
            <w:noProof/>
            <w:webHidden/>
          </w:rPr>
        </w:r>
        <w:r w:rsidR="00087753">
          <w:rPr>
            <w:noProof/>
            <w:webHidden/>
          </w:rPr>
          <w:fldChar w:fldCharType="separate"/>
        </w:r>
        <w:r w:rsidR="004870F1">
          <w:rPr>
            <w:noProof/>
            <w:webHidden/>
          </w:rPr>
          <w:t>168</w:t>
        </w:r>
        <w:r w:rsidR="00087753">
          <w:rPr>
            <w:noProof/>
            <w:webHidden/>
          </w:rPr>
          <w:fldChar w:fldCharType="end"/>
        </w:r>
      </w:hyperlink>
    </w:p>
    <w:p w14:paraId="33EC6B6E" w14:textId="44FAF7D1" w:rsidR="00087753" w:rsidRDefault="00536556">
      <w:pPr>
        <w:pStyle w:val="41"/>
        <w:tabs>
          <w:tab w:val="right" w:leader="dot" w:pos="9344"/>
        </w:tabs>
        <w:rPr>
          <w:rFonts w:asciiTheme="minorHAnsi" w:eastAsiaTheme="minorEastAsia" w:hAnsiTheme="minorHAnsi"/>
          <w:noProof/>
          <w:sz w:val="22"/>
          <w:lang w:eastAsia="ru-RU"/>
        </w:rPr>
      </w:pPr>
      <w:hyperlink w:anchor="_Toc104985311" w:history="1">
        <w:r w:rsidR="00087753" w:rsidRPr="00277050">
          <w:rPr>
            <w:rStyle w:val="a7"/>
            <w:rFonts w:eastAsia="Times New Roman"/>
            <w:noProof/>
            <w:lang w:val="en-US"/>
          </w:rPr>
          <w:t>5.1.1.4 Seepage analysis through the embankment</w:t>
        </w:r>
        <w:r w:rsidR="00087753">
          <w:rPr>
            <w:noProof/>
            <w:webHidden/>
          </w:rPr>
          <w:tab/>
        </w:r>
        <w:r w:rsidR="00087753">
          <w:rPr>
            <w:noProof/>
            <w:webHidden/>
          </w:rPr>
          <w:fldChar w:fldCharType="begin"/>
        </w:r>
        <w:r w:rsidR="00087753">
          <w:rPr>
            <w:noProof/>
            <w:webHidden/>
          </w:rPr>
          <w:instrText xml:space="preserve"> PAGEREF _Toc104985311 \h </w:instrText>
        </w:r>
        <w:r w:rsidR="00087753">
          <w:rPr>
            <w:noProof/>
            <w:webHidden/>
          </w:rPr>
        </w:r>
        <w:r w:rsidR="00087753">
          <w:rPr>
            <w:noProof/>
            <w:webHidden/>
          </w:rPr>
          <w:fldChar w:fldCharType="separate"/>
        </w:r>
        <w:r w:rsidR="004870F1">
          <w:rPr>
            <w:noProof/>
            <w:webHidden/>
          </w:rPr>
          <w:t>169</w:t>
        </w:r>
        <w:r w:rsidR="00087753">
          <w:rPr>
            <w:noProof/>
            <w:webHidden/>
          </w:rPr>
          <w:fldChar w:fldCharType="end"/>
        </w:r>
      </w:hyperlink>
    </w:p>
    <w:p w14:paraId="0FE23481" w14:textId="44A82BBC" w:rsidR="00087753" w:rsidRDefault="00536556">
      <w:pPr>
        <w:pStyle w:val="41"/>
        <w:tabs>
          <w:tab w:val="right" w:leader="dot" w:pos="9344"/>
        </w:tabs>
        <w:rPr>
          <w:rFonts w:asciiTheme="minorHAnsi" w:eastAsiaTheme="minorEastAsia" w:hAnsiTheme="minorHAnsi"/>
          <w:noProof/>
          <w:sz w:val="22"/>
          <w:lang w:eastAsia="ru-RU"/>
        </w:rPr>
      </w:pPr>
      <w:hyperlink w:anchor="_Toc104985312" w:history="1">
        <w:r w:rsidR="00087753" w:rsidRPr="00277050">
          <w:rPr>
            <w:rStyle w:val="a7"/>
            <w:rFonts w:eastAsia="Times New Roman"/>
            <w:noProof/>
          </w:rPr>
          <w:t>5.1.1.5 Slope stability analysis</w:t>
        </w:r>
        <w:r w:rsidR="00087753">
          <w:rPr>
            <w:noProof/>
            <w:webHidden/>
          </w:rPr>
          <w:tab/>
        </w:r>
        <w:r w:rsidR="00087753">
          <w:rPr>
            <w:noProof/>
            <w:webHidden/>
          </w:rPr>
          <w:fldChar w:fldCharType="begin"/>
        </w:r>
        <w:r w:rsidR="00087753">
          <w:rPr>
            <w:noProof/>
            <w:webHidden/>
          </w:rPr>
          <w:instrText xml:space="preserve"> PAGEREF _Toc104985312 \h </w:instrText>
        </w:r>
        <w:r w:rsidR="00087753">
          <w:rPr>
            <w:noProof/>
            <w:webHidden/>
          </w:rPr>
        </w:r>
        <w:r w:rsidR="00087753">
          <w:rPr>
            <w:noProof/>
            <w:webHidden/>
          </w:rPr>
          <w:fldChar w:fldCharType="separate"/>
        </w:r>
        <w:r w:rsidR="004870F1">
          <w:rPr>
            <w:noProof/>
            <w:webHidden/>
          </w:rPr>
          <w:t>169</w:t>
        </w:r>
        <w:r w:rsidR="00087753">
          <w:rPr>
            <w:noProof/>
            <w:webHidden/>
          </w:rPr>
          <w:fldChar w:fldCharType="end"/>
        </w:r>
      </w:hyperlink>
    </w:p>
    <w:p w14:paraId="7404EEA9" w14:textId="352FFB2E" w:rsidR="00087753" w:rsidRDefault="00536556">
      <w:pPr>
        <w:pStyle w:val="51"/>
        <w:tabs>
          <w:tab w:val="right" w:leader="dot" w:pos="9344"/>
        </w:tabs>
        <w:rPr>
          <w:rFonts w:asciiTheme="minorHAnsi" w:eastAsiaTheme="minorEastAsia" w:hAnsiTheme="minorHAnsi"/>
          <w:noProof/>
          <w:sz w:val="22"/>
          <w:lang w:eastAsia="ru-RU"/>
        </w:rPr>
      </w:pPr>
      <w:hyperlink w:anchor="_Toc104985313" w:history="1">
        <w:r w:rsidR="00087753" w:rsidRPr="00277050">
          <w:rPr>
            <w:rStyle w:val="a7"/>
            <w:rFonts w:eastAsia="Times New Roman"/>
            <w:noProof/>
            <w:lang w:val="en-US"/>
          </w:rPr>
          <w:t>5.1.1.5.1 Material characteristics</w:t>
        </w:r>
        <w:r w:rsidR="00087753">
          <w:rPr>
            <w:noProof/>
            <w:webHidden/>
          </w:rPr>
          <w:tab/>
        </w:r>
        <w:r w:rsidR="00087753">
          <w:rPr>
            <w:noProof/>
            <w:webHidden/>
          </w:rPr>
          <w:fldChar w:fldCharType="begin"/>
        </w:r>
        <w:r w:rsidR="00087753">
          <w:rPr>
            <w:noProof/>
            <w:webHidden/>
          </w:rPr>
          <w:instrText xml:space="preserve"> PAGEREF _Toc104985313 \h </w:instrText>
        </w:r>
        <w:r w:rsidR="00087753">
          <w:rPr>
            <w:noProof/>
            <w:webHidden/>
          </w:rPr>
        </w:r>
        <w:r w:rsidR="00087753">
          <w:rPr>
            <w:noProof/>
            <w:webHidden/>
          </w:rPr>
          <w:fldChar w:fldCharType="separate"/>
        </w:r>
        <w:r w:rsidR="004870F1">
          <w:rPr>
            <w:noProof/>
            <w:webHidden/>
          </w:rPr>
          <w:t>170</w:t>
        </w:r>
        <w:r w:rsidR="00087753">
          <w:rPr>
            <w:noProof/>
            <w:webHidden/>
          </w:rPr>
          <w:fldChar w:fldCharType="end"/>
        </w:r>
      </w:hyperlink>
    </w:p>
    <w:p w14:paraId="7C44B344" w14:textId="5285EE05" w:rsidR="00087753" w:rsidRDefault="00536556">
      <w:pPr>
        <w:pStyle w:val="31"/>
        <w:tabs>
          <w:tab w:val="right" w:leader="dot" w:pos="9344"/>
        </w:tabs>
        <w:rPr>
          <w:rFonts w:asciiTheme="minorHAnsi" w:eastAsiaTheme="minorEastAsia" w:hAnsiTheme="minorHAnsi"/>
          <w:noProof/>
          <w:sz w:val="22"/>
          <w:lang w:eastAsia="ru-RU"/>
        </w:rPr>
      </w:pPr>
      <w:hyperlink w:anchor="_Toc104985314" w:history="1">
        <w:r w:rsidR="00087753" w:rsidRPr="00277050">
          <w:rPr>
            <w:rStyle w:val="a7"/>
            <w:rFonts w:eastAsia="Times New Roman"/>
            <w:noProof/>
            <w:lang w:val="en-US"/>
          </w:rPr>
          <w:t>5.1.2 Results and discussion</w:t>
        </w:r>
        <w:r w:rsidR="00087753">
          <w:rPr>
            <w:noProof/>
            <w:webHidden/>
          </w:rPr>
          <w:tab/>
        </w:r>
        <w:r w:rsidR="00087753">
          <w:rPr>
            <w:noProof/>
            <w:webHidden/>
          </w:rPr>
          <w:fldChar w:fldCharType="begin"/>
        </w:r>
        <w:r w:rsidR="00087753">
          <w:rPr>
            <w:noProof/>
            <w:webHidden/>
          </w:rPr>
          <w:instrText xml:space="preserve"> PAGEREF _Toc104985314 \h </w:instrText>
        </w:r>
        <w:r w:rsidR="00087753">
          <w:rPr>
            <w:noProof/>
            <w:webHidden/>
          </w:rPr>
        </w:r>
        <w:r w:rsidR="00087753">
          <w:rPr>
            <w:noProof/>
            <w:webHidden/>
          </w:rPr>
          <w:fldChar w:fldCharType="separate"/>
        </w:r>
        <w:r w:rsidR="004870F1">
          <w:rPr>
            <w:noProof/>
            <w:webHidden/>
          </w:rPr>
          <w:t>170</w:t>
        </w:r>
        <w:r w:rsidR="00087753">
          <w:rPr>
            <w:noProof/>
            <w:webHidden/>
          </w:rPr>
          <w:fldChar w:fldCharType="end"/>
        </w:r>
      </w:hyperlink>
    </w:p>
    <w:p w14:paraId="729E2ADD" w14:textId="319C125A" w:rsidR="00087753" w:rsidRDefault="00536556">
      <w:pPr>
        <w:pStyle w:val="41"/>
        <w:tabs>
          <w:tab w:val="right" w:leader="dot" w:pos="9344"/>
        </w:tabs>
        <w:rPr>
          <w:rFonts w:asciiTheme="minorHAnsi" w:eastAsiaTheme="minorEastAsia" w:hAnsiTheme="minorHAnsi"/>
          <w:noProof/>
          <w:sz w:val="22"/>
          <w:lang w:eastAsia="ru-RU"/>
        </w:rPr>
      </w:pPr>
      <w:hyperlink w:anchor="_Toc104985315" w:history="1">
        <w:r w:rsidR="00087753" w:rsidRPr="00277050">
          <w:rPr>
            <w:rStyle w:val="a7"/>
            <w:rFonts w:eastAsia="Times New Roman"/>
            <w:noProof/>
            <w:lang w:val="en-US"/>
          </w:rPr>
          <w:t>5.1.2.1 Seepage analysis</w:t>
        </w:r>
        <w:r w:rsidR="00087753">
          <w:rPr>
            <w:noProof/>
            <w:webHidden/>
          </w:rPr>
          <w:tab/>
        </w:r>
        <w:r w:rsidR="00087753">
          <w:rPr>
            <w:noProof/>
            <w:webHidden/>
          </w:rPr>
          <w:fldChar w:fldCharType="begin"/>
        </w:r>
        <w:r w:rsidR="00087753">
          <w:rPr>
            <w:noProof/>
            <w:webHidden/>
          </w:rPr>
          <w:instrText xml:space="preserve"> PAGEREF _Toc104985315 \h </w:instrText>
        </w:r>
        <w:r w:rsidR="00087753">
          <w:rPr>
            <w:noProof/>
            <w:webHidden/>
          </w:rPr>
        </w:r>
        <w:r w:rsidR="00087753">
          <w:rPr>
            <w:noProof/>
            <w:webHidden/>
          </w:rPr>
          <w:fldChar w:fldCharType="separate"/>
        </w:r>
        <w:r w:rsidR="004870F1">
          <w:rPr>
            <w:noProof/>
            <w:webHidden/>
          </w:rPr>
          <w:t>170</w:t>
        </w:r>
        <w:r w:rsidR="00087753">
          <w:rPr>
            <w:noProof/>
            <w:webHidden/>
          </w:rPr>
          <w:fldChar w:fldCharType="end"/>
        </w:r>
      </w:hyperlink>
    </w:p>
    <w:p w14:paraId="38DF6788" w14:textId="749318BC" w:rsidR="00087753" w:rsidRDefault="00536556">
      <w:pPr>
        <w:pStyle w:val="41"/>
        <w:tabs>
          <w:tab w:val="right" w:leader="dot" w:pos="9344"/>
        </w:tabs>
        <w:rPr>
          <w:rFonts w:asciiTheme="minorHAnsi" w:eastAsiaTheme="minorEastAsia" w:hAnsiTheme="minorHAnsi"/>
          <w:noProof/>
          <w:sz w:val="22"/>
          <w:lang w:eastAsia="ru-RU"/>
        </w:rPr>
      </w:pPr>
      <w:hyperlink w:anchor="_Toc104985316" w:history="1">
        <w:r w:rsidR="00087753" w:rsidRPr="00277050">
          <w:rPr>
            <w:rStyle w:val="a7"/>
            <w:rFonts w:eastAsia="Times New Roman"/>
            <w:noProof/>
          </w:rPr>
          <w:t>5.1.2.2 Slope stability</w:t>
        </w:r>
        <w:r w:rsidR="00087753">
          <w:rPr>
            <w:noProof/>
            <w:webHidden/>
          </w:rPr>
          <w:tab/>
        </w:r>
        <w:r w:rsidR="00087753">
          <w:rPr>
            <w:noProof/>
            <w:webHidden/>
          </w:rPr>
          <w:fldChar w:fldCharType="begin"/>
        </w:r>
        <w:r w:rsidR="00087753">
          <w:rPr>
            <w:noProof/>
            <w:webHidden/>
          </w:rPr>
          <w:instrText xml:space="preserve"> PAGEREF _Toc104985316 \h </w:instrText>
        </w:r>
        <w:r w:rsidR="00087753">
          <w:rPr>
            <w:noProof/>
            <w:webHidden/>
          </w:rPr>
        </w:r>
        <w:r w:rsidR="00087753">
          <w:rPr>
            <w:noProof/>
            <w:webHidden/>
          </w:rPr>
          <w:fldChar w:fldCharType="separate"/>
        </w:r>
        <w:r w:rsidR="004870F1">
          <w:rPr>
            <w:noProof/>
            <w:webHidden/>
          </w:rPr>
          <w:t>171</w:t>
        </w:r>
        <w:r w:rsidR="00087753">
          <w:rPr>
            <w:noProof/>
            <w:webHidden/>
          </w:rPr>
          <w:fldChar w:fldCharType="end"/>
        </w:r>
      </w:hyperlink>
    </w:p>
    <w:p w14:paraId="6D93A0FF" w14:textId="1DBBD549" w:rsidR="00087753" w:rsidRDefault="00536556">
      <w:pPr>
        <w:pStyle w:val="31"/>
        <w:tabs>
          <w:tab w:val="right" w:leader="dot" w:pos="9344"/>
        </w:tabs>
        <w:rPr>
          <w:rFonts w:asciiTheme="minorHAnsi" w:eastAsiaTheme="minorEastAsia" w:hAnsiTheme="minorHAnsi"/>
          <w:noProof/>
          <w:sz w:val="22"/>
          <w:lang w:eastAsia="ru-RU"/>
        </w:rPr>
      </w:pPr>
      <w:hyperlink w:anchor="_Toc104985317" w:history="1">
        <w:r w:rsidR="00087753" w:rsidRPr="00277050">
          <w:rPr>
            <w:rStyle w:val="a7"/>
            <w:rFonts w:eastAsia="Times New Roman"/>
            <w:noProof/>
          </w:rPr>
          <w:t>5.1.3</w:t>
        </w:r>
        <w:r w:rsidR="00087753" w:rsidRPr="00277050">
          <w:rPr>
            <w:rStyle w:val="a7"/>
            <w:rFonts w:eastAsia="Times New Roman"/>
            <w:noProof/>
            <w:lang w:val="en-US"/>
          </w:rPr>
          <w:t xml:space="preserve"> Summary of the sub-section</w:t>
        </w:r>
        <w:r w:rsidR="00087753">
          <w:rPr>
            <w:noProof/>
            <w:webHidden/>
          </w:rPr>
          <w:tab/>
        </w:r>
        <w:r w:rsidR="00087753">
          <w:rPr>
            <w:noProof/>
            <w:webHidden/>
          </w:rPr>
          <w:fldChar w:fldCharType="begin"/>
        </w:r>
        <w:r w:rsidR="00087753">
          <w:rPr>
            <w:noProof/>
            <w:webHidden/>
          </w:rPr>
          <w:instrText xml:space="preserve"> PAGEREF _Toc104985317 \h </w:instrText>
        </w:r>
        <w:r w:rsidR="00087753">
          <w:rPr>
            <w:noProof/>
            <w:webHidden/>
          </w:rPr>
        </w:r>
        <w:r w:rsidR="00087753">
          <w:rPr>
            <w:noProof/>
            <w:webHidden/>
          </w:rPr>
          <w:fldChar w:fldCharType="separate"/>
        </w:r>
        <w:r w:rsidR="004870F1">
          <w:rPr>
            <w:noProof/>
            <w:webHidden/>
          </w:rPr>
          <w:t>176</w:t>
        </w:r>
        <w:r w:rsidR="00087753">
          <w:rPr>
            <w:noProof/>
            <w:webHidden/>
          </w:rPr>
          <w:fldChar w:fldCharType="end"/>
        </w:r>
      </w:hyperlink>
    </w:p>
    <w:p w14:paraId="5394599C" w14:textId="64E19A5E" w:rsidR="00087753" w:rsidRDefault="00536556">
      <w:pPr>
        <w:pStyle w:val="21"/>
        <w:rPr>
          <w:rFonts w:asciiTheme="minorHAnsi" w:eastAsiaTheme="minorEastAsia" w:hAnsiTheme="minorHAnsi"/>
          <w:noProof/>
          <w:sz w:val="22"/>
          <w:lang w:eastAsia="ru-RU"/>
        </w:rPr>
      </w:pPr>
      <w:hyperlink w:anchor="_Toc104985318" w:history="1">
        <w:r w:rsidR="00087753" w:rsidRPr="00277050">
          <w:rPr>
            <w:rStyle w:val="a7"/>
            <w:noProof/>
          </w:rPr>
          <w:t>5.2 Ndembera dam in Tanzania</w:t>
        </w:r>
        <w:r w:rsidR="00087753">
          <w:rPr>
            <w:noProof/>
            <w:webHidden/>
          </w:rPr>
          <w:tab/>
        </w:r>
        <w:r w:rsidR="00087753">
          <w:rPr>
            <w:noProof/>
            <w:webHidden/>
          </w:rPr>
          <w:fldChar w:fldCharType="begin"/>
        </w:r>
        <w:r w:rsidR="00087753">
          <w:rPr>
            <w:noProof/>
            <w:webHidden/>
          </w:rPr>
          <w:instrText xml:space="preserve"> PAGEREF _Toc104985318 \h </w:instrText>
        </w:r>
        <w:r w:rsidR="00087753">
          <w:rPr>
            <w:noProof/>
            <w:webHidden/>
          </w:rPr>
        </w:r>
        <w:r w:rsidR="00087753">
          <w:rPr>
            <w:noProof/>
            <w:webHidden/>
          </w:rPr>
          <w:fldChar w:fldCharType="separate"/>
        </w:r>
        <w:r w:rsidR="004870F1">
          <w:rPr>
            <w:noProof/>
            <w:webHidden/>
          </w:rPr>
          <w:t>176</w:t>
        </w:r>
        <w:r w:rsidR="00087753">
          <w:rPr>
            <w:noProof/>
            <w:webHidden/>
          </w:rPr>
          <w:fldChar w:fldCharType="end"/>
        </w:r>
      </w:hyperlink>
    </w:p>
    <w:p w14:paraId="7D3EA2FD" w14:textId="1F743FA0" w:rsidR="00087753" w:rsidRDefault="00536556">
      <w:pPr>
        <w:pStyle w:val="31"/>
        <w:tabs>
          <w:tab w:val="right" w:leader="dot" w:pos="9344"/>
        </w:tabs>
        <w:rPr>
          <w:rFonts w:asciiTheme="minorHAnsi" w:eastAsiaTheme="minorEastAsia" w:hAnsiTheme="minorHAnsi"/>
          <w:noProof/>
          <w:sz w:val="22"/>
          <w:lang w:eastAsia="ru-RU"/>
        </w:rPr>
      </w:pPr>
      <w:hyperlink w:anchor="_Toc104985319" w:history="1">
        <w:r w:rsidR="00087753" w:rsidRPr="00277050">
          <w:rPr>
            <w:rStyle w:val="a7"/>
            <w:noProof/>
          </w:rPr>
          <w:t>5.2.1 Materials and methods</w:t>
        </w:r>
        <w:r w:rsidR="00087753">
          <w:rPr>
            <w:noProof/>
            <w:webHidden/>
          </w:rPr>
          <w:tab/>
        </w:r>
        <w:r w:rsidR="00087753">
          <w:rPr>
            <w:noProof/>
            <w:webHidden/>
          </w:rPr>
          <w:fldChar w:fldCharType="begin"/>
        </w:r>
        <w:r w:rsidR="00087753">
          <w:rPr>
            <w:noProof/>
            <w:webHidden/>
          </w:rPr>
          <w:instrText xml:space="preserve"> PAGEREF _Toc104985319 \h </w:instrText>
        </w:r>
        <w:r w:rsidR="00087753">
          <w:rPr>
            <w:noProof/>
            <w:webHidden/>
          </w:rPr>
        </w:r>
        <w:r w:rsidR="00087753">
          <w:rPr>
            <w:noProof/>
            <w:webHidden/>
          </w:rPr>
          <w:fldChar w:fldCharType="separate"/>
        </w:r>
        <w:r w:rsidR="004870F1">
          <w:rPr>
            <w:noProof/>
            <w:webHidden/>
          </w:rPr>
          <w:t>176</w:t>
        </w:r>
        <w:r w:rsidR="00087753">
          <w:rPr>
            <w:noProof/>
            <w:webHidden/>
          </w:rPr>
          <w:fldChar w:fldCharType="end"/>
        </w:r>
      </w:hyperlink>
    </w:p>
    <w:p w14:paraId="66FFC4A3" w14:textId="7065C4AC" w:rsidR="00087753" w:rsidRDefault="00536556">
      <w:pPr>
        <w:pStyle w:val="41"/>
        <w:tabs>
          <w:tab w:val="right" w:leader="dot" w:pos="9344"/>
        </w:tabs>
        <w:rPr>
          <w:rFonts w:asciiTheme="minorHAnsi" w:eastAsiaTheme="minorEastAsia" w:hAnsiTheme="minorHAnsi"/>
          <w:noProof/>
          <w:sz w:val="22"/>
          <w:lang w:eastAsia="ru-RU"/>
        </w:rPr>
      </w:pPr>
      <w:hyperlink w:anchor="_Toc104985320" w:history="1">
        <w:r w:rsidR="00087753" w:rsidRPr="00277050">
          <w:rPr>
            <w:rStyle w:val="a7"/>
            <w:noProof/>
            <w:lang w:val="en-US"/>
          </w:rPr>
          <w:t>5.2.1.1 Geological, hydrogeological, and geotechnical conditions</w:t>
        </w:r>
        <w:r w:rsidR="00087753">
          <w:rPr>
            <w:noProof/>
            <w:webHidden/>
          </w:rPr>
          <w:tab/>
        </w:r>
        <w:r w:rsidR="00087753">
          <w:rPr>
            <w:noProof/>
            <w:webHidden/>
          </w:rPr>
          <w:fldChar w:fldCharType="begin"/>
        </w:r>
        <w:r w:rsidR="00087753">
          <w:rPr>
            <w:noProof/>
            <w:webHidden/>
          </w:rPr>
          <w:instrText xml:space="preserve"> PAGEREF _Toc104985320 \h </w:instrText>
        </w:r>
        <w:r w:rsidR="00087753">
          <w:rPr>
            <w:noProof/>
            <w:webHidden/>
          </w:rPr>
        </w:r>
        <w:r w:rsidR="00087753">
          <w:rPr>
            <w:noProof/>
            <w:webHidden/>
          </w:rPr>
          <w:fldChar w:fldCharType="separate"/>
        </w:r>
        <w:r w:rsidR="004870F1">
          <w:rPr>
            <w:noProof/>
            <w:webHidden/>
          </w:rPr>
          <w:t>176</w:t>
        </w:r>
        <w:r w:rsidR="00087753">
          <w:rPr>
            <w:noProof/>
            <w:webHidden/>
          </w:rPr>
          <w:fldChar w:fldCharType="end"/>
        </w:r>
      </w:hyperlink>
    </w:p>
    <w:p w14:paraId="7D277D73" w14:textId="56C0692B" w:rsidR="00087753" w:rsidRDefault="00536556">
      <w:pPr>
        <w:pStyle w:val="41"/>
        <w:tabs>
          <w:tab w:val="right" w:leader="dot" w:pos="9344"/>
        </w:tabs>
        <w:rPr>
          <w:rFonts w:asciiTheme="minorHAnsi" w:eastAsiaTheme="minorEastAsia" w:hAnsiTheme="minorHAnsi"/>
          <w:noProof/>
          <w:sz w:val="22"/>
          <w:lang w:eastAsia="ru-RU"/>
        </w:rPr>
      </w:pPr>
      <w:hyperlink w:anchor="_Toc104985321" w:history="1">
        <w:r w:rsidR="00087753" w:rsidRPr="00277050">
          <w:rPr>
            <w:rStyle w:val="a7"/>
            <w:noProof/>
            <w:lang w:val="en-US"/>
          </w:rPr>
          <w:t>5.2.1.2 Design assumptions of the dam and materials used</w:t>
        </w:r>
        <w:r w:rsidR="00087753">
          <w:rPr>
            <w:noProof/>
            <w:webHidden/>
          </w:rPr>
          <w:tab/>
        </w:r>
        <w:r w:rsidR="00087753">
          <w:rPr>
            <w:noProof/>
            <w:webHidden/>
          </w:rPr>
          <w:fldChar w:fldCharType="begin"/>
        </w:r>
        <w:r w:rsidR="00087753">
          <w:rPr>
            <w:noProof/>
            <w:webHidden/>
          </w:rPr>
          <w:instrText xml:space="preserve"> PAGEREF _Toc104985321 \h </w:instrText>
        </w:r>
        <w:r w:rsidR="00087753">
          <w:rPr>
            <w:noProof/>
            <w:webHidden/>
          </w:rPr>
        </w:r>
        <w:r w:rsidR="00087753">
          <w:rPr>
            <w:noProof/>
            <w:webHidden/>
          </w:rPr>
          <w:fldChar w:fldCharType="separate"/>
        </w:r>
        <w:r w:rsidR="004870F1">
          <w:rPr>
            <w:noProof/>
            <w:webHidden/>
          </w:rPr>
          <w:t>177</w:t>
        </w:r>
        <w:r w:rsidR="00087753">
          <w:rPr>
            <w:noProof/>
            <w:webHidden/>
          </w:rPr>
          <w:fldChar w:fldCharType="end"/>
        </w:r>
      </w:hyperlink>
    </w:p>
    <w:p w14:paraId="6F04959E" w14:textId="53582851" w:rsidR="00087753" w:rsidRDefault="00536556">
      <w:pPr>
        <w:pStyle w:val="41"/>
        <w:tabs>
          <w:tab w:val="right" w:leader="dot" w:pos="9344"/>
        </w:tabs>
        <w:rPr>
          <w:rFonts w:asciiTheme="minorHAnsi" w:eastAsiaTheme="minorEastAsia" w:hAnsiTheme="minorHAnsi"/>
          <w:noProof/>
          <w:sz w:val="22"/>
          <w:lang w:eastAsia="ru-RU"/>
        </w:rPr>
      </w:pPr>
      <w:hyperlink w:anchor="_Toc104985322" w:history="1">
        <w:r w:rsidR="00087753" w:rsidRPr="00277050">
          <w:rPr>
            <w:rStyle w:val="a7"/>
            <w:noProof/>
            <w:lang w:val="en-US"/>
          </w:rPr>
          <w:t>5.2.1.3 The embankment geometry and soil characteristics</w:t>
        </w:r>
        <w:r w:rsidR="00087753">
          <w:rPr>
            <w:noProof/>
            <w:webHidden/>
          </w:rPr>
          <w:tab/>
        </w:r>
        <w:r w:rsidR="00087753">
          <w:rPr>
            <w:noProof/>
            <w:webHidden/>
          </w:rPr>
          <w:fldChar w:fldCharType="begin"/>
        </w:r>
        <w:r w:rsidR="00087753">
          <w:rPr>
            <w:noProof/>
            <w:webHidden/>
          </w:rPr>
          <w:instrText xml:space="preserve"> PAGEREF _Toc104985322 \h </w:instrText>
        </w:r>
        <w:r w:rsidR="00087753">
          <w:rPr>
            <w:noProof/>
            <w:webHidden/>
          </w:rPr>
        </w:r>
        <w:r w:rsidR="00087753">
          <w:rPr>
            <w:noProof/>
            <w:webHidden/>
          </w:rPr>
          <w:fldChar w:fldCharType="separate"/>
        </w:r>
        <w:r w:rsidR="004870F1">
          <w:rPr>
            <w:noProof/>
            <w:webHidden/>
          </w:rPr>
          <w:t>177</w:t>
        </w:r>
        <w:r w:rsidR="00087753">
          <w:rPr>
            <w:noProof/>
            <w:webHidden/>
          </w:rPr>
          <w:fldChar w:fldCharType="end"/>
        </w:r>
      </w:hyperlink>
    </w:p>
    <w:p w14:paraId="1DECBD85" w14:textId="09CE0CF8" w:rsidR="00087753" w:rsidRDefault="00536556">
      <w:pPr>
        <w:pStyle w:val="41"/>
        <w:tabs>
          <w:tab w:val="right" w:leader="dot" w:pos="9344"/>
        </w:tabs>
        <w:rPr>
          <w:rFonts w:asciiTheme="minorHAnsi" w:eastAsiaTheme="minorEastAsia" w:hAnsiTheme="minorHAnsi"/>
          <w:noProof/>
          <w:sz w:val="22"/>
          <w:lang w:eastAsia="ru-RU"/>
        </w:rPr>
      </w:pPr>
      <w:hyperlink w:anchor="_Toc104985323" w:history="1">
        <w:r w:rsidR="00087753" w:rsidRPr="00277050">
          <w:rPr>
            <w:rStyle w:val="a7"/>
            <w:noProof/>
            <w:lang w:val="en-US"/>
          </w:rPr>
          <w:t>5.2.1.4 General modeling process</w:t>
        </w:r>
        <w:r w:rsidR="00087753">
          <w:rPr>
            <w:noProof/>
            <w:webHidden/>
          </w:rPr>
          <w:tab/>
        </w:r>
        <w:r w:rsidR="00087753">
          <w:rPr>
            <w:noProof/>
            <w:webHidden/>
          </w:rPr>
          <w:fldChar w:fldCharType="begin"/>
        </w:r>
        <w:r w:rsidR="00087753">
          <w:rPr>
            <w:noProof/>
            <w:webHidden/>
          </w:rPr>
          <w:instrText xml:space="preserve"> PAGEREF _Toc104985323 \h </w:instrText>
        </w:r>
        <w:r w:rsidR="00087753">
          <w:rPr>
            <w:noProof/>
            <w:webHidden/>
          </w:rPr>
        </w:r>
        <w:r w:rsidR="00087753">
          <w:rPr>
            <w:noProof/>
            <w:webHidden/>
          </w:rPr>
          <w:fldChar w:fldCharType="separate"/>
        </w:r>
        <w:r w:rsidR="004870F1">
          <w:rPr>
            <w:noProof/>
            <w:webHidden/>
          </w:rPr>
          <w:t>179</w:t>
        </w:r>
        <w:r w:rsidR="00087753">
          <w:rPr>
            <w:noProof/>
            <w:webHidden/>
          </w:rPr>
          <w:fldChar w:fldCharType="end"/>
        </w:r>
      </w:hyperlink>
    </w:p>
    <w:p w14:paraId="1E2F592E" w14:textId="292FE206" w:rsidR="00087753" w:rsidRDefault="00536556">
      <w:pPr>
        <w:pStyle w:val="41"/>
        <w:tabs>
          <w:tab w:val="right" w:leader="dot" w:pos="9344"/>
        </w:tabs>
        <w:rPr>
          <w:rFonts w:asciiTheme="minorHAnsi" w:eastAsiaTheme="minorEastAsia" w:hAnsiTheme="minorHAnsi"/>
          <w:noProof/>
          <w:sz w:val="22"/>
          <w:lang w:eastAsia="ru-RU"/>
        </w:rPr>
      </w:pPr>
      <w:hyperlink w:anchor="_Toc104985324" w:history="1">
        <w:r w:rsidR="00087753" w:rsidRPr="00277050">
          <w:rPr>
            <w:rStyle w:val="a7"/>
            <w:noProof/>
            <w:lang w:val="en-US"/>
          </w:rPr>
          <w:t>5.2.1.5 Embankment seepage analysis</w:t>
        </w:r>
        <w:r w:rsidR="00087753">
          <w:rPr>
            <w:noProof/>
            <w:webHidden/>
          </w:rPr>
          <w:tab/>
        </w:r>
        <w:r w:rsidR="00087753">
          <w:rPr>
            <w:noProof/>
            <w:webHidden/>
          </w:rPr>
          <w:fldChar w:fldCharType="begin"/>
        </w:r>
        <w:r w:rsidR="00087753">
          <w:rPr>
            <w:noProof/>
            <w:webHidden/>
          </w:rPr>
          <w:instrText xml:space="preserve"> PAGEREF _Toc104985324 \h </w:instrText>
        </w:r>
        <w:r w:rsidR="00087753">
          <w:rPr>
            <w:noProof/>
            <w:webHidden/>
          </w:rPr>
        </w:r>
        <w:r w:rsidR="00087753">
          <w:rPr>
            <w:noProof/>
            <w:webHidden/>
          </w:rPr>
          <w:fldChar w:fldCharType="separate"/>
        </w:r>
        <w:r w:rsidR="004870F1">
          <w:rPr>
            <w:noProof/>
            <w:webHidden/>
          </w:rPr>
          <w:t>179</w:t>
        </w:r>
        <w:r w:rsidR="00087753">
          <w:rPr>
            <w:noProof/>
            <w:webHidden/>
          </w:rPr>
          <w:fldChar w:fldCharType="end"/>
        </w:r>
      </w:hyperlink>
    </w:p>
    <w:p w14:paraId="197D0697" w14:textId="43C03460" w:rsidR="00087753" w:rsidRDefault="00536556">
      <w:pPr>
        <w:pStyle w:val="41"/>
        <w:tabs>
          <w:tab w:val="right" w:leader="dot" w:pos="9344"/>
        </w:tabs>
        <w:rPr>
          <w:rFonts w:asciiTheme="minorHAnsi" w:eastAsiaTheme="minorEastAsia" w:hAnsiTheme="minorHAnsi"/>
          <w:noProof/>
          <w:sz w:val="22"/>
          <w:lang w:eastAsia="ru-RU"/>
        </w:rPr>
      </w:pPr>
      <w:hyperlink w:anchor="_Toc104985325" w:history="1">
        <w:r w:rsidR="00087753" w:rsidRPr="00277050">
          <w:rPr>
            <w:rStyle w:val="a7"/>
            <w:noProof/>
            <w:lang w:val="en-US"/>
          </w:rPr>
          <w:t>5.2.1.6 Slope stability analysis</w:t>
        </w:r>
        <w:r w:rsidR="00087753">
          <w:rPr>
            <w:noProof/>
            <w:webHidden/>
          </w:rPr>
          <w:tab/>
        </w:r>
        <w:r w:rsidR="00087753">
          <w:rPr>
            <w:noProof/>
            <w:webHidden/>
          </w:rPr>
          <w:fldChar w:fldCharType="begin"/>
        </w:r>
        <w:r w:rsidR="00087753">
          <w:rPr>
            <w:noProof/>
            <w:webHidden/>
          </w:rPr>
          <w:instrText xml:space="preserve"> PAGEREF _Toc104985325 \h </w:instrText>
        </w:r>
        <w:r w:rsidR="00087753">
          <w:rPr>
            <w:noProof/>
            <w:webHidden/>
          </w:rPr>
        </w:r>
        <w:r w:rsidR="00087753">
          <w:rPr>
            <w:noProof/>
            <w:webHidden/>
          </w:rPr>
          <w:fldChar w:fldCharType="separate"/>
        </w:r>
        <w:r w:rsidR="004870F1">
          <w:rPr>
            <w:noProof/>
            <w:webHidden/>
          </w:rPr>
          <w:t>180</w:t>
        </w:r>
        <w:r w:rsidR="00087753">
          <w:rPr>
            <w:noProof/>
            <w:webHidden/>
          </w:rPr>
          <w:fldChar w:fldCharType="end"/>
        </w:r>
      </w:hyperlink>
    </w:p>
    <w:p w14:paraId="6C729044" w14:textId="60EBF90D" w:rsidR="00087753" w:rsidRDefault="00536556">
      <w:pPr>
        <w:pStyle w:val="31"/>
        <w:tabs>
          <w:tab w:val="right" w:leader="dot" w:pos="9344"/>
        </w:tabs>
        <w:rPr>
          <w:rFonts w:asciiTheme="minorHAnsi" w:eastAsiaTheme="minorEastAsia" w:hAnsiTheme="minorHAnsi"/>
          <w:noProof/>
          <w:sz w:val="22"/>
          <w:lang w:eastAsia="ru-RU"/>
        </w:rPr>
      </w:pPr>
      <w:hyperlink w:anchor="_Toc104985326" w:history="1">
        <w:r w:rsidR="00087753" w:rsidRPr="00277050">
          <w:rPr>
            <w:rStyle w:val="a7"/>
            <w:rFonts w:eastAsia="Times New Roman"/>
            <w:noProof/>
            <w:lang w:val="en-GB" w:eastAsia="pl-PL"/>
          </w:rPr>
          <w:t>5.2.2 Results and discussion</w:t>
        </w:r>
        <w:r w:rsidR="00087753">
          <w:rPr>
            <w:noProof/>
            <w:webHidden/>
          </w:rPr>
          <w:tab/>
        </w:r>
        <w:r w:rsidR="00087753">
          <w:rPr>
            <w:noProof/>
            <w:webHidden/>
          </w:rPr>
          <w:fldChar w:fldCharType="begin"/>
        </w:r>
        <w:r w:rsidR="00087753">
          <w:rPr>
            <w:noProof/>
            <w:webHidden/>
          </w:rPr>
          <w:instrText xml:space="preserve"> PAGEREF _Toc104985326 \h </w:instrText>
        </w:r>
        <w:r w:rsidR="00087753">
          <w:rPr>
            <w:noProof/>
            <w:webHidden/>
          </w:rPr>
        </w:r>
        <w:r w:rsidR="00087753">
          <w:rPr>
            <w:noProof/>
            <w:webHidden/>
          </w:rPr>
          <w:fldChar w:fldCharType="separate"/>
        </w:r>
        <w:r w:rsidR="004870F1">
          <w:rPr>
            <w:noProof/>
            <w:webHidden/>
          </w:rPr>
          <w:t>181</w:t>
        </w:r>
        <w:r w:rsidR="00087753">
          <w:rPr>
            <w:noProof/>
            <w:webHidden/>
          </w:rPr>
          <w:fldChar w:fldCharType="end"/>
        </w:r>
      </w:hyperlink>
    </w:p>
    <w:p w14:paraId="02157080" w14:textId="3ACEAD00" w:rsidR="00087753" w:rsidRDefault="00536556">
      <w:pPr>
        <w:pStyle w:val="41"/>
        <w:tabs>
          <w:tab w:val="right" w:leader="dot" w:pos="9344"/>
        </w:tabs>
        <w:rPr>
          <w:rFonts w:asciiTheme="minorHAnsi" w:eastAsiaTheme="minorEastAsia" w:hAnsiTheme="minorHAnsi"/>
          <w:noProof/>
          <w:sz w:val="22"/>
          <w:lang w:eastAsia="ru-RU"/>
        </w:rPr>
      </w:pPr>
      <w:hyperlink w:anchor="_Toc104985327" w:history="1">
        <w:r w:rsidR="00087753" w:rsidRPr="00277050">
          <w:rPr>
            <w:rStyle w:val="a7"/>
            <w:noProof/>
            <w:lang w:val="en-GB" w:eastAsia="pl-PL"/>
          </w:rPr>
          <w:t>5.2.2.1 At the normal operating level</w:t>
        </w:r>
        <w:r w:rsidR="00087753">
          <w:rPr>
            <w:noProof/>
            <w:webHidden/>
          </w:rPr>
          <w:tab/>
        </w:r>
        <w:r w:rsidR="00087753">
          <w:rPr>
            <w:noProof/>
            <w:webHidden/>
          </w:rPr>
          <w:fldChar w:fldCharType="begin"/>
        </w:r>
        <w:r w:rsidR="00087753">
          <w:rPr>
            <w:noProof/>
            <w:webHidden/>
          </w:rPr>
          <w:instrText xml:space="preserve"> PAGEREF _Toc104985327 \h </w:instrText>
        </w:r>
        <w:r w:rsidR="00087753">
          <w:rPr>
            <w:noProof/>
            <w:webHidden/>
          </w:rPr>
        </w:r>
        <w:r w:rsidR="00087753">
          <w:rPr>
            <w:noProof/>
            <w:webHidden/>
          </w:rPr>
          <w:fldChar w:fldCharType="separate"/>
        </w:r>
        <w:r w:rsidR="004870F1">
          <w:rPr>
            <w:noProof/>
            <w:webHidden/>
          </w:rPr>
          <w:t>181</w:t>
        </w:r>
        <w:r w:rsidR="00087753">
          <w:rPr>
            <w:noProof/>
            <w:webHidden/>
          </w:rPr>
          <w:fldChar w:fldCharType="end"/>
        </w:r>
      </w:hyperlink>
    </w:p>
    <w:p w14:paraId="0B899247" w14:textId="2A7A45E2" w:rsidR="00087753" w:rsidRDefault="00536556">
      <w:pPr>
        <w:pStyle w:val="51"/>
        <w:tabs>
          <w:tab w:val="right" w:leader="dot" w:pos="9344"/>
        </w:tabs>
        <w:rPr>
          <w:rFonts w:asciiTheme="minorHAnsi" w:eastAsiaTheme="minorEastAsia" w:hAnsiTheme="minorHAnsi"/>
          <w:noProof/>
          <w:sz w:val="22"/>
          <w:lang w:eastAsia="ru-RU"/>
        </w:rPr>
      </w:pPr>
      <w:hyperlink w:anchor="_Toc104985328" w:history="1">
        <w:r w:rsidR="00087753" w:rsidRPr="00277050">
          <w:rPr>
            <w:rStyle w:val="a7"/>
            <w:rFonts w:eastAsia="Times New Roman"/>
            <w:noProof/>
            <w:lang w:val="en-GB" w:eastAsia="pl-PL"/>
          </w:rPr>
          <w:t>5.2.2.1.1 Seepage analysis</w:t>
        </w:r>
        <w:r w:rsidR="00087753">
          <w:rPr>
            <w:noProof/>
            <w:webHidden/>
          </w:rPr>
          <w:tab/>
        </w:r>
        <w:r w:rsidR="00087753">
          <w:rPr>
            <w:noProof/>
            <w:webHidden/>
          </w:rPr>
          <w:fldChar w:fldCharType="begin"/>
        </w:r>
        <w:r w:rsidR="00087753">
          <w:rPr>
            <w:noProof/>
            <w:webHidden/>
          </w:rPr>
          <w:instrText xml:space="preserve"> PAGEREF _Toc104985328 \h </w:instrText>
        </w:r>
        <w:r w:rsidR="00087753">
          <w:rPr>
            <w:noProof/>
            <w:webHidden/>
          </w:rPr>
        </w:r>
        <w:r w:rsidR="00087753">
          <w:rPr>
            <w:noProof/>
            <w:webHidden/>
          </w:rPr>
          <w:fldChar w:fldCharType="separate"/>
        </w:r>
        <w:r w:rsidR="004870F1">
          <w:rPr>
            <w:noProof/>
            <w:webHidden/>
          </w:rPr>
          <w:t>181</w:t>
        </w:r>
        <w:r w:rsidR="00087753">
          <w:rPr>
            <w:noProof/>
            <w:webHidden/>
          </w:rPr>
          <w:fldChar w:fldCharType="end"/>
        </w:r>
      </w:hyperlink>
    </w:p>
    <w:p w14:paraId="37BD74FA" w14:textId="046CD56B" w:rsidR="00087753" w:rsidRDefault="00536556">
      <w:pPr>
        <w:pStyle w:val="51"/>
        <w:tabs>
          <w:tab w:val="right" w:leader="dot" w:pos="9344"/>
        </w:tabs>
        <w:rPr>
          <w:rFonts w:asciiTheme="minorHAnsi" w:eastAsiaTheme="minorEastAsia" w:hAnsiTheme="minorHAnsi"/>
          <w:noProof/>
          <w:sz w:val="22"/>
          <w:lang w:eastAsia="ru-RU"/>
        </w:rPr>
      </w:pPr>
      <w:hyperlink w:anchor="_Toc104985329" w:history="1">
        <w:r w:rsidR="00087753" w:rsidRPr="00277050">
          <w:rPr>
            <w:rStyle w:val="a7"/>
            <w:rFonts w:eastAsia="Times New Roman"/>
            <w:noProof/>
            <w:lang w:val="en-GB" w:eastAsia="pl-PL"/>
          </w:rPr>
          <w:t>5.2.2.1.2 Slope stability analysis</w:t>
        </w:r>
        <w:r w:rsidR="00087753">
          <w:rPr>
            <w:noProof/>
            <w:webHidden/>
          </w:rPr>
          <w:tab/>
        </w:r>
        <w:r w:rsidR="00087753">
          <w:rPr>
            <w:noProof/>
            <w:webHidden/>
          </w:rPr>
          <w:fldChar w:fldCharType="begin"/>
        </w:r>
        <w:r w:rsidR="00087753">
          <w:rPr>
            <w:noProof/>
            <w:webHidden/>
          </w:rPr>
          <w:instrText xml:space="preserve"> PAGEREF _Toc104985329 \h </w:instrText>
        </w:r>
        <w:r w:rsidR="00087753">
          <w:rPr>
            <w:noProof/>
            <w:webHidden/>
          </w:rPr>
        </w:r>
        <w:r w:rsidR="00087753">
          <w:rPr>
            <w:noProof/>
            <w:webHidden/>
          </w:rPr>
          <w:fldChar w:fldCharType="separate"/>
        </w:r>
        <w:r w:rsidR="004870F1">
          <w:rPr>
            <w:noProof/>
            <w:webHidden/>
          </w:rPr>
          <w:t>183</w:t>
        </w:r>
        <w:r w:rsidR="00087753">
          <w:rPr>
            <w:noProof/>
            <w:webHidden/>
          </w:rPr>
          <w:fldChar w:fldCharType="end"/>
        </w:r>
      </w:hyperlink>
    </w:p>
    <w:p w14:paraId="7A3D7AB7" w14:textId="732FD325" w:rsidR="00087753" w:rsidRDefault="00536556">
      <w:pPr>
        <w:pStyle w:val="51"/>
        <w:tabs>
          <w:tab w:val="right" w:leader="dot" w:pos="9344"/>
        </w:tabs>
        <w:rPr>
          <w:rFonts w:asciiTheme="minorHAnsi" w:eastAsiaTheme="minorEastAsia" w:hAnsiTheme="minorHAnsi"/>
          <w:noProof/>
          <w:sz w:val="22"/>
          <w:lang w:eastAsia="ru-RU"/>
        </w:rPr>
      </w:pPr>
      <w:hyperlink w:anchor="_Toc104985330" w:history="1">
        <w:r w:rsidR="00087753" w:rsidRPr="00277050">
          <w:rPr>
            <w:rStyle w:val="a7"/>
            <w:rFonts w:eastAsia="Times New Roman"/>
            <w:noProof/>
            <w:lang w:val="en-GB" w:eastAsia="pl-PL"/>
          </w:rPr>
          <w:t>5.2.2.1.3 Analysis of variance (ANOVA) under normal operating reservoir level and 1 m per day drawdown rate</w:t>
        </w:r>
        <w:r w:rsidR="00087753">
          <w:rPr>
            <w:noProof/>
            <w:webHidden/>
          </w:rPr>
          <w:tab/>
        </w:r>
        <w:r w:rsidR="00087753">
          <w:rPr>
            <w:noProof/>
            <w:webHidden/>
          </w:rPr>
          <w:fldChar w:fldCharType="begin"/>
        </w:r>
        <w:r w:rsidR="00087753">
          <w:rPr>
            <w:noProof/>
            <w:webHidden/>
          </w:rPr>
          <w:instrText xml:space="preserve"> PAGEREF _Toc104985330 \h </w:instrText>
        </w:r>
        <w:r w:rsidR="00087753">
          <w:rPr>
            <w:noProof/>
            <w:webHidden/>
          </w:rPr>
        </w:r>
        <w:r w:rsidR="00087753">
          <w:rPr>
            <w:noProof/>
            <w:webHidden/>
          </w:rPr>
          <w:fldChar w:fldCharType="separate"/>
        </w:r>
        <w:r w:rsidR="004870F1">
          <w:rPr>
            <w:noProof/>
            <w:webHidden/>
          </w:rPr>
          <w:t>190</w:t>
        </w:r>
        <w:r w:rsidR="00087753">
          <w:rPr>
            <w:noProof/>
            <w:webHidden/>
          </w:rPr>
          <w:fldChar w:fldCharType="end"/>
        </w:r>
      </w:hyperlink>
    </w:p>
    <w:p w14:paraId="2399C295" w14:textId="5A17A0E2" w:rsidR="00087753" w:rsidRDefault="00536556">
      <w:pPr>
        <w:pStyle w:val="41"/>
        <w:tabs>
          <w:tab w:val="right" w:leader="dot" w:pos="9344"/>
        </w:tabs>
        <w:rPr>
          <w:rFonts w:asciiTheme="minorHAnsi" w:eastAsiaTheme="minorEastAsia" w:hAnsiTheme="minorHAnsi"/>
          <w:noProof/>
          <w:sz w:val="22"/>
          <w:lang w:eastAsia="ru-RU"/>
        </w:rPr>
      </w:pPr>
      <w:hyperlink w:anchor="_Toc104985331" w:history="1">
        <w:r w:rsidR="00087753" w:rsidRPr="00277050">
          <w:rPr>
            <w:rStyle w:val="a7"/>
            <w:noProof/>
            <w:lang w:val="en-US"/>
          </w:rPr>
          <w:t>5.2.2.2 At the reduced operating level</w:t>
        </w:r>
        <w:r w:rsidR="00087753">
          <w:rPr>
            <w:noProof/>
            <w:webHidden/>
          </w:rPr>
          <w:tab/>
        </w:r>
        <w:r w:rsidR="00087753">
          <w:rPr>
            <w:noProof/>
            <w:webHidden/>
          </w:rPr>
          <w:fldChar w:fldCharType="begin"/>
        </w:r>
        <w:r w:rsidR="00087753">
          <w:rPr>
            <w:noProof/>
            <w:webHidden/>
          </w:rPr>
          <w:instrText xml:space="preserve"> PAGEREF _Toc104985331 \h </w:instrText>
        </w:r>
        <w:r w:rsidR="00087753">
          <w:rPr>
            <w:noProof/>
            <w:webHidden/>
          </w:rPr>
        </w:r>
        <w:r w:rsidR="00087753">
          <w:rPr>
            <w:noProof/>
            <w:webHidden/>
          </w:rPr>
          <w:fldChar w:fldCharType="separate"/>
        </w:r>
        <w:r w:rsidR="004870F1">
          <w:rPr>
            <w:noProof/>
            <w:webHidden/>
          </w:rPr>
          <w:t>192</w:t>
        </w:r>
        <w:r w:rsidR="00087753">
          <w:rPr>
            <w:noProof/>
            <w:webHidden/>
          </w:rPr>
          <w:fldChar w:fldCharType="end"/>
        </w:r>
      </w:hyperlink>
    </w:p>
    <w:p w14:paraId="5CCA8A98" w14:textId="7847E6FD" w:rsidR="00087753" w:rsidRDefault="00536556">
      <w:pPr>
        <w:pStyle w:val="51"/>
        <w:tabs>
          <w:tab w:val="right" w:leader="dot" w:pos="9344"/>
        </w:tabs>
        <w:rPr>
          <w:rFonts w:asciiTheme="minorHAnsi" w:eastAsiaTheme="minorEastAsia" w:hAnsiTheme="minorHAnsi"/>
          <w:noProof/>
          <w:sz w:val="22"/>
          <w:lang w:eastAsia="ru-RU"/>
        </w:rPr>
      </w:pPr>
      <w:hyperlink w:anchor="_Toc104985332" w:history="1">
        <w:r w:rsidR="00087753" w:rsidRPr="00277050">
          <w:rPr>
            <w:rStyle w:val="a7"/>
            <w:noProof/>
            <w:lang w:bidi="en-US"/>
          </w:rPr>
          <w:t>5.2.2.2.1 Seepage analysis</w:t>
        </w:r>
        <w:r w:rsidR="00087753">
          <w:rPr>
            <w:noProof/>
            <w:webHidden/>
          </w:rPr>
          <w:tab/>
        </w:r>
        <w:r w:rsidR="00087753">
          <w:rPr>
            <w:noProof/>
            <w:webHidden/>
          </w:rPr>
          <w:fldChar w:fldCharType="begin"/>
        </w:r>
        <w:r w:rsidR="00087753">
          <w:rPr>
            <w:noProof/>
            <w:webHidden/>
          </w:rPr>
          <w:instrText xml:space="preserve"> PAGEREF _Toc104985332 \h </w:instrText>
        </w:r>
        <w:r w:rsidR="00087753">
          <w:rPr>
            <w:noProof/>
            <w:webHidden/>
          </w:rPr>
        </w:r>
        <w:r w:rsidR="00087753">
          <w:rPr>
            <w:noProof/>
            <w:webHidden/>
          </w:rPr>
          <w:fldChar w:fldCharType="separate"/>
        </w:r>
        <w:r w:rsidR="004870F1">
          <w:rPr>
            <w:noProof/>
            <w:webHidden/>
          </w:rPr>
          <w:t>192</w:t>
        </w:r>
        <w:r w:rsidR="00087753">
          <w:rPr>
            <w:noProof/>
            <w:webHidden/>
          </w:rPr>
          <w:fldChar w:fldCharType="end"/>
        </w:r>
      </w:hyperlink>
    </w:p>
    <w:p w14:paraId="6133D976" w14:textId="268B9087" w:rsidR="00087753" w:rsidRDefault="00536556">
      <w:pPr>
        <w:pStyle w:val="51"/>
        <w:tabs>
          <w:tab w:val="right" w:leader="dot" w:pos="9344"/>
        </w:tabs>
        <w:rPr>
          <w:rFonts w:asciiTheme="minorHAnsi" w:eastAsiaTheme="minorEastAsia" w:hAnsiTheme="minorHAnsi"/>
          <w:noProof/>
          <w:sz w:val="22"/>
          <w:lang w:eastAsia="ru-RU"/>
        </w:rPr>
      </w:pPr>
      <w:hyperlink w:anchor="_Toc104985333" w:history="1">
        <w:r w:rsidR="00087753" w:rsidRPr="00277050">
          <w:rPr>
            <w:rStyle w:val="a7"/>
            <w:noProof/>
            <w:lang w:bidi="en-US"/>
          </w:rPr>
          <w:t>5.2.2.2.2 Slope stability</w:t>
        </w:r>
        <w:r w:rsidR="00087753">
          <w:rPr>
            <w:noProof/>
            <w:webHidden/>
          </w:rPr>
          <w:tab/>
        </w:r>
        <w:r w:rsidR="00087753">
          <w:rPr>
            <w:noProof/>
            <w:webHidden/>
          </w:rPr>
          <w:fldChar w:fldCharType="begin"/>
        </w:r>
        <w:r w:rsidR="00087753">
          <w:rPr>
            <w:noProof/>
            <w:webHidden/>
          </w:rPr>
          <w:instrText xml:space="preserve"> PAGEREF _Toc104985333 \h </w:instrText>
        </w:r>
        <w:r w:rsidR="00087753">
          <w:rPr>
            <w:noProof/>
            <w:webHidden/>
          </w:rPr>
        </w:r>
        <w:r w:rsidR="00087753">
          <w:rPr>
            <w:noProof/>
            <w:webHidden/>
          </w:rPr>
          <w:fldChar w:fldCharType="separate"/>
        </w:r>
        <w:r w:rsidR="004870F1">
          <w:rPr>
            <w:noProof/>
            <w:webHidden/>
          </w:rPr>
          <w:t>195</w:t>
        </w:r>
        <w:r w:rsidR="00087753">
          <w:rPr>
            <w:noProof/>
            <w:webHidden/>
          </w:rPr>
          <w:fldChar w:fldCharType="end"/>
        </w:r>
      </w:hyperlink>
    </w:p>
    <w:p w14:paraId="1D2A6174" w14:textId="1A5A176F" w:rsidR="00087753" w:rsidRDefault="00536556">
      <w:pPr>
        <w:pStyle w:val="41"/>
        <w:tabs>
          <w:tab w:val="right" w:leader="dot" w:pos="9344"/>
        </w:tabs>
        <w:rPr>
          <w:rFonts w:asciiTheme="minorHAnsi" w:eastAsiaTheme="minorEastAsia" w:hAnsiTheme="minorHAnsi"/>
          <w:noProof/>
          <w:sz w:val="22"/>
          <w:lang w:eastAsia="ru-RU"/>
        </w:rPr>
      </w:pPr>
      <w:hyperlink w:anchor="_Toc104985334" w:history="1">
        <w:r w:rsidR="00087753" w:rsidRPr="00277050">
          <w:rPr>
            <w:rStyle w:val="a7"/>
            <w:noProof/>
          </w:rPr>
          <w:t>5.2.2.3 At embankment height</w:t>
        </w:r>
        <w:r w:rsidR="00087753">
          <w:rPr>
            <w:noProof/>
            <w:webHidden/>
          </w:rPr>
          <w:tab/>
        </w:r>
        <w:r w:rsidR="00087753">
          <w:rPr>
            <w:noProof/>
            <w:webHidden/>
          </w:rPr>
          <w:fldChar w:fldCharType="begin"/>
        </w:r>
        <w:r w:rsidR="00087753">
          <w:rPr>
            <w:noProof/>
            <w:webHidden/>
          </w:rPr>
          <w:instrText xml:space="preserve"> PAGEREF _Toc104985334 \h </w:instrText>
        </w:r>
        <w:r w:rsidR="00087753">
          <w:rPr>
            <w:noProof/>
            <w:webHidden/>
          </w:rPr>
        </w:r>
        <w:r w:rsidR="00087753">
          <w:rPr>
            <w:noProof/>
            <w:webHidden/>
          </w:rPr>
          <w:fldChar w:fldCharType="separate"/>
        </w:r>
        <w:r w:rsidR="004870F1">
          <w:rPr>
            <w:noProof/>
            <w:webHidden/>
          </w:rPr>
          <w:t>198</w:t>
        </w:r>
        <w:r w:rsidR="00087753">
          <w:rPr>
            <w:noProof/>
            <w:webHidden/>
          </w:rPr>
          <w:fldChar w:fldCharType="end"/>
        </w:r>
      </w:hyperlink>
    </w:p>
    <w:p w14:paraId="7DE973F5" w14:textId="2DFA2532" w:rsidR="00087753" w:rsidRDefault="00536556">
      <w:pPr>
        <w:pStyle w:val="51"/>
        <w:tabs>
          <w:tab w:val="right" w:leader="dot" w:pos="9344"/>
        </w:tabs>
        <w:rPr>
          <w:rFonts w:asciiTheme="minorHAnsi" w:eastAsiaTheme="minorEastAsia" w:hAnsiTheme="minorHAnsi"/>
          <w:noProof/>
          <w:sz w:val="22"/>
          <w:lang w:eastAsia="ru-RU"/>
        </w:rPr>
      </w:pPr>
      <w:hyperlink w:anchor="_Toc104985335" w:history="1">
        <w:r w:rsidR="00087753" w:rsidRPr="00277050">
          <w:rPr>
            <w:rStyle w:val="a7"/>
            <w:noProof/>
            <w:lang w:val="en-GB" w:eastAsia="pl-PL"/>
          </w:rPr>
          <w:t>5.2.2.3.1 Seepage analysis</w:t>
        </w:r>
        <w:r w:rsidR="00087753">
          <w:rPr>
            <w:noProof/>
            <w:webHidden/>
          </w:rPr>
          <w:tab/>
        </w:r>
        <w:r w:rsidR="00087753">
          <w:rPr>
            <w:noProof/>
            <w:webHidden/>
          </w:rPr>
          <w:fldChar w:fldCharType="begin"/>
        </w:r>
        <w:r w:rsidR="00087753">
          <w:rPr>
            <w:noProof/>
            <w:webHidden/>
          </w:rPr>
          <w:instrText xml:space="preserve"> PAGEREF _Toc104985335 \h </w:instrText>
        </w:r>
        <w:r w:rsidR="00087753">
          <w:rPr>
            <w:noProof/>
            <w:webHidden/>
          </w:rPr>
        </w:r>
        <w:r w:rsidR="00087753">
          <w:rPr>
            <w:noProof/>
            <w:webHidden/>
          </w:rPr>
          <w:fldChar w:fldCharType="separate"/>
        </w:r>
        <w:r w:rsidR="004870F1">
          <w:rPr>
            <w:noProof/>
            <w:webHidden/>
          </w:rPr>
          <w:t>198</w:t>
        </w:r>
        <w:r w:rsidR="00087753">
          <w:rPr>
            <w:noProof/>
            <w:webHidden/>
          </w:rPr>
          <w:fldChar w:fldCharType="end"/>
        </w:r>
      </w:hyperlink>
    </w:p>
    <w:p w14:paraId="00126F86" w14:textId="55D79874" w:rsidR="00087753" w:rsidRDefault="00536556">
      <w:pPr>
        <w:pStyle w:val="51"/>
        <w:tabs>
          <w:tab w:val="right" w:leader="dot" w:pos="9344"/>
        </w:tabs>
        <w:rPr>
          <w:rFonts w:asciiTheme="minorHAnsi" w:eastAsiaTheme="minorEastAsia" w:hAnsiTheme="minorHAnsi"/>
          <w:noProof/>
          <w:sz w:val="22"/>
          <w:lang w:eastAsia="ru-RU"/>
        </w:rPr>
      </w:pPr>
      <w:hyperlink w:anchor="_Toc104985336" w:history="1">
        <w:r w:rsidR="00087753" w:rsidRPr="00277050">
          <w:rPr>
            <w:rStyle w:val="a7"/>
            <w:noProof/>
            <w:lang w:val="en-GB" w:eastAsia="pl-PL"/>
          </w:rPr>
          <w:t>5.2.2.3.2 Slope stability</w:t>
        </w:r>
        <w:r w:rsidR="00087753">
          <w:rPr>
            <w:noProof/>
            <w:webHidden/>
          </w:rPr>
          <w:tab/>
        </w:r>
        <w:r w:rsidR="00087753">
          <w:rPr>
            <w:noProof/>
            <w:webHidden/>
          </w:rPr>
          <w:fldChar w:fldCharType="begin"/>
        </w:r>
        <w:r w:rsidR="00087753">
          <w:rPr>
            <w:noProof/>
            <w:webHidden/>
          </w:rPr>
          <w:instrText xml:space="preserve"> PAGEREF _Toc104985336 \h </w:instrText>
        </w:r>
        <w:r w:rsidR="00087753">
          <w:rPr>
            <w:noProof/>
            <w:webHidden/>
          </w:rPr>
        </w:r>
        <w:r w:rsidR="00087753">
          <w:rPr>
            <w:noProof/>
            <w:webHidden/>
          </w:rPr>
          <w:fldChar w:fldCharType="separate"/>
        </w:r>
        <w:r w:rsidR="004870F1">
          <w:rPr>
            <w:noProof/>
            <w:webHidden/>
          </w:rPr>
          <w:t>201</w:t>
        </w:r>
        <w:r w:rsidR="00087753">
          <w:rPr>
            <w:noProof/>
            <w:webHidden/>
          </w:rPr>
          <w:fldChar w:fldCharType="end"/>
        </w:r>
      </w:hyperlink>
    </w:p>
    <w:p w14:paraId="5E4D2259" w14:textId="6A15455F" w:rsidR="00087753" w:rsidRDefault="00536556">
      <w:pPr>
        <w:pStyle w:val="51"/>
        <w:tabs>
          <w:tab w:val="right" w:leader="dot" w:pos="9344"/>
        </w:tabs>
        <w:rPr>
          <w:rFonts w:asciiTheme="minorHAnsi" w:eastAsiaTheme="minorEastAsia" w:hAnsiTheme="minorHAnsi"/>
          <w:noProof/>
          <w:sz w:val="22"/>
          <w:lang w:eastAsia="ru-RU"/>
        </w:rPr>
      </w:pPr>
      <w:hyperlink w:anchor="_Toc104985337" w:history="1">
        <w:r w:rsidR="00087753" w:rsidRPr="00277050">
          <w:rPr>
            <w:rStyle w:val="a7"/>
            <w:noProof/>
            <w:lang w:val="en-GB" w:eastAsia="pl-PL"/>
          </w:rPr>
          <w:t>5.2.2.3.3 Analysis of variance (ANOVA) from different operating levels.</w:t>
        </w:r>
        <w:r w:rsidR="00087753">
          <w:rPr>
            <w:noProof/>
            <w:webHidden/>
          </w:rPr>
          <w:tab/>
        </w:r>
        <w:r w:rsidR="00087753">
          <w:rPr>
            <w:noProof/>
            <w:webHidden/>
          </w:rPr>
          <w:fldChar w:fldCharType="begin"/>
        </w:r>
        <w:r w:rsidR="00087753">
          <w:rPr>
            <w:noProof/>
            <w:webHidden/>
          </w:rPr>
          <w:instrText xml:space="preserve"> PAGEREF _Toc104985337 \h </w:instrText>
        </w:r>
        <w:r w:rsidR="00087753">
          <w:rPr>
            <w:noProof/>
            <w:webHidden/>
          </w:rPr>
        </w:r>
        <w:r w:rsidR="00087753">
          <w:rPr>
            <w:noProof/>
            <w:webHidden/>
          </w:rPr>
          <w:fldChar w:fldCharType="separate"/>
        </w:r>
        <w:r w:rsidR="004870F1">
          <w:rPr>
            <w:noProof/>
            <w:webHidden/>
          </w:rPr>
          <w:t>204</w:t>
        </w:r>
        <w:r w:rsidR="00087753">
          <w:rPr>
            <w:noProof/>
            <w:webHidden/>
          </w:rPr>
          <w:fldChar w:fldCharType="end"/>
        </w:r>
      </w:hyperlink>
    </w:p>
    <w:p w14:paraId="502B92CA" w14:textId="77E6FF2B" w:rsidR="00087753" w:rsidRDefault="00536556">
      <w:pPr>
        <w:pStyle w:val="41"/>
        <w:tabs>
          <w:tab w:val="right" w:leader="dot" w:pos="9344"/>
        </w:tabs>
        <w:rPr>
          <w:rFonts w:asciiTheme="minorHAnsi" w:eastAsiaTheme="minorEastAsia" w:hAnsiTheme="minorHAnsi"/>
          <w:noProof/>
          <w:sz w:val="22"/>
          <w:lang w:eastAsia="ru-RU"/>
        </w:rPr>
      </w:pPr>
      <w:hyperlink w:anchor="_Toc104985338" w:history="1">
        <w:r w:rsidR="00087753" w:rsidRPr="00277050">
          <w:rPr>
            <w:rStyle w:val="a7"/>
            <w:rFonts w:eastAsia="Calibri"/>
            <w:noProof/>
            <w:lang w:val="en-US"/>
          </w:rPr>
          <w:t>5.2.2.4 Comparison of different slope stability methods</w:t>
        </w:r>
        <w:r w:rsidR="00087753">
          <w:rPr>
            <w:noProof/>
            <w:webHidden/>
          </w:rPr>
          <w:tab/>
        </w:r>
        <w:r w:rsidR="00087753">
          <w:rPr>
            <w:noProof/>
            <w:webHidden/>
          </w:rPr>
          <w:fldChar w:fldCharType="begin"/>
        </w:r>
        <w:r w:rsidR="00087753">
          <w:rPr>
            <w:noProof/>
            <w:webHidden/>
          </w:rPr>
          <w:instrText xml:space="preserve"> PAGEREF _Toc104985338 \h </w:instrText>
        </w:r>
        <w:r w:rsidR="00087753">
          <w:rPr>
            <w:noProof/>
            <w:webHidden/>
          </w:rPr>
        </w:r>
        <w:r w:rsidR="00087753">
          <w:rPr>
            <w:noProof/>
            <w:webHidden/>
          </w:rPr>
          <w:fldChar w:fldCharType="separate"/>
        </w:r>
        <w:r w:rsidR="004870F1">
          <w:rPr>
            <w:noProof/>
            <w:webHidden/>
          </w:rPr>
          <w:t>206</w:t>
        </w:r>
        <w:r w:rsidR="00087753">
          <w:rPr>
            <w:noProof/>
            <w:webHidden/>
          </w:rPr>
          <w:fldChar w:fldCharType="end"/>
        </w:r>
      </w:hyperlink>
    </w:p>
    <w:p w14:paraId="32AB2A6C" w14:textId="419E4BAE" w:rsidR="00087753" w:rsidRDefault="00536556">
      <w:pPr>
        <w:pStyle w:val="31"/>
        <w:tabs>
          <w:tab w:val="right" w:leader="dot" w:pos="9344"/>
        </w:tabs>
        <w:rPr>
          <w:rFonts w:asciiTheme="minorHAnsi" w:eastAsiaTheme="minorEastAsia" w:hAnsiTheme="minorHAnsi"/>
          <w:noProof/>
          <w:sz w:val="22"/>
          <w:lang w:eastAsia="ru-RU"/>
        </w:rPr>
      </w:pPr>
      <w:hyperlink w:anchor="_Toc104985339" w:history="1">
        <w:r w:rsidR="00087753" w:rsidRPr="00277050">
          <w:rPr>
            <w:rStyle w:val="a7"/>
            <w:rFonts w:eastAsia="Times New Roman"/>
            <w:noProof/>
            <w:lang w:val="en-GB" w:eastAsia="pl-PL"/>
          </w:rPr>
          <w:t>5.2.3 Summary of the sub-section</w:t>
        </w:r>
        <w:r w:rsidR="00087753">
          <w:rPr>
            <w:noProof/>
            <w:webHidden/>
          </w:rPr>
          <w:tab/>
        </w:r>
        <w:r w:rsidR="00087753">
          <w:rPr>
            <w:noProof/>
            <w:webHidden/>
          </w:rPr>
          <w:fldChar w:fldCharType="begin"/>
        </w:r>
        <w:r w:rsidR="00087753">
          <w:rPr>
            <w:noProof/>
            <w:webHidden/>
          </w:rPr>
          <w:instrText xml:space="preserve"> PAGEREF _Toc104985339 \h </w:instrText>
        </w:r>
        <w:r w:rsidR="00087753">
          <w:rPr>
            <w:noProof/>
            <w:webHidden/>
          </w:rPr>
        </w:r>
        <w:r w:rsidR="00087753">
          <w:rPr>
            <w:noProof/>
            <w:webHidden/>
          </w:rPr>
          <w:fldChar w:fldCharType="separate"/>
        </w:r>
        <w:r w:rsidR="004870F1">
          <w:rPr>
            <w:noProof/>
            <w:webHidden/>
          </w:rPr>
          <w:t>207</w:t>
        </w:r>
        <w:r w:rsidR="00087753">
          <w:rPr>
            <w:noProof/>
            <w:webHidden/>
          </w:rPr>
          <w:fldChar w:fldCharType="end"/>
        </w:r>
      </w:hyperlink>
    </w:p>
    <w:p w14:paraId="6B873F4F" w14:textId="143460FD" w:rsidR="00087753" w:rsidRDefault="00536556">
      <w:pPr>
        <w:pStyle w:val="21"/>
        <w:rPr>
          <w:rFonts w:asciiTheme="minorHAnsi" w:eastAsiaTheme="minorEastAsia" w:hAnsiTheme="minorHAnsi"/>
          <w:noProof/>
          <w:sz w:val="22"/>
          <w:lang w:eastAsia="ru-RU"/>
        </w:rPr>
      </w:pPr>
      <w:hyperlink w:anchor="_Toc104985340" w:history="1">
        <w:r w:rsidR="00087753" w:rsidRPr="00277050">
          <w:rPr>
            <w:rStyle w:val="a7"/>
            <w:noProof/>
          </w:rPr>
          <w:t>5.3 Aktobe dam in Kazakhstan</w:t>
        </w:r>
        <w:r w:rsidR="00087753">
          <w:rPr>
            <w:noProof/>
            <w:webHidden/>
          </w:rPr>
          <w:tab/>
        </w:r>
        <w:r w:rsidR="00087753">
          <w:rPr>
            <w:noProof/>
            <w:webHidden/>
          </w:rPr>
          <w:fldChar w:fldCharType="begin"/>
        </w:r>
        <w:r w:rsidR="00087753">
          <w:rPr>
            <w:noProof/>
            <w:webHidden/>
          </w:rPr>
          <w:instrText xml:space="preserve"> PAGEREF _Toc104985340 \h </w:instrText>
        </w:r>
        <w:r w:rsidR="00087753">
          <w:rPr>
            <w:noProof/>
            <w:webHidden/>
          </w:rPr>
        </w:r>
        <w:r w:rsidR="00087753">
          <w:rPr>
            <w:noProof/>
            <w:webHidden/>
          </w:rPr>
          <w:fldChar w:fldCharType="separate"/>
        </w:r>
        <w:r w:rsidR="004870F1">
          <w:rPr>
            <w:noProof/>
            <w:webHidden/>
          </w:rPr>
          <w:t>208</w:t>
        </w:r>
        <w:r w:rsidR="00087753">
          <w:rPr>
            <w:noProof/>
            <w:webHidden/>
          </w:rPr>
          <w:fldChar w:fldCharType="end"/>
        </w:r>
      </w:hyperlink>
    </w:p>
    <w:p w14:paraId="3E949DE1" w14:textId="28280C80" w:rsidR="00087753" w:rsidRDefault="00536556">
      <w:pPr>
        <w:pStyle w:val="31"/>
        <w:tabs>
          <w:tab w:val="right" w:leader="dot" w:pos="9344"/>
        </w:tabs>
        <w:rPr>
          <w:rFonts w:asciiTheme="minorHAnsi" w:eastAsiaTheme="minorEastAsia" w:hAnsiTheme="minorHAnsi"/>
          <w:noProof/>
          <w:sz w:val="22"/>
          <w:lang w:eastAsia="ru-RU"/>
        </w:rPr>
      </w:pPr>
      <w:hyperlink w:anchor="_Toc104985341" w:history="1">
        <w:r w:rsidR="00087753" w:rsidRPr="00277050">
          <w:rPr>
            <w:rStyle w:val="a7"/>
            <w:noProof/>
          </w:rPr>
          <w:t>5.3.1 Materials and methods</w:t>
        </w:r>
        <w:r w:rsidR="00087753">
          <w:rPr>
            <w:noProof/>
            <w:webHidden/>
          </w:rPr>
          <w:tab/>
        </w:r>
        <w:r w:rsidR="00087753">
          <w:rPr>
            <w:noProof/>
            <w:webHidden/>
          </w:rPr>
          <w:fldChar w:fldCharType="begin"/>
        </w:r>
        <w:r w:rsidR="00087753">
          <w:rPr>
            <w:noProof/>
            <w:webHidden/>
          </w:rPr>
          <w:instrText xml:space="preserve"> PAGEREF _Toc104985341 \h </w:instrText>
        </w:r>
        <w:r w:rsidR="00087753">
          <w:rPr>
            <w:noProof/>
            <w:webHidden/>
          </w:rPr>
        </w:r>
        <w:r w:rsidR="00087753">
          <w:rPr>
            <w:noProof/>
            <w:webHidden/>
          </w:rPr>
          <w:fldChar w:fldCharType="separate"/>
        </w:r>
        <w:r w:rsidR="004870F1">
          <w:rPr>
            <w:noProof/>
            <w:webHidden/>
          </w:rPr>
          <w:t>208</w:t>
        </w:r>
        <w:r w:rsidR="00087753">
          <w:rPr>
            <w:noProof/>
            <w:webHidden/>
          </w:rPr>
          <w:fldChar w:fldCharType="end"/>
        </w:r>
      </w:hyperlink>
    </w:p>
    <w:p w14:paraId="66799508" w14:textId="40A50D06" w:rsidR="00087753" w:rsidRDefault="00536556">
      <w:pPr>
        <w:pStyle w:val="41"/>
        <w:tabs>
          <w:tab w:val="right" w:leader="dot" w:pos="9344"/>
        </w:tabs>
        <w:rPr>
          <w:rFonts w:asciiTheme="minorHAnsi" w:eastAsiaTheme="minorEastAsia" w:hAnsiTheme="minorHAnsi"/>
          <w:noProof/>
          <w:sz w:val="22"/>
          <w:lang w:eastAsia="ru-RU"/>
        </w:rPr>
      </w:pPr>
      <w:hyperlink w:anchor="_Toc104985342" w:history="1">
        <w:r w:rsidR="00087753" w:rsidRPr="00277050">
          <w:rPr>
            <w:rStyle w:val="a7"/>
            <w:rFonts w:eastAsia="Calibri"/>
            <w:noProof/>
          </w:rPr>
          <w:t>5.3.1.1 Case study description</w:t>
        </w:r>
        <w:r w:rsidR="00087753">
          <w:rPr>
            <w:noProof/>
            <w:webHidden/>
          </w:rPr>
          <w:tab/>
        </w:r>
        <w:r w:rsidR="00087753">
          <w:rPr>
            <w:noProof/>
            <w:webHidden/>
          </w:rPr>
          <w:fldChar w:fldCharType="begin"/>
        </w:r>
        <w:r w:rsidR="00087753">
          <w:rPr>
            <w:noProof/>
            <w:webHidden/>
          </w:rPr>
          <w:instrText xml:space="preserve"> PAGEREF _Toc104985342 \h </w:instrText>
        </w:r>
        <w:r w:rsidR="00087753">
          <w:rPr>
            <w:noProof/>
            <w:webHidden/>
          </w:rPr>
        </w:r>
        <w:r w:rsidR="00087753">
          <w:rPr>
            <w:noProof/>
            <w:webHidden/>
          </w:rPr>
          <w:fldChar w:fldCharType="separate"/>
        </w:r>
        <w:r w:rsidR="004870F1">
          <w:rPr>
            <w:noProof/>
            <w:webHidden/>
          </w:rPr>
          <w:t>208</w:t>
        </w:r>
        <w:r w:rsidR="00087753">
          <w:rPr>
            <w:noProof/>
            <w:webHidden/>
          </w:rPr>
          <w:fldChar w:fldCharType="end"/>
        </w:r>
      </w:hyperlink>
    </w:p>
    <w:p w14:paraId="61573B02" w14:textId="46FC1AAA" w:rsidR="00087753" w:rsidRDefault="00536556">
      <w:pPr>
        <w:pStyle w:val="41"/>
        <w:tabs>
          <w:tab w:val="right" w:leader="dot" w:pos="9344"/>
        </w:tabs>
        <w:rPr>
          <w:rFonts w:asciiTheme="minorHAnsi" w:eastAsiaTheme="minorEastAsia" w:hAnsiTheme="minorHAnsi"/>
          <w:noProof/>
          <w:sz w:val="22"/>
          <w:lang w:eastAsia="ru-RU"/>
        </w:rPr>
      </w:pPr>
      <w:hyperlink w:anchor="_Toc104985343" w:history="1">
        <w:r w:rsidR="00087753" w:rsidRPr="00277050">
          <w:rPr>
            <w:rStyle w:val="a7"/>
            <w:rFonts w:eastAsia="Calibri"/>
            <w:noProof/>
            <w:lang w:val="en-US"/>
          </w:rPr>
          <w:t>5.3.1.2 Embankment geometry and modeling process</w:t>
        </w:r>
        <w:r w:rsidR="00087753">
          <w:rPr>
            <w:noProof/>
            <w:webHidden/>
          </w:rPr>
          <w:tab/>
        </w:r>
        <w:r w:rsidR="00087753">
          <w:rPr>
            <w:noProof/>
            <w:webHidden/>
          </w:rPr>
          <w:fldChar w:fldCharType="begin"/>
        </w:r>
        <w:r w:rsidR="00087753">
          <w:rPr>
            <w:noProof/>
            <w:webHidden/>
          </w:rPr>
          <w:instrText xml:space="preserve"> PAGEREF _Toc104985343 \h </w:instrText>
        </w:r>
        <w:r w:rsidR="00087753">
          <w:rPr>
            <w:noProof/>
            <w:webHidden/>
          </w:rPr>
        </w:r>
        <w:r w:rsidR="00087753">
          <w:rPr>
            <w:noProof/>
            <w:webHidden/>
          </w:rPr>
          <w:fldChar w:fldCharType="separate"/>
        </w:r>
        <w:r w:rsidR="004870F1">
          <w:rPr>
            <w:noProof/>
            <w:webHidden/>
          </w:rPr>
          <w:t>209</w:t>
        </w:r>
        <w:r w:rsidR="00087753">
          <w:rPr>
            <w:noProof/>
            <w:webHidden/>
          </w:rPr>
          <w:fldChar w:fldCharType="end"/>
        </w:r>
      </w:hyperlink>
    </w:p>
    <w:p w14:paraId="6A7F932A" w14:textId="680EA110" w:rsidR="00087753" w:rsidRDefault="00536556">
      <w:pPr>
        <w:pStyle w:val="41"/>
        <w:tabs>
          <w:tab w:val="right" w:leader="dot" w:pos="9344"/>
        </w:tabs>
        <w:rPr>
          <w:rFonts w:asciiTheme="minorHAnsi" w:eastAsiaTheme="minorEastAsia" w:hAnsiTheme="minorHAnsi"/>
          <w:noProof/>
          <w:sz w:val="22"/>
          <w:lang w:eastAsia="ru-RU"/>
        </w:rPr>
      </w:pPr>
      <w:hyperlink w:anchor="_Toc104985344" w:history="1">
        <w:r w:rsidR="00087753" w:rsidRPr="00277050">
          <w:rPr>
            <w:rStyle w:val="a7"/>
            <w:rFonts w:eastAsia="Calibri"/>
            <w:noProof/>
          </w:rPr>
          <w:t>5.3.1.3 Seepage analysis</w:t>
        </w:r>
        <w:r w:rsidR="00087753">
          <w:rPr>
            <w:noProof/>
            <w:webHidden/>
          </w:rPr>
          <w:tab/>
        </w:r>
        <w:r w:rsidR="00087753">
          <w:rPr>
            <w:noProof/>
            <w:webHidden/>
          </w:rPr>
          <w:fldChar w:fldCharType="begin"/>
        </w:r>
        <w:r w:rsidR="00087753">
          <w:rPr>
            <w:noProof/>
            <w:webHidden/>
          </w:rPr>
          <w:instrText xml:space="preserve"> PAGEREF _Toc104985344 \h </w:instrText>
        </w:r>
        <w:r w:rsidR="00087753">
          <w:rPr>
            <w:noProof/>
            <w:webHidden/>
          </w:rPr>
        </w:r>
        <w:r w:rsidR="00087753">
          <w:rPr>
            <w:noProof/>
            <w:webHidden/>
          </w:rPr>
          <w:fldChar w:fldCharType="separate"/>
        </w:r>
        <w:r w:rsidR="004870F1">
          <w:rPr>
            <w:noProof/>
            <w:webHidden/>
          </w:rPr>
          <w:t>209</w:t>
        </w:r>
        <w:r w:rsidR="00087753">
          <w:rPr>
            <w:noProof/>
            <w:webHidden/>
          </w:rPr>
          <w:fldChar w:fldCharType="end"/>
        </w:r>
      </w:hyperlink>
    </w:p>
    <w:p w14:paraId="3B3DB17D" w14:textId="57DDE53A" w:rsidR="00087753" w:rsidRDefault="00536556">
      <w:pPr>
        <w:pStyle w:val="41"/>
        <w:tabs>
          <w:tab w:val="right" w:leader="dot" w:pos="9344"/>
        </w:tabs>
        <w:rPr>
          <w:rFonts w:asciiTheme="minorHAnsi" w:eastAsiaTheme="minorEastAsia" w:hAnsiTheme="minorHAnsi"/>
          <w:noProof/>
          <w:sz w:val="22"/>
          <w:lang w:eastAsia="ru-RU"/>
        </w:rPr>
      </w:pPr>
      <w:hyperlink w:anchor="_Toc104985345" w:history="1">
        <w:r w:rsidR="00087753" w:rsidRPr="00277050">
          <w:rPr>
            <w:rStyle w:val="a7"/>
            <w:rFonts w:eastAsia="Calibri"/>
            <w:noProof/>
          </w:rPr>
          <w:t>5.3.1.4 Slope stability analysis</w:t>
        </w:r>
        <w:r w:rsidR="00087753">
          <w:rPr>
            <w:noProof/>
            <w:webHidden/>
          </w:rPr>
          <w:tab/>
        </w:r>
        <w:r w:rsidR="00087753">
          <w:rPr>
            <w:noProof/>
            <w:webHidden/>
          </w:rPr>
          <w:fldChar w:fldCharType="begin"/>
        </w:r>
        <w:r w:rsidR="00087753">
          <w:rPr>
            <w:noProof/>
            <w:webHidden/>
          </w:rPr>
          <w:instrText xml:space="preserve"> PAGEREF _Toc104985345 \h </w:instrText>
        </w:r>
        <w:r w:rsidR="00087753">
          <w:rPr>
            <w:noProof/>
            <w:webHidden/>
          </w:rPr>
        </w:r>
        <w:r w:rsidR="00087753">
          <w:rPr>
            <w:noProof/>
            <w:webHidden/>
          </w:rPr>
          <w:fldChar w:fldCharType="separate"/>
        </w:r>
        <w:r w:rsidR="004870F1">
          <w:rPr>
            <w:noProof/>
            <w:webHidden/>
          </w:rPr>
          <w:t>210</w:t>
        </w:r>
        <w:r w:rsidR="00087753">
          <w:rPr>
            <w:noProof/>
            <w:webHidden/>
          </w:rPr>
          <w:fldChar w:fldCharType="end"/>
        </w:r>
      </w:hyperlink>
    </w:p>
    <w:p w14:paraId="48CECC38" w14:textId="520A45D0" w:rsidR="00087753" w:rsidRDefault="00536556">
      <w:pPr>
        <w:pStyle w:val="41"/>
        <w:tabs>
          <w:tab w:val="right" w:leader="dot" w:pos="9344"/>
        </w:tabs>
        <w:rPr>
          <w:rFonts w:asciiTheme="minorHAnsi" w:eastAsiaTheme="minorEastAsia" w:hAnsiTheme="minorHAnsi"/>
          <w:noProof/>
          <w:sz w:val="22"/>
          <w:lang w:eastAsia="ru-RU"/>
        </w:rPr>
      </w:pPr>
      <w:hyperlink w:anchor="_Toc104985346" w:history="1">
        <w:r w:rsidR="00087753" w:rsidRPr="00277050">
          <w:rPr>
            <w:rStyle w:val="a7"/>
            <w:rFonts w:eastAsia="Calibri"/>
            <w:noProof/>
          </w:rPr>
          <w:t>5.3.1.5 Material characteristics</w:t>
        </w:r>
        <w:r w:rsidR="00087753">
          <w:rPr>
            <w:noProof/>
            <w:webHidden/>
          </w:rPr>
          <w:tab/>
        </w:r>
        <w:r w:rsidR="00087753">
          <w:rPr>
            <w:noProof/>
            <w:webHidden/>
          </w:rPr>
          <w:fldChar w:fldCharType="begin"/>
        </w:r>
        <w:r w:rsidR="00087753">
          <w:rPr>
            <w:noProof/>
            <w:webHidden/>
          </w:rPr>
          <w:instrText xml:space="preserve"> PAGEREF _Toc104985346 \h </w:instrText>
        </w:r>
        <w:r w:rsidR="00087753">
          <w:rPr>
            <w:noProof/>
            <w:webHidden/>
          </w:rPr>
        </w:r>
        <w:r w:rsidR="00087753">
          <w:rPr>
            <w:noProof/>
            <w:webHidden/>
          </w:rPr>
          <w:fldChar w:fldCharType="separate"/>
        </w:r>
        <w:r w:rsidR="004870F1">
          <w:rPr>
            <w:noProof/>
            <w:webHidden/>
          </w:rPr>
          <w:t>211</w:t>
        </w:r>
        <w:r w:rsidR="00087753">
          <w:rPr>
            <w:noProof/>
            <w:webHidden/>
          </w:rPr>
          <w:fldChar w:fldCharType="end"/>
        </w:r>
      </w:hyperlink>
    </w:p>
    <w:p w14:paraId="407D68F2" w14:textId="7BE7C9F3" w:rsidR="00087753" w:rsidRDefault="00536556">
      <w:pPr>
        <w:pStyle w:val="31"/>
        <w:tabs>
          <w:tab w:val="right" w:leader="dot" w:pos="9344"/>
        </w:tabs>
        <w:rPr>
          <w:rFonts w:asciiTheme="minorHAnsi" w:eastAsiaTheme="minorEastAsia" w:hAnsiTheme="minorHAnsi"/>
          <w:noProof/>
          <w:sz w:val="22"/>
          <w:lang w:eastAsia="ru-RU"/>
        </w:rPr>
      </w:pPr>
      <w:hyperlink w:anchor="_Toc104985347" w:history="1">
        <w:r w:rsidR="00087753" w:rsidRPr="00277050">
          <w:rPr>
            <w:rStyle w:val="a7"/>
            <w:rFonts w:eastAsia="Calibri"/>
            <w:noProof/>
          </w:rPr>
          <w:t>5.3.2 Results and discussion</w:t>
        </w:r>
        <w:r w:rsidR="00087753">
          <w:rPr>
            <w:noProof/>
            <w:webHidden/>
          </w:rPr>
          <w:tab/>
        </w:r>
        <w:r w:rsidR="00087753">
          <w:rPr>
            <w:noProof/>
            <w:webHidden/>
          </w:rPr>
          <w:fldChar w:fldCharType="begin"/>
        </w:r>
        <w:r w:rsidR="00087753">
          <w:rPr>
            <w:noProof/>
            <w:webHidden/>
          </w:rPr>
          <w:instrText xml:space="preserve"> PAGEREF _Toc104985347 \h </w:instrText>
        </w:r>
        <w:r w:rsidR="00087753">
          <w:rPr>
            <w:noProof/>
            <w:webHidden/>
          </w:rPr>
        </w:r>
        <w:r w:rsidR="00087753">
          <w:rPr>
            <w:noProof/>
            <w:webHidden/>
          </w:rPr>
          <w:fldChar w:fldCharType="separate"/>
        </w:r>
        <w:r w:rsidR="004870F1">
          <w:rPr>
            <w:noProof/>
            <w:webHidden/>
          </w:rPr>
          <w:t>212</w:t>
        </w:r>
        <w:r w:rsidR="00087753">
          <w:rPr>
            <w:noProof/>
            <w:webHidden/>
          </w:rPr>
          <w:fldChar w:fldCharType="end"/>
        </w:r>
      </w:hyperlink>
    </w:p>
    <w:p w14:paraId="262FD545" w14:textId="31479266" w:rsidR="00087753" w:rsidRDefault="00536556">
      <w:pPr>
        <w:pStyle w:val="41"/>
        <w:tabs>
          <w:tab w:val="right" w:leader="dot" w:pos="9344"/>
        </w:tabs>
        <w:rPr>
          <w:rFonts w:asciiTheme="minorHAnsi" w:eastAsiaTheme="minorEastAsia" w:hAnsiTheme="minorHAnsi"/>
          <w:noProof/>
          <w:sz w:val="22"/>
          <w:lang w:eastAsia="ru-RU"/>
        </w:rPr>
      </w:pPr>
      <w:hyperlink w:anchor="_Toc104985348" w:history="1">
        <w:r w:rsidR="00087753" w:rsidRPr="00277050">
          <w:rPr>
            <w:rStyle w:val="a7"/>
            <w:rFonts w:eastAsia="Calibri"/>
            <w:noProof/>
          </w:rPr>
          <w:t>5.3.2.1 Seepage analysis</w:t>
        </w:r>
        <w:r w:rsidR="00087753">
          <w:rPr>
            <w:noProof/>
            <w:webHidden/>
          </w:rPr>
          <w:tab/>
        </w:r>
        <w:r w:rsidR="00087753">
          <w:rPr>
            <w:noProof/>
            <w:webHidden/>
          </w:rPr>
          <w:fldChar w:fldCharType="begin"/>
        </w:r>
        <w:r w:rsidR="00087753">
          <w:rPr>
            <w:noProof/>
            <w:webHidden/>
          </w:rPr>
          <w:instrText xml:space="preserve"> PAGEREF _Toc104985348 \h </w:instrText>
        </w:r>
        <w:r w:rsidR="00087753">
          <w:rPr>
            <w:noProof/>
            <w:webHidden/>
          </w:rPr>
        </w:r>
        <w:r w:rsidR="00087753">
          <w:rPr>
            <w:noProof/>
            <w:webHidden/>
          </w:rPr>
          <w:fldChar w:fldCharType="separate"/>
        </w:r>
        <w:r w:rsidR="004870F1">
          <w:rPr>
            <w:noProof/>
            <w:webHidden/>
          </w:rPr>
          <w:t>213</w:t>
        </w:r>
        <w:r w:rsidR="00087753">
          <w:rPr>
            <w:noProof/>
            <w:webHidden/>
          </w:rPr>
          <w:fldChar w:fldCharType="end"/>
        </w:r>
      </w:hyperlink>
    </w:p>
    <w:p w14:paraId="14158B3D" w14:textId="13786C85" w:rsidR="00087753" w:rsidRDefault="00536556">
      <w:pPr>
        <w:pStyle w:val="41"/>
        <w:tabs>
          <w:tab w:val="right" w:leader="dot" w:pos="9344"/>
        </w:tabs>
        <w:rPr>
          <w:rFonts w:asciiTheme="minorHAnsi" w:eastAsiaTheme="minorEastAsia" w:hAnsiTheme="minorHAnsi"/>
          <w:noProof/>
          <w:sz w:val="22"/>
          <w:lang w:eastAsia="ru-RU"/>
        </w:rPr>
      </w:pPr>
      <w:hyperlink w:anchor="_Toc104985349" w:history="1">
        <w:r w:rsidR="00087753" w:rsidRPr="00277050">
          <w:rPr>
            <w:rStyle w:val="a7"/>
            <w:rFonts w:eastAsia="Calibri"/>
            <w:noProof/>
          </w:rPr>
          <w:t>5.3.2.2 Slope stability analysis</w:t>
        </w:r>
        <w:r w:rsidR="00087753">
          <w:rPr>
            <w:noProof/>
            <w:webHidden/>
          </w:rPr>
          <w:tab/>
        </w:r>
        <w:r w:rsidR="00087753">
          <w:rPr>
            <w:noProof/>
            <w:webHidden/>
          </w:rPr>
          <w:fldChar w:fldCharType="begin"/>
        </w:r>
        <w:r w:rsidR="00087753">
          <w:rPr>
            <w:noProof/>
            <w:webHidden/>
          </w:rPr>
          <w:instrText xml:space="preserve"> PAGEREF _Toc104985349 \h </w:instrText>
        </w:r>
        <w:r w:rsidR="00087753">
          <w:rPr>
            <w:noProof/>
            <w:webHidden/>
          </w:rPr>
        </w:r>
        <w:r w:rsidR="00087753">
          <w:rPr>
            <w:noProof/>
            <w:webHidden/>
          </w:rPr>
          <w:fldChar w:fldCharType="separate"/>
        </w:r>
        <w:r w:rsidR="004870F1">
          <w:rPr>
            <w:noProof/>
            <w:webHidden/>
          </w:rPr>
          <w:t>214</w:t>
        </w:r>
        <w:r w:rsidR="00087753">
          <w:rPr>
            <w:noProof/>
            <w:webHidden/>
          </w:rPr>
          <w:fldChar w:fldCharType="end"/>
        </w:r>
      </w:hyperlink>
    </w:p>
    <w:p w14:paraId="198B6E77" w14:textId="12AD6C80" w:rsidR="00087753" w:rsidRDefault="00536556">
      <w:pPr>
        <w:pStyle w:val="41"/>
        <w:tabs>
          <w:tab w:val="right" w:leader="dot" w:pos="9344"/>
        </w:tabs>
        <w:rPr>
          <w:rFonts w:asciiTheme="minorHAnsi" w:eastAsiaTheme="minorEastAsia" w:hAnsiTheme="minorHAnsi"/>
          <w:noProof/>
          <w:sz w:val="22"/>
          <w:lang w:eastAsia="ru-RU"/>
        </w:rPr>
      </w:pPr>
      <w:hyperlink w:anchor="_Toc104985350" w:history="1">
        <w:r w:rsidR="00087753" w:rsidRPr="00277050">
          <w:rPr>
            <w:rStyle w:val="a7"/>
            <w:rFonts w:eastAsia="Calibri"/>
            <w:noProof/>
          </w:rPr>
          <w:t>5.3.2.3 Analysis of variance (ANOVA)</w:t>
        </w:r>
        <w:r w:rsidR="00087753">
          <w:rPr>
            <w:noProof/>
            <w:webHidden/>
          </w:rPr>
          <w:tab/>
        </w:r>
        <w:r w:rsidR="00087753">
          <w:rPr>
            <w:noProof/>
            <w:webHidden/>
          </w:rPr>
          <w:fldChar w:fldCharType="begin"/>
        </w:r>
        <w:r w:rsidR="00087753">
          <w:rPr>
            <w:noProof/>
            <w:webHidden/>
          </w:rPr>
          <w:instrText xml:space="preserve"> PAGEREF _Toc104985350 \h </w:instrText>
        </w:r>
        <w:r w:rsidR="00087753">
          <w:rPr>
            <w:noProof/>
            <w:webHidden/>
          </w:rPr>
        </w:r>
        <w:r w:rsidR="00087753">
          <w:rPr>
            <w:noProof/>
            <w:webHidden/>
          </w:rPr>
          <w:fldChar w:fldCharType="separate"/>
        </w:r>
        <w:r w:rsidR="004870F1">
          <w:rPr>
            <w:noProof/>
            <w:webHidden/>
          </w:rPr>
          <w:t>224</w:t>
        </w:r>
        <w:r w:rsidR="00087753">
          <w:rPr>
            <w:noProof/>
            <w:webHidden/>
          </w:rPr>
          <w:fldChar w:fldCharType="end"/>
        </w:r>
      </w:hyperlink>
    </w:p>
    <w:p w14:paraId="151993C4" w14:textId="78496F08" w:rsidR="00087753" w:rsidRDefault="00536556">
      <w:pPr>
        <w:pStyle w:val="31"/>
        <w:tabs>
          <w:tab w:val="right" w:leader="dot" w:pos="9344"/>
        </w:tabs>
        <w:rPr>
          <w:rFonts w:asciiTheme="minorHAnsi" w:eastAsiaTheme="minorEastAsia" w:hAnsiTheme="minorHAnsi"/>
          <w:noProof/>
          <w:sz w:val="22"/>
          <w:lang w:eastAsia="ru-RU"/>
        </w:rPr>
      </w:pPr>
      <w:hyperlink w:anchor="_Toc104985351" w:history="1">
        <w:r w:rsidR="00087753" w:rsidRPr="00277050">
          <w:rPr>
            <w:rStyle w:val="a7"/>
            <w:rFonts w:eastAsia="Calibri"/>
            <w:noProof/>
          </w:rPr>
          <w:t>5.3.3</w:t>
        </w:r>
        <w:r w:rsidR="00087753" w:rsidRPr="00277050">
          <w:rPr>
            <w:rStyle w:val="a7"/>
            <w:rFonts w:eastAsia="Calibri"/>
            <w:noProof/>
            <w:lang w:val="en-US"/>
          </w:rPr>
          <w:t xml:space="preserve"> Summary of the sub-section</w:t>
        </w:r>
        <w:r w:rsidR="00087753">
          <w:rPr>
            <w:noProof/>
            <w:webHidden/>
          </w:rPr>
          <w:tab/>
        </w:r>
        <w:r w:rsidR="00087753">
          <w:rPr>
            <w:noProof/>
            <w:webHidden/>
          </w:rPr>
          <w:fldChar w:fldCharType="begin"/>
        </w:r>
        <w:r w:rsidR="00087753">
          <w:rPr>
            <w:noProof/>
            <w:webHidden/>
          </w:rPr>
          <w:instrText xml:space="preserve"> PAGEREF _Toc104985351 \h </w:instrText>
        </w:r>
        <w:r w:rsidR="00087753">
          <w:rPr>
            <w:noProof/>
            <w:webHidden/>
          </w:rPr>
        </w:r>
        <w:r w:rsidR="00087753">
          <w:rPr>
            <w:noProof/>
            <w:webHidden/>
          </w:rPr>
          <w:fldChar w:fldCharType="separate"/>
        </w:r>
        <w:r w:rsidR="004870F1">
          <w:rPr>
            <w:noProof/>
            <w:webHidden/>
          </w:rPr>
          <w:t>226</w:t>
        </w:r>
        <w:r w:rsidR="00087753">
          <w:rPr>
            <w:noProof/>
            <w:webHidden/>
          </w:rPr>
          <w:fldChar w:fldCharType="end"/>
        </w:r>
      </w:hyperlink>
    </w:p>
    <w:p w14:paraId="11467317" w14:textId="04191557" w:rsidR="00087753" w:rsidRDefault="00536556">
      <w:pPr>
        <w:pStyle w:val="21"/>
        <w:rPr>
          <w:rFonts w:asciiTheme="minorHAnsi" w:eastAsiaTheme="minorEastAsia" w:hAnsiTheme="minorHAnsi"/>
          <w:noProof/>
          <w:sz w:val="22"/>
          <w:lang w:eastAsia="ru-RU"/>
        </w:rPr>
      </w:pPr>
      <w:hyperlink w:anchor="_Toc104985352" w:history="1">
        <w:r w:rsidR="00087753" w:rsidRPr="00277050">
          <w:rPr>
            <w:rStyle w:val="a7"/>
            <w:noProof/>
          </w:rPr>
          <w:t>5.4 Chardara dam in Kazakhstan</w:t>
        </w:r>
        <w:r w:rsidR="00087753">
          <w:rPr>
            <w:noProof/>
            <w:webHidden/>
          </w:rPr>
          <w:tab/>
        </w:r>
        <w:r w:rsidR="00087753">
          <w:rPr>
            <w:noProof/>
            <w:webHidden/>
          </w:rPr>
          <w:fldChar w:fldCharType="begin"/>
        </w:r>
        <w:r w:rsidR="00087753">
          <w:rPr>
            <w:noProof/>
            <w:webHidden/>
          </w:rPr>
          <w:instrText xml:space="preserve"> PAGEREF _Toc104985352 \h </w:instrText>
        </w:r>
        <w:r w:rsidR="00087753">
          <w:rPr>
            <w:noProof/>
            <w:webHidden/>
          </w:rPr>
        </w:r>
        <w:r w:rsidR="00087753">
          <w:rPr>
            <w:noProof/>
            <w:webHidden/>
          </w:rPr>
          <w:fldChar w:fldCharType="separate"/>
        </w:r>
        <w:r w:rsidR="004870F1">
          <w:rPr>
            <w:noProof/>
            <w:webHidden/>
          </w:rPr>
          <w:t>226</w:t>
        </w:r>
        <w:r w:rsidR="00087753">
          <w:rPr>
            <w:noProof/>
            <w:webHidden/>
          </w:rPr>
          <w:fldChar w:fldCharType="end"/>
        </w:r>
      </w:hyperlink>
    </w:p>
    <w:p w14:paraId="56B9E543" w14:textId="2C0644AD" w:rsidR="00087753" w:rsidRDefault="00536556">
      <w:pPr>
        <w:pStyle w:val="31"/>
        <w:tabs>
          <w:tab w:val="right" w:leader="dot" w:pos="9344"/>
        </w:tabs>
        <w:rPr>
          <w:rFonts w:asciiTheme="minorHAnsi" w:eastAsiaTheme="minorEastAsia" w:hAnsiTheme="minorHAnsi"/>
          <w:noProof/>
          <w:sz w:val="22"/>
          <w:lang w:eastAsia="ru-RU"/>
        </w:rPr>
      </w:pPr>
      <w:hyperlink w:anchor="_Toc104985353" w:history="1">
        <w:r w:rsidR="00087753" w:rsidRPr="00277050">
          <w:rPr>
            <w:rStyle w:val="a7"/>
            <w:noProof/>
          </w:rPr>
          <w:t>5.4.1 Materials and methods</w:t>
        </w:r>
        <w:r w:rsidR="00087753">
          <w:rPr>
            <w:noProof/>
            <w:webHidden/>
          </w:rPr>
          <w:tab/>
        </w:r>
        <w:r w:rsidR="00087753">
          <w:rPr>
            <w:noProof/>
            <w:webHidden/>
          </w:rPr>
          <w:fldChar w:fldCharType="begin"/>
        </w:r>
        <w:r w:rsidR="00087753">
          <w:rPr>
            <w:noProof/>
            <w:webHidden/>
          </w:rPr>
          <w:instrText xml:space="preserve"> PAGEREF _Toc104985353 \h </w:instrText>
        </w:r>
        <w:r w:rsidR="00087753">
          <w:rPr>
            <w:noProof/>
            <w:webHidden/>
          </w:rPr>
        </w:r>
        <w:r w:rsidR="00087753">
          <w:rPr>
            <w:noProof/>
            <w:webHidden/>
          </w:rPr>
          <w:fldChar w:fldCharType="separate"/>
        </w:r>
        <w:r w:rsidR="004870F1">
          <w:rPr>
            <w:noProof/>
            <w:webHidden/>
          </w:rPr>
          <w:t>226</w:t>
        </w:r>
        <w:r w:rsidR="00087753">
          <w:rPr>
            <w:noProof/>
            <w:webHidden/>
          </w:rPr>
          <w:fldChar w:fldCharType="end"/>
        </w:r>
      </w:hyperlink>
    </w:p>
    <w:p w14:paraId="349D261D" w14:textId="21A49E74" w:rsidR="00087753" w:rsidRDefault="00536556">
      <w:pPr>
        <w:pStyle w:val="41"/>
        <w:tabs>
          <w:tab w:val="right" w:leader="dot" w:pos="9344"/>
        </w:tabs>
        <w:rPr>
          <w:rFonts w:asciiTheme="minorHAnsi" w:eastAsiaTheme="minorEastAsia" w:hAnsiTheme="minorHAnsi"/>
          <w:noProof/>
          <w:sz w:val="22"/>
          <w:lang w:eastAsia="ru-RU"/>
        </w:rPr>
      </w:pPr>
      <w:hyperlink w:anchor="_Toc104985354" w:history="1">
        <w:r w:rsidR="00087753" w:rsidRPr="00277050">
          <w:rPr>
            <w:rStyle w:val="a7"/>
            <w:noProof/>
            <w:lang w:val="en-US"/>
          </w:rPr>
          <w:t>5.4.1.1 General construction materials and properties</w:t>
        </w:r>
        <w:r w:rsidR="00087753">
          <w:rPr>
            <w:noProof/>
            <w:webHidden/>
          </w:rPr>
          <w:tab/>
        </w:r>
        <w:r w:rsidR="00087753">
          <w:rPr>
            <w:noProof/>
            <w:webHidden/>
          </w:rPr>
          <w:fldChar w:fldCharType="begin"/>
        </w:r>
        <w:r w:rsidR="00087753">
          <w:rPr>
            <w:noProof/>
            <w:webHidden/>
          </w:rPr>
          <w:instrText xml:space="preserve"> PAGEREF _Toc104985354 \h </w:instrText>
        </w:r>
        <w:r w:rsidR="00087753">
          <w:rPr>
            <w:noProof/>
            <w:webHidden/>
          </w:rPr>
        </w:r>
        <w:r w:rsidR="00087753">
          <w:rPr>
            <w:noProof/>
            <w:webHidden/>
          </w:rPr>
          <w:fldChar w:fldCharType="separate"/>
        </w:r>
        <w:r w:rsidR="004870F1">
          <w:rPr>
            <w:noProof/>
            <w:webHidden/>
          </w:rPr>
          <w:t>226</w:t>
        </w:r>
        <w:r w:rsidR="00087753">
          <w:rPr>
            <w:noProof/>
            <w:webHidden/>
          </w:rPr>
          <w:fldChar w:fldCharType="end"/>
        </w:r>
      </w:hyperlink>
    </w:p>
    <w:p w14:paraId="0BCBFA29" w14:textId="460F94C7" w:rsidR="00087753" w:rsidRDefault="00536556">
      <w:pPr>
        <w:pStyle w:val="41"/>
        <w:tabs>
          <w:tab w:val="right" w:leader="dot" w:pos="9344"/>
        </w:tabs>
        <w:rPr>
          <w:rFonts w:asciiTheme="minorHAnsi" w:eastAsiaTheme="minorEastAsia" w:hAnsiTheme="minorHAnsi"/>
          <w:noProof/>
          <w:sz w:val="22"/>
          <w:lang w:eastAsia="ru-RU"/>
        </w:rPr>
      </w:pPr>
      <w:hyperlink w:anchor="_Toc104985355" w:history="1">
        <w:r w:rsidR="00087753" w:rsidRPr="00277050">
          <w:rPr>
            <w:rStyle w:val="a7"/>
            <w:noProof/>
            <w:lang w:val="en-US"/>
          </w:rPr>
          <w:t>5.4.1.2 Materials and Properties of Construction</w:t>
        </w:r>
        <w:r w:rsidR="00087753">
          <w:rPr>
            <w:noProof/>
            <w:webHidden/>
          </w:rPr>
          <w:tab/>
        </w:r>
        <w:r w:rsidR="00087753">
          <w:rPr>
            <w:noProof/>
            <w:webHidden/>
          </w:rPr>
          <w:fldChar w:fldCharType="begin"/>
        </w:r>
        <w:r w:rsidR="00087753">
          <w:rPr>
            <w:noProof/>
            <w:webHidden/>
          </w:rPr>
          <w:instrText xml:space="preserve"> PAGEREF _Toc104985355 \h </w:instrText>
        </w:r>
        <w:r w:rsidR="00087753">
          <w:rPr>
            <w:noProof/>
            <w:webHidden/>
          </w:rPr>
        </w:r>
        <w:r w:rsidR="00087753">
          <w:rPr>
            <w:noProof/>
            <w:webHidden/>
          </w:rPr>
          <w:fldChar w:fldCharType="separate"/>
        </w:r>
        <w:r w:rsidR="004870F1">
          <w:rPr>
            <w:noProof/>
            <w:webHidden/>
          </w:rPr>
          <w:t>227</w:t>
        </w:r>
        <w:r w:rsidR="00087753">
          <w:rPr>
            <w:noProof/>
            <w:webHidden/>
          </w:rPr>
          <w:fldChar w:fldCharType="end"/>
        </w:r>
      </w:hyperlink>
    </w:p>
    <w:p w14:paraId="2B489F48" w14:textId="3FE6DF83" w:rsidR="00087753" w:rsidRDefault="00536556">
      <w:pPr>
        <w:pStyle w:val="41"/>
        <w:tabs>
          <w:tab w:val="right" w:leader="dot" w:pos="9344"/>
        </w:tabs>
        <w:rPr>
          <w:rFonts w:asciiTheme="minorHAnsi" w:eastAsiaTheme="minorEastAsia" w:hAnsiTheme="minorHAnsi"/>
          <w:noProof/>
          <w:sz w:val="22"/>
          <w:lang w:eastAsia="ru-RU"/>
        </w:rPr>
      </w:pPr>
      <w:hyperlink w:anchor="_Toc104985356" w:history="1">
        <w:r w:rsidR="00087753" w:rsidRPr="00277050">
          <w:rPr>
            <w:rStyle w:val="a7"/>
            <w:noProof/>
          </w:rPr>
          <w:t>5.4.1.3 Cases investigated</w:t>
        </w:r>
        <w:r w:rsidR="00087753">
          <w:rPr>
            <w:noProof/>
            <w:webHidden/>
          </w:rPr>
          <w:tab/>
        </w:r>
        <w:r w:rsidR="00087753">
          <w:rPr>
            <w:noProof/>
            <w:webHidden/>
          </w:rPr>
          <w:fldChar w:fldCharType="begin"/>
        </w:r>
        <w:r w:rsidR="00087753">
          <w:rPr>
            <w:noProof/>
            <w:webHidden/>
          </w:rPr>
          <w:instrText xml:space="preserve"> PAGEREF _Toc104985356 \h </w:instrText>
        </w:r>
        <w:r w:rsidR="00087753">
          <w:rPr>
            <w:noProof/>
            <w:webHidden/>
          </w:rPr>
        </w:r>
        <w:r w:rsidR="00087753">
          <w:rPr>
            <w:noProof/>
            <w:webHidden/>
          </w:rPr>
          <w:fldChar w:fldCharType="separate"/>
        </w:r>
        <w:r w:rsidR="004870F1">
          <w:rPr>
            <w:noProof/>
            <w:webHidden/>
          </w:rPr>
          <w:t>227</w:t>
        </w:r>
        <w:r w:rsidR="00087753">
          <w:rPr>
            <w:noProof/>
            <w:webHidden/>
          </w:rPr>
          <w:fldChar w:fldCharType="end"/>
        </w:r>
      </w:hyperlink>
    </w:p>
    <w:p w14:paraId="1C136354" w14:textId="47E335D5" w:rsidR="00087753" w:rsidRDefault="00536556">
      <w:pPr>
        <w:pStyle w:val="41"/>
        <w:tabs>
          <w:tab w:val="right" w:leader="dot" w:pos="9344"/>
        </w:tabs>
        <w:rPr>
          <w:rFonts w:asciiTheme="minorHAnsi" w:eastAsiaTheme="minorEastAsia" w:hAnsiTheme="minorHAnsi"/>
          <w:noProof/>
          <w:sz w:val="22"/>
          <w:lang w:eastAsia="ru-RU"/>
        </w:rPr>
      </w:pPr>
      <w:hyperlink w:anchor="_Toc104985357" w:history="1">
        <w:r w:rsidR="00087753" w:rsidRPr="00277050">
          <w:rPr>
            <w:rStyle w:val="a7"/>
            <w:noProof/>
            <w:lang w:val="en-US"/>
          </w:rPr>
          <w:t>5.4.1.4 General modeling procedures</w:t>
        </w:r>
        <w:r w:rsidR="00087753">
          <w:rPr>
            <w:noProof/>
            <w:webHidden/>
          </w:rPr>
          <w:tab/>
        </w:r>
        <w:r w:rsidR="00087753">
          <w:rPr>
            <w:noProof/>
            <w:webHidden/>
          </w:rPr>
          <w:fldChar w:fldCharType="begin"/>
        </w:r>
        <w:r w:rsidR="00087753">
          <w:rPr>
            <w:noProof/>
            <w:webHidden/>
          </w:rPr>
          <w:instrText xml:space="preserve"> PAGEREF _Toc104985357 \h </w:instrText>
        </w:r>
        <w:r w:rsidR="00087753">
          <w:rPr>
            <w:noProof/>
            <w:webHidden/>
          </w:rPr>
        </w:r>
        <w:r w:rsidR="00087753">
          <w:rPr>
            <w:noProof/>
            <w:webHidden/>
          </w:rPr>
          <w:fldChar w:fldCharType="separate"/>
        </w:r>
        <w:r w:rsidR="004870F1">
          <w:rPr>
            <w:noProof/>
            <w:webHidden/>
          </w:rPr>
          <w:t>228</w:t>
        </w:r>
        <w:r w:rsidR="00087753">
          <w:rPr>
            <w:noProof/>
            <w:webHidden/>
          </w:rPr>
          <w:fldChar w:fldCharType="end"/>
        </w:r>
      </w:hyperlink>
    </w:p>
    <w:p w14:paraId="2ED63CA6" w14:textId="590B504D" w:rsidR="00087753" w:rsidRDefault="00536556">
      <w:pPr>
        <w:pStyle w:val="41"/>
        <w:tabs>
          <w:tab w:val="right" w:leader="dot" w:pos="9344"/>
        </w:tabs>
        <w:rPr>
          <w:rFonts w:asciiTheme="minorHAnsi" w:eastAsiaTheme="minorEastAsia" w:hAnsiTheme="minorHAnsi"/>
          <w:noProof/>
          <w:sz w:val="22"/>
          <w:lang w:eastAsia="ru-RU"/>
        </w:rPr>
      </w:pPr>
      <w:hyperlink w:anchor="_Toc104985358" w:history="1">
        <w:r w:rsidR="00087753" w:rsidRPr="00277050">
          <w:rPr>
            <w:rStyle w:val="a7"/>
            <w:rFonts w:cs="Times New Roman"/>
            <w:noProof/>
            <w:lang w:val="en-US"/>
          </w:rPr>
          <w:t>5.4.1.5</w:t>
        </w:r>
        <w:r w:rsidR="00087753" w:rsidRPr="00277050">
          <w:rPr>
            <w:rStyle w:val="a7"/>
            <w:noProof/>
            <w:lang w:val="en-US"/>
          </w:rPr>
          <w:t xml:space="preserve"> Seepage analysis procedures</w:t>
        </w:r>
        <w:r w:rsidR="00087753">
          <w:rPr>
            <w:noProof/>
            <w:webHidden/>
          </w:rPr>
          <w:tab/>
        </w:r>
        <w:r w:rsidR="00087753">
          <w:rPr>
            <w:noProof/>
            <w:webHidden/>
          </w:rPr>
          <w:fldChar w:fldCharType="begin"/>
        </w:r>
        <w:r w:rsidR="00087753">
          <w:rPr>
            <w:noProof/>
            <w:webHidden/>
          </w:rPr>
          <w:instrText xml:space="preserve"> PAGEREF _Toc104985358 \h </w:instrText>
        </w:r>
        <w:r w:rsidR="00087753">
          <w:rPr>
            <w:noProof/>
            <w:webHidden/>
          </w:rPr>
        </w:r>
        <w:r w:rsidR="00087753">
          <w:rPr>
            <w:noProof/>
            <w:webHidden/>
          </w:rPr>
          <w:fldChar w:fldCharType="separate"/>
        </w:r>
        <w:r w:rsidR="004870F1">
          <w:rPr>
            <w:noProof/>
            <w:webHidden/>
          </w:rPr>
          <w:t>229</w:t>
        </w:r>
        <w:r w:rsidR="00087753">
          <w:rPr>
            <w:noProof/>
            <w:webHidden/>
          </w:rPr>
          <w:fldChar w:fldCharType="end"/>
        </w:r>
      </w:hyperlink>
    </w:p>
    <w:p w14:paraId="6BE16972" w14:textId="06CB374E" w:rsidR="00087753" w:rsidRDefault="00536556">
      <w:pPr>
        <w:pStyle w:val="41"/>
        <w:tabs>
          <w:tab w:val="right" w:leader="dot" w:pos="9344"/>
        </w:tabs>
        <w:rPr>
          <w:rFonts w:asciiTheme="minorHAnsi" w:eastAsiaTheme="minorEastAsia" w:hAnsiTheme="minorHAnsi"/>
          <w:noProof/>
          <w:sz w:val="22"/>
          <w:lang w:eastAsia="ru-RU"/>
        </w:rPr>
      </w:pPr>
      <w:hyperlink w:anchor="_Toc104985359" w:history="1">
        <w:r w:rsidR="00087753" w:rsidRPr="00277050">
          <w:rPr>
            <w:rStyle w:val="a7"/>
            <w:rFonts w:cs="Times New Roman"/>
            <w:noProof/>
            <w:lang w:val="en-US"/>
          </w:rPr>
          <w:t>5.4.1.6</w:t>
        </w:r>
        <w:r w:rsidR="00087753" w:rsidRPr="00277050">
          <w:rPr>
            <w:rStyle w:val="a7"/>
            <w:noProof/>
            <w:lang w:val="en-US"/>
          </w:rPr>
          <w:t xml:space="preserve"> Slope stability analysis procedures</w:t>
        </w:r>
        <w:r w:rsidR="00087753">
          <w:rPr>
            <w:noProof/>
            <w:webHidden/>
          </w:rPr>
          <w:tab/>
        </w:r>
        <w:r w:rsidR="00087753">
          <w:rPr>
            <w:noProof/>
            <w:webHidden/>
          </w:rPr>
          <w:fldChar w:fldCharType="begin"/>
        </w:r>
        <w:r w:rsidR="00087753">
          <w:rPr>
            <w:noProof/>
            <w:webHidden/>
          </w:rPr>
          <w:instrText xml:space="preserve"> PAGEREF _Toc104985359 \h </w:instrText>
        </w:r>
        <w:r w:rsidR="00087753">
          <w:rPr>
            <w:noProof/>
            <w:webHidden/>
          </w:rPr>
        </w:r>
        <w:r w:rsidR="00087753">
          <w:rPr>
            <w:noProof/>
            <w:webHidden/>
          </w:rPr>
          <w:fldChar w:fldCharType="separate"/>
        </w:r>
        <w:r w:rsidR="004870F1">
          <w:rPr>
            <w:noProof/>
            <w:webHidden/>
          </w:rPr>
          <w:t>229</w:t>
        </w:r>
        <w:r w:rsidR="00087753">
          <w:rPr>
            <w:noProof/>
            <w:webHidden/>
          </w:rPr>
          <w:fldChar w:fldCharType="end"/>
        </w:r>
      </w:hyperlink>
    </w:p>
    <w:p w14:paraId="41971CA5" w14:textId="794D52F0" w:rsidR="00087753" w:rsidRDefault="00536556">
      <w:pPr>
        <w:pStyle w:val="41"/>
        <w:tabs>
          <w:tab w:val="right" w:leader="dot" w:pos="9344"/>
        </w:tabs>
        <w:rPr>
          <w:rFonts w:asciiTheme="minorHAnsi" w:eastAsiaTheme="minorEastAsia" w:hAnsiTheme="minorHAnsi"/>
          <w:noProof/>
          <w:sz w:val="22"/>
          <w:lang w:eastAsia="ru-RU"/>
        </w:rPr>
      </w:pPr>
      <w:hyperlink w:anchor="_Toc104985360" w:history="1">
        <w:r w:rsidR="00087753" w:rsidRPr="00277050">
          <w:rPr>
            <w:rStyle w:val="a7"/>
            <w:noProof/>
            <w:lang w:val="en-US"/>
          </w:rPr>
          <w:t>5.4.1.7 General study approach</w:t>
        </w:r>
        <w:r w:rsidR="00087753">
          <w:rPr>
            <w:noProof/>
            <w:webHidden/>
          </w:rPr>
          <w:tab/>
        </w:r>
        <w:r w:rsidR="00087753">
          <w:rPr>
            <w:noProof/>
            <w:webHidden/>
          </w:rPr>
          <w:fldChar w:fldCharType="begin"/>
        </w:r>
        <w:r w:rsidR="00087753">
          <w:rPr>
            <w:noProof/>
            <w:webHidden/>
          </w:rPr>
          <w:instrText xml:space="preserve"> PAGEREF _Toc104985360 \h </w:instrText>
        </w:r>
        <w:r w:rsidR="00087753">
          <w:rPr>
            <w:noProof/>
            <w:webHidden/>
          </w:rPr>
        </w:r>
        <w:r w:rsidR="00087753">
          <w:rPr>
            <w:noProof/>
            <w:webHidden/>
          </w:rPr>
          <w:fldChar w:fldCharType="separate"/>
        </w:r>
        <w:r w:rsidR="004870F1">
          <w:rPr>
            <w:noProof/>
            <w:webHidden/>
          </w:rPr>
          <w:t>229</w:t>
        </w:r>
        <w:r w:rsidR="00087753">
          <w:rPr>
            <w:noProof/>
            <w:webHidden/>
          </w:rPr>
          <w:fldChar w:fldCharType="end"/>
        </w:r>
      </w:hyperlink>
    </w:p>
    <w:p w14:paraId="5D32C4E0" w14:textId="3EAA0F49" w:rsidR="00087753" w:rsidRDefault="00536556">
      <w:pPr>
        <w:pStyle w:val="31"/>
        <w:tabs>
          <w:tab w:val="right" w:leader="dot" w:pos="9344"/>
        </w:tabs>
        <w:rPr>
          <w:rFonts w:asciiTheme="minorHAnsi" w:eastAsiaTheme="minorEastAsia" w:hAnsiTheme="minorHAnsi"/>
          <w:noProof/>
          <w:sz w:val="22"/>
          <w:lang w:eastAsia="ru-RU"/>
        </w:rPr>
      </w:pPr>
      <w:hyperlink w:anchor="_Toc104985361" w:history="1">
        <w:r w:rsidR="00087753" w:rsidRPr="00277050">
          <w:rPr>
            <w:rStyle w:val="a7"/>
            <w:rFonts w:eastAsia="Calibri"/>
            <w:iCs/>
            <w:noProof/>
          </w:rPr>
          <w:t>5.4.2</w:t>
        </w:r>
        <w:r w:rsidR="00087753" w:rsidRPr="00277050">
          <w:rPr>
            <w:rStyle w:val="a7"/>
            <w:rFonts w:eastAsia="Calibri"/>
            <w:noProof/>
          </w:rPr>
          <w:t xml:space="preserve"> Results and discussion</w:t>
        </w:r>
        <w:r w:rsidR="00087753">
          <w:rPr>
            <w:noProof/>
            <w:webHidden/>
          </w:rPr>
          <w:tab/>
        </w:r>
        <w:r w:rsidR="00087753">
          <w:rPr>
            <w:noProof/>
            <w:webHidden/>
          </w:rPr>
          <w:fldChar w:fldCharType="begin"/>
        </w:r>
        <w:r w:rsidR="00087753">
          <w:rPr>
            <w:noProof/>
            <w:webHidden/>
          </w:rPr>
          <w:instrText xml:space="preserve"> PAGEREF _Toc104985361 \h </w:instrText>
        </w:r>
        <w:r w:rsidR="00087753">
          <w:rPr>
            <w:noProof/>
            <w:webHidden/>
          </w:rPr>
        </w:r>
        <w:r w:rsidR="00087753">
          <w:rPr>
            <w:noProof/>
            <w:webHidden/>
          </w:rPr>
          <w:fldChar w:fldCharType="separate"/>
        </w:r>
        <w:r w:rsidR="004870F1">
          <w:rPr>
            <w:noProof/>
            <w:webHidden/>
          </w:rPr>
          <w:t>231</w:t>
        </w:r>
        <w:r w:rsidR="00087753">
          <w:rPr>
            <w:noProof/>
            <w:webHidden/>
          </w:rPr>
          <w:fldChar w:fldCharType="end"/>
        </w:r>
      </w:hyperlink>
    </w:p>
    <w:p w14:paraId="7FB7A488" w14:textId="6DC0D3AB" w:rsidR="00087753" w:rsidRDefault="00536556">
      <w:pPr>
        <w:pStyle w:val="41"/>
        <w:tabs>
          <w:tab w:val="right" w:leader="dot" w:pos="9344"/>
        </w:tabs>
        <w:rPr>
          <w:rFonts w:asciiTheme="minorHAnsi" w:eastAsiaTheme="minorEastAsia" w:hAnsiTheme="minorHAnsi"/>
          <w:noProof/>
          <w:sz w:val="22"/>
          <w:lang w:eastAsia="ru-RU"/>
        </w:rPr>
      </w:pPr>
      <w:hyperlink w:anchor="_Toc104985362" w:history="1">
        <w:r w:rsidR="00087753" w:rsidRPr="00277050">
          <w:rPr>
            <w:rStyle w:val="a7"/>
            <w:rFonts w:eastAsia="Calibri"/>
            <w:noProof/>
          </w:rPr>
          <w:t>5.4.2.1 Seepage analysis</w:t>
        </w:r>
        <w:r w:rsidR="00087753">
          <w:rPr>
            <w:noProof/>
            <w:webHidden/>
          </w:rPr>
          <w:tab/>
        </w:r>
        <w:r w:rsidR="00087753">
          <w:rPr>
            <w:noProof/>
            <w:webHidden/>
          </w:rPr>
          <w:fldChar w:fldCharType="begin"/>
        </w:r>
        <w:r w:rsidR="00087753">
          <w:rPr>
            <w:noProof/>
            <w:webHidden/>
          </w:rPr>
          <w:instrText xml:space="preserve"> PAGEREF _Toc104985362 \h </w:instrText>
        </w:r>
        <w:r w:rsidR="00087753">
          <w:rPr>
            <w:noProof/>
            <w:webHidden/>
          </w:rPr>
        </w:r>
        <w:r w:rsidR="00087753">
          <w:rPr>
            <w:noProof/>
            <w:webHidden/>
          </w:rPr>
          <w:fldChar w:fldCharType="separate"/>
        </w:r>
        <w:r w:rsidR="004870F1">
          <w:rPr>
            <w:noProof/>
            <w:webHidden/>
          </w:rPr>
          <w:t>231</w:t>
        </w:r>
        <w:r w:rsidR="00087753">
          <w:rPr>
            <w:noProof/>
            <w:webHidden/>
          </w:rPr>
          <w:fldChar w:fldCharType="end"/>
        </w:r>
      </w:hyperlink>
    </w:p>
    <w:p w14:paraId="432FE978" w14:textId="254B1826" w:rsidR="00087753" w:rsidRDefault="00536556">
      <w:pPr>
        <w:pStyle w:val="51"/>
        <w:tabs>
          <w:tab w:val="right" w:leader="dot" w:pos="9344"/>
        </w:tabs>
        <w:rPr>
          <w:rFonts w:asciiTheme="minorHAnsi" w:eastAsiaTheme="minorEastAsia" w:hAnsiTheme="minorHAnsi"/>
          <w:noProof/>
          <w:sz w:val="22"/>
          <w:lang w:eastAsia="ru-RU"/>
        </w:rPr>
      </w:pPr>
      <w:hyperlink w:anchor="_Toc104985363" w:history="1">
        <w:r w:rsidR="00087753" w:rsidRPr="00277050">
          <w:rPr>
            <w:rStyle w:val="a7"/>
            <w:rFonts w:eastAsia="Calibri"/>
            <w:noProof/>
            <w:lang w:val="en-US"/>
          </w:rPr>
          <w:t>5.4.2.1.1 Steady-state</w:t>
        </w:r>
        <w:r w:rsidR="00087753">
          <w:rPr>
            <w:noProof/>
            <w:webHidden/>
          </w:rPr>
          <w:tab/>
        </w:r>
        <w:r w:rsidR="00087753">
          <w:rPr>
            <w:noProof/>
            <w:webHidden/>
          </w:rPr>
          <w:fldChar w:fldCharType="begin"/>
        </w:r>
        <w:r w:rsidR="00087753">
          <w:rPr>
            <w:noProof/>
            <w:webHidden/>
          </w:rPr>
          <w:instrText xml:space="preserve"> PAGEREF _Toc104985363 \h </w:instrText>
        </w:r>
        <w:r w:rsidR="00087753">
          <w:rPr>
            <w:noProof/>
            <w:webHidden/>
          </w:rPr>
        </w:r>
        <w:r w:rsidR="00087753">
          <w:rPr>
            <w:noProof/>
            <w:webHidden/>
          </w:rPr>
          <w:fldChar w:fldCharType="separate"/>
        </w:r>
        <w:r w:rsidR="004870F1">
          <w:rPr>
            <w:noProof/>
            <w:webHidden/>
          </w:rPr>
          <w:t>231</w:t>
        </w:r>
        <w:r w:rsidR="00087753">
          <w:rPr>
            <w:noProof/>
            <w:webHidden/>
          </w:rPr>
          <w:fldChar w:fldCharType="end"/>
        </w:r>
      </w:hyperlink>
    </w:p>
    <w:p w14:paraId="201C885F" w14:textId="520C844B" w:rsidR="00087753" w:rsidRDefault="00536556">
      <w:pPr>
        <w:pStyle w:val="51"/>
        <w:tabs>
          <w:tab w:val="right" w:leader="dot" w:pos="9344"/>
        </w:tabs>
        <w:rPr>
          <w:rFonts w:asciiTheme="minorHAnsi" w:eastAsiaTheme="minorEastAsia" w:hAnsiTheme="minorHAnsi"/>
          <w:noProof/>
          <w:sz w:val="22"/>
          <w:lang w:eastAsia="ru-RU"/>
        </w:rPr>
      </w:pPr>
      <w:hyperlink w:anchor="_Toc104985364" w:history="1">
        <w:r w:rsidR="00087753" w:rsidRPr="00277050">
          <w:rPr>
            <w:rStyle w:val="a7"/>
            <w:rFonts w:eastAsia="Calibri"/>
            <w:noProof/>
            <w:lang w:val="en-US"/>
          </w:rPr>
          <w:t>5.4.2.1.2 Instantaneous drawdown</w:t>
        </w:r>
        <w:r w:rsidR="00087753">
          <w:rPr>
            <w:noProof/>
            <w:webHidden/>
          </w:rPr>
          <w:tab/>
        </w:r>
        <w:r w:rsidR="00087753">
          <w:rPr>
            <w:noProof/>
            <w:webHidden/>
          </w:rPr>
          <w:fldChar w:fldCharType="begin"/>
        </w:r>
        <w:r w:rsidR="00087753">
          <w:rPr>
            <w:noProof/>
            <w:webHidden/>
          </w:rPr>
          <w:instrText xml:space="preserve"> PAGEREF _Toc104985364 \h </w:instrText>
        </w:r>
        <w:r w:rsidR="00087753">
          <w:rPr>
            <w:noProof/>
            <w:webHidden/>
          </w:rPr>
        </w:r>
        <w:r w:rsidR="00087753">
          <w:rPr>
            <w:noProof/>
            <w:webHidden/>
          </w:rPr>
          <w:fldChar w:fldCharType="separate"/>
        </w:r>
        <w:r w:rsidR="004870F1">
          <w:rPr>
            <w:noProof/>
            <w:webHidden/>
          </w:rPr>
          <w:t>232</w:t>
        </w:r>
        <w:r w:rsidR="00087753">
          <w:rPr>
            <w:noProof/>
            <w:webHidden/>
          </w:rPr>
          <w:fldChar w:fldCharType="end"/>
        </w:r>
      </w:hyperlink>
    </w:p>
    <w:p w14:paraId="01A86DF2" w14:textId="2DB86330" w:rsidR="00087753" w:rsidRDefault="00536556">
      <w:pPr>
        <w:pStyle w:val="51"/>
        <w:tabs>
          <w:tab w:val="right" w:leader="dot" w:pos="9344"/>
        </w:tabs>
        <w:rPr>
          <w:rFonts w:asciiTheme="minorHAnsi" w:eastAsiaTheme="minorEastAsia" w:hAnsiTheme="minorHAnsi"/>
          <w:noProof/>
          <w:sz w:val="22"/>
          <w:lang w:eastAsia="ru-RU"/>
        </w:rPr>
      </w:pPr>
      <w:hyperlink w:anchor="_Toc104985365" w:history="1">
        <w:r w:rsidR="00087753" w:rsidRPr="00277050">
          <w:rPr>
            <w:rStyle w:val="a7"/>
            <w:rFonts w:eastAsia="Calibri"/>
            <w:noProof/>
            <w:lang w:val="en-US"/>
          </w:rPr>
          <w:t>5.4.2.1.3 Rapid drawdown five (5) days</w:t>
        </w:r>
        <w:r w:rsidR="00087753">
          <w:rPr>
            <w:noProof/>
            <w:webHidden/>
          </w:rPr>
          <w:tab/>
        </w:r>
        <w:r w:rsidR="00087753">
          <w:rPr>
            <w:noProof/>
            <w:webHidden/>
          </w:rPr>
          <w:fldChar w:fldCharType="begin"/>
        </w:r>
        <w:r w:rsidR="00087753">
          <w:rPr>
            <w:noProof/>
            <w:webHidden/>
          </w:rPr>
          <w:instrText xml:space="preserve"> PAGEREF _Toc104985365 \h </w:instrText>
        </w:r>
        <w:r w:rsidR="00087753">
          <w:rPr>
            <w:noProof/>
            <w:webHidden/>
          </w:rPr>
        </w:r>
        <w:r w:rsidR="00087753">
          <w:rPr>
            <w:noProof/>
            <w:webHidden/>
          </w:rPr>
          <w:fldChar w:fldCharType="separate"/>
        </w:r>
        <w:r w:rsidR="004870F1">
          <w:rPr>
            <w:noProof/>
            <w:webHidden/>
          </w:rPr>
          <w:t>234</w:t>
        </w:r>
        <w:r w:rsidR="00087753">
          <w:rPr>
            <w:noProof/>
            <w:webHidden/>
          </w:rPr>
          <w:fldChar w:fldCharType="end"/>
        </w:r>
      </w:hyperlink>
    </w:p>
    <w:p w14:paraId="358E90B1" w14:textId="4DDE5AF9" w:rsidR="00087753" w:rsidRDefault="00536556">
      <w:pPr>
        <w:pStyle w:val="51"/>
        <w:tabs>
          <w:tab w:val="right" w:leader="dot" w:pos="9344"/>
        </w:tabs>
        <w:rPr>
          <w:rFonts w:asciiTheme="minorHAnsi" w:eastAsiaTheme="minorEastAsia" w:hAnsiTheme="minorHAnsi"/>
          <w:noProof/>
          <w:sz w:val="22"/>
          <w:lang w:eastAsia="ru-RU"/>
        </w:rPr>
      </w:pPr>
      <w:hyperlink w:anchor="_Toc104985366" w:history="1">
        <w:r w:rsidR="00087753" w:rsidRPr="00277050">
          <w:rPr>
            <w:rStyle w:val="a7"/>
            <w:rFonts w:eastAsia="Calibri"/>
            <w:noProof/>
            <w:lang w:val="en-US"/>
          </w:rPr>
          <w:t>5.4.2.1.4 Rapid drawdown (10 days)</w:t>
        </w:r>
        <w:r w:rsidR="00087753">
          <w:rPr>
            <w:noProof/>
            <w:webHidden/>
          </w:rPr>
          <w:tab/>
        </w:r>
        <w:r w:rsidR="00087753">
          <w:rPr>
            <w:noProof/>
            <w:webHidden/>
          </w:rPr>
          <w:fldChar w:fldCharType="begin"/>
        </w:r>
        <w:r w:rsidR="00087753">
          <w:rPr>
            <w:noProof/>
            <w:webHidden/>
          </w:rPr>
          <w:instrText xml:space="preserve"> PAGEREF _Toc104985366 \h </w:instrText>
        </w:r>
        <w:r w:rsidR="00087753">
          <w:rPr>
            <w:noProof/>
            <w:webHidden/>
          </w:rPr>
        </w:r>
        <w:r w:rsidR="00087753">
          <w:rPr>
            <w:noProof/>
            <w:webHidden/>
          </w:rPr>
          <w:fldChar w:fldCharType="separate"/>
        </w:r>
        <w:r w:rsidR="004870F1">
          <w:rPr>
            <w:noProof/>
            <w:webHidden/>
          </w:rPr>
          <w:t>236</w:t>
        </w:r>
        <w:r w:rsidR="00087753">
          <w:rPr>
            <w:noProof/>
            <w:webHidden/>
          </w:rPr>
          <w:fldChar w:fldCharType="end"/>
        </w:r>
      </w:hyperlink>
    </w:p>
    <w:p w14:paraId="39519D7C" w14:textId="63BBDCF0" w:rsidR="00087753" w:rsidRDefault="00536556">
      <w:pPr>
        <w:pStyle w:val="51"/>
        <w:tabs>
          <w:tab w:val="right" w:leader="dot" w:pos="9344"/>
        </w:tabs>
        <w:rPr>
          <w:rFonts w:asciiTheme="minorHAnsi" w:eastAsiaTheme="minorEastAsia" w:hAnsiTheme="minorHAnsi"/>
          <w:noProof/>
          <w:sz w:val="22"/>
          <w:lang w:eastAsia="ru-RU"/>
        </w:rPr>
      </w:pPr>
      <w:hyperlink w:anchor="_Toc104985367" w:history="1">
        <w:r w:rsidR="00087753" w:rsidRPr="00277050">
          <w:rPr>
            <w:rStyle w:val="a7"/>
            <w:rFonts w:eastAsia="Calibri"/>
            <w:noProof/>
            <w:lang w:val="en-US"/>
          </w:rPr>
          <w:t>5.4.2.1.5 Rapid drawdown (1 m per day)</w:t>
        </w:r>
        <w:r w:rsidR="00087753">
          <w:rPr>
            <w:noProof/>
            <w:webHidden/>
          </w:rPr>
          <w:tab/>
        </w:r>
        <w:r w:rsidR="00087753">
          <w:rPr>
            <w:noProof/>
            <w:webHidden/>
          </w:rPr>
          <w:fldChar w:fldCharType="begin"/>
        </w:r>
        <w:r w:rsidR="00087753">
          <w:rPr>
            <w:noProof/>
            <w:webHidden/>
          </w:rPr>
          <w:instrText xml:space="preserve"> PAGEREF _Toc104985367 \h </w:instrText>
        </w:r>
        <w:r w:rsidR="00087753">
          <w:rPr>
            <w:noProof/>
            <w:webHidden/>
          </w:rPr>
        </w:r>
        <w:r w:rsidR="00087753">
          <w:rPr>
            <w:noProof/>
            <w:webHidden/>
          </w:rPr>
          <w:fldChar w:fldCharType="separate"/>
        </w:r>
        <w:r w:rsidR="004870F1">
          <w:rPr>
            <w:noProof/>
            <w:webHidden/>
          </w:rPr>
          <w:t>238</w:t>
        </w:r>
        <w:r w:rsidR="00087753">
          <w:rPr>
            <w:noProof/>
            <w:webHidden/>
          </w:rPr>
          <w:fldChar w:fldCharType="end"/>
        </w:r>
      </w:hyperlink>
    </w:p>
    <w:p w14:paraId="0B13726B" w14:textId="6358F20F" w:rsidR="00087753" w:rsidRDefault="00536556">
      <w:pPr>
        <w:pStyle w:val="41"/>
        <w:tabs>
          <w:tab w:val="right" w:leader="dot" w:pos="9344"/>
        </w:tabs>
        <w:rPr>
          <w:rFonts w:asciiTheme="minorHAnsi" w:eastAsiaTheme="minorEastAsia" w:hAnsiTheme="minorHAnsi"/>
          <w:noProof/>
          <w:sz w:val="22"/>
          <w:lang w:eastAsia="ru-RU"/>
        </w:rPr>
      </w:pPr>
      <w:hyperlink w:anchor="_Toc104985368" w:history="1">
        <w:r w:rsidR="00087753" w:rsidRPr="00277050">
          <w:rPr>
            <w:rStyle w:val="a7"/>
            <w:noProof/>
          </w:rPr>
          <w:t>5.4.2.2 Slope stability</w:t>
        </w:r>
        <w:r w:rsidR="00087753">
          <w:rPr>
            <w:noProof/>
            <w:webHidden/>
          </w:rPr>
          <w:tab/>
        </w:r>
        <w:r w:rsidR="00087753">
          <w:rPr>
            <w:noProof/>
            <w:webHidden/>
          </w:rPr>
          <w:fldChar w:fldCharType="begin"/>
        </w:r>
        <w:r w:rsidR="00087753">
          <w:rPr>
            <w:noProof/>
            <w:webHidden/>
          </w:rPr>
          <w:instrText xml:space="preserve"> PAGEREF _Toc104985368 \h </w:instrText>
        </w:r>
        <w:r w:rsidR="00087753">
          <w:rPr>
            <w:noProof/>
            <w:webHidden/>
          </w:rPr>
        </w:r>
        <w:r w:rsidR="00087753">
          <w:rPr>
            <w:noProof/>
            <w:webHidden/>
          </w:rPr>
          <w:fldChar w:fldCharType="separate"/>
        </w:r>
        <w:r w:rsidR="004870F1">
          <w:rPr>
            <w:noProof/>
            <w:webHidden/>
          </w:rPr>
          <w:t>240</w:t>
        </w:r>
        <w:r w:rsidR="00087753">
          <w:rPr>
            <w:noProof/>
            <w:webHidden/>
          </w:rPr>
          <w:fldChar w:fldCharType="end"/>
        </w:r>
      </w:hyperlink>
    </w:p>
    <w:p w14:paraId="04193A95" w14:textId="6B9B2812" w:rsidR="00087753" w:rsidRDefault="00536556">
      <w:pPr>
        <w:pStyle w:val="51"/>
        <w:tabs>
          <w:tab w:val="right" w:leader="dot" w:pos="9344"/>
        </w:tabs>
        <w:rPr>
          <w:rFonts w:asciiTheme="minorHAnsi" w:eastAsiaTheme="minorEastAsia" w:hAnsiTheme="minorHAnsi"/>
          <w:noProof/>
          <w:sz w:val="22"/>
          <w:lang w:eastAsia="ru-RU"/>
        </w:rPr>
      </w:pPr>
      <w:hyperlink w:anchor="_Toc104985369" w:history="1">
        <w:r w:rsidR="00087753" w:rsidRPr="00277050">
          <w:rPr>
            <w:rStyle w:val="a7"/>
            <w:rFonts w:eastAsia="Calibri"/>
            <w:noProof/>
            <w:lang w:val="en-US"/>
          </w:rPr>
          <w:t>5.4.2.2.1 Steady-state</w:t>
        </w:r>
        <w:r w:rsidR="00087753">
          <w:rPr>
            <w:noProof/>
            <w:webHidden/>
          </w:rPr>
          <w:tab/>
        </w:r>
        <w:r w:rsidR="00087753">
          <w:rPr>
            <w:noProof/>
            <w:webHidden/>
          </w:rPr>
          <w:fldChar w:fldCharType="begin"/>
        </w:r>
        <w:r w:rsidR="00087753">
          <w:rPr>
            <w:noProof/>
            <w:webHidden/>
          </w:rPr>
          <w:instrText xml:space="preserve"> PAGEREF _Toc104985369 \h </w:instrText>
        </w:r>
        <w:r w:rsidR="00087753">
          <w:rPr>
            <w:noProof/>
            <w:webHidden/>
          </w:rPr>
        </w:r>
        <w:r w:rsidR="00087753">
          <w:rPr>
            <w:noProof/>
            <w:webHidden/>
          </w:rPr>
          <w:fldChar w:fldCharType="separate"/>
        </w:r>
        <w:r w:rsidR="004870F1">
          <w:rPr>
            <w:noProof/>
            <w:webHidden/>
          </w:rPr>
          <w:t>240</w:t>
        </w:r>
        <w:r w:rsidR="00087753">
          <w:rPr>
            <w:noProof/>
            <w:webHidden/>
          </w:rPr>
          <w:fldChar w:fldCharType="end"/>
        </w:r>
      </w:hyperlink>
    </w:p>
    <w:p w14:paraId="56E91316" w14:textId="2516832F" w:rsidR="00087753" w:rsidRDefault="00536556">
      <w:pPr>
        <w:pStyle w:val="51"/>
        <w:tabs>
          <w:tab w:val="right" w:leader="dot" w:pos="9344"/>
        </w:tabs>
        <w:rPr>
          <w:rFonts w:asciiTheme="minorHAnsi" w:eastAsiaTheme="minorEastAsia" w:hAnsiTheme="minorHAnsi"/>
          <w:noProof/>
          <w:sz w:val="22"/>
          <w:lang w:eastAsia="ru-RU"/>
        </w:rPr>
      </w:pPr>
      <w:hyperlink w:anchor="_Toc104985370" w:history="1">
        <w:r w:rsidR="00087753" w:rsidRPr="00277050">
          <w:rPr>
            <w:rStyle w:val="a7"/>
            <w:rFonts w:eastAsia="Calibri"/>
            <w:noProof/>
            <w:lang w:val="en-US"/>
          </w:rPr>
          <w:t>5.4.2.2.2 Instantaneous drawdown</w:t>
        </w:r>
        <w:r w:rsidR="00087753">
          <w:rPr>
            <w:noProof/>
            <w:webHidden/>
          </w:rPr>
          <w:tab/>
        </w:r>
        <w:r w:rsidR="00087753">
          <w:rPr>
            <w:noProof/>
            <w:webHidden/>
          </w:rPr>
          <w:fldChar w:fldCharType="begin"/>
        </w:r>
        <w:r w:rsidR="00087753">
          <w:rPr>
            <w:noProof/>
            <w:webHidden/>
          </w:rPr>
          <w:instrText xml:space="preserve"> PAGEREF _Toc104985370 \h </w:instrText>
        </w:r>
        <w:r w:rsidR="00087753">
          <w:rPr>
            <w:noProof/>
            <w:webHidden/>
          </w:rPr>
        </w:r>
        <w:r w:rsidR="00087753">
          <w:rPr>
            <w:noProof/>
            <w:webHidden/>
          </w:rPr>
          <w:fldChar w:fldCharType="separate"/>
        </w:r>
        <w:r w:rsidR="004870F1">
          <w:rPr>
            <w:noProof/>
            <w:webHidden/>
          </w:rPr>
          <w:t>242</w:t>
        </w:r>
        <w:r w:rsidR="00087753">
          <w:rPr>
            <w:noProof/>
            <w:webHidden/>
          </w:rPr>
          <w:fldChar w:fldCharType="end"/>
        </w:r>
      </w:hyperlink>
    </w:p>
    <w:p w14:paraId="468E0C3B" w14:textId="5D6F4B28" w:rsidR="00087753" w:rsidRDefault="00536556">
      <w:pPr>
        <w:pStyle w:val="51"/>
        <w:tabs>
          <w:tab w:val="right" w:leader="dot" w:pos="9344"/>
        </w:tabs>
        <w:rPr>
          <w:rFonts w:asciiTheme="minorHAnsi" w:eastAsiaTheme="minorEastAsia" w:hAnsiTheme="minorHAnsi"/>
          <w:noProof/>
          <w:sz w:val="22"/>
          <w:lang w:eastAsia="ru-RU"/>
        </w:rPr>
      </w:pPr>
      <w:hyperlink w:anchor="_Toc104985371" w:history="1">
        <w:r w:rsidR="00087753" w:rsidRPr="00277050">
          <w:rPr>
            <w:rStyle w:val="a7"/>
            <w:rFonts w:eastAsia="Calibri"/>
            <w:noProof/>
            <w:lang w:val="en-US"/>
          </w:rPr>
          <w:t>5.4.2.2.3 Rapid drawdown (5 days)</w:t>
        </w:r>
        <w:r w:rsidR="00087753">
          <w:rPr>
            <w:noProof/>
            <w:webHidden/>
          </w:rPr>
          <w:tab/>
        </w:r>
        <w:r w:rsidR="00087753">
          <w:rPr>
            <w:noProof/>
            <w:webHidden/>
          </w:rPr>
          <w:fldChar w:fldCharType="begin"/>
        </w:r>
        <w:r w:rsidR="00087753">
          <w:rPr>
            <w:noProof/>
            <w:webHidden/>
          </w:rPr>
          <w:instrText xml:space="preserve"> PAGEREF _Toc104985371 \h </w:instrText>
        </w:r>
        <w:r w:rsidR="00087753">
          <w:rPr>
            <w:noProof/>
            <w:webHidden/>
          </w:rPr>
        </w:r>
        <w:r w:rsidR="00087753">
          <w:rPr>
            <w:noProof/>
            <w:webHidden/>
          </w:rPr>
          <w:fldChar w:fldCharType="separate"/>
        </w:r>
        <w:r w:rsidR="004870F1">
          <w:rPr>
            <w:noProof/>
            <w:webHidden/>
          </w:rPr>
          <w:t>245</w:t>
        </w:r>
        <w:r w:rsidR="00087753">
          <w:rPr>
            <w:noProof/>
            <w:webHidden/>
          </w:rPr>
          <w:fldChar w:fldCharType="end"/>
        </w:r>
      </w:hyperlink>
    </w:p>
    <w:p w14:paraId="52781A16" w14:textId="39A49F19" w:rsidR="00087753" w:rsidRDefault="00536556">
      <w:pPr>
        <w:pStyle w:val="51"/>
        <w:tabs>
          <w:tab w:val="right" w:leader="dot" w:pos="9344"/>
        </w:tabs>
        <w:rPr>
          <w:rFonts w:asciiTheme="minorHAnsi" w:eastAsiaTheme="minorEastAsia" w:hAnsiTheme="minorHAnsi"/>
          <w:noProof/>
          <w:sz w:val="22"/>
          <w:lang w:eastAsia="ru-RU"/>
        </w:rPr>
      </w:pPr>
      <w:hyperlink w:anchor="_Toc104985372" w:history="1">
        <w:r w:rsidR="00087753" w:rsidRPr="00277050">
          <w:rPr>
            <w:rStyle w:val="a7"/>
            <w:rFonts w:eastAsia="Calibri"/>
            <w:noProof/>
            <w:lang w:val="en-US"/>
          </w:rPr>
          <w:t>5.4.2.2.4 Rapid drawdown (10 days)</w:t>
        </w:r>
        <w:r w:rsidR="00087753">
          <w:rPr>
            <w:noProof/>
            <w:webHidden/>
          </w:rPr>
          <w:tab/>
        </w:r>
        <w:r w:rsidR="00087753">
          <w:rPr>
            <w:noProof/>
            <w:webHidden/>
          </w:rPr>
          <w:fldChar w:fldCharType="begin"/>
        </w:r>
        <w:r w:rsidR="00087753">
          <w:rPr>
            <w:noProof/>
            <w:webHidden/>
          </w:rPr>
          <w:instrText xml:space="preserve"> PAGEREF _Toc104985372 \h </w:instrText>
        </w:r>
        <w:r w:rsidR="00087753">
          <w:rPr>
            <w:noProof/>
            <w:webHidden/>
          </w:rPr>
        </w:r>
        <w:r w:rsidR="00087753">
          <w:rPr>
            <w:noProof/>
            <w:webHidden/>
          </w:rPr>
          <w:fldChar w:fldCharType="separate"/>
        </w:r>
        <w:r w:rsidR="004870F1">
          <w:rPr>
            <w:noProof/>
            <w:webHidden/>
          </w:rPr>
          <w:t>249</w:t>
        </w:r>
        <w:r w:rsidR="00087753">
          <w:rPr>
            <w:noProof/>
            <w:webHidden/>
          </w:rPr>
          <w:fldChar w:fldCharType="end"/>
        </w:r>
      </w:hyperlink>
    </w:p>
    <w:p w14:paraId="648D91FC" w14:textId="512C5845" w:rsidR="00087753" w:rsidRDefault="00536556">
      <w:pPr>
        <w:pStyle w:val="51"/>
        <w:tabs>
          <w:tab w:val="right" w:leader="dot" w:pos="9344"/>
        </w:tabs>
        <w:rPr>
          <w:rFonts w:asciiTheme="minorHAnsi" w:eastAsiaTheme="minorEastAsia" w:hAnsiTheme="minorHAnsi"/>
          <w:noProof/>
          <w:sz w:val="22"/>
          <w:lang w:eastAsia="ru-RU"/>
        </w:rPr>
      </w:pPr>
      <w:hyperlink w:anchor="_Toc104985373" w:history="1">
        <w:r w:rsidR="00087753" w:rsidRPr="00277050">
          <w:rPr>
            <w:rStyle w:val="a7"/>
            <w:rFonts w:eastAsia="Calibri"/>
            <w:noProof/>
            <w:lang w:val="en-US"/>
          </w:rPr>
          <w:t>5.4.2.2.5 Rapid drawdown (1 m per day)</w:t>
        </w:r>
        <w:r w:rsidR="00087753">
          <w:rPr>
            <w:noProof/>
            <w:webHidden/>
          </w:rPr>
          <w:tab/>
        </w:r>
        <w:r w:rsidR="00087753">
          <w:rPr>
            <w:noProof/>
            <w:webHidden/>
          </w:rPr>
          <w:fldChar w:fldCharType="begin"/>
        </w:r>
        <w:r w:rsidR="00087753">
          <w:rPr>
            <w:noProof/>
            <w:webHidden/>
          </w:rPr>
          <w:instrText xml:space="preserve"> PAGEREF _Toc104985373 \h </w:instrText>
        </w:r>
        <w:r w:rsidR="00087753">
          <w:rPr>
            <w:noProof/>
            <w:webHidden/>
          </w:rPr>
        </w:r>
        <w:r w:rsidR="00087753">
          <w:rPr>
            <w:noProof/>
            <w:webHidden/>
          </w:rPr>
          <w:fldChar w:fldCharType="separate"/>
        </w:r>
        <w:r w:rsidR="004870F1">
          <w:rPr>
            <w:noProof/>
            <w:webHidden/>
          </w:rPr>
          <w:t>253</w:t>
        </w:r>
        <w:r w:rsidR="00087753">
          <w:rPr>
            <w:noProof/>
            <w:webHidden/>
          </w:rPr>
          <w:fldChar w:fldCharType="end"/>
        </w:r>
      </w:hyperlink>
    </w:p>
    <w:p w14:paraId="26266224" w14:textId="07427E67" w:rsidR="00087753" w:rsidRDefault="00536556">
      <w:pPr>
        <w:pStyle w:val="51"/>
        <w:tabs>
          <w:tab w:val="right" w:leader="dot" w:pos="9344"/>
        </w:tabs>
        <w:rPr>
          <w:rFonts w:asciiTheme="minorHAnsi" w:eastAsiaTheme="minorEastAsia" w:hAnsiTheme="minorHAnsi"/>
          <w:noProof/>
          <w:sz w:val="22"/>
          <w:lang w:eastAsia="ru-RU"/>
        </w:rPr>
      </w:pPr>
      <w:hyperlink w:anchor="_Toc104985374" w:history="1">
        <w:r w:rsidR="00087753" w:rsidRPr="00277050">
          <w:rPr>
            <w:rStyle w:val="a7"/>
            <w:rFonts w:eastAsia="Calibri"/>
            <w:noProof/>
            <w:lang w:val="en-US"/>
          </w:rPr>
          <w:t>5.4.2.2.6 Correlation analysis</w:t>
        </w:r>
        <w:r w:rsidR="00087753">
          <w:rPr>
            <w:noProof/>
            <w:webHidden/>
          </w:rPr>
          <w:tab/>
        </w:r>
        <w:r w:rsidR="00087753">
          <w:rPr>
            <w:noProof/>
            <w:webHidden/>
          </w:rPr>
          <w:fldChar w:fldCharType="begin"/>
        </w:r>
        <w:r w:rsidR="00087753">
          <w:rPr>
            <w:noProof/>
            <w:webHidden/>
          </w:rPr>
          <w:instrText xml:space="preserve"> PAGEREF _Toc104985374 \h </w:instrText>
        </w:r>
        <w:r w:rsidR="00087753">
          <w:rPr>
            <w:noProof/>
            <w:webHidden/>
          </w:rPr>
        </w:r>
        <w:r w:rsidR="00087753">
          <w:rPr>
            <w:noProof/>
            <w:webHidden/>
          </w:rPr>
          <w:fldChar w:fldCharType="separate"/>
        </w:r>
        <w:r w:rsidR="004870F1">
          <w:rPr>
            <w:noProof/>
            <w:webHidden/>
          </w:rPr>
          <w:t>257</w:t>
        </w:r>
        <w:r w:rsidR="00087753">
          <w:rPr>
            <w:noProof/>
            <w:webHidden/>
          </w:rPr>
          <w:fldChar w:fldCharType="end"/>
        </w:r>
      </w:hyperlink>
    </w:p>
    <w:p w14:paraId="298FC0A4" w14:textId="6C66B99B" w:rsidR="00087753" w:rsidRDefault="00536556">
      <w:pPr>
        <w:pStyle w:val="51"/>
        <w:tabs>
          <w:tab w:val="right" w:leader="dot" w:pos="9344"/>
        </w:tabs>
        <w:rPr>
          <w:rFonts w:asciiTheme="minorHAnsi" w:eastAsiaTheme="minorEastAsia" w:hAnsiTheme="minorHAnsi"/>
          <w:noProof/>
          <w:sz w:val="22"/>
          <w:lang w:eastAsia="ru-RU"/>
        </w:rPr>
      </w:pPr>
      <w:hyperlink w:anchor="_Toc104985375" w:history="1">
        <w:r w:rsidR="00087753" w:rsidRPr="00277050">
          <w:rPr>
            <w:rStyle w:val="a7"/>
            <w:rFonts w:eastAsia="Calibri"/>
            <w:noProof/>
            <w:lang w:val="en-US"/>
          </w:rPr>
          <w:t>5.4.2.2.7 Analysis of variance (ANOVA)</w:t>
        </w:r>
        <w:r w:rsidR="00087753">
          <w:rPr>
            <w:noProof/>
            <w:webHidden/>
          </w:rPr>
          <w:tab/>
        </w:r>
        <w:r w:rsidR="00087753">
          <w:rPr>
            <w:noProof/>
            <w:webHidden/>
          </w:rPr>
          <w:fldChar w:fldCharType="begin"/>
        </w:r>
        <w:r w:rsidR="00087753">
          <w:rPr>
            <w:noProof/>
            <w:webHidden/>
          </w:rPr>
          <w:instrText xml:space="preserve"> PAGEREF _Toc104985375 \h </w:instrText>
        </w:r>
        <w:r w:rsidR="00087753">
          <w:rPr>
            <w:noProof/>
            <w:webHidden/>
          </w:rPr>
        </w:r>
        <w:r w:rsidR="00087753">
          <w:rPr>
            <w:noProof/>
            <w:webHidden/>
          </w:rPr>
          <w:fldChar w:fldCharType="separate"/>
        </w:r>
        <w:r w:rsidR="004870F1">
          <w:rPr>
            <w:noProof/>
            <w:webHidden/>
          </w:rPr>
          <w:t>258</w:t>
        </w:r>
        <w:r w:rsidR="00087753">
          <w:rPr>
            <w:noProof/>
            <w:webHidden/>
          </w:rPr>
          <w:fldChar w:fldCharType="end"/>
        </w:r>
      </w:hyperlink>
    </w:p>
    <w:p w14:paraId="0ADE2AF3" w14:textId="4DBAF908" w:rsidR="00087753" w:rsidRDefault="00536556">
      <w:pPr>
        <w:pStyle w:val="31"/>
        <w:tabs>
          <w:tab w:val="right" w:leader="dot" w:pos="9344"/>
        </w:tabs>
        <w:rPr>
          <w:rFonts w:asciiTheme="minorHAnsi" w:eastAsiaTheme="minorEastAsia" w:hAnsiTheme="minorHAnsi"/>
          <w:noProof/>
          <w:sz w:val="22"/>
          <w:lang w:eastAsia="ru-RU"/>
        </w:rPr>
      </w:pPr>
      <w:hyperlink w:anchor="_Toc104985376" w:history="1">
        <w:r w:rsidR="00087753" w:rsidRPr="00277050">
          <w:rPr>
            <w:rStyle w:val="a7"/>
            <w:rFonts w:eastAsia="Calibri"/>
            <w:iCs/>
            <w:noProof/>
          </w:rPr>
          <w:t>5.4.3</w:t>
        </w:r>
        <w:r w:rsidR="00087753" w:rsidRPr="00277050">
          <w:rPr>
            <w:rStyle w:val="a7"/>
            <w:rFonts w:eastAsia="Calibri"/>
            <w:noProof/>
            <w:lang w:val="en-US"/>
          </w:rPr>
          <w:t xml:space="preserve"> Summary of the sub-section</w:t>
        </w:r>
        <w:r w:rsidR="00087753">
          <w:rPr>
            <w:noProof/>
            <w:webHidden/>
          </w:rPr>
          <w:tab/>
        </w:r>
        <w:r w:rsidR="00087753">
          <w:rPr>
            <w:noProof/>
            <w:webHidden/>
          </w:rPr>
          <w:fldChar w:fldCharType="begin"/>
        </w:r>
        <w:r w:rsidR="00087753">
          <w:rPr>
            <w:noProof/>
            <w:webHidden/>
          </w:rPr>
          <w:instrText xml:space="preserve"> PAGEREF _Toc104985376 \h </w:instrText>
        </w:r>
        <w:r w:rsidR="00087753">
          <w:rPr>
            <w:noProof/>
            <w:webHidden/>
          </w:rPr>
        </w:r>
        <w:r w:rsidR="00087753">
          <w:rPr>
            <w:noProof/>
            <w:webHidden/>
          </w:rPr>
          <w:fldChar w:fldCharType="separate"/>
        </w:r>
        <w:r w:rsidR="004870F1">
          <w:rPr>
            <w:noProof/>
            <w:webHidden/>
          </w:rPr>
          <w:t>260</w:t>
        </w:r>
        <w:r w:rsidR="00087753">
          <w:rPr>
            <w:noProof/>
            <w:webHidden/>
          </w:rPr>
          <w:fldChar w:fldCharType="end"/>
        </w:r>
      </w:hyperlink>
    </w:p>
    <w:p w14:paraId="082257D0" w14:textId="5F495B90" w:rsidR="00087753" w:rsidRDefault="00536556">
      <w:pPr>
        <w:pStyle w:val="61"/>
        <w:rPr>
          <w:rFonts w:asciiTheme="minorHAnsi" w:eastAsiaTheme="minorEastAsia" w:hAnsiTheme="minorHAnsi" w:cstheme="minorBidi"/>
          <w:sz w:val="22"/>
          <w:lang w:val="ru-RU" w:eastAsia="ru-RU"/>
        </w:rPr>
      </w:pPr>
      <w:hyperlink w:anchor="_Toc104985377" w:history="1">
        <w:r w:rsidR="00087753" w:rsidRPr="00277050">
          <w:rPr>
            <w:rStyle w:val="a7"/>
          </w:rPr>
          <w:t>Summary of chapter five</w:t>
        </w:r>
        <w:r w:rsidR="00087753">
          <w:rPr>
            <w:webHidden/>
          </w:rPr>
          <w:tab/>
        </w:r>
        <w:r w:rsidR="00087753">
          <w:rPr>
            <w:webHidden/>
          </w:rPr>
          <w:fldChar w:fldCharType="begin"/>
        </w:r>
        <w:r w:rsidR="00087753">
          <w:rPr>
            <w:webHidden/>
          </w:rPr>
          <w:instrText xml:space="preserve"> PAGEREF _Toc104985377 \h </w:instrText>
        </w:r>
        <w:r w:rsidR="00087753">
          <w:rPr>
            <w:webHidden/>
          </w:rPr>
        </w:r>
        <w:r w:rsidR="00087753">
          <w:rPr>
            <w:webHidden/>
          </w:rPr>
          <w:fldChar w:fldCharType="separate"/>
        </w:r>
        <w:r w:rsidR="004870F1">
          <w:rPr>
            <w:webHidden/>
          </w:rPr>
          <w:t>262</w:t>
        </w:r>
        <w:r w:rsidR="00087753">
          <w:rPr>
            <w:webHidden/>
          </w:rPr>
          <w:fldChar w:fldCharType="end"/>
        </w:r>
      </w:hyperlink>
    </w:p>
    <w:p w14:paraId="288F8E7F" w14:textId="744AC953" w:rsidR="00087753" w:rsidRDefault="00536556">
      <w:pPr>
        <w:pStyle w:val="11"/>
        <w:rPr>
          <w:rFonts w:asciiTheme="minorHAnsi" w:eastAsiaTheme="minorEastAsia" w:hAnsiTheme="minorHAnsi"/>
          <w:caps w:val="0"/>
          <w:noProof/>
          <w:sz w:val="22"/>
          <w:lang w:eastAsia="ru-RU"/>
        </w:rPr>
      </w:pPr>
      <w:hyperlink w:anchor="_Toc104985378" w:history="1">
        <w:r w:rsidR="00087753" w:rsidRPr="00277050">
          <w:rPr>
            <w:rStyle w:val="a7"/>
            <w:rFonts w:eastAsia="Calibri"/>
            <w:noProof/>
            <w:lang w:val="en-US"/>
          </w:rPr>
          <w:t>CONCLUSIONS AND RECOMMENDATIONS</w:t>
        </w:r>
        <w:r w:rsidR="00087753">
          <w:rPr>
            <w:noProof/>
            <w:webHidden/>
          </w:rPr>
          <w:tab/>
        </w:r>
        <w:r w:rsidR="00087753">
          <w:rPr>
            <w:noProof/>
            <w:webHidden/>
          </w:rPr>
          <w:fldChar w:fldCharType="begin"/>
        </w:r>
        <w:r w:rsidR="00087753">
          <w:rPr>
            <w:noProof/>
            <w:webHidden/>
          </w:rPr>
          <w:instrText xml:space="preserve"> PAGEREF _Toc104985378 \h </w:instrText>
        </w:r>
        <w:r w:rsidR="00087753">
          <w:rPr>
            <w:noProof/>
            <w:webHidden/>
          </w:rPr>
        </w:r>
        <w:r w:rsidR="00087753">
          <w:rPr>
            <w:noProof/>
            <w:webHidden/>
          </w:rPr>
          <w:fldChar w:fldCharType="separate"/>
        </w:r>
        <w:r w:rsidR="004870F1">
          <w:rPr>
            <w:noProof/>
            <w:webHidden/>
          </w:rPr>
          <w:t>264</w:t>
        </w:r>
        <w:r w:rsidR="00087753">
          <w:rPr>
            <w:noProof/>
            <w:webHidden/>
          </w:rPr>
          <w:fldChar w:fldCharType="end"/>
        </w:r>
      </w:hyperlink>
    </w:p>
    <w:p w14:paraId="265A6000" w14:textId="333DB69A" w:rsidR="00087753" w:rsidRDefault="00536556">
      <w:pPr>
        <w:pStyle w:val="11"/>
        <w:rPr>
          <w:rFonts w:asciiTheme="minorHAnsi" w:eastAsiaTheme="minorEastAsia" w:hAnsiTheme="minorHAnsi"/>
          <w:caps w:val="0"/>
          <w:noProof/>
          <w:sz w:val="22"/>
          <w:lang w:eastAsia="ru-RU"/>
        </w:rPr>
      </w:pPr>
      <w:hyperlink w:anchor="_Toc104985379" w:history="1">
        <w:r w:rsidR="00087753" w:rsidRPr="00277050">
          <w:rPr>
            <w:rStyle w:val="a7"/>
            <w:rFonts w:cs="Times New Roman"/>
            <w:noProof/>
            <w:lang w:val="en-US"/>
          </w:rPr>
          <w:t>REFERENCES</w:t>
        </w:r>
        <w:r w:rsidR="00087753">
          <w:rPr>
            <w:noProof/>
            <w:webHidden/>
          </w:rPr>
          <w:tab/>
        </w:r>
        <w:r w:rsidR="00087753">
          <w:rPr>
            <w:noProof/>
            <w:webHidden/>
          </w:rPr>
          <w:fldChar w:fldCharType="begin"/>
        </w:r>
        <w:r w:rsidR="00087753">
          <w:rPr>
            <w:noProof/>
            <w:webHidden/>
          </w:rPr>
          <w:instrText xml:space="preserve"> PAGEREF _Toc104985379 \h </w:instrText>
        </w:r>
        <w:r w:rsidR="00087753">
          <w:rPr>
            <w:noProof/>
            <w:webHidden/>
          </w:rPr>
        </w:r>
        <w:r w:rsidR="00087753">
          <w:rPr>
            <w:noProof/>
            <w:webHidden/>
          </w:rPr>
          <w:fldChar w:fldCharType="separate"/>
        </w:r>
        <w:r w:rsidR="004870F1">
          <w:rPr>
            <w:noProof/>
            <w:webHidden/>
          </w:rPr>
          <w:t>267</w:t>
        </w:r>
        <w:r w:rsidR="00087753">
          <w:rPr>
            <w:noProof/>
            <w:webHidden/>
          </w:rPr>
          <w:fldChar w:fldCharType="end"/>
        </w:r>
      </w:hyperlink>
    </w:p>
    <w:p w14:paraId="7421ACE0" w14:textId="5E860EBA" w:rsidR="00087753" w:rsidRDefault="00536556">
      <w:pPr>
        <w:pStyle w:val="11"/>
        <w:rPr>
          <w:rFonts w:asciiTheme="minorHAnsi" w:eastAsiaTheme="minorEastAsia" w:hAnsiTheme="minorHAnsi"/>
          <w:caps w:val="0"/>
          <w:noProof/>
          <w:sz w:val="22"/>
          <w:lang w:eastAsia="ru-RU"/>
        </w:rPr>
      </w:pPr>
      <w:hyperlink w:anchor="_Toc104985380" w:history="1">
        <w:r w:rsidR="00087753" w:rsidRPr="00277050">
          <w:rPr>
            <w:rStyle w:val="a7"/>
            <w:noProof/>
            <w:lang w:val="en-US"/>
          </w:rPr>
          <w:t xml:space="preserve">Appendix A – </w:t>
        </w:r>
        <w:r w:rsidR="00087753" w:rsidRPr="00277050">
          <w:rPr>
            <w:rStyle w:val="a7"/>
            <w:rFonts w:eastAsia="Calibri"/>
            <w:noProof/>
            <w:lang w:val="en-US"/>
          </w:rPr>
          <w:t>Script for geoprocessing tool</w:t>
        </w:r>
        <w:r w:rsidR="00087753">
          <w:rPr>
            <w:noProof/>
            <w:webHidden/>
          </w:rPr>
          <w:tab/>
        </w:r>
        <w:r w:rsidR="00087753">
          <w:rPr>
            <w:noProof/>
            <w:webHidden/>
          </w:rPr>
          <w:fldChar w:fldCharType="begin"/>
        </w:r>
        <w:r w:rsidR="00087753">
          <w:rPr>
            <w:noProof/>
            <w:webHidden/>
          </w:rPr>
          <w:instrText xml:space="preserve"> PAGEREF _Toc104985380 \h </w:instrText>
        </w:r>
        <w:r w:rsidR="00087753">
          <w:rPr>
            <w:noProof/>
            <w:webHidden/>
          </w:rPr>
        </w:r>
        <w:r w:rsidR="00087753">
          <w:rPr>
            <w:noProof/>
            <w:webHidden/>
          </w:rPr>
          <w:fldChar w:fldCharType="separate"/>
        </w:r>
        <w:r w:rsidR="004870F1">
          <w:rPr>
            <w:noProof/>
            <w:webHidden/>
          </w:rPr>
          <w:t>288</w:t>
        </w:r>
        <w:r w:rsidR="00087753">
          <w:rPr>
            <w:noProof/>
            <w:webHidden/>
          </w:rPr>
          <w:fldChar w:fldCharType="end"/>
        </w:r>
      </w:hyperlink>
    </w:p>
    <w:p w14:paraId="4AF1F526" w14:textId="2A614DDD" w:rsidR="00087753" w:rsidRDefault="00536556">
      <w:pPr>
        <w:pStyle w:val="11"/>
        <w:rPr>
          <w:rFonts w:asciiTheme="minorHAnsi" w:eastAsiaTheme="minorEastAsia" w:hAnsiTheme="minorHAnsi"/>
          <w:caps w:val="0"/>
          <w:noProof/>
          <w:sz w:val="22"/>
          <w:lang w:eastAsia="ru-RU"/>
        </w:rPr>
      </w:pPr>
      <w:hyperlink w:anchor="_Toc104985381" w:history="1">
        <w:r w:rsidR="00087753" w:rsidRPr="00277050">
          <w:rPr>
            <w:rStyle w:val="a7"/>
            <w:noProof/>
            <w:lang w:val="en-US"/>
          </w:rPr>
          <w:t xml:space="preserve">Appendix B - </w:t>
        </w:r>
        <w:r w:rsidR="00087753" w:rsidRPr="00277050">
          <w:rPr>
            <w:rStyle w:val="a7"/>
            <w:rFonts w:eastAsia="Calibri"/>
            <w:noProof/>
            <w:lang w:val="en-US"/>
          </w:rPr>
          <w:t>Ndembera catchment land use and land cover data for water in 1995</w:t>
        </w:r>
        <w:r w:rsidR="00087753">
          <w:rPr>
            <w:noProof/>
            <w:webHidden/>
          </w:rPr>
          <w:tab/>
        </w:r>
        <w:r w:rsidR="00087753">
          <w:rPr>
            <w:noProof/>
            <w:webHidden/>
          </w:rPr>
          <w:fldChar w:fldCharType="begin"/>
        </w:r>
        <w:r w:rsidR="00087753">
          <w:rPr>
            <w:noProof/>
            <w:webHidden/>
          </w:rPr>
          <w:instrText xml:space="preserve"> PAGEREF _Toc104985381 \h </w:instrText>
        </w:r>
        <w:r w:rsidR="00087753">
          <w:rPr>
            <w:noProof/>
            <w:webHidden/>
          </w:rPr>
        </w:r>
        <w:r w:rsidR="00087753">
          <w:rPr>
            <w:noProof/>
            <w:webHidden/>
          </w:rPr>
          <w:fldChar w:fldCharType="separate"/>
        </w:r>
        <w:r w:rsidR="004870F1">
          <w:rPr>
            <w:noProof/>
            <w:webHidden/>
          </w:rPr>
          <w:t>291</w:t>
        </w:r>
        <w:r w:rsidR="00087753">
          <w:rPr>
            <w:noProof/>
            <w:webHidden/>
          </w:rPr>
          <w:fldChar w:fldCharType="end"/>
        </w:r>
      </w:hyperlink>
    </w:p>
    <w:p w14:paraId="3F56A2AC" w14:textId="5AE4C08A" w:rsidR="00087753" w:rsidRDefault="00536556">
      <w:pPr>
        <w:pStyle w:val="11"/>
        <w:rPr>
          <w:rFonts w:asciiTheme="minorHAnsi" w:eastAsiaTheme="minorEastAsia" w:hAnsiTheme="minorHAnsi"/>
          <w:caps w:val="0"/>
          <w:noProof/>
          <w:sz w:val="22"/>
          <w:lang w:eastAsia="ru-RU"/>
        </w:rPr>
      </w:pPr>
      <w:hyperlink w:anchor="_Toc104985382" w:history="1">
        <w:r w:rsidR="00087753" w:rsidRPr="00277050">
          <w:rPr>
            <w:rStyle w:val="a7"/>
            <w:noProof/>
            <w:lang w:val="en-US"/>
          </w:rPr>
          <w:t>Appendix C – Pore-water pressures from 1 m per day drawdown</w:t>
        </w:r>
        <w:r w:rsidR="00087753">
          <w:rPr>
            <w:noProof/>
            <w:webHidden/>
          </w:rPr>
          <w:tab/>
        </w:r>
        <w:r w:rsidR="00087753">
          <w:rPr>
            <w:noProof/>
            <w:webHidden/>
          </w:rPr>
          <w:fldChar w:fldCharType="begin"/>
        </w:r>
        <w:r w:rsidR="00087753">
          <w:rPr>
            <w:noProof/>
            <w:webHidden/>
          </w:rPr>
          <w:instrText xml:space="preserve"> PAGEREF _Toc104985382 \h </w:instrText>
        </w:r>
        <w:r w:rsidR="00087753">
          <w:rPr>
            <w:noProof/>
            <w:webHidden/>
          </w:rPr>
        </w:r>
        <w:r w:rsidR="00087753">
          <w:rPr>
            <w:noProof/>
            <w:webHidden/>
          </w:rPr>
          <w:fldChar w:fldCharType="separate"/>
        </w:r>
        <w:r w:rsidR="004870F1">
          <w:rPr>
            <w:noProof/>
            <w:webHidden/>
          </w:rPr>
          <w:t>295</w:t>
        </w:r>
        <w:r w:rsidR="00087753">
          <w:rPr>
            <w:noProof/>
            <w:webHidden/>
          </w:rPr>
          <w:fldChar w:fldCharType="end"/>
        </w:r>
      </w:hyperlink>
    </w:p>
    <w:p w14:paraId="79AB8197" w14:textId="7276CE17" w:rsidR="00087753" w:rsidRDefault="00536556">
      <w:pPr>
        <w:pStyle w:val="11"/>
        <w:rPr>
          <w:rFonts w:asciiTheme="minorHAnsi" w:eastAsiaTheme="minorEastAsia" w:hAnsiTheme="minorHAnsi"/>
          <w:caps w:val="0"/>
          <w:noProof/>
          <w:sz w:val="22"/>
          <w:lang w:eastAsia="ru-RU"/>
        </w:rPr>
      </w:pPr>
      <w:hyperlink w:anchor="_Toc104985383" w:history="1">
        <w:r w:rsidR="00087753" w:rsidRPr="00277050">
          <w:rPr>
            <w:rStyle w:val="a7"/>
            <w:noProof/>
            <w:lang w:val="en-US"/>
          </w:rPr>
          <w:t xml:space="preserve">Appendix D – </w:t>
        </w:r>
        <w:r w:rsidR="00087753" w:rsidRPr="00277050">
          <w:rPr>
            <w:rStyle w:val="a7"/>
            <w:rFonts w:eastAsia="Calibri"/>
            <w:noProof/>
            <w:lang w:val="en-US"/>
          </w:rPr>
          <w:t>Ndembera dam factor of safety values from 1 m per day drawdown: Morgenstern-Price method</w:t>
        </w:r>
        <w:r w:rsidR="00087753">
          <w:rPr>
            <w:noProof/>
            <w:webHidden/>
          </w:rPr>
          <w:tab/>
        </w:r>
        <w:r w:rsidR="00087753">
          <w:rPr>
            <w:noProof/>
            <w:webHidden/>
          </w:rPr>
          <w:fldChar w:fldCharType="begin"/>
        </w:r>
        <w:r w:rsidR="00087753">
          <w:rPr>
            <w:noProof/>
            <w:webHidden/>
          </w:rPr>
          <w:instrText xml:space="preserve"> PAGEREF _Toc104985383 \h </w:instrText>
        </w:r>
        <w:r w:rsidR="00087753">
          <w:rPr>
            <w:noProof/>
            <w:webHidden/>
          </w:rPr>
        </w:r>
        <w:r w:rsidR="00087753">
          <w:rPr>
            <w:noProof/>
            <w:webHidden/>
          </w:rPr>
          <w:fldChar w:fldCharType="separate"/>
        </w:r>
        <w:r w:rsidR="004870F1">
          <w:rPr>
            <w:noProof/>
            <w:webHidden/>
          </w:rPr>
          <w:t>296</w:t>
        </w:r>
        <w:r w:rsidR="00087753">
          <w:rPr>
            <w:noProof/>
            <w:webHidden/>
          </w:rPr>
          <w:fldChar w:fldCharType="end"/>
        </w:r>
      </w:hyperlink>
    </w:p>
    <w:p w14:paraId="43976748" w14:textId="23D65C34" w:rsidR="00087753" w:rsidRDefault="00536556">
      <w:pPr>
        <w:pStyle w:val="11"/>
        <w:rPr>
          <w:rFonts w:asciiTheme="minorHAnsi" w:eastAsiaTheme="minorEastAsia" w:hAnsiTheme="minorHAnsi"/>
          <w:caps w:val="0"/>
          <w:noProof/>
          <w:sz w:val="22"/>
          <w:lang w:eastAsia="ru-RU"/>
        </w:rPr>
      </w:pPr>
      <w:hyperlink w:anchor="_Toc104985384" w:history="1">
        <w:r w:rsidR="00087753" w:rsidRPr="00277050">
          <w:rPr>
            <w:rStyle w:val="a7"/>
            <w:noProof/>
            <w:lang w:val="en-US"/>
          </w:rPr>
          <w:t xml:space="preserve">Appendix E – </w:t>
        </w:r>
        <w:r w:rsidR="00087753" w:rsidRPr="00277050">
          <w:rPr>
            <w:rStyle w:val="a7"/>
            <w:rFonts w:eastAsia="Calibri"/>
            <w:noProof/>
            <w:lang w:val="en-US"/>
          </w:rPr>
          <w:t>Ndembera dam factor of safety values from 1 m per day drawdown: Bishop method</w:t>
        </w:r>
        <w:r w:rsidR="00087753">
          <w:rPr>
            <w:noProof/>
            <w:webHidden/>
          </w:rPr>
          <w:tab/>
        </w:r>
        <w:r w:rsidR="00087753">
          <w:rPr>
            <w:noProof/>
            <w:webHidden/>
          </w:rPr>
          <w:fldChar w:fldCharType="begin"/>
        </w:r>
        <w:r w:rsidR="00087753">
          <w:rPr>
            <w:noProof/>
            <w:webHidden/>
          </w:rPr>
          <w:instrText xml:space="preserve"> PAGEREF _Toc104985384 \h </w:instrText>
        </w:r>
        <w:r w:rsidR="00087753">
          <w:rPr>
            <w:noProof/>
            <w:webHidden/>
          </w:rPr>
        </w:r>
        <w:r w:rsidR="00087753">
          <w:rPr>
            <w:noProof/>
            <w:webHidden/>
          </w:rPr>
          <w:fldChar w:fldCharType="separate"/>
        </w:r>
        <w:r w:rsidR="004870F1">
          <w:rPr>
            <w:noProof/>
            <w:webHidden/>
          </w:rPr>
          <w:t>298</w:t>
        </w:r>
        <w:r w:rsidR="00087753">
          <w:rPr>
            <w:noProof/>
            <w:webHidden/>
          </w:rPr>
          <w:fldChar w:fldCharType="end"/>
        </w:r>
      </w:hyperlink>
    </w:p>
    <w:p w14:paraId="2261FE83" w14:textId="09FB95F7" w:rsidR="00087753" w:rsidRDefault="00536556">
      <w:pPr>
        <w:pStyle w:val="11"/>
        <w:rPr>
          <w:rFonts w:asciiTheme="minorHAnsi" w:eastAsiaTheme="minorEastAsia" w:hAnsiTheme="minorHAnsi"/>
          <w:caps w:val="0"/>
          <w:noProof/>
          <w:sz w:val="22"/>
          <w:lang w:eastAsia="ru-RU"/>
        </w:rPr>
      </w:pPr>
      <w:hyperlink w:anchor="_Toc104985385" w:history="1">
        <w:r w:rsidR="00087753" w:rsidRPr="00277050">
          <w:rPr>
            <w:rStyle w:val="a7"/>
            <w:noProof/>
            <w:lang w:val="en-US"/>
          </w:rPr>
          <w:t xml:space="preserve">Appendix F – </w:t>
        </w:r>
        <w:r w:rsidR="00087753" w:rsidRPr="00277050">
          <w:rPr>
            <w:rStyle w:val="a7"/>
            <w:rFonts w:eastAsia="Calibri"/>
            <w:noProof/>
            <w:lang w:val="en-US"/>
          </w:rPr>
          <w:t>Chardara dam factor of safety values from instantaneous drawdown</w:t>
        </w:r>
        <w:r w:rsidR="00087753">
          <w:rPr>
            <w:noProof/>
            <w:webHidden/>
          </w:rPr>
          <w:tab/>
        </w:r>
        <w:r w:rsidR="00087753">
          <w:rPr>
            <w:noProof/>
            <w:webHidden/>
          </w:rPr>
          <w:fldChar w:fldCharType="begin"/>
        </w:r>
        <w:r w:rsidR="00087753">
          <w:rPr>
            <w:noProof/>
            <w:webHidden/>
          </w:rPr>
          <w:instrText xml:space="preserve"> PAGEREF _Toc104985385 \h </w:instrText>
        </w:r>
        <w:r w:rsidR="00087753">
          <w:rPr>
            <w:noProof/>
            <w:webHidden/>
          </w:rPr>
        </w:r>
        <w:r w:rsidR="00087753">
          <w:rPr>
            <w:noProof/>
            <w:webHidden/>
          </w:rPr>
          <w:fldChar w:fldCharType="separate"/>
        </w:r>
        <w:r w:rsidR="004870F1">
          <w:rPr>
            <w:noProof/>
            <w:webHidden/>
          </w:rPr>
          <w:t>300</w:t>
        </w:r>
        <w:r w:rsidR="00087753">
          <w:rPr>
            <w:noProof/>
            <w:webHidden/>
          </w:rPr>
          <w:fldChar w:fldCharType="end"/>
        </w:r>
      </w:hyperlink>
    </w:p>
    <w:p w14:paraId="246DBAC3" w14:textId="1B58C09E" w:rsidR="00087753" w:rsidRDefault="00536556">
      <w:pPr>
        <w:pStyle w:val="11"/>
        <w:rPr>
          <w:rFonts w:asciiTheme="minorHAnsi" w:eastAsiaTheme="minorEastAsia" w:hAnsiTheme="minorHAnsi"/>
          <w:caps w:val="0"/>
          <w:noProof/>
          <w:sz w:val="22"/>
          <w:lang w:eastAsia="ru-RU"/>
        </w:rPr>
      </w:pPr>
      <w:hyperlink w:anchor="_Toc104985386" w:history="1">
        <w:r w:rsidR="00087753" w:rsidRPr="00277050">
          <w:rPr>
            <w:rStyle w:val="a7"/>
            <w:noProof/>
            <w:lang w:val="en-US"/>
          </w:rPr>
          <w:t>Appendix G – Chardara dam factor of safety values from instantaneous drawdown</w:t>
        </w:r>
        <w:r w:rsidR="00087753">
          <w:rPr>
            <w:noProof/>
            <w:webHidden/>
          </w:rPr>
          <w:tab/>
        </w:r>
        <w:r w:rsidR="00087753">
          <w:rPr>
            <w:noProof/>
            <w:webHidden/>
          </w:rPr>
          <w:fldChar w:fldCharType="begin"/>
        </w:r>
        <w:r w:rsidR="00087753">
          <w:rPr>
            <w:noProof/>
            <w:webHidden/>
          </w:rPr>
          <w:instrText xml:space="preserve"> PAGEREF _Toc104985386 \h </w:instrText>
        </w:r>
        <w:r w:rsidR="00087753">
          <w:rPr>
            <w:noProof/>
            <w:webHidden/>
          </w:rPr>
        </w:r>
        <w:r w:rsidR="00087753">
          <w:rPr>
            <w:noProof/>
            <w:webHidden/>
          </w:rPr>
          <w:fldChar w:fldCharType="separate"/>
        </w:r>
        <w:r w:rsidR="004870F1">
          <w:rPr>
            <w:noProof/>
            <w:webHidden/>
          </w:rPr>
          <w:t>301</w:t>
        </w:r>
        <w:r w:rsidR="00087753">
          <w:rPr>
            <w:noProof/>
            <w:webHidden/>
          </w:rPr>
          <w:fldChar w:fldCharType="end"/>
        </w:r>
      </w:hyperlink>
    </w:p>
    <w:p w14:paraId="20A29625" w14:textId="203013B7" w:rsidR="00087753" w:rsidRDefault="00536556">
      <w:pPr>
        <w:pStyle w:val="11"/>
        <w:rPr>
          <w:rFonts w:asciiTheme="minorHAnsi" w:eastAsiaTheme="minorEastAsia" w:hAnsiTheme="minorHAnsi"/>
          <w:caps w:val="0"/>
          <w:noProof/>
          <w:sz w:val="22"/>
          <w:lang w:eastAsia="ru-RU"/>
        </w:rPr>
      </w:pPr>
      <w:hyperlink w:anchor="_Toc104985387" w:history="1">
        <w:r w:rsidR="00087753" w:rsidRPr="00277050">
          <w:rPr>
            <w:rStyle w:val="a7"/>
            <w:noProof/>
            <w:lang w:val="en-US"/>
          </w:rPr>
          <w:t xml:space="preserve">Appendix H – </w:t>
        </w:r>
        <w:r w:rsidR="00087753" w:rsidRPr="00277050">
          <w:rPr>
            <w:rStyle w:val="a7"/>
            <w:rFonts w:eastAsia="Calibri"/>
            <w:noProof/>
            <w:lang w:val="en-US"/>
          </w:rPr>
          <w:t>Chardara dam factor of safety values from 10 days drawdown</w:t>
        </w:r>
        <w:r w:rsidR="00087753">
          <w:rPr>
            <w:noProof/>
            <w:webHidden/>
          </w:rPr>
          <w:tab/>
        </w:r>
        <w:r w:rsidR="00087753">
          <w:rPr>
            <w:noProof/>
            <w:webHidden/>
          </w:rPr>
          <w:fldChar w:fldCharType="begin"/>
        </w:r>
        <w:r w:rsidR="00087753">
          <w:rPr>
            <w:noProof/>
            <w:webHidden/>
          </w:rPr>
          <w:instrText xml:space="preserve"> PAGEREF _Toc104985387 \h </w:instrText>
        </w:r>
        <w:r w:rsidR="00087753">
          <w:rPr>
            <w:noProof/>
            <w:webHidden/>
          </w:rPr>
        </w:r>
        <w:r w:rsidR="00087753">
          <w:rPr>
            <w:noProof/>
            <w:webHidden/>
          </w:rPr>
          <w:fldChar w:fldCharType="separate"/>
        </w:r>
        <w:r w:rsidR="004870F1">
          <w:rPr>
            <w:noProof/>
            <w:webHidden/>
          </w:rPr>
          <w:t>302</w:t>
        </w:r>
        <w:r w:rsidR="00087753">
          <w:rPr>
            <w:noProof/>
            <w:webHidden/>
          </w:rPr>
          <w:fldChar w:fldCharType="end"/>
        </w:r>
      </w:hyperlink>
    </w:p>
    <w:p w14:paraId="08310D96" w14:textId="1866D1FA" w:rsidR="008A7DC9" w:rsidRDefault="00D270E1" w:rsidP="00DB6A0A">
      <w:pPr>
        <w:pStyle w:val="1"/>
        <w:numPr>
          <w:ilvl w:val="0"/>
          <w:numId w:val="0"/>
        </w:numPr>
        <w:jc w:val="center"/>
        <w:rPr>
          <w:lang w:val="en-US"/>
        </w:rPr>
      </w:pPr>
      <w:r>
        <w:rPr>
          <w:lang w:val="en-US"/>
        </w:rPr>
        <w:lastRenderedPageBreak/>
        <w:fldChar w:fldCharType="end"/>
      </w:r>
      <w:bookmarkStart w:id="3" w:name="_Toc104985155"/>
      <w:r w:rsidR="00FF2B90" w:rsidRPr="00DB6A0A">
        <w:rPr>
          <w:lang w:val="en-US"/>
        </w:rPr>
        <w:t>LIST OF FIGURES</w:t>
      </w:r>
      <w:bookmarkEnd w:id="3"/>
    </w:p>
    <w:p w14:paraId="52DE91F1" w14:textId="49A999DC" w:rsidR="00087753" w:rsidRDefault="000C6600">
      <w:pPr>
        <w:pStyle w:val="af7"/>
        <w:tabs>
          <w:tab w:val="right" w:leader="dot" w:pos="9344"/>
        </w:tabs>
        <w:rPr>
          <w:rFonts w:asciiTheme="minorHAnsi" w:eastAsiaTheme="minorEastAsia" w:hAnsiTheme="minorHAnsi"/>
          <w:noProof/>
          <w:sz w:val="22"/>
          <w:lang w:val="ru-RU" w:eastAsia="ru-RU"/>
        </w:rPr>
      </w:pPr>
      <w:r>
        <w:fldChar w:fldCharType="begin"/>
      </w:r>
      <w:r>
        <w:instrText xml:space="preserve"> TOC \h \z \c "Figure" </w:instrText>
      </w:r>
      <w:r>
        <w:fldChar w:fldCharType="separate"/>
      </w:r>
      <w:hyperlink w:anchor="_Toc104985388" w:history="1">
        <w:r w:rsidR="00087753" w:rsidRPr="00C04E2E">
          <w:rPr>
            <w:rStyle w:val="a7"/>
            <w:rFonts w:cs="Times New Roman"/>
            <w:noProof/>
            <w:lang w:bidi="en-US"/>
          </w:rPr>
          <w:t>Figure 1.1</w:t>
        </w:r>
        <w:r w:rsidR="00087753" w:rsidRPr="00C04E2E">
          <w:rPr>
            <w:rStyle w:val="a7"/>
            <w:noProof/>
          </w:rPr>
          <w:t xml:space="preserve"> </w:t>
        </w:r>
        <w:r w:rsidR="00087753" w:rsidRPr="00C04E2E">
          <w:rPr>
            <w:rStyle w:val="a7"/>
            <w:rFonts w:cs="Times New Roman"/>
            <w:noProof/>
            <w:lang w:bidi="en-US"/>
          </w:rPr>
          <w:t>– Curve for runoff equation application [92]</w:t>
        </w:r>
        <w:r w:rsidR="00087753">
          <w:rPr>
            <w:noProof/>
            <w:webHidden/>
          </w:rPr>
          <w:tab/>
        </w:r>
        <w:r w:rsidR="00087753">
          <w:rPr>
            <w:noProof/>
            <w:webHidden/>
          </w:rPr>
          <w:fldChar w:fldCharType="begin"/>
        </w:r>
        <w:r w:rsidR="00087753">
          <w:rPr>
            <w:noProof/>
            <w:webHidden/>
          </w:rPr>
          <w:instrText xml:space="preserve"> PAGEREF _Toc104985388 \h </w:instrText>
        </w:r>
        <w:r w:rsidR="00087753">
          <w:rPr>
            <w:noProof/>
            <w:webHidden/>
          </w:rPr>
        </w:r>
        <w:r w:rsidR="00087753">
          <w:rPr>
            <w:noProof/>
            <w:webHidden/>
          </w:rPr>
          <w:fldChar w:fldCharType="separate"/>
        </w:r>
        <w:r w:rsidR="004870F1">
          <w:rPr>
            <w:noProof/>
            <w:webHidden/>
          </w:rPr>
          <w:t>46</w:t>
        </w:r>
        <w:r w:rsidR="00087753">
          <w:rPr>
            <w:noProof/>
            <w:webHidden/>
          </w:rPr>
          <w:fldChar w:fldCharType="end"/>
        </w:r>
      </w:hyperlink>
    </w:p>
    <w:p w14:paraId="3F91AE81" w14:textId="79974828" w:rsidR="00087753" w:rsidRDefault="00536556">
      <w:pPr>
        <w:pStyle w:val="af7"/>
        <w:tabs>
          <w:tab w:val="right" w:leader="dot" w:pos="9344"/>
        </w:tabs>
        <w:rPr>
          <w:rFonts w:asciiTheme="minorHAnsi" w:eastAsiaTheme="minorEastAsia" w:hAnsiTheme="minorHAnsi"/>
          <w:noProof/>
          <w:sz w:val="22"/>
          <w:lang w:val="ru-RU" w:eastAsia="ru-RU"/>
        </w:rPr>
      </w:pPr>
      <w:hyperlink w:anchor="_Toc104985389" w:history="1">
        <w:r w:rsidR="00087753" w:rsidRPr="00C04E2E">
          <w:rPr>
            <w:rStyle w:val="a7"/>
            <w:rFonts w:cs="Times New Roman"/>
            <w:noProof/>
            <w:lang w:bidi="en-US"/>
          </w:rPr>
          <w:t>Figure 1.2 – Composite CN with Unconnected Impervious Areas and Total Impervious Areas Less than 30% [92]</w:t>
        </w:r>
        <w:r w:rsidR="00087753">
          <w:rPr>
            <w:noProof/>
            <w:webHidden/>
          </w:rPr>
          <w:tab/>
        </w:r>
        <w:r w:rsidR="00087753">
          <w:rPr>
            <w:noProof/>
            <w:webHidden/>
          </w:rPr>
          <w:fldChar w:fldCharType="begin"/>
        </w:r>
        <w:r w:rsidR="00087753">
          <w:rPr>
            <w:noProof/>
            <w:webHidden/>
          </w:rPr>
          <w:instrText xml:space="preserve"> PAGEREF _Toc104985389 \h </w:instrText>
        </w:r>
        <w:r w:rsidR="00087753">
          <w:rPr>
            <w:noProof/>
            <w:webHidden/>
          </w:rPr>
        </w:r>
        <w:r w:rsidR="00087753">
          <w:rPr>
            <w:noProof/>
            <w:webHidden/>
          </w:rPr>
          <w:fldChar w:fldCharType="separate"/>
        </w:r>
        <w:r w:rsidR="004870F1">
          <w:rPr>
            <w:noProof/>
            <w:webHidden/>
          </w:rPr>
          <w:t>50</w:t>
        </w:r>
        <w:r w:rsidR="00087753">
          <w:rPr>
            <w:noProof/>
            <w:webHidden/>
          </w:rPr>
          <w:fldChar w:fldCharType="end"/>
        </w:r>
      </w:hyperlink>
    </w:p>
    <w:p w14:paraId="52E0708A" w14:textId="229EACE0" w:rsidR="00087753" w:rsidRDefault="00536556">
      <w:pPr>
        <w:pStyle w:val="af7"/>
        <w:tabs>
          <w:tab w:val="right" w:leader="dot" w:pos="9344"/>
        </w:tabs>
        <w:rPr>
          <w:rFonts w:asciiTheme="minorHAnsi" w:eastAsiaTheme="minorEastAsia" w:hAnsiTheme="minorHAnsi"/>
          <w:noProof/>
          <w:sz w:val="22"/>
          <w:lang w:val="ru-RU" w:eastAsia="ru-RU"/>
        </w:rPr>
      </w:pPr>
      <w:hyperlink w:anchor="_Toc104985390" w:history="1">
        <w:r w:rsidR="00087753" w:rsidRPr="00C04E2E">
          <w:rPr>
            <w:rStyle w:val="a7"/>
            <w:rFonts w:cs="Times New Roman"/>
            <w:noProof/>
            <w:lang w:bidi="en-US"/>
          </w:rPr>
          <w:t>Figure 1.3 – Composite CN with Connected Impervious Area [92]</w:t>
        </w:r>
        <w:r w:rsidR="00087753">
          <w:rPr>
            <w:noProof/>
            <w:webHidden/>
          </w:rPr>
          <w:tab/>
        </w:r>
        <w:r w:rsidR="00087753">
          <w:rPr>
            <w:noProof/>
            <w:webHidden/>
          </w:rPr>
          <w:fldChar w:fldCharType="begin"/>
        </w:r>
        <w:r w:rsidR="00087753">
          <w:rPr>
            <w:noProof/>
            <w:webHidden/>
          </w:rPr>
          <w:instrText xml:space="preserve"> PAGEREF _Toc104985390 \h </w:instrText>
        </w:r>
        <w:r w:rsidR="00087753">
          <w:rPr>
            <w:noProof/>
            <w:webHidden/>
          </w:rPr>
        </w:r>
        <w:r w:rsidR="00087753">
          <w:rPr>
            <w:noProof/>
            <w:webHidden/>
          </w:rPr>
          <w:fldChar w:fldCharType="separate"/>
        </w:r>
        <w:r w:rsidR="004870F1">
          <w:rPr>
            <w:noProof/>
            <w:webHidden/>
          </w:rPr>
          <w:t>50</w:t>
        </w:r>
        <w:r w:rsidR="00087753">
          <w:rPr>
            <w:noProof/>
            <w:webHidden/>
          </w:rPr>
          <w:fldChar w:fldCharType="end"/>
        </w:r>
      </w:hyperlink>
    </w:p>
    <w:p w14:paraId="074A4AA2" w14:textId="04E6ABDB" w:rsidR="00087753" w:rsidRDefault="00536556">
      <w:pPr>
        <w:pStyle w:val="af7"/>
        <w:tabs>
          <w:tab w:val="right" w:leader="dot" w:pos="9344"/>
        </w:tabs>
        <w:rPr>
          <w:rFonts w:asciiTheme="minorHAnsi" w:eastAsiaTheme="minorEastAsia" w:hAnsiTheme="minorHAnsi"/>
          <w:noProof/>
          <w:sz w:val="22"/>
          <w:lang w:val="ru-RU" w:eastAsia="ru-RU"/>
        </w:rPr>
      </w:pPr>
      <w:hyperlink w:anchor="_Toc104985391" w:history="1">
        <w:r w:rsidR="00087753" w:rsidRPr="00C04E2E">
          <w:rPr>
            <w:rStyle w:val="a7"/>
            <w:rFonts w:cs="Times New Roman"/>
            <w:noProof/>
            <w:lang w:bidi="en-US"/>
          </w:rPr>
          <w:t>Figure 1.4 – A typical example of an embankment dam [110]</w:t>
        </w:r>
        <w:r w:rsidR="00087753">
          <w:rPr>
            <w:noProof/>
            <w:webHidden/>
          </w:rPr>
          <w:tab/>
        </w:r>
        <w:r w:rsidR="00087753">
          <w:rPr>
            <w:noProof/>
            <w:webHidden/>
          </w:rPr>
          <w:fldChar w:fldCharType="begin"/>
        </w:r>
        <w:r w:rsidR="00087753">
          <w:rPr>
            <w:noProof/>
            <w:webHidden/>
          </w:rPr>
          <w:instrText xml:space="preserve"> PAGEREF _Toc104985391 \h </w:instrText>
        </w:r>
        <w:r w:rsidR="00087753">
          <w:rPr>
            <w:noProof/>
            <w:webHidden/>
          </w:rPr>
        </w:r>
        <w:r w:rsidR="00087753">
          <w:rPr>
            <w:noProof/>
            <w:webHidden/>
          </w:rPr>
          <w:fldChar w:fldCharType="separate"/>
        </w:r>
        <w:r w:rsidR="004870F1">
          <w:rPr>
            <w:noProof/>
            <w:webHidden/>
          </w:rPr>
          <w:t>52</w:t>
        </w:r>
        <w:r w:rsidR="00087753">
          <w:rPr>
            <w:noProof/>
            <w:webHidden/>
          </w:rPr>
          <w:fldChar w:fldCharType="end"/>
        </w:r>
      </w:hyperlink>
    </w:p>
    <w:p w14:paraId="481DDCED" w14:textId="78460CB4" w:rsidR="00087753" w:rsidRDefault="00536556">
      <w:pPr>
        <w:pStyle w:val="af7"/>
        <w:tabs>
          <w:tab w:val="right" w:leader="dot" w:pos="9344"/>
        </w:tabs>
        <w:rPr>
          <w:rFonts w:asciiTheme="minorHAnsi" w:eastAsiaTheme="minorEastAsia" w:hAnsiTheme="minorHAnsi"/>
          <w:noProof/>
          <w:sz w:val="22"/>
          <w:lang w:val="ru-RU" w:eastAsia="ru-RU"/>
        </w:rPr>
      </w:pPr>
      <w:hyperlink w:anchor="_Toc104985392" w:history="1">
        <w:r w:rsidR="00087753" w:rsidRPr="00C04E2E">
          <w:rPr>
            <w:rStyle w:val="a7"/>
            <w:rFonts w:cs="Times New Roman"/>
            <w:noProof/>
            <w:lang w:bidi="en-US"/>
          </w:rPr>
          <w:t>Figure 1.5 – Overflow pipe description [112]</w:t>
        </w:r>
        <w:r w:rsidR="00087753">
          <w:rPr>
            <w:noProof/>
            <w:webHidden/>
          </w:rPr>
          <w:tab/>
        </w:r>
        <w:r w:rsidR="00087753">
          <w:rPr>
            <w:noProof/>
            <w:webHidden/>
          </w:rPr>
          <w:fldChar w:fldCharType="begin"/>
        </w:r>
        <w:r w:rsidR="00087753">
          <w:rPr>
            <w:noProof/>
            <w:webHidden/>
          </w:rPr>
          <w:instrText xml:space="preserve"> PAGEREF _Toc104985392 \h </w:instrText>
        </w:r>
        <w:r w:rsidR="00087753">
          <w:rPr>
            <w:noProof/>
            <w:webHidden/>
          </w:rPr>
        </w:r>
        <w:r w:rsidR="00087753">
          <w:rPr>
            <w:noProof/>
            <w:webHidden/>
          </w:rPr>
          <w:fldChar w:fldCharType="separate"/>
        </w:r>
        <w:r w:rsidR="004870F1">
          <w:rPr>
            <w:noProof/>
            <w:webHidden/>
          </w:rPr>
          <w:t>53</w:t>
        </w:r>
        <w:r w:rsidR="00087753">
          <w:rPr>
            <w:noProof/>
            <w:webHidden/>
          </w:rPr>
          <w:fldChar w:fldCharType="end"/>
        </w:r>
      </w:hyperlink>
    </w:p>
    <w:p w14:paraId="3CB15327" w14:textId="0091A485" w:rsidR="00087753" w:rsidRDefault="00536556">
      <w:pPr>
        <w:pStyle w:val="af7"/>
        <w:tabs>
          <w:tab w:val="right" w:leader="dot" w:pos="9344"/>
        </w:tabs>
        <w:rPr>
          <w:rFonts w:asciiTheme="minorHAnsi" w:eastAsiaTheme="minorEastAsia" w:hAnsiTheme="minorHAnsi"/>
          <w:noProof/>
          <w:sz w:val="22"/>
          <w:lang w:val="ru-RU" w:eastAsia="ru-RU"/>
        </w:rPr>
      </w:pPr>
      <w:hyperlink w:anchor="_Toc104985393" w:history="1">
        <w:r w:rsidR="00087753" w:rsidRPr="00C04E2E">
          <w:rPr>
            <w:rStyle w:val="a7"/>
            <w:rFonts w:cs="Times New Roman"/>
            <w:noProof/>
            <w:lang w:bidi="en-US"/>
          </w:rPr>
          <w:t xml:space="preserve">Figure 1.6 – Types of slope failure </w:t>
        </w:r>
        <w:r w:rsidR="00087753" w:rsidRPr="00C04E2E">
          <w:rPr>
            <w:rStyle w:val="a7"/>
            <w:rFonts w:cs="Times New Roman"/>
            <w:noProof/>
          </w:rPr>
          <w:t>[142]</w:t>
        </w:r>
        <w:r w:rsidR="00087753">
          <w:rPr>
            <w:noProof/>
            <w:webHidden/>
          </w:rPr>
          <w:tab/>
        </w:r>
        <w:r w:rsidR="00087753">
          <w:rPr>
            <w:noProof/>
            <w:webHidden/>
          </w:rPr>
          <w:fldChar w:fldCharType="begin"/>
        </w:r>
        <w:r w:rsidR="00087753">
          <w:rPr>
            <w:noProof/>
            <w:webHidden/>
          </w:rPr>
          <w:instrText xml:space="preserve"> PAGEREF _Toc104985393 \h </w:instrText>
        </w:r>
        <w:r w:rsidR="00087753">
          <w:rPr>
            <w:noProof/>
            <w:webHidden/>
          </w:rPr>
        </w:r>
        <w:r w:rsidR="00087753">
          <w:rPr>
            <w:noProof/>
            <w:webHidden/>
          </w:rPr>
          <w:fldChar w:fldCharType="separate"/>
        </w:r>
        <w:r w:rsidR="004870F1">
          <w:rPr>
            <w:noProof/>
            <w:webHidden/>
          </w:rPr>
          <w:t>61</w:t>
        </w:r>
        <w:r w:rsidR="00087753">
          <w:rPr>
            <w:noProof/>
            <w:webHidden/>
          </w:rPr>
          <w:fldChar w:fldCharType="end"/>
        </w:r>
      </w:hyperlink>
    </w:p>
    <w:p w14:paraId="79CFDDF3" w14:textId="22A71AEE" w:rsidR="00087753" w:rsidRDefault="00536556">
      <w:pPr>
        <w:pStyle w:val="af7"/>
        <w:tabs>
          <w:tab w:val="right" w:leader="dot" w:pos="9344"/>
        </w:tabs>
        <w:rPr>
          <w:rFonts w:asciiTheme="minorHAnsi" w:eastAsiaTheme="minorEastAsia" w:hAnsiTheme="minorHAnsi"/>
          <w:noProof/>
          <w:sz w:val="22"/>
          <w:lang w:val="ru-RU" w:eastAsia="ru-RU"/>
        </w:rPr>
      </w:pPr>
      <w:hyperlink w:anchor="_Toc104985394" w:history="1">
        <w:r w:rsidR="00087753" w:rsidRPr="00C04E2E">
          <w:rPr>
            <w:rStyle w:val="a7"/>
            <w:rFonts w:cs="Times New Roman"/>
            <w:noProof/>
            <w:lang w:bidi="en-US"/>
          </w:rPr>
          <w:t>Figure 1.7 – Factor of safety definition diagram [146]</w:t>
        </w:r>
        <w:r w:rsidR="00087753">
          <w:rPr>
            <w:noProof/>
            <w:webHidden/>
          </w:rPr>
          <w:tab/>
        </w:r>
        <w:r w:rsidR="00087753">
          <w:rPr>
            <w:noProof/>
            <w:webHidden/>
          </w:rPr>
          <w:fldChar w:fldCharType="begin"/>
        </w:r>
        <w:r w:rsidR="00087753">
          <w:rPr>
            <w:noProof/>
            <w:webHidden/>
          </w:rPr>
          <w:instrText xml:space="preserve"> PAGEREF _Toc104985394 \h </w:instrText>
        </w:r>
        <w:r w:rsidR="00087753">
          <w:rPr>
            <w:noProof/>
            <w:webHidden/>
          </w:rPr>
        </w:r>
        <w:r w:rsidR="00087753">
          <w:rPr>
            <w:noProof/>
            <w:webHidden/>
          </w:rPr>
          <w:fldChar w:fldCharType="separate"/>
        </w:r>
        <w:r w:rsidR="004870F1">
          <w:rPr>
            <w:noProof/>
            <w:webHidden/>
          </w:rPr>
          <w:t>62</w:t>
        </w:r>
        <w:r w:rsidR="00087753">
          <w:rPr>
            <w:noProof/>
            <w:webHidden/>
          </w:rPr>
          <w:fldChar w:fldCharType="end"/>
        </w:r>
      </w:hyperlink>
    </w:p>
    <w:p w14:paraId="3682AADD" w14:textId="2534E1FF" w:rsidR="00087753" w:rsidRDefault="00536556">
      <w:pPr>
        <w:pStyle w:val="af7"/>
        <w:tabs>
          <w:tab w:val="right" w:leader="dot" w:pos="9344"/>
        </w:tabs>
        <w:rPr>
          <w:rFonts w:asciiTheme="minorHAnsi" w:eastAsiaTheme="minorEastAsia" w:hAnsiTheme="minorHAnsi"/>
          <w:noProof/>
          <w:sz w:val="22"/>
          <w:lang w:val="ru-RU" w:eastAsia="ru-RU"/>
        </w:rPr>
      </w:pPr>
      <w:hyperlink w:anchor="_Toc104985395" w:history="1">
        <w:r w:rsidR="00087753" w:rsidRPr="00C04E2E">
          <w:rPr>
            <w:rStyle w:val="a7"/>
            <w:rFonts w:cs="Times New Roman"/>
            <w:noProof/>
            <w:lang w:bidi="en-US"/>
          </w:rPr>
          <w:t>Figure 1.8 – Slope stability analysis using the Culmann method [151]</w:t>
        </w:r>
        <w:r w:rsidR="00087753">
          <w:rPr>
            <w:noProof/>
            <w:webHidden/>
          </w:rPr>
          <w:tab/>
        </w:r>
        <w:r w:rsidR="00087753">
          <w:rPr>
            <w:noProof/>
            <w:webHidden/>
          </w:rPr>
          <w:fldChar w:fldCharType="begin"/>
        </w:r>
        <w:r w:rsidR="00087753">
          <w:rPr>
            <w:noProof/>
            <w:webHidden/>
          </w:rPr>
          <w:instrText xml:space="preserve"> PAGEREF _Toc104985395 \h </w:instrText>
        </w:r>
        <w:r w:rsidR="00087753">
          <w:rPr>
            <w:noProof/>
            <w:webHidden/>
          </w:rPr>
        </w:r>
        <w:r w:rsidR="00087753">
          <w:rPr>
            <w:noProof/>
            <w:webHidden/>
          </w:rPr>
          <w:fldChar w:fldCharType="separate"/>
        </w:r>
        <w:r w:rsidR="004870F1">
          <w:rPr>
            <w:noProof/>
            <w:webHidden/>
          </w:rPr>
          <w:t>63</w:t>
        </w:r>
        <w:r w:rsidR="00087753">
          <w:rPr>
            <w:noProof/>
            <w:webHidden/>
          </w:rPr>
          <w:fldChar w:fldCharType="end"/>
        </w:r>
      </w:hyperlink>
    </w:p>
    <w:p w14:paraId="4DE1B63A" w14:textId="2DD93395" w:rsidR="00087753" w:rsidRDefault="00536556">
      <w:pPr>
        <w:pStyle w:val="af7"/>
        <w:tabs>
          <w:tab w:val="right" w:leader="dot" w:pos="9344"/>
        </w:tabs>
        <w:rPr>
          <w:rFonts w:asciiTheme="minorHAnsi" w:eastAsiaTheme="minorEastAsia" w:hAnsiTheme="minorHAnsi"/>
          <w:noProof/>
          <w:sz w:val="22"/>
          <w:lang w:val="ru-RU" w:eastAsia="ru-RU"/>
        </w:rPr>
      </w:pPr>
      <w:hyperlink w:anchor="_Toc104985396" w:history="1">
        <w:r w:rsidR="00087753" w:rsidRPr="00C04E2E">
          <w:rPr>
            <w:rStyle w:val="a7"/>
            <w:rFonts w:cs="Times New Roman"/>
            <w:noProof/>
            <w:lang w:bidi="en-US"/>
          </w:rPr>
          <w:t>Figure 1.9 – Forces involved in slope stability calculation [153]</w:t>
        </w:r>
        <w:r w:rsidR="00087753">
          <w:rPr>
            <w:noProof/>
            <w:webHidden/>
          </w:rPr>
          <w:tab/>
        </w:r>
        <w:r w:rsidR="00087753">
          <w:rPr>
            <w:noProof/>
            <w:webHidden/>
          </w:rPr>
          <w:fldChar w:fldCharType="begin"/>
        </w:r>
        <w:r w:rsidR="00087753">
          <w:rPr>
            <w:noProof/>
            <w:webHidden/>
          </w:rPr>
          <w:instrText xml:space="preserve"> PAGEREF _Toc104985396 \h </w:instrText>
        </w:r>
        <w:r w:rsidR="00087753">
          <w:rPr>
            <w:noProof/>
            <w:webHidden/>
          </w:rPr>
        </w:r>
        <w:r w:rsidR="00087753">
          <w:rPr>
            <w:noProof/>
            <w:webHidden/>
          </w:rPr>
          <w:fldChar w:fldCharType="separate"/>
        </w:r>
        <w:r w:rsidR="004870F1">
          <w:rPr>
            <w:noProof/>
            <w:webHidden/>
          </w:rPr>
          <w:t>64</w:t>
        </w:r>
        <w:r w:rsidR="00087753">
          <w:rPr>
            <w:noProof/>
            <w:webHidden/>
          </w:rPr>
          <w:fldChar w:fldCharType="end"/>
        </w:r>
      </w:hyperlink>
    </w:p>
    <w:p w14:paraId="6718B605" w14:textId="17335BA1" w:rsidR="00087753" w:rsidRDefault="00536556">
      <w:pPr>
        <w:pStyle w:val="af7"/>
        <w:tabs>
          <w:tab w:val="right" w:leader="dot" w:pos="9344"/>
        </w:tabs>
        <w:rPr>
          <w:rFonts w:asciiTheme="minorHAnsi" w:eastAsiaTheme="minorEastAsia" w:hAnsiTheme="minorHAnsi"/>
          <w:noProof/>
          <w:sz w:val="22"/>
          <w:lang w:val="ru-RU" w:eastAsia="ru-RU"/>
        </w:rPr>
      </w:pPr>
      <w:hyperlink w:anchor="_Toc104985397" w:history="1">
        <w:r w:rsidR="00087753" w:rsidRPr="00C04E2E">
          <w:rPr>
            <w:rStyle w:val="a7"/>
            <w:rFonts w:cs="Times New Roman"/>
            <w:noProof/>
            <w:lang w:bidi="en-US"/>
          </w:rPr>
          <w:t>Figure 1.10 – Ordinary Method of Analysis [153]</w:t>
        </w:r>
        <w:r w:rsidR="00087753">
          <w:rPr>
            <w:noProof/>
            <w:webHidden/>
          </w:rPr>
          <w:tab/>
        </w:r>
        <w:r w:rsidR="00087753">
          <w:rPr>
            <w:noProof/>
            <w:webHidden/>
          </w:rPr>
          <w:fldChar w:fldCharType="begin"/>
        </w:r>
        <w:r w:rsidR="00087753">
          <w:rPr>
            <w:noProof/>
            <w:webHidden/>
          </w:rPr>
          <w:instrText xml:space="preserve"> PAGEREF _Toc104985397 \h </w:instrText>
        </w:r>
        <w:r w:rsidR="00087753">
          <w:rPr>
            <w:noProof/>
            <w:webHidden/>
          </w:rPr>
        </w:r>
        <w:r w:rsidR="00087753">
          <w:rPr>
            <w:noProof/>
            <w:webHidden/>
          </w:rPr>
          <w:fldChar w:fldCharType="separate"/>
        </w:r>
        <w:r w:rsidR="004870F1">
          <w:rPr>
            <w:noProof/>
            <w:webHidden/>
          </w:rPr>
          <w:t>64</w:t>
        </w:r>
        <w:r w:rsidR="00087753">
          <w:rPr>
            <w:noProof/>
            <w:webHidden/>
          </w:rPr>
          <w:fldChar w:fldCharType="end"/>
        </w:r>
      </w:hyperlink>
    </w:p>
    <w:p w14:paraId="3A0BCDAF" w14:textId="7890966E" w:rsidR="00087753" w:rsidRDefault="00536556">
      <w:pPr>
        <w:pStyle w:val="af7"/>
        <w:tabs>
          <w:tab w:val="right" w:leader="dot" w:pos="9344"/>
        </w:tabs>
        <w:rPr>
          <w:rFonts w:asciiTheme="minorHAnsi" w:eastAsiaTheme="minorEastAsia" w:hAnsiTheme="minorHAnsi"/>
          <w:noProof/>
          <w:sz w:val="22"/>
          <w:lang w:val="ru-RU" w:eastAsia="ru-RU"/>
        </w:rPr>
      </w:pPr>
      <w:hyperlink w:anchor="_Toc104985398" w:history="1">
        <w:r w:rsidR="00087753" w:rsidRPr="00C04E2E">
          <w:rPr>
            <w:rStyle w:val="a7"/>
            <w:rFonts w:cs="Times New Roman"/>
            <w:noProof/>
            <w:lang w:bidi="en-US"/>
          </w:rPr>
          <w:t>Figure 1.11 – Stresses and forces acting on a slice in Bishop Method of analysis [153].</w:t>
        </w:r>
        <w:r w:rsidR="00087753">
          <w:rPr>
            <w:noProof/>
            <w:webHidden/>
          </w:rPr>
          <w:tab/>
        </w:r>
        <w:r w:rsidR="00087753">
          <w:rPr>
            <w:noProof/>
            <w:webHidden/>
          </w:rPr>
          <w:fldChar w:fldCharType="begin"/>
        </w:r>
        <w:r w:rsidR="00087753">
          <w:rPr>
            <w:noProof/>
            <w:webHidden/>
          </w:rPr>
          <w:instrText xml:space="preserve"> PAGEREF _Toc104985398 \h </w:instrText>
        </w:r>
        <w:r w:rsidR="00087753">
          <w:rPr>
            <w:noProof/>
            <w:webHidden/>
          </w:rPr>
        </w:r>
        <w:r w:rsidR="00087753">
          <w:rPr>
            <w:noProof/>
            <w:webHidden/>
          </w:rPr>
          <w:fldChar w:fldCharType="separate"/>
        </w:r>
        <w:r w:rsidR="004870F1">
          <w:rPr>
            <w:noProof/>
            <w:webHidden/>
          </w:rPr>
          <w:t>65</w:t>
        </w:r>
        <w:r w:rsidR="00087753">
          <w:rPr>
            <w:noProof/>
            <w:webHidden/>
          </w:rPr>
          <w:fldChar w:fldCharType="end"/>
        </w:r>
      </w:hyperlink>
    </w:p>
    <w:p w14:paraId="71DE93AE" w14:textId="27E679EF" w:rsidR="00087753" w:rsidRDefault="00536556">
      <w:pPr>
        <w:pStyle w:val="af7"/>
        <w:tabs>
          <w:tab w:val="right" w:leader="dot" w:pos="9344"/>
        </w:tabs>
        <w:rPr>
          <w:rFonts w:asciiTheme="minorHAnsi" w:eastAsiaTheme="minorEastAsia" w:hAnsiTheme="minorHAnsi"/>
          <w:noProof/>
          <w:sz w:val="22"/>
          <w:lang w:val="ru-RU" w:eastAsia="ru-RU"/>
        </w:rPr>
      </w:pPr>
      <w:hyperlink w:anchor="_Toc104985399" w:history="1">
        <w:r w:rsidR="00087753" w:rsidRPr="00C04E2E">
          <w:rPr>
            <w:rStyle w:val="a7"/>
            <w:rFonts w:cs="Times New Roman"/>
            <w:noProof/>
            <w:lang w:bidi="en-US"/>
          </w:rPr>
          <w:t>Figure 1.12</w:t>
        </w:r>
        <w:r w:rsidR="00087753" w:rsidRPr="00C04E2E">
          <w:rPr>
            <w:rStyle w:val="a7"/>
            <w:noProof/>
          </w:rPr>
          <w:t xml:space="preserve"> </w:t>
        </w:r>
        <w:r w:rsidR="00087753" w:rsidRPr="00C04E2E">
          <w:rPr>
            <w:rStyle w:val="a7"/>
            <w:rFonts w:cs="Times New Roman"/>
            <w:noProof/>
            <w:lang w:bidi="en-US"/>
          </w:rPr>
          <w:t>– Morgenstern-Price approach (static scheme) [157]</w:t>
        </w:r>
        <w:r w:rsidR="00087753">
          <w:rPr>
            <w:noProof/>
            <w:webHidden/>
          </w:rPr>
          <w:tab/>
        </w:r>
        <w:r w:rsidR="00087753">
          <w:rPr>
            <w:noProof/>
            <w:webHidden/>
          </w:rPr>
          <w:fldChar w:fldCharType="begin"/>
        </w:r>
        <w:r w:rsidR="00087753">
          <w:rPr>
            <w:noProof/>
            <w:webHidden/>
          </w:rPr>
          <w:instrText xml:space="preserve"> PAGEREF _Toc104985399 \h </w:instrText>
        </w:r>
        <w:r w:rsidR="00087753">
          <w:rPr>
            <w:noProof/>
            <w:webHidden/>
          </w:rPr>
        </w:r>
        <w:r w:rsidR="00087753">
          <w:rPr>
            <w:noProof/>
            <w:webHidden/>
          </w:rPr>
          <w:fldChar w:fldCharType="separate"/>
        </w:r>
        <w:r w:rsidR="004870F1">
          <w:rPr>
            <w:noProof/>
            <w:webHidden/>
          </w:rPr>
          <w:t>65</w:t>
        </w:r>
        <w:r w:rsidR="00087753">
          <w:rPr>
            <w:noProof/>
            <w:webHidden/>
          </w:rPr>
          <w:fldChar w:fldCharType="end"/>
        </w:r>
      </w:hyperlink>
    </w:p>
    <w:p w14:paraId="02D463A4" w14:textId="7773ED43" w:rsidR="00087753" w:rsidRDefault="00536556">
      <w:pPr>
        <w:pStyle w:val="af7"/>
        <w:tabs>
          <w:tab w:val="right" w:leader="dot" w:pos="9344"/>
        </w:tabs>
        <w:rPr>
          <w:rFonts w:asciiTheme="minorHAnsi" w:eastAsiaTheme="minorEastAsia" w:hAnsiTheme="minorHAnsi"/>
          <w:noProof/>
          <w:sz w:val="22"/>
          <w:lang w:val="ru-RU" w:eastAsia="ru-RU"/>
        </w:rPr>
      </w:pPr>
      <w:hyperlink w:anchor="_Toc104985400" w:history="1">
        <w:r w:rsidR="00087753" w:rsidRPr="00C04E2E">
          <w:rPr>
            <w:rStyle w:val="a7"/>
            <w:rFonts w:cs="Times New Roman"/>
            <w:noProof/>
            <w:lang w:bidi="en-US"/>
          </w:rPr>
          <w:t>Figure 1.13</w:t>
        </w:r>
        <w:r w:rsidR="00087753" w:rsidRPr="00C04E2E">
          <w:rPr>
            <w:rStyle w:val="a7"/>
            <w:noProof/>
          </w:rPr>
          <w:t xml:space="preserve"> </w:t>
        </w:r>
        <w:r w:rsidR="00087753" w:rsidRPr="00C04E2E">
          <w:rPr>
            <w:rStyle w:val="a7"/>
            <w:rFonts w:cs="Times New Roman"/>
            <w:noProof/>
            <w:lang w:bidi="en-US"/>
          </w:rPr>
          <w:t>– Function of half-sine [157]</w:t>
        </w:r>
        <w:r w:rsidR="00087753">
          <w:rPr>
            <w:noProof/>
            <w:webHidden/>
          </w:rPr>
          <w:tab/>
        </w:r>
        <w:r w:rsidR="00087753">
          <w:rPr>
            <w:noProof/>
            <w:webHidden/>
          </w:rPr>
          <w:fldChar w:fldCharType="begin"/>
        </w:r>
        <w:r w:rsidR="00087753">
          <w:rPr>
            <w:noProof/>
            <w:webHidden/>
          </w:rPr>
          <w:instrText xml:space="preserve"> PAGEREF _Toc104985400 \h </w:instrText>
        </w:r>
        <w:r w:rsidR="00087753">
          <w:rPr>
            <w:noProof/>
            <w:webHidden/>
          </w:rPr>
        </w:r>
        <w:r w:rsidR="00087753">
          <w:rPr>
            <w:noProof/>
            <w:webHidden/>
          </w:rPr>
          <w:fldChar w:fldCharType="separate"/>
        </w:r>
        <w:r w:rsidR="004870F1">
          <w:rPr>
            <w:noProof/>
            <w:webHidden/>
          </w:rPr>
          <w:t>66</w:t>
        </w:r>
        <w:r w:rsidR="00087753">
          <w:rPr>
            <w:noProof/>
            <w:webHidden/>
          </w:rPr>
          <w:fldChar w:fldCharType="end"/>
        </w:r>
      </w:hyperlink>
    </w:p>
    <w:p w14:paraId="28FF2D92" w14:textId="1119FBE6" w:rsidR="00087753" w:rsidRDefault="00536556">
      <w:pPr>
        <w:pStyle w:val="af7"/>
        <w:tabs>
          <w:tab w:val="right" w:leader="dot" w:pos="9344"/>
        </w:tabs>
        <w:rPr>
          <w:rFonts w:asciiTheme="minorHAnsi" w:eastAsiaTheme="minorEastAsia" w:hAnsiTheme="minorHAnsi"/>
          <w:noProof/>
          <w:sz w:val="22"/>
          <w:lang w:val="ru-RU" w:eastAsia="ru-RU"/>
        </w:rPr>
      </w:pPr>
      <w:hyperlink w:anchor="_Toc104985401" w:history="1">
        <w:r w:rsidR="00087753" w:rsidRPr="00C04E2E">
          <w:rPr>
            <w:rStyle w:val="a7"/>
            <w:rFonts w:cs="Times New Roman"/>
            <w:noProof/>
            <w:lang w:bidi="en-US"/>
          </w:rPr>
          <w:t>Figure 1.14  Forces acting on a single slice [161]</w:t>
        </w:r>
        <w:r w:rsidR="00087753">
          <w:rPr>
            <w:noProof/>
            <w:webHidden/>
          </w:rPr>
          <w:tab/>
        </w:r>
        <w:r w:rsidR="00087753">
          <w:rPr>
            <w:noProof/>
            <w:webHidden/>
          </w:rPr>
          <w:fldChar w:fldCharType="begin"/>
        </w:r>
        <w:r w:rsidR="00087753">
          <w:rPr>
            <w:noProof/>
            <w:webHidden/>
          </w:rPr>
          <w:instrText xml:space="preserve"> PAGEREF _Toc104985401 \h </w:instrText>
        </w:r>
        <w:r w:rsidR="00087753">
          <w:rPr>
            <w:noProof/>
            <w:webHidden/>
          </w:rPr>
        </w:r>
        <w:r w:rsidR="00087753">
          <w:rPr>
            <w:noProof/>
            <w:webHidden/>
          </w:rPr>
          <w:fldChar w:fldCharType="separate"/>
        </w:r>
        <w:r w:rsidR="004870F1">
          <w:rPr>
            <w:noProof/>
            <w:webHidden/>
          </w:rPr>
          <w:t>69</w:t>
        </w:r>
        <w:r w:rsidR="00087753">
          <w:rPr>
            <w:noProof/>
            <w:webHidden/>
          </w:rPr>
          <w:fldChar w:fldCharType="end"/>
        </w:r>
      </w:hyperlink>
    </w:p>
    <w:p w14:paraId="60840D36" w14:textId="5D41CB53" w:rsidR="00087753" w:rsidRDefault="00536556">
      <w:pPr>
        <w:pStyle w:val="af7"/>
        <w:tabs>
          <w:tab w:val="right" w:leader="dot" w:pos="9344"/>
        </w:tabs>
        <w:rPr>
          <w:rFonts w:asciiTheme="minorHAnsi" w:eastAsiaTheme="minorEastAsia" w:hAnsiTheme="minorHAnsi"/>
          <w:noProof/>
          <w:sz w:val="22"/>
          <w:lang w:val="ru-RU" w:eastAsia="ru-RU"/>
        </w:rPr>
      </w:pPr>
      <w:hyperlink w:anchor="_Toc104985402" w:history="1">
        <w:r w:rsidR="00087753" w:rsidRPr="00C04E2E">
          <w:rPr>
            <w:rStyle w:val="a7"/>
            <w:rFonts w:cs="Times New Roman"/>
            <w:noProof/>
            <w:lang w:bidi="en-US"/>
          </w:rPr>
          <w:t>Figure 1.15 Spencer's Method of Slices [161]</w:t>
        </w:r>
        <w:r w:rsidR="00087753">
          <w:rPr>
            <w:noProof/>
            <w:webHidden/>
          </w:rPr>
          <w:tab/>
        </w:r>
        <w:r w:rsidR="00087753">
          <w:rPr>
            <w:noProof/>
            <w:webHidden/>
          </w:rPr>
          <w:fldChar w:fldCharType="begin"/>
        </w:r>
        <w:r w:rsidR="00087753">
          <w:rPr>
            <w:noProof/>
            <w:webHidden/>
          </w:rPr>
          <w:instrText xml:space="preserve"> PAGEREF _Toc104985402 \h </w:instrText>
        </w:r>
        <w:r w:rsidR="00087753">
          <w:rPr>
            <w:noProof/>
            <w:webHidden/>
          </w:rPr>
        </w:r>
        <w:r w:rsidR="00087753">
          <w:rPr>
            <w:noProof/>
            <w:webHidden/>
          </w:rPr>
          <w:fldChar w:fldCharType="separate"/>
        </w:r>
        <w:r w:rsidR="004870F1">
          <w:rPr>
            <w:noProof/>
            <w:webHidden/>
          </w:rPr>
          <w:t>71</w:t>
        </w:r>
        <w:r w:rsidR="00087753">
          <w:rPr>
            <w:noProof/>
            <w:webHidden/>
          </w:rPr>
          <w:fldChar w:fldCharType="end"/>
        </w:r>
      </w:hyperlink>
    </w:p>
    <w:p w14:paraId="44FBB2EC" w14:textId="78717F65" w:rsidR="00087753" w:rsidRDefault="00536556">
      <w:pPr>
        <w:pStyle w:val="af7"/>
        <w:tabs>
          <w:tab w:val="right" w:leader="dot" w:pos="9344"/>
        </w:tabs>
        <w:rPr>
          <w:rFonts w:asciiTheme="minorHAnsi" w:eastAsiaTheme="minorEastAsia" w:hAnsiTheme="minorHAnsi"/>
          <w:noProof/>
          <w:sz w:val="22"/>
          <w:lang w:val="ru-RU" w:eastAsia="ru-RU"/>
        </w:rPr>
      </w:pPr>
      <w:hyperlink w:anchor="_Toc104985403" w:history="1">
        <w:r w:rsidR="00087753" w:rsidRPr="00C04E2E">
          <w:rPr>
            <w:rStyle w:val="a7"/>
            <w:rFonts w:cs="Times New Roman"/>
            <w:noProof/>
            <w:lang w:bidi="en-US"/>
          </w:rPr>
          <w:t>Figure 1.16 – Spencer method's static approach [163]</w:t>
        </w:r>
        <w:r w:rsidR="00087753">
          <w:rPr>
            <w:noProof/>
            <w:webHidden/>
          </w:rPr>
          <w:tab/>
        </w:r>
        <w:r w:rsidR="00087753">
          <w:rPr>
            <w:noProof/>
            <w:webHidden/>
          </w:rPr>
          <w:fldChar w:fldCharType="begin"/>
        </w:r>
        <w:r w:rsidR="00087753">
          <w:rPr>
            <w:noProof/>
            <w:webHidden/>
          </w:rPr>
          <w:instrText xml:space="preserve"> PAGEREF _Toc104985403 \h </w:instrText>
        </w:r>
        <w:r w:rsidR="00087753">
          <w:rPr>
            <w:noProof/>
            <w:webHidden/>
          </w:rPr>
        </w:r>
        <w:r w:rsidR="00087753">
          <w:rPr>
            <w:noProof/>
            <w:webHidden/>
          </w:rPr>
          <w:fldChar w:fldCharType="separate"/>
        </w:r>
        <w:r w:rsidR="004870F1">
          <w:rPr>
            <w:noProof/>
            <w:webHidden/>
          </w:rPr>
          <w:t>72</w:t>
        </w:r>
        <w:r w:rsidR="00087753">
          <w:rPr>
            <w:noProof/>
            <w:webHidden/>
          </w:rPr>
          <w:fldChar w:fldCharType="end"/>
        </w:r>
      </w:hyperlink>
    </w:p>
    <w:p w14:paraId="070BED91" w14:textId="3C4AEB6C" w:rsidR="00087753" w:rsidRDefault="00536556">
      <w:pPr>
        <w:pStyle w:val="af7"/>
        <w:tabs>
          <w:tab w:val="right" w:leader="dot" w:pos="9344"/>
        </w:tabs>
        <w:rPr>
          <w:rFonts w:asciiTheme="minorHAnsi" w:eastAsiaTheme="minorEastAsia" w:hAnsiTheme="minorHAnsi"/>
          <w:noProof/>
          <w:sz w:val="22"/>
          <w:lang w:val="ru-RU" w:eastAsia="ru-RU"/>
        </w:rPr>
      </w:pPr>
      <w:hyperlink w:anchor="_Toc104985404" w:history="1">
        <w:r w:rsidR="00087753" w:rsidRPr="00C04E2E">
          <w:rPr>
            <w:rStyle w:val="a7"/>
            <w:rFonts w:cs="Times New Roman"/>
            <w:noProof/>
            <w:lang w:bidi="en-US"/>
          </w:rPr>
          <w:t>Figure 1.17 – Static approach - Janbu method [166]</w:t>
        </w:r>
        <w:r w:rsidR="00087753">
          <w:rPr>
            <w:noProof/>
            <w:webHidden/>
          </w:rPr>
          <w:tab/>
        </w:r>
        <w:r w:rsidR="00087753">
          <w:rPr>
            <w:noProof/>
            <w:webHidden/>
          </w:rPr>
          <w:fldChar w:fldCharType="begin"/>
        </w:r>
        <w:r w:rsidR="00087753">
          <w:rPr>
            <w:noProof/>
            <w:webHidden/>
          </w:rPr>
          <w:instrText xml:space="preserve"> PAGEREF _Toc104985404 \h </w:instrText>
        </w:r>
        <w:r w:rsidR="00087753">
          <w:rPr>
            <w:noProof/>
            <w:webHidden/>
          </w:rPr>
        </w:r>
        <w:r w:rsidR="00087753">
          <w:rPr>
            <w:noProof/>
            <w:webHidden/>
          </w:rPr>
          <w:fldChar w:fldCharType="separate"/>
        </w:r>
        <w:r w:rsidR="004870F1">
          <w:rPr>
            <w:noProof/>
            <w:webHidden/>
          </w:rPr>
          <w:t>74</w:t>
        </w:r>
        <w:r w:rsidR="00087753">
          <w:rPr>
            <w:noProof/>
            <w:webHidden/>
          </w:rPr>
          <w:fldChar w:fldCharType="end"/>
        </w:r>
      </w:hyperlink>
    </w:p>
    <w:p w14:paraId="6FA58161" w14:textId="3E15A027" w:rsidR="00087753" w:rsidRDefault="00536556">
      <w:pPr>
        <w:pStyle w:val="af7"/>
        <w:tabs>
          <w:tab w:val="right" w:leader="dot" w:pos="9344"/>
        </w:tabs>
        <w:rPr>
          <w:rFonts w:asciiTheme="minorHAnsi" w:eastAsiaTheme="minorEastAsia" w:hAnsiTheme="minorHAnsi"/>
          <w:noProof/>
          <w:sz w:val="22"/>
          <w:lang w:val="ru-RU" w:eastAsia="ru-RU"/>
        </w:rPr>
      </w:pPr>
      <w:hyperlink w:anchor="_Toc104985405" w:history="1">
        <w:r w:rsidR="00087753" w:rsidRPr="00C04E2E">
          <w:rPr>
            <w:rStyle w:val="a7"/>
            <w:rFonts w:cs="Times New Roman"/>
            <w:noProof/>
            <w:lang w:bidi="en-US"/>
          </w:rPr>
          <w:t>Figure 1.18 – Static scheme - Sarma method [169]</w:t>
        </w:r>
        <w:r w:rsidR="00087753">
          <w:rPr>
            <w:noProof/>
            <w:webHidden/>
          </w:rPr>
          <w:tab/>
        </w:r>
        <w:r w:rsidR="00087753">
          <w:rPr>
            <w:noProof/>
            <w:webHidden/>
          </w:rPr>
          <w:fldChar w:fldCharType="begin"/>
        </w:r>
        <w:r w:rsidR="00087753">
          <w:rPr>
            <w:noProof/>
            <w:webHidden/>
          </w:rPr>
          <w:instrText xml:space="preserve"> PAGEREF _Toc104985405 \h </w:instrText>
        </w:r>
        <w:r w:rsidR="00087753">
          <w:rPr>
            <w:noProof/>
            <w:webHidden/>
          </w:rPr>
        </w:r>
        <w:r w:rsidR="00087753">
          <w:rPr>
            <w:noProof/>
            <w:webHidden/>
          </w:rPr>
          <w:fldChar w:fldCharType="separate"/>
        </w:r>
        <w:r w:rsidR="004870F1">
          <w:rPr>
            <w:noProof/>
            <w:webHidden/>
          </w:rPr>
          <w:t>75</w:t>
        </w:r>
        <w:r w:rsidR="00087753">
          <w:rPr>
            <w:noProof/>
            <w:webHidden/>
          </w:rPr>
          <w:fldChar w:fldCharType="end"/>
        </w:r>
      </w:hyperlink>
    </w:p>
    <w:p w14:paraId="3B615ECC" w14:textId="4EE836AE" w:rsidR="00087753" w:rsidRDefault="00536556">
      <w:pPr>
        <w:pStyle w:val="af7"/>
        <w:tabs>
          <w:tab w:val="right" w:leader="dot" w:pos="9344"/>
        </w:tabs>
        <w:rPr>
          <w:rFonts w:asciiTheme="minorHAnsi" w:eastAsiaTheme="minorEastAsia" w:hAnsiTheme="minorHAnsi"/>
          <w:noProof/>
          <w:sz w:val="22"/>
          <w:lang w:val="ru-RU" w:eastAsia="ru-RU"/>
        </w:rPr>
      </w:pPr>
      <w:hyperlink w:anchor="_Toc104985406" w:history="1">
        <w:r w:rsidR="00087753" w:rsidRPr="00C04E2E">
          <w:rPr>
            <w:rStyle w:val="a7"/>
            <w:rFonts w:cs="Times New Roman"/>
            <w:noProof/>
            <w:lang w:bidi="en-US"/>
          </w:rPr>
          <w:t>Figure 1.19 – Static approach - Shahunyants method [170]</w:t>
        </w:r>
        <w:r w:rsidR="00087753">
          <w:rPr>
            <w:noProof/>
            <w:webHidden/>
          </w:rPr>
          <w:tab/>
        </w:r>
        <w:r w:rsidR="00087753">
          <w:rPr>
            <w:noProof/>
            <w:webHidden/>
          </w:rPr>
          <w:fldChar w:fldCharType="begin"/>
        </w:r>
        <w:r w:rsidR="00087753">
          <w:rPr>
            <w:noProof/>
            <w:webHidden/>
          </w:rPr>
          <w:instrText xml:space="preserve"> PAGEREF _Toc104985406 \h </w:instrText>
        </w:r>
        <w:r w:rsidR="00087753">
          <w:rPr>
            <w:noProof/>
            <w:webHidden/>
          </w:rPr>
        </w:r>
        <w:r w:rsidR="00087753">
          <w:rPr>
            <w:noProof/>
            <w:webHidden/>
          </w:rPr>
          <w:fldChar w:fldCharType="separate"/>
        </w:r>
        <w:r w:rsidR="004870F1">
          <w:rPr>
            <w:noProof/>
            <w:webHidden/>
          </w:rPr>
          <w:t>77</w:t>
        </w:r>
        <w:r w:rsidR="00087753">
          <w:rPr>
            <w:noProof/>
            <w:webHidden/>
          </w:rPr>
          <w:fldChar w:fldCharType="end"/>
        </w:r>
      </w:hyperlink>
    </w:p>
    <w:p w14:paraId="217E9BFE" w14:textId="6F20D16A" w:rsidR="00087753" w:rsidRDefault="00536556">
      <w:pPr>
        <w:pStyle w:val="af7"/>
        <w:tabs>
          <w:tab w:val="right" w:leader="dot" w:pos="9344"/>
        </w:tabs>
        <w:rPr>
          <w:rFonts w:asciiTheme="minorHAnsi" w:eastAsiaTheme="minorEastAsia" w:hAnsiTheme="minorHAnsi"/>
          <w:noProof/>
          <w:sz w:val="22"/>
          <w:lang w:val="ru-RU" w:eastAsia="ru-RU"/>
        </w:rPr>
      </w:pPr>
      <w:hyperlink w:anchor="_Toc104985407" w:history="1">
        <w:r w:rsidR="00087753" w:rsidRPr="00C04E2E">
          <w:rPr>
            <w:rStyle w:val="a7"/>
            <w:rFonts w:cs="Times New Roman"/>
            <w:noProof/>
            <w:lang w:bidi="en-US"/>
          </w:rPr>
          <w:t>Figure 1.20 – ITF Method - Forces acting on a block [172]</w:t>
        </w:r>
        <w:r w:rsidR="00087753">
          <w:rPr>
            <w:noProof/>
            <w:webHidden/>
          </w:rPr>
          <w:tab/>
        </w:r>
        <w:r w:rsidR="00087753">
          <w:rPr>
            <w:noProof/>
            <w:webHidden/>
          </w:rPr>
          <w:fldChar w:fldCharType="begin"/>
        </w:r>
        <w:r w:rsidR="00087753">
          <w:rPr>
            <w:noProof/>
            <w:webHidden/>
          </w:rPr>
          <w:instrText xml:space="preserve"> PAGEREF _Toc104985407 \h </w:instrText>
        </w:r>
        <w:r w:rsidR="00087753">
          <w:rPr>
            <w:noProof/>
            <w:webHidden/>
          </w:rPr>
        </w:r>
        <w:r w:rsidR="00087753">
          <w:rPr>
            <w:noProof/>
            <w:webHidden/>
          </w:rPr>
          <w:fldChar w:fldCharType="separate"/>
        </w:r>
        <w:r w:rsidR="004870F1">
          <w:rPr>
            <w:noProof/>
            <w:webHidden/>
          </w:rPr>
          <w:t>80</w:t>
        </w:r>
        <w:r w:rsidR="00087753">
          <w:rPr>
            <w:noProof/>
            <w:webHidden/>
          </w:rPr>
          <w:fldChar w:fldCharType="end"/>
        </w:r>
      </w:hyperlink>
    </w:p>
    <w:p w14:paraId="1133179F" w14:textId="2896A70A" w:rsidR="00087753" w:rsidRDefault="00536556">
      <w:pPr>
        <w:pStyle w:val="af7"/>
        <w:tabs>
          <w:tab w:val="right" w:leader="dot" w:pos="9344"/>
        </w:tabs>
        <w:rPr>
          <w:rFonts w:asciiTheme="minorHAnsi" w:eastAsiaTheme="minorEastAsia" w:hAnsiTheme="minorHAnsi"/>
          <w:noProof/>
          <w:sz w:val="22"/>
          <w:lang w:val="ru-RU" w:eastAsia="ru-RU"/>
        </w:rPr>
      </w:pPr>
      <w:hyperlink w:anchor="_Toc104985408" w:history="1">
        <w:r w:rsidR="00087753" w:rsidRPr="00C04E2E">
          <w:rPr>
            <w:rStyle w:val="a7"/>
            <w:rFonts w:cs="Times New Roman"/>
            <w:noProof/>
            <w:lang w:bidi="en-US"/>
          </w:rPr>
          <w:t>Figure 1.21 – Pore pressure action on the block diagram [172]</w:t>
        </w:r>
        <w:r w:rsidR="00087753">
          <w:rPr>
            <w:noProof/>
            <w:webHidden/>
          </w:rPr>
          <w:tab/>
        </w:r>
        <w:r w:rsidR="00087753">
          <w:rPr>
            <w:noProof/>
            <w:webHidden/>
          </w:rPr>
          <w:fldChar w:fldCharType="begin"/>
        </w:r>
        <w:r w:rsidR="00087753">
          <w:rPr>
            <w:noProof/>
            <w:webHidden/>
          </w:rPr>
          <w:instrText xml:space="preserve"> PAGEREF _Toc104985408 \h </w:instrText>
        </w:r>
        <w:r w:rsidR="00087753">
          <w:rPr>
            <w:noProof/>
            <w:webHidden/>
          </w:rPr>
        </w:r>
        <w:r w:rsidR="00087753">
          <w:rPr>
            <w:noProof/>
            <w:webHidden/>
          </w:rPr>
          <w:fldChar w:fldCharType="separate"/>
        </w:r>
        <w:r w:rsidR="004870F1">
          <w:rPr>
            <w:noProof/>
            <w:webHidden/>
          </w:rPr>
          <w:t>81</w:t>
        </w:r>
        <w:r w:rsidR="00087753">
          <w:rPr>
            <w:noProof/>
            <w:webHidden/>
          </w:rPr>
          <w:fldChar w:fldCharType="end"/>
        </w:r>
      </w:hyperlink>
    </w:p>
    <w:p w14:paraId="701DF903" w14:textId="40649009" w:rsidR="00087753" w:rsidRDefault="00536556">
      <w:pPr>
        <w:pStyle w:val="af7"/>
        <w:tabs>
          <w:tab w:val="right" w:leader="dot" w:pos="9344"/>
        </w:tabs>
        <w:rPr>
          <w:rFonts w:asciiTheme="minorHAnsi" w:eastAsiaTheme="minorEastAsia" w:hAnsiTheme="minorHAnsi"/>
          <w:noProof/>
          <w:sz w:val="22"/>
          <w:lang w:val="ru-RU" w:eastAsia="ru-RU"/>
        </w:rPr>
      </w:pPr>
      <w:hyperlink w:anchor="_Toc104985409" w:history="1">
        <w:r w:rsidR="00087753" w:rsidRPr="00C04E2E">
          <w:rPr>
            <w:rStyle w:val="a7"/>
            <w:rFonts w:cs="Times New Roman"/>
            <w:noProof/>
            <w:lang w:bidi="en-US"/>
          </w:rPr>
          <w:t>Figure 1.22 – Existing dam social risk recommendations [209]</w:t>
        </w:r>
        <w:r w:rsidR="00087753">
          <w:rPr>
            <w:noProof/>
            <w:webHidden/>
          </w:rPr>
          <w:tab/>
        </w:r>
        <w:r w:rsidR="00087753">
          <w:rPr>
            <w:noProof/>
            <w:webHidden/>
          </w:rPr>
          <w:fldChar w:fldCharType="begin"/>
        </w:r>
        <w:r w:rsidR="00087753">
          <w:rPr>
            <w:noProof/>
            <w:webHidden/>
          </w:rPr>
          <w:instrText xml:space="preserve"> PAGEREF _Toc104985409 \h </w:instrText>
        </w:r>
        <w:r w:rsidR="00087753">
          <w:rPr>
            <w:noProof/>
            <w:webHidden/>
          </w:rPr>
        </w:r>
        <w:r w:rsidR="00087753">
          <w:rPr>
            <w:noProof/>
            <w:webHidden/>
          </w:rPr>
          <w:fldChar w:fldCharType="separate"/>
        </w:r>
        <w:r w:rsidR="004870F1">
          <w:rPr>
            <w:noProof/>
            <w:webHidden/>
          </w:rPr>
          <w:t>90</w:t>
        </w:r>
        <w:r w:rsidR="00087753">
          <w:rPr>
            <w:noProof/>
            <w:webHidden/>
          </w:rPr>
          <w:fldChar w:fldCharType="end"/>
        </w:r>
      </w:hyperlink>
    </w:p>
    <w:p w14:paraId="48E6E884" w14:textId="47E57CC9" w:rsidR="00087753" w:rsidRDefault="00536556">
      <w:pPr>
        <w:pStyle w:val="af7"/>
        <w:tabs>
          <w:tab w:val="right" w:leader="dot" w:pos="9344"/>
        </w:tabs>
        <w:rPr>
          <w:rFonts w:asciiTheme="minorHAnsi" w:eastAsiaTheme="minorEastAsia" w:hAnsiTheme="minorHAnsi"/>
          <w:noProof/>
          <w:sz w:val="22"/>
          <w:lang w:val="ru-RU" w:eastAsia="ru-RU"/>
        </w:rPr>
      </w:pPr>
      <w:hyperlink w:anchor="_Toc104985410" w:history="1">
        <w:r w:rsidR="00087753" w:rsidRPr="00C04E2E">
          <w:rPr>
            <w:rStyle w:val="a7"/>
            <w:rFonts w:cs="Times New Roman"/>
            <w:noProof/>
            <w:lang w:bidi="en-US"/>
          </w:rPr>
          <w:t>Figure 2.1</w:t>
        </w:r>
        <w:r w:rsidR="00087753" w:rsidRPr="00C04E2E">
          <w:rPr>
            <w:rStyle w:val="a7"/>
            <w:noProof/>
          </w:rPr>
          <w:t xml:space="preserve"> </w:t>
        </w:r>
        <w:r w:rsidR="00087753" w:rsidRPr="00C04E2E">
          <w:rPr>
            <w:rStyle w:val="a7"/>
            <w:rFonts w:cs="Times New Roman"/>
            <w:noProof/>
            <w:lang w:bidi="en-US"/>
          </w:rPr>
          <w:t>– Architecture of the developed geoprocessing tool</w:t>
        </w:r>
        <w:r w:rsidR="00087753">
          <w:rPr>
            <w:noProof/>
            <w:webHidden/>
          </w:rPr>
          <w:tab/>
        </w:r>
        <w:r w:rsidR="00087753">
          <w:rPr>
            <w:noProof/>
            <w:webHidden/>
          </w:rPr>
          <w:fldChar w:fldCharType="begin"/>
        </w:r>
        <w:r w:rsidR="00087753">
          <w:rPr>
            <w:noProof/>
            <w:webHidden/>
          </w:rPr>
          <w:instrText xml:space="preserve"> PAGEREF _Toc104985410 \h </w:instrText>
        </w:r>
        <w:r w:rsidR="00087753">
          <w:rPr>
            <w:noProof/>
            <w:webHidden/>
          </w:rPr>
        </w:r>
        <w:r w:rsidR="00087753">
          <w:rPr>
            <w:noProof/>
            <w:webHidden/>
          </w:rPr>
          <w:fldChar w:fldCharType="separate"/>
        </w:r>
        <w:r w:rsidR="004870F1">
          <w:rPr>
            <w:noProof/>
            <w:webHidden/>
          </w:rPr>
          <w:t>101</w:t>
        </w:r>
        <w:r w:rsidR="00087753">
          <w:rPr>
            <w:noProof/>
            <w:webHidden/>
          </w:rPr>
          <w:fldChar w:fldCharType="end"/>
        </w:r>
      </w:hyperlink>
    </w:p>
    <w:p w14:paraId="5D72F6AE" w14:textId="3C09D7FA" w:rsidR="00087753" w:rsidRDefault="00536556">
      <w:pPr>
        <w:pStyle w:val="af7"/>
        <w:tabs>
          <w:tab w:val="right" w:leader="dot" w:pos="9344"/>
        </w:tabs>
        <w:rPr>
          <w:rFonts w:asciiTheme="minorHAnsi" w:eastAsiaTheme="minorEastAsia" w:hAnsiTheme="minorHAnsi"/>
          <w:noProof/>
          <w:sz w:val="22"/>
          <w:lang w:val="ru-RU" w:eastAsia="ru-RU"/>
        </w:rPr>
      </w:pPr>
      <w:hyperlink w:anchor="_Toc104985411" w:history="1">
        <w:r w:rsidR="00087753" w:rsidRPr="00C04E2E">
          <w:rPr>
            <w:rStyle w:val="a7"/>
            <w:rFonts w:cs="Times New Roman"/>
            <w:noProof/>
            <w:lang w:bidi="en-US"/>
          </w:rPr>
          <w:t>Figure 2.2  – Msimbazi catchment study area</w:t>
        </w:r>
        <w:r w:rsidR="00087753">
          <w:rPr>
            <w:noProof/>
            <w:webHidden/>
          </w:rPr>
          <w:tab/>
        </w:r>
        <w:r w:rsidR="00087753">
          <w:rPr>
            <w:noProof/>
            <w:webHidden/>
          </w:rPr>
          <w:fldChar w:fldCharType="begin"/>
        </w:r>
        <w:r w:rsidR="00087753">
          <w:rPr>
            <w:noProof/>
            <w:webHidden/>
          </w:rPr>
          <w:instrText xml:space="preserve"> PAGEREF _Toc104985411 \h </w:instrText>
        </w:r>
        <w:r w:rsidR="00087753">
          <w:rPr>
            <w:noProof/>
            <w:webHidden/>
          </w:rPr>
        </w:r>
        <w:r w:rsidR="00087753">
          <w:rPr>
            <w:noProof/>
            <w:webHidden/>
          </w:rPr>
          <w:fldChar w:fldCharType="separate"/>
        </w:r>
        <w:r w:rsidR="004870F1">
          <w:rPr>
            <w:noProof/>
            <w:webHidden/>
          </w:rPr>
          <w:t>101</w:t>
        </w:r>
        <w:r w:rsidR="00087753">
          <w:rPr>
            <w:noProof/>
            <w:webHidden/>
          </w:rPr>
          <w:fldChar w:fldCharType="end"/>
        </w:r>
      </w:hyperlink>
    </w:p>
    <w:p w14:paraId="1E6E4C2D" w14:textId="44324A88" w:rsidR="00087753" w:rsidRDefault="00536556">
      <w:pPr>
        <w:pStyle w:val="af7"/>
        <w:tabs>
          <w:tab w:val="right" w:leader="dot" w:pos="9344"/>
        </w:tabs>
        <w:rPr>
          <w:rFonts w:asciiTheme="minorHAnsi" w:eastAsiaTheme="minorEastAsia" w:hAnsiTheme="minorHAnsi"/>
          <w:noProof/>
          <w:sz w:val="22"/>
          <w:lang w:val="ru-RU" w:eastAsia="ru-RU"/>
        </w:rPr>
      </w:pPr>
      <w:hyperlink w:anchor="_Toc104985412" w:history="1">
        <w:r w:rsidR="00087753" w:rsidRPr="00C04E2E">
          <w:rPr>
            <w:rStyle w:val="a7"/>
            <w:rFonts w:cs="Times New Roman"/>
            <w:noProof/>
            <w:lang w:bidi="en-US"/>
          </w:rPr>
          <w:t>Figure 2.3 – Flow chart</w:t>
        </w:r>
        <w:r w:rsidR="00087753">
          <w:rPr>
            <w:noProof/>
            <w:webHidden/>
          </w:rPr>
          <w:tab/>
        </w:r>
        <w:r w:rsidR="00087753">
          <w:rPr>
            <w:noProof/>
            <w:webHidden/>
          </w:rPr>
          <w:fldChar w:fldCharType="begin"/>
        </w:r>
        <w:r w:rsidR="00087753">
          <w:rPr>
            <w:noProof/>
            <w:webHidden/>
          </w:rPr>
          <w:instrText xml:space="preserve"> PAGEREF _Toc104985412 \h </w:instrText>
        </w:r>
        <w:r w:rsidR="00087753">
          <w:rPr>
            <w:noProof/>
            <w:webHidden/>
          </w:rPr>
        </w:r>
        <w:r w:rsidR="00087753">
          <w:rPr>
            <w:noProof/>
            <w:webHidden/>
          </w:rPr>
          <w:fldChar w:fldCharType="separate"/>
        </w:r>
        <w:r w:rsidR="004870F1">
          <w:rPr>
            <w:noProof/>
            <w:webHidden/>
          </w:rPr>
          <w:t>102</w:t>
        </w:r>
        <w:r w:rsidR="00087753">
          <w:rPr>
            <w:noProof/>
            <w:webHidden/>
          </w:rPr>
          <w:fldChar w:fldCharType="end"/>
        </w:r>
      </w:hyperlink>
    </w:p>
    <w:p w14:paraId="086D2175" w14:textId="4919B3C3" w:rsidR="00087753" w:rsidRDefault="00536556">
      <w:pPr>
        <w:pStyle w:val="af7"/>
        <w:tabs>
          <w:tab w:val="right" w:leader="dot" w:pos="9344"/>
        </w:tabs>
        <w:rPr>
          <w:rFonts w:asciiTheme="minorHAnsi" w:eastAsiaTheme="minorEastAsia" w:hAnsiTheme="minorHAnsi"/>
          <w:noProof/>
          <w:sz w:val="22"/>
          <w:lang w:val="ru-RU" w:eastAsia="ru-RU"/>
        </w:rPr>
      </w:pPr>
      <w:hyperlink w:anchor="_Toc104985413" w:history="1">
        <w:r w:rsidR="00087753" w:rsidRPr="00C04E2E">
          <w:rPr>
            <w:rStyle w:val="a7"/>
            <w:rFonts w:cs="Times New Roman"/>
            <w:noProof/>
            <w:lang w:bidi="en-US"/>
          </w:rPr>
          <w:t>Figure 2.4</w:t>
        </w:r>
        <w:r w:rsidR="00087753" w:rsidRPr="00C04E2E">
          <w:rPr>
            <w:rStyle w:val="a7"/>
            <w:noProof/>
          </w:rPr>
          <w:t xml:space="preserve"> </w:t>
        </w:r>
        <w:r w:rsidR="00087753" w:rsidRPr="00C04E2E">
          <w:rPr>
            <w:rStyle w:val="a7"/>
            <w:rFonts w:cs="Times New Roman"/>
            <w:noProof/>
            <w:lang w:bidi="en-US"/>
          </w:rPr>
          <w:t>– Real scenarios of catchment delineation challenges</w:t>
        </w:r>
        <w:r w:rsidR="00087753">
          <w:rPr>
            <w:noProof/>
            <w:webHidden/>
          </w:rPr>
          <w:tab/>
        </w:r>
        <w:r w:rsidR="00087753">
          <w:rPr>
            <w:noProof/>
            <w:webHidden/>
          </w:rPr>
          <w:fldChar w:fldCharType="begin"/>
        </w:r>
        <w:r w:rsidR="00087753">
          <w:rPr>
            <w:noProof/>
            <w:webHidden/>
          </w:rPr>
          <w:instrText xml:space="preserve"> PAGEREF _Toc104985413 \h </w:instrText>
        </w:r>
        <w:r w:rsidR="00087753">
          <w:rPr>
            <w:noProof/>
            <w:webHidden/>
          </w:rPr>
        </w:r>
        <w:r w:rsidR="00087753">
          <w:rPr>
            <w:noProof/>
            <w:webHidden/>
          </w:rPr>
          <w:fldChar w:fldCharType="separate"/>
        </w:r>
        <w:r w:rsidR="004870F1">
          <w:rPr>
            <w:noProof/>
            <w:webHidden/>
          </w:rPr>
          <w:t>103</w:t>
        </w:r>
        <w:r w:rsidR="00087753">
          <w:rPr>
            <w:noProof/>
            <w:webHidden/>
          </w:rPr>
          <w:fldChar w:fldCharType="end"/>
        </w:r>
      </w:hyperlink>
    </w:p>
    <w:p w14:paraId="5DA94770" w14:textId="24B7AB24" w:rsidR="00087753" w:rsidRDefault="00536556">
      <w:pPr>
        <w:pStyle w:val="af7"/>
        <w:tabs>
          <w:tab w:val="right" w:leader="dot" w:pos="9344"/>
        </w:tabs>
        <w:rPr>
          <w:rFonts w:asciiTheme="minorHAnsi" w:eastAsiaTheme="minorEastAsia" w:hAnsiTheme="minorHAnsi"/>
          <w:noProof/>
          <w:sz w:val="22"/>
          <w:lang w:val="ru-RU" w:eastAsia="ru-RU"/>
        </w:rPr>
      </w:pPr>
      <w:hyperlink w:anchor="_Toc104985414" w:history="1">
        <w:r w:rsidR="00087753" w:rsidRPr="00C04E2E">
          <w:rPr>
            <w:rStyle w:val="a7"/>
            <w:rFonts w:cs="Times New Roman"/>
            <w:noProof/>
            <w:lang w:bidi="en-US"/>
          </w:rPr>
          <w:t>Figure 2.5</w:t>
        </w:r>
        <w:r w:rsidR="00087753" w:rsidRPr="00C04E2E">
          <w:rPr>
            <w:rStyle w:val="a7"/>
            <w:noProof/>
          </w:rPr>
          <w:t xml:space="preserve"> – Flow</w:t>
        </w:r>
        <w:r w:rsidR="00087753" w:rsidRPr="00C04E2E">
          <w:rPr>
            <w:rStyle w:val="a7"/>
            <w:rFonts w:cs="Times New Roman"/>
            <w:noProof/>
            <w:lang w:bidi="en-US"/>
          </w:rPr>
          <w:t xml:space="preserve"> chart</w:t>
        </w:r>
        <w:r w:rsidR="00087753">
          <w:rPr>
            <w:noProof/>
            <w:webHidden/>
          </w:rPr>
          <w:tab/>
        </w:r>
        <w:r w:rsidR="00087753">
          <w:rPr>
            <w:noProof/>
            <w:webHidden/>
          </w:rPr>
          <w:fldChar w:fldCharType="begin"/>
        </w:r>
        <w:r w:rsidR="00087753">
          <w:rPr>
            <w:noProof/>
            <w:webHidden/>
          </w:rPr>
          <w:instrText xml:space="preserve"> PAGEREF _Toc104985414 \h </w:instrText>
        </w:r>
        <w:r w:rsidR="00087753">
          <w:rPr>
            <w:noProof/>
            <w:webHidden/>
          </w:rPr>
        </w:r>
        <w:r w:rsidR="00087753">
          <w:rPr>
            <w:noProof/>
            <w:webHidden/>
          </w:rPr>
          <w:fldChar w:fldCharType="separate"/>
        </w:r>
        <w:r w:rsidR="004870F1">
          <w:rPr>
            <w:noProof/>
            <w:webHidden/>
          </w:rPr>
          <w:t>105</w:t>
        </w:r>
        <w:r w:rsidR="00087753">
          <w:rPr>
            <w:noProof/>
            <w:webHidden/>
          </w:rPr>
          <w:fldChar w:fldCharType="end"/>
        </w:r>
      </w:hyperlink>
    </w:p>
    <w:p w14:paraId="42268DE5" w14:textId="26FD631E" w:rsidR="00087753" w:rsidRDefault="00536556">
      <w:pPr>
        <w:pStyle w:val="af7"/>
        <w:tabs>
          <w:tab w:val="right" w:leader="dot" w:pos="9344"/>
        </w:tabs>
        <w:rPr>
          <w:rFonts w:asciiTheme="minorHAnsi" w:eastAsiaTheme="minorEastAsia" w:hAnsiTheme="minorHAnsi"/>
          <w:noProof/>
          <w:sz w:val="22"/>
          <w:lang w:val="ru-RU" w:eastAsia="ru-RU"/>
        </w:rPr>
      </w:pPr>
      <w:hyperlink w:anchor="_Toc104985415" w:history="1">
        <w:r w:rsidR="00087753" w:rsidRPr="00C04E2E">
          <w:rPr>
            <w:rStyle w:val="a7"/>
            <w:rFonts w:cs="Times New Roman"/>
            <w:noProof/>
            <w:lang w:bidi="en-US"/>
          </w:rPr>
          <w:t>Figure 2.6</w:t>
        </w:r>
        <w:r w:rsidR="00087753" w:rsidRPr="00C04E2E">
          <w:rPr>
            <w:rStyle w:val="a7"/>
            <w:noProof/>
          </w:rPr>
          <w:t xml:space="preserve"> </w:t>
        </w:r>
        <w:r w:rsidR="00087753" w:rsidRPr="00C04E2E">
          <w:rPr>
            <w:rStyle w:val="a7"/>
            <w:rFonts w:cs="Times New Roman"/>
            <w:noProof/>
            <w:lang w:bidi="en-US"/>
          </w:rPr>
          <w:t>– Catchment preprocessing steps</w:t>
        </w:r>
        <w:r w:rsidR="00087753" w:rsidRPr="00C04E2E">
          <w:rPr>
            <w:rStyle w:val="a7"/>
            <w:noProof/>
          </w:rPr>
          <w:t>: a) Raw DEM; b) Hydro filled; DEM c) Flow direction; d) Flow accumulation; e) Stream definition; f) Stream segmentation; g) Catchment grid delineation; h) Catchment polygon processing; i) Drainage line processing</w:t>
        </w:r>
        <w:r w:rsidR="00087753">
          <w:rPr>
            <w:noProof/>
            <w:webHidden/>
          </w:rPr>
          <w:tab/>
        </w:r>
        <w:r w:rsidR="00087753">
          <w:rPr>
            <w:noProof/>
            <w:webHidden/>
          </w:rPr>
          <w:fldChar w:fldCharType="begin"/>
        </w:r>
        <w:r w:rsidR="00087753">
          <w:rPr>
            <w:noProof/>
            <w:webHidden/>
          </w:rPr>
          <w:instrText xml:space="preserve"> PAGEREF _Toc104985415 \h </w:instrText>
        </w:r>
        <w:r w:rsidR="00087753">
          <w:rPr>
            <w:noProof/>
            <w:webHidden/>
          </w:rPr>
        </w:r>
        <w:r w:rsidR="00087753">
          <w:rPr>
            <w:noProof/>
            <w:webHidden/>
          </w:rPr>
          <w:fldChar w:fldCharType="separate"/>
        </w:r>
        <w:r w:rsidR="004870F1">
          <w:rPr>
            <w:noProof/>
            <w:webHidden/>
          </w:rPr>
          <w:t>107</w:t>
        </w:r>
        <w:r w:rsidR="00087753">
          <w:rPr>
            <w:noProof/>
            <w:webHidden/>
          </w:rPr>
          <w:fldChar w:fldCharType="end"/>
        </w:r>
      </w:hyperlink>
    </w:p>
    <w:p w14:paraId="5C1E6DD8" w14:textId="0AC74E6E" w:rsidR="00087753" w:rsidRDefault="00536556">
      <w:pPr>
        <w:pStyle w:val="af7"/>
        <w:tabs>
          <w:tab w:val="right" w:leader="dot" w:pos="9344"/>
        </w:tabs>
        <w:rPr>
          <w:rFonts w:asciiTheme="minorHAnsi" w:eastAsiaTheme="minorEastAsia" w:hAnsiTheme="minorHAnsi"/>
          <w:noProof/>
          <w:sz w:val="22"/>
          <w:lang w:val="ru-RU" w:eastAsia="ru-RU"/>
        </w:rPr>
      </w:pPr>
      <w:hyperlink w:anchor="_Toc104985416" w:history="1">
        <w:r w:rsidR="00087753" w:rsidRPr="00C04E2E">
          <w:rPr>
            <w:rStyle w:val="a7"/>
            <w:rFonts w:cs="Times New Roman"/>
            <w:noProof/>
            <w:lang w:bidi="en-US"/>
          </w:rPr>
          <w:t>Figure 2.7</w:t>
        </w:r>
        <w:r w:rsidR="00087753" w:rsidRPr="00C04E2E">
          <w:rPr>
            <w:rStyle w:val="a7"/>
            <w:noProof/>
          </w:rPr>
          <w:t xml:space="preserve"> </w:t>
        </w:r>
        <w:r w:rsidR="00087753" w:rsidRPr="00C04E2E">
          <w:rPr>
            <w:rStyle w:val="a7"/>
            <w:rFonts w:cs="Times New Roman"/>
            <w:noProof/>
            <w:lang w:bidi="en-US"/>
          </w:rPr>
          <w:t>– Main channel characteristics</w:t>
        </w:r>
        <w:r w:rsidR="00087753" w:rsidRPr="00C04E2E">
          <w:rPr>
            <w:rStyle w:val="a7"/>
            <w:noProof/>
          </w:rPr>
          <w:t>: a) general catchment elevation profile; b) mainstream cross-section (downstream); c) mainstream cross-section (upstream)</w:t>
        </w:r>
        <w:r w:rsidR="00087753">
          <w:rPr>
            <w:noProof/>
            <w:webHidden/>
          </w:rPr>
          <w:tab/>
        </w:r>
        <w:r w:rsidR="00087753">
          <w:rPr>
            <w:noProof/>
            <w:webHidden/>
          </w:rPr>
          <w:fldChar w:fldCharType="begin"/>
        </w:r>
        <w:r w:rsidR="00087753">
          <w:rPr>
            <w:noProof/>
            <w:webHidden/>
          </w:rPr>
          <w:instrText xml:space="preserve"> PAGEREF _Toc104985416 \h </w:instrText>
        </w:r>
        <w:r w:rsidR="00087753">
          <w:rPr>
            <w:noProof/>
            <w:webHidden/>
          </w:rPr>
        </w:r>
        <w:r w:rsidR="00087753">
          <w:rPr>
            <w:noProof/>
            <w:webHidden/>
          </w:rPr>
          <w:fldChar w:fldCharType="separate"/>
        </w:r>
        <w:r w:rsidR="004870F1">
          <w:rPr>
            <w:noProof/>
            <w:webHidden/>
          </w:rPr>
          <w:t>107</w:t>
        </w:r>
        <w:r w:rsidR="00087753">
          <w:rPr>
            <w:noProof/>
            <w:webHidden/>
          </w:rPr>
          <w:fldChar w:fldCharType="end"/>
        </w:r>
      </w:hyperlink>
    </w:p>
    <w:p w14:paraId="1668E7A4" w14:textId="1553FBEA" w:rsidR="00087753" w:rsidRDefault="00536556">
      <w:pPr>
        <w:pStyle w:val="af7"/>
        <w:tabs>
          <w:tab w:val="right" w:leader="dot" w:pos="9344"/>
        </w:tabs>
        <w:rPr>
          <w:rFonts w:asciiTheme="minorHAnsi" w:eastAsiaTheme="minorEastAsia" w:hAnsiTheme="minorHAnsi"/>
          <w:noProof/>
          <w:sz w:val="22"/>
          <w:lang w:val="ru-RU" w:eastAsia="ru-RU"/>
        </w:rPr>
      </w:pPr>
      <w:hyperlink w:anchor="_Toc104985417" w:history="1">
        <w:r w:rsidR="00087753" w:rsidRPr="00C04E2E">
          <w:rPr>
            <w:rStyle w:val="a7"/>
            <w:rFonts w:cs="Times New Roman"/>
            <w:noProof/>
            <w:lang w:bidi="en-US"/>
          </w:rPr>
          <w:t>Figure 2.8</w:t>
        </w:r>
        <w:r w:rsidR="00087753" w:rsidRPr="00C04E2E">
          <w:rPr>
            <w:rStyle w:val="a7"/>
            <w:noProof/>
          </w:rPr>
          <w:t xml:space="preserve"> </w:t>
        </w:r>
        <w:r w:rsidR="00087753" w:rsidRPr="00C04E2E">
          <w:rPr>
            <w:rStyle w:val="a7"/>
            <w:rFonts w:cs="Times New Roman"/>
            <w:noProof/>
            <w:lang w:bidi="en-US"/>
          </w:rPr>
          <w:t>– Flow direction challenges</w:t>
        </w:r>
        <w:r w:rsidR="00087753" w:rsidRPr="00C04E2E">
          <w:rPr>
            <w:rStyle w:val="a7"/>
            <w:rFonts w:eastAsia="Calibri" w:cs="Times New Roman"/>
            <w:noProof/>
          </w:rPr>
          <w:t>: a) relatively flat surface at Jangwani sub-catchment; b) stream-bridge interception</w:t>
        </w:r>
        <w:r w:rsidR="00087753">
          <w:rPr>
            <w:noProof/>
            <w:webHidden/>
          </w:rPr>
          <w:tab/>
        </w:r>
        <w:r w:rsidR="00087753">
          <w:rPr>
            <w:noProof/>
            <w:webHidden/>
          </w:rPr>
          <w:fldChar w:fldCharType="begin"/>
        </w:r>
        <w:r w:rsidR="00087753">
          <w:rPr>
            <w:noProof/>
            <w:webHidden/>
          </w:rPr>
          <w:instrText xml:space="preserve"> PAGEREF _Toc104985417 \h </w:instrText>
        </w:r>
        <w:r w:rsidR="00087753">
          <w:rPr>
            <w:noProof/>
            <w:webHidden/>
          </w:rPr>
        </w:r>
        <w:r w:rsidR="00087753">
          <w:rPr>
            <w:noProof/>
            <w:webHidden/>
          </w:rPr>
          <w:fldChar w:fldCharType="separate"/>
        </w:r>
        <w:r w:rsidR="004870F1">
          <w:rPr>
            <w:noProof/>
            <w:webHidden/>
          </w:rPr>
          <w:t>108</w:t>
        </w:r>
        <w:r w:rsidR="00087753">
          <w:rPr>
            <w:noProof/>
            <w:webHidden/>
          </w:rPr>
          <w:fldChar w:fldCharType="end"/>
        </w:r>
      </w:hyperlink>
    </w:p>
    <w:p w14:paraId="518B2ED5" w14:textId="1B0F3CD6" w:rsidR="00087753" w:rsidRDefault="00536556">
      <w:pPr>
        <w:pStyle w:val="af7"/>
        <w:tabs>
          <w:tab w:val="right" w:leader="dot" w:pos="9344"/>
        </w:tabs>
        <w:rPr>
          <w:rFonts w:asciiTheme="minorHAnsi" w:eastAsiaTheme="minorEastAsia" w:hAnsiTheme="minorHAnsi"/>
          <w:noProof/>
          <w:sz w:val="22"/>
          <w:lang w:val="ru-RU" w:eastAsia="ru-RU"/>
        </w:rPr>
      </w:pPr>
      <w:hyperlink w:anchor="_Toc104985418" w:history="1">
        <w:r w:rsidR="00087753" w:rsidRPr="00C04E2E">
          <w:rPr>
            <w:rStyle w:val="a7"/>
            <w:rFonts w:cs="Times New Roman"/>
            <w:noProof/>
            <w:lang w:bidi="en-US"/>
          </w:rPr>
          <w:t>Figure 2.9</w:t>
        </w:r>
        <w:r w:rsidR="00087753" w:rsidRPr="00C04E2E">
          <w:rPr>
            <w:rStyle w:val="a7"/>
            <w:noProof/>
          </w:rPr>
          <w:t xml:space="preserve"> </w:t>
        </w:r>
        <w:r w:rsidR="00087753" w:rsidRPr="00C04E2E">
          <w:rPr>
            <w:rStyle w:val="a7"/>
            <w:rFonts w:cs="Times New Roman"/>
            <w:noProof/>
            <w:lang w:bidi="en-US"/>
          </w:rPr>
          <w:t>– Classified land use within the catchment from 1998 to 2018</w:t>
        </w:r>
        <w:r w:rsidR="00087753">
          <w:rPr>
            <w:noProof/>
            <w:webHidden/>
          </w:rPr>
          <w:tab/>
        </w:r>
        <w:r w:rsidR="00087753">
          <w:rPr>
            <w:noProof/>
            <w:webHidden/>
          </w:rPr>
          <w:fldChar w:fldCharType="begin"/>
        </w:r>
        <w:r w:rsidR="00087753">
          <w:rPr>
            <w:noProof/>
            <w:webHidden/>
          </w:rPr>
          <w:instrText xml:space="preserve"> PAGEREF _Toc104985418 \h </w:instrText>
        </w:r>
        <w:r w:rsidR="00087753">
          <w:rPr>
            <w:noProof/>
            <w:webHidden/>
          </w:rPr>
        </w:r>
        <w:r w:rsidR="00087753">
          <w:rPr>
            <w:noProof/>
            <w:webHidden/>
          </w:rPr>
          <w:fldChar w:fldCharType="separate"/>
        </w:r>
        <w:r w:rsidR="004870F1">
          <w:rPr>
            <w:noProof/>
            <w:webHidden/>
          </w:rPr>
          <w:t>109</w:t>
        </w:r>
        <w:r w:rsidR="00087753">
          <w:rPr>
            <w:noProof/>
            <w:webHidden/>
          </w:rPr>
          <w:fldChar w:fldCharType="end"/>
        </w:r>
      </w:hyperlink>
    </w:p>
    <w:p w14:paraId="63907A51" w14:textId="640C49AA" w:rsidR="00087753" w:rsidRDefault="00536556">
      <w:pPr>
        <w:pStyle w:val="af7"/>
        <w:tabs>
          <w:tab w:val="right" w:leader="dot" w:pos="9344"/>
        </w:tabs>
        <w:rPr>
          <w:rFonts w:asciiTheme="minorHAnsi" w:eastAsiaTheme="minorEastAsia" w:hAnsiTheme="minorHAnsi"/>
          <w:noProof/>
          <w:sz w:val="22"/>
          <w:lang w:val="ru-RU" w:eastAsia="ru-RU"/>
        </w:rPr>
      </w:pPr>
      <w:hyperlink w:anchor="_Toc104985419" w:history="1">
        <w:r w:rsidR="00087753" w:rsidRPr="00C04E2E">
          <w:rPr>
            <w:rStyle w:val="a7"/>
            <w:rFonts w:cs="Times New Roman"/>
            <w:noProof/>
            <w:lang w:bidi="en-US"/>
          </w:rPr>
          <w:t>Figure 2.10</w:t>
        </w:r>
        <w:r w:rsidR="00087753" w:rsidRPr="00C04E2E">
          <w:rPr>
            <w:rStyle w:val="a7"/>
            <w:noProof/>
          </w:rPr>
          <w:t xml:space="preserve"> </w:t>
        </w:r>
        <w:r w:rsidR="00087753" w:rsidRPr="00C04E2E">
          <w:rPr>
            <w:rStyle w:val="a7"/>
            <w:rFonts w:cs="Times New Roman"/>
            <w:noProof/>
            <w:lang w:bidi="en-US"/>
          </w:rPr>
          <w:t>– Delineated subbasins for the selected dam sites: a) subbasin 5; b) subbasin 7; c) subbasin 9; d) subbasin 11; e) subbasin 13</w:t>
        </w:r>
        <w:r w:rsidR="00087753">
          <w:rPr>
            <w:noProof/>
            <w:webHidden/>
          </w:rPr>
          <w:tab/>
        </w:r>
        <w:r w:rsidR="00087753">
          <w:rPr>
            <w:noProof/>
            <w:webHidden/>
          </w:rPr>
          <w:fldChar w:fldCharType="begin"/>
        </w:r>
        <w:r w:rsidR="00087753">
          <w:rPr>
            <w:noProof/>
            <w:webHidden/>
          </w:rPr>
          <w:instrText xml:space="preserve"> PAGEREF _Toc104985419 \h </w:instrText>
        </w:r>
        <w:r w:rsidR="00087753">
          <w:rPr>
            <w:noProof/>
            <w:webHidden/>
          </w:rPr>
        </w:r>
        <w:r w:rsidR="00087753">
          <w:rPr>
            <w:noProof/>
            <w:webHidden/>
          </w:rPr>
          <w:fldChar w:fldCharType="separate"/>
        </w:r>
        <w:r w:rsidR="004870F1">
          <w:rPr>
            <w:noProof/>
            <w:webHidden/>
          </w:rPr>
          <w:t>110</w:t>
        </w:r>
        <w:r w:rsidR="00087753">
          <w:rPr>
            <w:noProof/>
            <w:webHidden/>
          </w:rPr>
          <w:fldChar w:fldCharType="end"/>
        </w:r>
      </w:hyperlink>
    </w:p>
    <w:p w14:paraId="38B16691" w14:textId="444A3970" w:rsidR="00087753" w:rsidRDefault="00536556">
      <w:pPr>
        <w:pStyle w:val="af7"/>
        <w:tabs>
          <w:tab w:val="right" w:leader="dot" w:pos="9344"/>
        </w:tabs>
        <w:rPr>
          <w:rFonts w:asciiTheme="minorHAnsi" w:eastAsiaTheme="minorEastAsia" w:hAnsiTheme="minorHAnsi"/>
          <w:noProof/>
          <w:sz w:val="22"/>
          <w:lang w:val="ru-RU" w:eastAsia="ru-RU"/>
        </w:rPr>
      </w:pPr>
      <w:hyperlink w:anchor="_Toc104985420" w:history="1">
        <w:r w:rsidR="00087753" w:rsidRPr="00C04E2E">
          <w:rPr>
            <w:rStyle w:val="a7"/>
            <w:rFonts w:cs="Times New Roman"/>
            <w:noProof/>
            <w:lang w:bidi="en-US"/>
          </w:rPr>
          <w:t>Figure 2.11</w:t>
        </w:r>
        <w:r w:rsidR="00087753" w:rsidRPr="00C04E2E">
          <w:rPr>
            <w:rStyle w:val="a7"/>
            <w:noProof/>
          </w:rPr>
          <w:t xml:space="preserve"> </w:t>
        </w:r>
        <w:r w:rsidR="00087753" w:rsidRPr="00C04E2E">
          <w:rPr>
            <w:rStyle w:val="a7"/>
            <w:rFonts w:cs="Times New Roman"/>
            <w:noProof/>
            <w:lang w:bidi="en-US"/>
          </w:rPr>
          <w:t>– Land use/land cover distribution for each subbasin of the selected sites</w:t>
        </w:r>
        <w:r w:rsidR="00087753" w:rsidRPr="00C04E2E">
          <w:rPr>
            <w:rStyle w:val="a7"/>
            <w:noProof/>
          </w:rPr>
          <w:t>: a) land use/land cover for the combined selected sites; b) land use/land cover for Kisarawe sub-basin; c) land use/land cover for Magomeni sub-basin; d) land use/land cover for Kinyerezi sub-basin 11; e) land use/land cover for Jangwani sub-basin; f) land use/land cover for Pugu sub-basin</w:t>
        </w:r>
        <w:r w:rsidR="00087753">
          <w:rPr>
            <w:noProof/>
            <w:webHidden/>
          </w:rPr>
          <w:tab/>
        </w:r>
        <w:r w:rsidR="00087753">
          <w:rPr>
            <w:noProof/>
            <w:webHidden/>
          </w:rPr>
          <w:fldChar w:fldCharType="begin"/>
        </w:r>
        <w:r w:rsidR="00087753">
          <w:rPr>
            <w:noProof/>
            <w:webHidden/>
          </w:rPr>
          <w:instrText xml:space="preserve"> PAGEREF _Toc104985420 \h </w:instrText>
        </w:r>
        <w:r w:rsidR="00087753">
          <w:rPr>
            <w:noProof/>
            <w:webHidden/>
          </w:rPr>
        </w:r>
        <w:r w:rsidR="00087753">
          <w:rPr>
            <w:noProof/>
            <w:webHidden/>
          </w:rPr>
          <w:fldChar w:fldCharType="separate"/>
        </w:r>
        <w:r w:rsidR="004870F1">
          <w:rPr>
            <w:noProof/>
            <w:webHidden/>
          </w:rPr>
          <w:t>111</w:t>
        </w:r>
        <w:r w:rsidR="00087753">
          <w:rPr>
            <w:noProof/>
            <w:webHidden/>
          </w:rPr>
          <w:fldChar w:fldCharType="end"/>
        </w:r>
      </w:hyperlink>
    </w:p>
    <w:p w14:paraId="08B8AD29" w14:textId="4A3BBF83" w:rsidR="00087753" w:rsidRDefault="00536556">
      <w:pPr>
        <w:pStyle w:val="af7"/>
        <w:tabs>
          <w:tab w:val="right" w:leader="dot" w:pos="9344"/>
        </w:tabs>
        <w:rPr>
          <w:rFonts w:asciiTheme="minorHAnsi" w:eastAsiaTheme="minorEastAsia" w:hAnsiTheme="minorHAnsi"/>
          <w:noProof/>
          <w:sz w:val="22"/>
          <w:lang w:val="ru-RU" w:eastAsia="ru-RU"/>
        </w:rPr>
      </w:pPr>
      <w:hyperlink w:anchor="_Toc104985421" w:history="1">
        <w:r w:rsidR="00087753" w:rsidRPr="00C04E2E">
          <w:rPr>
            <w:rStyle w:val="a7"/>
            <w:rFonts w:cs="Times New Roman"/>
            <w:noProof/>
            <w:lang w:bidi="en-US"/>
          </w:rPr>
          <w:t>Figure 2.12 – Dam sites location: Streams only (left), streams with coverage (right)</w:t>
        </w:r>
        <w:r w:rsidR="00087753">
          <w:rPr>
            <w:noProof/>
            <w:webHidden/>
          </w:rPr>
          <w:tab/>
        </w:r>
        <w:r w:rsidR="00087753">
          <w:rPr>
            <w:noProof/>
            <w:webHidden/>
          </w:rPr>
          <w:fldChar w:fldCharType="begin"/>
        </w:r>
        <w:r w:rsidR="00087753">
          <w:rPr>
            <w:noProof/>
            <w:webHidden/>
          </w:rPr>
          <w:instrText xml:space="preserve"> PAGEREF _Toc104985421 \h </w:instrText>
        </w:r>
        <w:r w:rsidR="00087753">
          <w:rPr>
            <w:noProof/>
            <w:webHidden/>
          </w:rPr>
        </w:r>
        <w:r w:rsidR="00087753">
          <w:rPr>
            <w:noProof/>
            <w:webHidden/>
          </w:rPr>
          <w:fldChar w:fldCharType="separate"/>
        </w:r>
        <w:r w:rsidR="004870F1">
          <w:rPr>
            <w:noProof/>
            <w:webHidden/>
          </w:rPr>
          <w:t>112</w:t>
        </w:r>
        <w:r w:rsidR="00087753">
          <w:rPr>
            <w:noProof/>
            <w:webHidden/>
          </w:rPr>
          <w:fldChar w:fldCharType="end"/>
        </w:r>
      </w:hyperlink>
    </w:p>
    <w:p w14:paraId="2FD7A143" w14:textId="2CB383AC" w:rsidR="00087753" w:rsidRDefault="00536556">
      <w:pPr>
        <w:pStyle w:val="af7"/>
        <w:tabs>
          <w:tab w:val="right" w:leader="dot" w:pos="9344"/>
        </w:tabs>
        <w:rPr>
          <w:rFonts w:asciiTheme="minorHAnsi" w:eastAsiaTheme="minorEastAsia" w:hAnsiTheme="minorHAnsi"/>
          <w:noProof/>
          <w:sz w:val="22"/>
          <w:lang w:val="ru-RU" w:eastAsia="ru-RU"/>
        </w:rPr>
      </w:pPr>
      <w:hyperlink w:anchor="_Toc104985422" w:history="1">
        <w:r w:rsidR="00087753" w:rsidRPr="00C04E2E">
          <w:rPr>
            <w:rStyle w:val="a7"/>
            <w:rFonts w:cs="Times New Roman"/>
            <w:noProof/>
            <w:lang w:bidi="en-US"/>
          </w:rPr>
          <w:t>Figure 2.13</w:t>
        </w:r>
        <w:r w:rsidR="00087753" w:rsidRPr="00C04E2E">
          <w:rPr>
            <w:rStyle w:val="a7"/>
            <w:noProof/>
          </w:rPr>
          <w:t xml:space="preserve"> </w:t>
        </w:r>
        <w:r w:rsidR="00087753" w:rsidRPr="00C04E2E">
          <w:rPr>
            <w:rStyle w:val="a7"/>
            <w:rFonts w:cs="Times New Roman"/>
            <w:noProof/>
            <w:lang w:bidi="en-US"/>
          </w:rPr>
          <w:t xml:space="preserve">– Case study map </w:t>
        </w:r>
        <w:r w:rsidR="00087753" w:rsidRPr="00C04E2E">
          <w:rPr>
            <w:rStyle w:val="a7"/>
            <w:noProof/>
          </w:rPr>
          <w:t>[255]</w:t>
        </w:r>
        <w:r w:rsidR="00087753">
          <w:rPr>
            <w:noProof/>
            <w:webHidden/>
          </w:rPr>
          <w:tab/>
        </w:r>
        <w:r w:rsidR="00087753">
          <w:rPr>
            <w:noProof/>
            <w:webHidden/>
          </w:rPr>
          <w:fldChar w:fldCharType="begin"/>
        </w:r>
        <w:r w:rsidR="00087753">
          <w:rPr>
            <w:noProof/>
            <w:webHidden/>
          </w:rPr>
          <w:instrText xml:space="preserve"> PAGEREF _Toc104985422 \h </w:instrText>
        </w:r>
        <w:r w:rsidR="00087753">
          <w:rPr>
            <w:noProof/>
            <w:webHidden/>
          </w:rPr>
        </w:r>
        <w:r w:rsidR="00087753">
          <w:rPr>
            <w:noProof/>
            <w:webHidden/>
          </w:rPr>
          <w:fldChar w:fldCharType="separate"/>
        </w:r>
        <w:r w:rsidR="004870F1">
          <w:rPr>
            <w:noProof/>
            <w:webHidden/>
          </w:rPr>
          <w:t>114</w:t>
        </w:r>
        <w:r w:rsidR="00087753">
          <w:rPr>
            <w:noProof/>
            <w:webHidden/>
          </w:rPr>
          <w:fldChar w:fldCharType="end"/>
        </w:r>
      </w:hyperlink>
    </w:p>
    <w:p w14:paraId="7E5256FC" w14:textId="0D966A5A" w:rsidR="00087753" w:rsidRDefault="00536556">
      <w:pPr>
        <w:pStyle w:val="af7"/>
        <w:tabs>
          <w:tab w:val="right" w:leader="dot" w:pos="9344"/>
        </w:tabs>
        <w:rPr>
          <w:rFonts w:asciiTheme="minorHAnsi" w:eastAsiaTheme="minorEastAsia" w:hAnsiTheme="minorHAnsi"/>
          <w:noProof/>
          <w:sz w:val="22"/>
          <w:lang w:val="ru-RU" w:eastAsia="ru-RU"/>
        </w:rPr>
      </w:pPr>
      <w:hyperlink w:anchor="_Toc104985423" w:history="1">
        <w:r w:rsidR="00087753" w:rsidRPr="00C04E2E">
          <w:rPr>
            <w:rStyle w:val="a7"/>
            <w:rFonts w:cs="Times New Roman"/>
            <w:noProof/>
            <w:lang w:bidi="en-US"/>
          </w:rPr>
          <w:t>Figure 2.14</w:t>
        </w:r>
        <w:r w:rsidR="00087753" w:rsidRPr="00C04E2E">
          <w:rPr>
            <w:rStyle w:val="a7"/>
            <w:noProof/>
          </w:rPr>
          <w:t xml:space="preserve"> </w:t>
        </w:r>
        <w:r w:rsidR="00087753" w:rsidRPr="00C04E2E">
          <w:rPr>
            <w:rStyle w:val="a7"/>
            <w:rFonts w:cs="Times New Roman"/>
            <w:noProof/>
            <w:lang w:bidi="en-US"/>
          </w:rPr>
          <w:t xml:space="preserve">– Location of the Lugoda dam </w:t>
        </w:r>
        <w:r w:rsidR="00087753" w:rsidRPr="00C04E2E">
          <w:rPr>
            <w:rStyle w:val="a7"/>
            <w:noProof/>
          </w:rPr>
          <w:t>[255]</w:t>
        </w:r>
        <w:r w:rsidR="00087753">
          <w:rPr>
            <w:noProof/>
            <w:webHidden/>
          </w:rPr>
          <w:tab/>
        </w:r>
        <w:r w:rsidR="00087753">
          <w:rPr>
            <w:noProof/>
            <w:webHidden/>
          </w:rPr>
          <w:fldChar w:fldCharType="begin"/>
        </w:r>
        <w:r w:rsidR="00087753">
          <w:rPr>
            <w:noProof/>
            <w:webHidden/>
          </w:rPr>
          <w:instrText xml:space="preserve"> PAGEREF _Toc104985423 \h </w:instrText>
        </w:r>
        <w:r w:rsidR="00087753">
          <w:rPr>
            <w:noProof/>
            <w:webHidden/>
          </w:rPr>
        </w:r>
        <w:r w:rsidR="00087753">
          <w:rPr>
            <w:noProof/>
            <w:webHidden/>
          </w:rPr>
          <w:fldChar w:fldCharType="separate"/>
        </w:r>
        <w:r w:rsidR="004870F1">
          <w:rPr>
            <w:noProof/>
            <w:webHidden/>
          </w:rPr>
          <w:t>115</w:t>
        </w:r>
        <w:r w:rsidR="00087753">
          <w:rPr>
            <w:noProof/>
            <w:webHidden/>
          </w:rPr>
          <w:fldChar w:fldCharType="end"/>
        </w:r>
      </w:hyperlink>
    </w:p>
    <w:p w14:paraId="37E004F9" w14:textId="22F2A097" w:rsidR="00087753" w:rsidRDefault="00536556">
      <w:pPr>
        <w:pStyle w:val="af7"/>
        <w:tabs>
          <w:tab w:val="right" w:leader="dot" w:pos="9344"/>
        </w:tabs>
        <w:rPr>
          <w:rFonts w:asciiTheme="minorHAnsi" w:eastAsiaTheme="minorEastAsia" w:hAnsiTheme="minorHAnsi"/>
          <w:noProof/>
          <w:sz w:val="22"/>
          <w:lang w:val="ru-RU" w:eastAsia="ru-RU"/>
        </w:rPr>
      </w:pPr>
      <w:hyperlink w:anchor="_Toc104985424" w:history="1">
        <w:r w:rsidR="00087753" w:rsidRPr="00C04E2E">
          <w:rPr>
            <w:rStyle w:val="a7"/>
            <w:rFonts w:cs="Times New Roman"/>
            <w:noProof/>
            <w:lang w:bidi="en-US"/>
          </w:rPr>
          <w:t>Figure 2.15</w:t>
        </w:r>
        <w:r w:rsidR="00087753" w:rsidRPr="00C04E2E">
          <w:rPr>
            <w:rStyle w:val="a7"/>
            <w:noProof/>
          </w:rPr>
          <w:t xml:space="preserve"> </w:t>
        </w:r>
        <w:r w:rsidR="00087753" w:rsidRPr="00C04E2E">
          <w:rPr>
            <w:rStyle w:val="a7"/>
            <w:rFonts w:cs="Times New Roman"/>
            <w:noProof/>
            <w:lang w:bidi="en-US"/>
          </w:rPr>
          <w:t>– Ndembera dam catchment boundary: a) clipped DEM; b) delineated catchment</w:t>
        </w:r>
        <w:r w:rsidR="00087753">
          <w:rPr>
            <w:noProof/>
            <w:webHidden/>
          </w:rPr>
          <w:tab/>
        </w:r>
        <w:r w:rsidR="00087753">
          <w:rPr>
            <w:noProof/>
            <w:webHidden/>
          </w:rPr>
          <w:fldChar w:fldCharType="begin"/>
        </w:r>
        <w:r w:rsidR="00087753">
          <w:rPr>
            <w:noProof/>
            <w:webHidden/>
          </w:rPr>
          <w:instrText xml:space="preserve"> PAGEREF _Toc104985424 \h </w:instrText>
        </w:r>
        <w:r w:rsidR="00087753">
          <w:rPr>
            <w:noProof/>
            <w:webHidden/>
          </w:rPr>
        </w:r>
        <w:r w:rsidR="00087753">
          <w:rPr>
            <w:noProof/>
            <w:webHidden/>
          </w:rPr>
          <w:fldChar w:fldCharType="separate"/>
        </w:r>
        <w:r w:rsidR="004870F1">
          <w:rPr>
            <w:noProof/>
            <w:webHidden/>
          </w:rPr>
          <w:t>119</w:t>
        </w:r>
        <w:r w:rsidR="00087753">
          <w:rPr>
            <w:noProof/>
            <w:webHidden/>
          </w:rPr>
          <w:fldChar w:fldCharType="end"/>
        </w:r>
      </w:hyperlink>
    </w:p>
    <w:p w14:paraId="282B8F03" w14:textId="2A39C22F" w:rsidR="00087753" w:rsidRDefault="00536556">
      <w:pPr>
        <w:pStyle w:val="af7"/>
        <w:tabs>
          <w:tab w:val="right" w:leader="dot" w:pos="9344"/>
        </w:tabs>
        <w:rPr>
          <w:rFonts w:asciiTheme="minorHAnsi" w:eastAsiaTheme="minorEastAsia" w:hAnsiTheme="minorHAnsi"/>
          <w:noProof/>
          <w:sz w:val="22"/>
          <w:lang w:val="ru-RU" w:eastAsia="ru-RU"/>
        </w:rPr>
      </w:pPr>
      <w:hyperlink w:anchor="_Toc104985425" w:history="1">
        <w:r w:rsidR="00087753" w:rsidRPr="00C04E2E">
          <w:rPr>
            <w:rStyle w:val="a7"/>
            <w:rFonts w:cs="Times New Roman"/>
            <w:noProof/>
            <w:lang w:bidi="en-US"/>
          </w:rPr>
          <w:t>Figure 2.16</w:t>
        </w:r>
        <w:r w:rsidR="00087753" w:rsidRPr="00C04E2E">
          <w:rPr>
            <w:rStyle w:val="a7"/>
            <w:noProof/>
          </w:rPr>
          <w:t xml:space="preserve"> </w:t>
        </w:r>
        <w:r w:rsidR="00087753" w:rsidRPr="00C04E2E">
          <w:rPr>
            <w:rStyle w:val="a7"/>
            <w:rFonts w:cs="Times New Roman"/>
            <w:noProof/>
            <w:lang w:bidi="en-US"/>
          </w:rPr>
          <w:t>– Land use and land cover analysis results from 1990: a) classified land cover; b) graph of classified land cover</w:t>
        </w:r>
        <w:r w:rsidR="00087753">
          <w:rPr>
            <w:noProof/>
            <w:webHidden/>
          </w:rPr>
          <w:tab/>
        </w:r>
        <w:r w:rsidR="00087753">
          <w:rPr>
            <w:noProof/>
            <w:webHidden/>
          </w:rPr>
          <w:fldChar w:fldCharType="begin"/>
        </w:r>
        <w:r w:rsidR="00087753">
          <w:rPr>
            <w:noProof/>
            <w:webHidden/>
          </w:rPr>
          <w:instrText xml:space="preserve"> PAGEREF _Toc104985425 \h </w:instrText>
        </w:r>
        <w:r w:rsidR="00087753">
          <w:rPr>
            <w:noProof/>
            <w:webHidden/>
          </w:rPr>
        </w:r>
        <w:r w:rsidR="00087753">
          <w:rPr>
            <w:noProof/>
            <w:webHidden/>
          </w:rPr>
          <w:fldChar w:fldCharType="separate"/>
        </w:r>
        <w:r w:rsidR="004870F1">
          <w:rPr>
            <w:noProof/>
            <w:webHidden/>
          </w:rPr>
          <w:t>121</w:t>
        </w:r>
        <w:r w:rsidR="00087753">
          <w:rPr>
            <w:noProof/>
            <w:webHidden/>
          </w:rPr>
          <w:fldChar w:fldCharType="end"/>
        </w:r>
      </w:hyperlink>
    </w:p>
    <w:p w14:paraId="2A1A35AA" w14:textId="6DC11518" w:rsidR="00087753" w:rsidRDefault="00536556">
      <w:pPr>
        <w:pStyle w:val="af7"/>
        <w:tabs>
          <w:tab w:val="right" w:leader="dot" w:pos="9344"/>
        </w:tabs>
        <w:rPr>
          <w:rFonts w:asciiTheme="minorHAnsi" w:eastAsiaTheme="minorEastAsia" w:hAnsiTheme="minorHAnsi"/>
          <w:noProof/>
          <w:sz w:val="22"/>
          <w:lang w:val="ru-RU" w:eastAsia="ru-RU"/>
        </w:rPr>
      </w:pPr>
      <w:hyperlink w:anchor="_Toc104985426" w:history="1">
        <w:r w:rsidR="00087753" w:rsidRPr="00C04E2E">
          <w:rPr>
            <w:rStyle w:val="a7"/>
            <w:rFonts w:cs="Times New Roman"/>
            <w:noProof/>
            <w:lang w:bidi="en-US"/>
          </w:rPr>
          <w:t>Figure 2.17</w:t>
        </w:r>
        <w:r w:rsidR="00087753" w:rsidRPr="00C04E2E">
          <w:rPr>
            <w:rStyle w:val="a7"/>
            <w:noProof/>
          </w:rPr>
          <w:t xml:space="preserve"> </w:t>
        </w:r>
        <w:r w:rsidR="00087753" w:rsidRPr="00C04E2E">
          <w:rPr>
            <w:rStyle w:val="a7"/>
            <w:rFonts w:cs="Times New Roman"/>
            <w:noProof/>
            <w:lang w:bidi="en-US"/>
          </w:rPr>
          <w:t>– Land use and land cover analysis results from 1995: a) classified land cover; b) graph of classified land cover</w:t>
        </w:r>
        <w:r w:rsidR="00087753">
          <w:rPr>
            <w:noProof/>
            <w:webHidden/>
          </w:rPr>
          <w:tab/>
        </w:r>
        <w:r w:rsidR="00087753">
          <w:rPr>
            <w:noProof/>
            <w:webHidden/>
          </w:rPr>
          <w:fldChar w:fldCharType="begin"/>
        </w:r>
        <w:r w:rsidR="00087753">
          <w:rPr>
            <w:noProof/>
            <w:webHidden/>
          </w:rPr>
          <w:instrText xml:space="preserve"> PAGEREF _Toc104985426 \h </w:instrText>
        </w:r>
        <w:r w:rsidR="00087753">
          <w:rPr>
            <w:noProof/>
            <w:webHidden/>
          </w:rPr>
        </w:r>
        <w:r w:rsidR="00087753">
          <w:rPr>
            <w:noProof/>
            <w:webHidden/>
          </w:rPr>
          <w:fldChar w:fldCharType="separate"/>
        </w:r>
        <w:r w:rsidR="004870F1">
          <w:rPr>
            <w:noProof/>
            <w:webHidden/>
          </w:rPr>
          <w:t>122</w:t>
        </w:r>
        <w:r w:rsidR="00087753">
          <w:rPr>
            <w:noProof/>
            <w:webHidden/>
          </w:rPr>
          <w:fldChar w:fldCharType="end"/>
        </w:r>
      </w:hyperlink>
    </w:p>
    <w:p w14:paraId="4A8990DA" w14:textId="46DCD2C8" w:rsidR="00087753" w:rsidRDefault="00536556">
      <w:pPr>
        <w:pStyle w:val="af7"/>
        <w:tabs>
          <w:tab w:val="right" w:leader="dot" w:pos="9344"/>
        </w:tabs>
        <w:rPr>
          <w:rFonts w:asciiTheme="minorHAnsi" w:eastAsiaTheme="minorEastAsia" w:hAnsiTheme="minorHAnsi"/>
          <w:noProof/>
          <w:sz w:val="22"/>
          <w:lang w:val="ru-RU" w:eastAsia="ru-RU"/>
        </w:rPr>
      </w:pPr>
      <w:hyperlink w:anchor="_Toc104985427" w:history="1">
        <w:r w:rsidR="00087753" w:rsidRPr="00C04E2E">
          <w:rPr>
            <w:rStyle w:val="a7"/>
            <w:rFonts w:cs="Times New Roman"/>
            <w:noProof/>
            <w:lang w:bidi="en-US"/>
          </w:rPr>
          <w:t>Figure 2.18</w:t>
        </w:r>
        <w:r w:rsidR="00087753" w:rsidRPr="00C04E2E">
          <w:rPr>
            <w:rStyle w:val="a7"/>
            <w:noProof/>
          </w:rPr>
          <w:t xml:space="preserve"> </w:t>
        </w:r>
        <w:r w:rsidR="00087753" w:rsidRPr="00C04E2E">
          <w:rPr>
            <w:rStyle w:val="a7"/>
            <w:rFonts w:cs="Times New Roman"/>
            <w:noProof/>
            <w:lang w:bidi="en-US"/>
          </w:rPr>
          <w:t>– Land use and land cover analysis results from 2004: a) classified land cover; b) graph of classified land cover</w:t>
        </w:r>
        <w:r w:rsidR="00087753">
          <w:rPr>
            <w:noProof/>
            <w:webHidden/>
          </w:rPr>
          <w:tab/>
        </w:r>
        <w:r w:rsidR="00087753">
          <w:rPr>
            <w:noProof/>
            <w:webHidden/>
          </w:rPr>
          <w:fldChar w:fldCharType="begin"/>
        </w:r>
        <w:r w:rsidR="00087753">
          <w:rPr>
            <w:noProof/>
            <w:webHidden/>
          </w:rPr>
          <w:instrText xml:space="preserve"> PAGEREF _Toc104985427 \h </w:instrText>
        </w:r>
        <w:r w:rsidR="00087753">
          <w:rPr>
            <w:noProof/>
            <w:webHidden/>
          </w:rPr>
        </w:r>
        <w:r w:rsidR="00087753">
          <w:rPr>
            <w:noProof/>
            <w:webHidden/>
          </w:rPr>
          <w:fldChar w:fldCharType="separate"/>
        </w:r>
        <w:r w:rsidR="004870F1">
          <w:rPr>
            <w:noProof/>
            <w:webHidden/>
          </w:rPr>
          <w:t>123</w:t>
        </w:r>
        <w:r w:rsidR="00087753">
          <w:rPr>
            <w:noProof/>
            <w:webHidden/>
          </w:rPr>
          <w:fldChar w:fldCharType="end"/>
        </w:r>
      </w:hyperlink>
    </w:p>
    <w:p w14:paraId="1A86C9B9" w14:textId="2B1FFE83" w:rsidR="00087753" w:rsidRDefault="00536556">
      <w:pPr>
        <w:pStyle w:val="af7"/>
        <w:tabs>
          <w:tab w:val="right" w:leader="dot" w:pos="9344"/>
        </w:tabs>
        <w:rPr>
          <w:rFonts w:asciiTheme="minorHAnsi" w:eastAsiaTheme="minorEastAsia" w:hAnsiTheme="minorHAnsi"/>
          <w:noProof/>
          <w:sz w:val="22"/>
          <w:lang w:val="ru-RU" w:eastAsia="ru-RU"/>
        </w:rPr>
      </w:pPr>
      <w:hyperlink w:anchor="_Toc104985428" w:history="1">
        <w:r w:rsidR="00087753" w:rsidRPr="00C04E2E">
          <w:rPr>
            <w:rStyle w:val="a7"/>
            <w:rFonts w:cs="Times New Roman"/>
            <w:noProof/>
            <w:lang w:bidi="en-US"/>
          </w:rPr>
          <w:t>Figure 2.19</w:t>
        </w:r>
        <w:r w:rsidR="00087753" w:rsidRPr="00C04E2E">
          <w:rPr>
            <w:rStyle w:val="a7"/>
            <w:noProof/>
          </w:rPr>
          <w:t xml:space="preserve"> </w:t>
        </w:r>
        <w:r w:rsidR="00087753" w:rsidRPr="00C04E2E">
          <w:rPr>
            <w:rStyle w:val="a7"/>
            <w:rFonts w:cs="Times New Roman"/>
            <w:noProof/>
            <w:lang w:bidi="en-US"/>
          </w:rPr>
          <w:t>– Land use and land cover analysis results from 2011: a) classified land cover; b) graph of classified land cover</w:t>
        </w:r>
        <w:r w:rsidR="00087753">
          <w:rPr>
            <w:noProof/>
            <w:webHidden/>
          </w:rPr>
          <w:tab/>
        </w:r>
        <w:r w:rsidR="00087753">
          <w:rPr>
            <w:noProof/>
            <w:webHidden/>
          </w:rPr>
          <w:fldChar w:fldCharType="begin"/>
        </w:r>
        <w:r w:rsidR="00087753">
          <w:rPr>
            <w:noProof/>
            <w:webHidden/>
          </w:rPr>
          <w:instrText xml:space="preserve"> PAGEREF _Toc104985428 \h </w:instrText>
        </w:r>
        <w:r w:rsidR="00087753">
          <w:rPr>
            <w:noProof/>
            <w:webHidden/>
          </w:rPr>
        </w:r>
        <w:r w:rsidR="00087753">
          <w:rPr>
            <w:noProof/>
            <w:webHidden/>
          </w:rPr>
          <w:fldChar w:fldCharType="separate"/>
        </w:r>
        <w:r w:rsidR="004870F1">
          <w:rPr>
            <w:noProof/>
            <w:webHidden/>
          </w:rPr>
          <w:t>124</w:t>
        </w:r>
        <w:r w:rsidR="00087753">
          <w:rPr>
            <w:noProof/>
            <w:webHidden/>
          </w:rPr>
          <w:fldChar w:fldCharType="end"/>
        </w:r>
      </w:hyperlink>
    </w:p>
    <w:p w14:paraId="3FF57F78" w14:textId="41F92B5A" w:rsidR="00087753" w:rsidRDefault="00536556">
      <w:pPr>
        <w:pStyle w:val="af7"/>
        <w:tabs>
          <w:tab w:val="right" w:leader="dot" w:pos="9344"/>
        </w:tabs>
        <w:rPr>
          <w:rFonts w:asciiTheme="minorHAnsi" w:eastAsiaTheme="minorEastAsia" w:hAnsiTheme="minorHAnsi"/>
          <w:noProof/>
          <w:sz w:val="22"/>
          <w:lang w:val="ru-RU" w:eastAsia="ru-RU"/>
        </w:rPr>
      </w:pPr>
      <w:hyperlink w:anchor="_Toc104985429" w:history="1">
        <w:r w:rsidR="00087753" w:rsidRPr="00C04E2E">
          <w:rPr>
            <w:rStyle w:val="a7"/>
            <w:rFonts w:cs="Times New Roman"/>
            <w:noProof/>
            <w:lang w:bidi="en-US"/>
          </w:rPr>
          <w:t>Figure 2.20</w:t>
        </w:r>
        <w:r w:rsidR="00087753" w:rsidRPr="00C04E2E">
          <w:rPr>
            <w:rStyle w:val="a7"/>
            <w:noProof/>
          </w:rPr>
          <w:t xml:space="preserve"> </w:t>
        </w:r>
        <w:r w:rsidR="00087753" w:rsidRPr="00C04E2E">
          <w:rPr>
            <w:rStyle w:val="a7"/>
            <w:rFonts w:cs="Times New Roman"/>
            <w:noProof/>
            <w:lang w:bidi="en-US"/>
          </w:rPr>
          <w:t>– Curve Number grid</w:t>
        </w:r>
        <w:r w:rsidR="00087753">
          <w:rPr>
            <w:noProof/>
            <w:webHidden/>
          </w:rPr>
          <w:tab/>
        </w:r>
        <w:r w:rsidR="00087753">
          <w:rPr>
            <w:noProof/>
            <w:webHidden/>
          </w:rPr>
          <w:fldChar w:fldCharType="begin"/>
        </w:r>
        <w:r w:rsidR="00087753">
          <w:rPr>
            <w:noProof/>
            <w:webHidden/>
          </w:rPr>
          <w:instrText xml:space="preserve"> PAGEREF _Toc104985429 \h </w:instrText>
        </w:r>
        <w:r w:rsidR="00087753">
          <w:rPr>
            <w:noProof/>
            <w:webHidden/>
          </w:rPr>
        </w:r>
        <w:r w:rsidR="00087753">
          <w:rPr>
            <w:noProof/>
            <w:webHidden/>
          </w:rPr>
          <w:fldChar w:fldCharType="separate"/>
        </w:r>
        <w:r w:rsidR="004870F1">
          <w:rPr>
            <w:noProof/>
            <w:webHidden/>
          </w:rPr>
          <w:t>125</w:t>
        </w:r>
        <w:r w:rsidR="00087753">
          <w:rPr>
            <w:noProof/>
            <w:webHidden/>
          </w:rPr>
          <w:fldChar w:fldCharType="end"/>
        </w:r>
      </w:hyperlink>
    </w:p>
    <w:p w14:paraId="48280073" w14:textId="33CCAF73" w:rsidR="00087753" w:rsidRDefault="00536556">
      <w:pPr>
        <w:pStyle w:val="af7"/>
        <w:tabs>
          <w:tab w:val="right" w:leader="dot" w:pos="9344"/>
        </w:tabs>
        <w:rPr>
          <w:rFonts w:asciiTheme="minorHAnsi" w:eastAsiaTheme="minorEastAsia" w:hAnsiTheme="minorHAnsi"/>
          <w:noProof/>
          <w:sz w:val="22"/>
          <w:lang w:val="ru-RU" w:eastAsia="ru-RU"/>
        </w:rPr>
      </w:pPr>
      <w:hyperlink w:anchor="_Toc104985430" w:history="1">
        <w:r w:rsidR="00087753" w:rsidRPr="00C04E2E">
          <w:rPr>
            <w:rStyle w:val="a7"/>
            <w:rFonts w:cs="Times New Roman"/>
            <w:noProof/>
            <w:lang w:bidi="en-US"/>
          </w:rPr>
          <w:t>Figure 2.21</w:t>
        </w:r>
        <w:r w:rsidR="00087753" w:rsidRPr="00C04E2E">
          <w:rPr>
            <w:rStyle w:val="a7"/>
            <w:noProof/>
          </w:rPr>
          <w:t xml:space="preserve"> </w:t>
        </w:r>
        <w:r w:rsidR="00087753" w:rsidRPr="00C04E2E">
          <w:rPr>
            <w:rStyle w:val="a7"/>
            <w:rFonts w:cs="Times New Roman"/>
            <w:noProof/>
            <w:lang w:bidi="en-US"/>
          </w:rPr>
          <w:t>– Case study location</w:t>
        </w:r>
        <w:r w:rsidR="00087753">
          <w:rPr>
            <w:noProof/>
            <w:webHidden/>
          </w:rPr>
          <w:tab/>
        </w:r>
        <w:r w:rsidR="00087753">
          <w:rPr>
            <w:noProof/>
            <w:webHidden/>
          </w:rPr>
          <w:fldChar w:fldCharType="begin"/>
        </w:r>
        <w:r w:rsidR="00087753">
          <w:rPr>
            <w:noProof/>
            <w:webHidden/>
          </w:rPr>
          <w:instrText xml:space="preserve"> PAGEREF _Toc104985430 \h </w:instrText>
        </w:r>
        <w:r w:rsidR="00087753">
          <w:rPr>
            <w:noProof/>
            <w:webHidden/>
          </w:rPr>
        </w:r>
        <w:r w:rsidR="00087753">
          <w:rPr>
            <w:noProof/>
            <w:webHidden/>
          </w:rPr>
          <w:fldChar w:fldCharType="separate"/>
        </w:r>
        <w:r w:rsidR="004870F1">
          <w:rPr>
            <w:noProof/>
            <w:webHidden/>
          </w:rPr>
          <w:t>127</w:t>
        </w:r>
        <w:r w:rsidR="00087753">
          <w:rPr>
            <w:noProof/>
            <w:webHidden/>
          </w:rPr>
          <w:fldChar w:fldCharType="end"/>
        </w:r>
      </w:hyperlink>
    </w:p>
    <w:p w14:paraId="41A61E29" w14:textId="4546B083" w:rsidR="00087753" w:rsidRDefault="00536556">
      <w:pPr>
        <w:pStyle w:val="af7"/>
        <w:tabs>
          <w:tab w:val="right" w:leader="dot" w:pos="9344"/>
        </w:tabs>
        <w:rPr>
          <w:rFonts w:asciiTheme="minorHAnsi" w:eastAsiaTheme="minorEastAsia" w:hAnsiTheme="minorHAnsi"/>
          <w:noProof/>
          <w:sz w:val="22"/>
          <w:lang w:val="ru-RU" w:eastAsia="ru-RU"/>
        </w:rPr>
      </w:pPr>
      <w:hyperlink w:anchor="_Toc104985431" w:history="1">
        <w:r w:rsidR="00087753" w:rsidRPr="00C04E2E">
          <w:rPr>
            <w:rStyle w:val="a7"/>
            <w:rFonts w:cs="Times New Roman"/>
            <w:noProof/>
            <w:lang w:bidi="en-US"/>
          </w:rPr>
          <w:t>Figure 2.22</w:t>
        </w:r>
        <w:r w:rsidR="00087753" w:rsidRPr="00C04E2E">
          <w:rPr>
            <w:rStyle w:val="a7"/>
            <w:noProof/>
          </w:rPr>
          <w:t xml:space="preserve"> </w:t>
        </w:r>
        <w:r w:rsidR="00087753" w:rsidRPr="00C04E2E">
          <w:rPr>
            <w:rStyle w:val="a7"/>
            <w:rFonts w:cs="Times New Roman"/>
            <w:noProof/>
            <w:lang w:bidi="en-US"/>
          </w:rPr>
          <w:t>– Digital Elevation Model</w:t>
        </w:r>
        <w:r w:rsidR="00087753">
          <w:rPr>
            <w:noProof/>
            <w:webHidden/>
          </w:rPr>
          <w:tab/>
        </w:r>
        <w:r w:rsidR="00087753">
          <w:rPr>
            <w:noProof/>
            <w:webHidden/>
          </w:rPr>
          <w:fldChar w:fldCharType="begin"/>
        </w:r>
        <w:r w:rsidR="00087753">
          <w:rPr>
            <w:noProof/>
            <w:webHidden/>
          </w:rPr>
          <w:instrText xml:space="preserve"> PAGEREF _Toc104985431 \h </w:instrText>
        </w:r>
        <w:r w:rsidR="00087753">
          <w:rPr>
            <w:noProof/>
            <w:webHidden/>
          </w:rPr>
        </w:r>
        <w:r w:rsidR="00087753">
          <w:rPr>
            <w:noProof/>
            <w:webHidden/>
          </w:rPr>
          <w:fldChar w:fldCharType="separate"/>
        </w:r>
        <w:r w:rsidR="004870F1">
          <w:rPr>
            <w:noProof/>
            <w:webHidden/>
          </w:rPr>
          <w:t>127</w:t>
        </w:r>
        <w:r w:rsidR="00087753">
          <w:rPr>
            <w:noProof/>
            <w:webHidden/>
          </w:rPr>
          <w:fldChar w:fldCharType="end"/>
        </w:r>
      </w:hyperlink>
    </w:p>
    <w:p w14:paraId="1CDFD154" w14:textId="2BA217E3" w:rsidR="00087753" w:rsidRDefault="00536556">
      <w:pPr>
        <w:pStyle w:val="af7"/>
        <w:tabs>
          <w:tab w:val="right" w:leader="dot" w:pos="9344"/>
        </w:tabs>
        <w:rPr>
          <w:rFonts w:asciiTheme="minorHAnsi" w:eastAsiaTheme="minorEastAsia" w:hAnsiTheme="minorHAnsi"/>
          <w:noProof/>
          <w:sz w:val="22"/>
          <w:lang w:val="ru-RU" w:eastAsia="ru-RU"/>
        </w:rPr>
      </w:pPr>
      <w:hyperlink w:anchor="_Toc104985432" w:history="1">
        <w:r w:rsidR="00087753" w:rsidRPr="00C04E2E">
          <w:rPr>
            <w:rStyle w:val="a7"/>
            <w:rFonts w:cs="Times New Roman"/>
            <w:noProof/>
            <w:lang w:bidi="en-US"/>
          </w:rPr>
          <w:t>Figure 2.23</w:t>
        </w:r>
        <w:r w:rsidR="00087753" w:rsidRPr="00C04E2E">
          <w:rPr>
            <w:rStyle w:val="a7"/>
            <w:noProof/>
          </w:rPr>
          <w:t xml:space="preserve"> </w:t>
        </w:r>
        <w:r w:rsidR="00087753" w:rsidRPr="00C04E2E">
          <w:rPr>
            <w:rStyle w:val="a7"/>
            <w:rFonts w:cs="Times New Roman"/>
            <w:noProof/>
            <w:lang w:bidi="en-US"/>
          </w:rPr>
          <w:t>– Delineated catchment</w:t>
        </w:r>
        <w:r w:rsidR="00087753">
          <w:rPr>
            <w:noProof/>
            <w:webHidden/>
          </w:rPr>
          <w:tab/>
        </w:r>
        <w:r w:rsidR="00087753">
          <w:rPr>
            <w:noProof/>
            <w:webHidden/>
          </w:rPr>
          <w:fldChar w:fldCharType="begin"/>
        </w:r>
        <w:r w:rsidR="00087753">
          <w:rPr>
            <w:noProof/>
            <w:webHidden/>
          </w:rPr>
          <w:instrText xml:space="preserve"> PAGEREF _Toc104985432 \h </w:instrText>
        </w:r>
        <w:r w:rsidR="00087753">
          <w:rPr>
            <w:noProof/>
            <w:webHidden/>
          </w:rPr>
        </w:r>
        <w:r w:rsidR="00087753">
          <w:rPr>
            <w:noProof/>
            <w:webHidden/>
          </w:rPr>
          <w:fldChar w:fldCharType="separate"/>
        </w:r>
        <w:r w:rsidR="004870F1">
          <w:rPr>
            <w:noProof/>
            <w:webHidden/>
          </w:rPr>
          <w:t>128</w:t>
        </w:r>
        <w:r w:rsidR="00087753">
          <w:rPr>
            <w:noProof/>
            <w:webHidden/>
          </w:rPr>
          <w:fldChar w:fldCharType="end"/>
        </w:r>
      </w:hyperlink>
    </w:p>
    <w:p w14:paraId="516E5377" w14:textId="027E031D" w:rsidR="00087753" w:rsidRDefault="00536556">
      <w:pPr>
        <w:pStyle w:val="af7"/>
        <w:tabs>
          <w:tab w:val="right" w:leader="dot" w:pos="9344"/>
        </w:tabs>
        <w:rPr>
          <w:rFonts w:asciiTheme="minorHAnsi" w:eastAsiaTheme="minorEastAsia" w:hAnsiTheme="minorHAnsi"/>
          <w:noProof/>
          <w:sz w:val="22"/>
          <w:lang w:val="ru-RU" w:eastAsia="ru-RU"/>
        </w:rPr>
      </w:pPr>
      <w:hyperlink w:anchor="_Toc104985433" w:history="1">
        <w:r w:rsidR="00087753" w:rsidRPr="00C04E2E">
          <w:rPr>
            <w:rStyle w:val="a7"/>
            <w:rFonts w:cs="Times New Roman"/>
            <w:noProof/>
            <w:lang w:bidi="en-US"/>
          </w:rPr>
          <w:t>Figure 2.24</w:t>
        </w:r>
        <w:r w:rsidR="00087753" w:rsidRPr="00C04E2E">
          <w:rPr>
            <w:rStyle w:val="a7"/>
            <w:noProof/>
          </w:rPr>
          <w:t xml:space="preserve"> </w:t>
        </w:r>
        <w:r w:rsidR="00087753" w:rsidRPr="00C04E2E">
          <w:rPr>
            <w:rStyle w:val="a7"/>
            <w:rFonts w:cs="Times New Roman"/>
            <w:noProof/>
            <w:lang w:bidi="en-US"/>
          </w:rPr>
          <w:t>– Classified land use and land cover from 2000 datasets</w:t>
        </w:r>
        <w:r w:rsidR="00087753">
          <w:rPr>
            <w:noProof/>
            <w:webHidden/>
          </w:rPr>
          <w:tab/>
        </w:r>
        <w:r w:rsidR="00087753">
          <w:rPr>
            <w:noProof/>
            <w:webHidden/>
          </w:rPr>
          <w:fldChar w:fldCharType="begin"/>
        </w:r>
        <w:r w:rsidR="00087753">
          <w:rPr>
            <w:noProof/>
            <w:webHidden/>
          </w:rPr>
          <w:instrText xml:space="preserve"> PAGEREF _Toc104985433 \h </w:instrText>
        </w:r>
        <w:r w:rsidR="00087753">
          <w:rPr>
            <w:noProof/>
            <w:webHidden/>
          </w:rPr>
        </w:r>
        <w:r w:rsidR="00087753">
          <w:rPr>
            <w:noProof/>
            <w:webHidden/>
          </w:rPr>
          <w:fldChar w:fldCharType="separate"/>
        </w:r>
        <w:r w:rsidR="004870F1">
          <w:rPr>
            <w:noProof/>
            <w:webHidden/>
          </w:rPr>
          <w:t>128</w:t>
        </w:r>
        <w:r w:rsidR="00087753">
          <w:rPr>
            <w:noProof/>
            <w:webHidden/>
          </w:rPr>
          <w:fldChar w:fldCharType="end"/>
        </w:r>
      </w:hyperlink>
    </w:p>
    <w:p w14:paraId="1084CECE" w14:textId="2FFD74FC" w:rsidR="00087753" w:rsidRDefault="00536556">
      <w:pPr>
        <w:pStyle w:val="af7"/>
        <w:tabs>
          <w:tab w:val="right" w:leader="dot" w:pos="9344"/>
        </w:tabs>
        <w:rPr>
          <w:rFonts w:asciiTheme="minorHAnsi" w:eastAsiaTheme="minorEastAsia" w:hAnsiTheme="minorHAnsi"/>
          <w:noProof/>
          <w:sz w:val="22"/>
          <w:lang w:val="ru-RU" w:eastAsia="ru-RU"/>
        </w:rPr>
      </w:pPr>
      <w:hyperlink w:anchor="_Toc104985434" w:history="1">
        <w:r w:rsidR="00087753" w:rsidRPr="00C04E2E">
          <w:rPr>
            <w:rStyle w:val="a7"/>
            <w:rFonts w:cs="Times New Roman"/>
            <w:noProof/>
            <w:lang w:bidi="en-US"/>
          </w:rPr>
          <w:t>Figure 2.25</w:t>
        </w:r>
        <w:r w:rsidR="00087753" w:rsidRPr="00C04E2E">
          <w:rPr>
            <w:rStyle w:val="a7"/>
            <w:noProof/>
          </w:rPr>
          <w:t xml:space="preserve"> </w:t>
        </w:r>
        <w:r w:rsidR="00087753" w:rsidRPr="00C04E2E">
          <w:rPr>
            <w:rStyle w:val="a7"/>
            <w:rFonts w:cs="Times New Roman"/>
            <w:noProof/>
            <w:lang w:bidi="en-US"/>
          </w:rPr>
          <w:t>– Land use and land cover coverage in 2000</w:t>
        </w:r>
        <w:r w:rsidR="00087753">
          <w:rPr>
            <w:noProof/>
            <w:webHidden/>
          </w:rPr>
          <w:tab/>
        </w:r>
        <w:r w:rsidR="00087753">
          <w:rPr>
            <w:noProof/>
            <w:webHidden/>
          </w:rPr>
          <w:fldChar w:fldCharType="begin"/>
        </w:r>
        <w:r w:rsidR="00087753">
          <w:rPr>
            <w:noProof/>
            <w:webHidden/>
          </w:rPr>
          <w:instrText xml:space="preserve"> PAGEREF _Toc104985434 \h </w:instrText>
        </w:r>
        <w:r w:rsidR="00087753">
          <w:rPr>
            <w:noProof/>
            <w:webHidden/>
          </w:rPr>
        </w:r>
        <w:r w:rsidR="00087753">
          <w:rPr>
            <w:noProof/>
            <w:webHidden/>
          </w:rPr>
          <w:fldChar w:fldCharType="separate"/>
        </w:r>
        <w:r w:rsidR="004870F1">
          <w:rPr>
            <w:noProof/>
            <w:webHidden/>
          </w:rPr>
          <w:t>129</w:t>
        </w:r>
        <w:r w:rsidR="00087753">
          <w:rPr>
            <w:noProof/>
            <w:webHidden/>
          </w:rPr>
          <w:fldChar w:fldCharType="end"/>
        </w:r>
      </w:hyperlink>
    </w:p>
    <w:p w14:paraId="51FE6EC1" w14:textId="55C4A36A" w:rsidR="00087753" w:rsidRDefault="00536556">
      <w:pPr>
        <w:pStyle w:val="af7"/>
        <w:tabs>
          <w:tab w:val="right" w:leader="dot" w:pos="9344"/>
        </w:tabs>
        <w:rPr>
          <w:rFonts w:asciiTheme="minorHAnsi" w:eastAsiaTheme="minorEastAsia" w:hAnsiTheme="minorHAnsi"/>
          <w:noProof/>
          <w:sz w:val="22"/>
          <w:lang w:val="ru-RU" w:eastAsia="ru-RU"/>
        </w:rPr>
      </w:pPr>
      <w:hyperlink w:anchor="_Toc104985435" w:history="1">
        <w:r w:rsidR="00087753" w:rsidRPr="00C04E2E">
          <w:rPr>
            <w:rStyle w:val="a7"/>
            <w:rFonts w:cs="Times New Roman"/>
            <w:noProof/>
            <w:lang w:bidi="en-US"/>
          </w:rPr>
          <w:t>Figure 2.26</w:t>
        </w:r>
        <w:r w:rsidR="00087753" w:rsidRPr="00C04E2E">
          <w:rPr>
            <w:rStyle w:val="a7"/>
            <w:noProof/>
          </w:rPr>
          <w:t xml:space="preserve"> </w:t>
        </w:r>
        <w:r w:rsidR="00087753" w:rsidRPr="00C04E2E">
          <w:rPr>
            <w:rStyle w:val="a7"/>
            <w:rFonts w:cs="Times New Roman"/>
            <w:noProof/>
            <w:lang w:bidi="en-US"/>
          </w:rPr>
          <w:t>– Raster to polygon: a) float type; b) integer type</w:t>
        </w:r>
        <w:r w:rsidR="00087753">
          <w:rPr>
            <w:noProof/>
            <w:webHidden/>
          </w:rPr>
          <w:tab/>
        </w:r>
        <w:r w:rsidR="00087753">
          <w:rPr>
            <w:noProof/>
            <w:webHidden/>
          </w:rPr>
          <w:fldChar w:fldCharType="begin"/>
        </w:r>
        <w:r w:rsidR="00087753">
          <w:rPr>
            <w:noProof/>
            <w:webHidden/>
          </w:rPr>
          <w:instrText xml:space="preserve"> PAGEREF _Toc104985435 \h </w:instrText>
        </w:r>
        <w:r w:rsidR="00087753">
          <w:rPr>
            <w:noProof/>
            <w:webHidden/>
          </w:rPr>
        </w:r>
        <w:r w:rsidR="00087753">
          <w:rPr>
            <w:noProof/>
            <w:webHidden/>
          </w:rPr>
          <w:fldChar w:fldCharType="separate"/>
        </w:r>
        <w:r w:rsidR="004870F1">
          <w:rPr>
            <w:noProof/>
            <w:webHidden/>
          </w:rPr>
          <w:t>129</w:t>
        </w:r>
        <w:r w:rsidR="00087753">
          <w:rPr>
            <w:noProof/>
            <w:webHidden/>
          </w:rPr>
          <w:fldChar w:fldCharType="end"/>
        </w:r>
      </w:hyperlink>
    </w:p>
    <w:p w14:paraId="28EBCB9D" w14:textId="5C5DCA46" w:rsidR="00087753" w:rsidRDefault="00536556">
      <w:pPr>
        <w:pStyle w:val="af7"/>
        <w:tabs>
          <w:tab w:val="right" w:leader="dot" w:pos="9344"/>
        </w:tabs>
        <w:rPr>
          <w:rFonts w:asciiTheme="minorHAnsi" w:eastAsiaTheme="minorEastAsia" w:hAnsiTheme="minorHAnsi"/>
          <w:noProof/>
          <w:sz w:val="22"/>
          <w:lang w:val="ru-RU" w:eastAsia="ru-RU"/>
        </w:rPr>
      </w:pPr>
      <w:hyperlink w:anchor="_Toc104985436" w:history="1">
        <w:r w:rsidR="00087753" w:rsidRPr="00C04E2E">
          <w:rPr>
            <w:rStyle w:val="a7"/>
            <w:rFonts w:cs="Times New Roman"/>
            <w:noProof/>
            <w:lang w:bidi="en-US"/>
          </w:rPr>
          <w:t>Figure 2.27</w:t>
        </w:r>
        <w:r w:rsidR="00087753" w:rsidRPr="00C04E2E">
          <w:rPr>
            <w:rStyle w:val="a7"/>
            <w:noProof/>
          </w:rPr>
          <w:t xml:space="preserve"> </w:t>
        </w:r>
        <w:r w:rsidR="00087753" w:rsidRPr="00C04E2E">
          <w:rPr>
            <w:rStyle w:val="a7"/>
            <w:rFonts w:cs="Times New Roman"/>
            <w:noProof/>
            <w:lang w:bidi="en-US"/>
          </w:rPr>
          <w:t>– Classified land use and land cover from 2011 datasets</w:t>
        </w:r>
        <w:r w:rsidR="00087753">
          <w:rPr>
            <w:noProof/>
            <w:webHidden/>
          </w:rPr>
          <w:tab/>
        </w:r>
        <w:r w:rsidR="00087753">
          <w:rPr>
            <w:noProof/>
            <w:webHidden/>
          </w:rPr>
          <w:fldChar w:fldCharType="begin"/>
        </w:r>
        <w:r w:rsidR="00087753">
          <w:rPr>
            <w:noProof/>
            <w:webHidden/>
          </w:rPr>
          <w:instrText xml:space="preserve"> PAGEREF _Toc104985436 \h </w:instrText>
        </w:r>
        <w:r w:rsidR="00087753">
          <w:rPr>
            <w:noProof/>
            <w:webHidden/>
          </w:rPr>
        </w:r>
        <w:r w:rsidR="00087753">
          <w:rPr>
            <w:noProof/>
            <w:webHidden/>
          </w:rPr>
          <w:fldChar w:fldCharType="separate"/>
        </w:r>
        <w:r w:rsidR="004870F1">
          <w:rPr>
            <w:noProof/>
            <w:webHidden/>
          </w:rPr>
          <w:t>130</w:t>
        </w:r>
        <w:r w:rsidR="00087753">
          <w:rPr>
            <w:noProof/>
            <w:webHidden/>
          </w:rPr>
          <w:fldChar w:fldCharType="end"/>
        </w:r>
      </w:hyperlink>
    </w:p>
    <w:p w14:paraId="78EF1648" w14:textId="660A3DAA" w:rsidR="00087753" w:rsidRDefault="00536556">
      <w:pPr>
        <w:pStyle w:val="af7"/>
        <w:tabs>
          <w:tab w:val="right" w:leader="dot" w:pos="9344"/>
        </w:tabs>
        <w:rPr>
          <w:rFonts w:asciiTheme="minorHAnsi" w:eastAsiaTheme="minorEastAsia" w:hAnsiTheme="minorHAnsi"/>
          <w:noProof/>
          <w:sz w:val="22"/>
          <w:lang w:val="ru-RU" w:eastAsia="ru-RU"/>
        </w:rPr>
      </w:pPr>
      <w:hyperlink w:anchor="_Toc104985437" w:history="1">
        <w:r w:rsidR="00087753" w:rsidRPr="00C04E2E">
          <w:rPr>
            <w:rStyle w:val="a7"/>
            <w:rFonts w:cs="Times New Roman"/>
            <w:noProof/>
            <w:lang w:bidi="en-US"/>
          </w:rPr>
          <w:t>Figure 2.28</w:t>
        </w:r>
        <w:r w:rsidR="00087753" w:rsidRPr="00C04E2E">
          <w:rPr>
            <w:rStyle w:val="a7"/>
            <w:noProof/>
          </w:rPr>
          <w:t xml:space="preserve"> </w:t>
        </w:r>
        <w:r w:rsidR="00087753" w:rsidRPr="00C04E2E">
          <w:rPr>
            <w:rStyle w:val="a7"/>
            <w:rFonts w:cs="Times New Roman"/>
            <w:noProof/>
            <w:lang w:bidi="en-US"/>
          </w:rPr>
          <w:t>– Land use and land cover coverage in 2011</w:t>
        </w:r>
        <w:r w:rsidR="00087753">
          <w:rPr>
            <w:noProof/>
            <w:webHidden/>
          </w:rPr>
          <w:tab/>
        </w:r>
        <w:r w:rsidR="00087753">
          <w:rPr>
            <w:noProof/>
            <w:webHidden/>
          </w:rPr>
          <w:fldChar w:fldCharType="begin"/>
        </w:r>
        <w:r w:rsidR="00087753">
          <w:rPr>
            <w:noProof/>
            <w:webHidden/>
          </w:rPr>
          <w:instrText xml:space="preserve"> PAGEREF _Toc104985437 \h </w:instrText>
        </w:r>
        <w:r w:rsidR="00087753">
          <w:rPr>
            <w:noProof/>
            <w:webHidden/>
          </w:rPr>
        </w:r>
        <w:r w:rsidR="00087753">
          <w:rPr>
            <w:noProof/>
            <w:webHidden/>
          </w:rPr>
          <w:fldChar w:fldCharType="separate"/>
        </w:r>
        <w:r w:rsidR="004870F1">
          <w:rPr>
            <w:noProof/>
            <w:webHidden/>
          </w:rPr>
          <w:t>130</w:t>
        </w:r>
        <w:r w:rsidR="00087753">
          <w:rPr>
            <w:noProof/>
            <w:webHidden/>
          </w:rPr>
          <w:fldChar w:fldCharType="end"/>
        </w:r>
      </w:hyperlink>
    </w:p>
    <w:p w14:paraId="0736B69B" w14:textId="5A74743C" w:rsidR="00087753" w:rsidRDefault="00536556">
      <w:pPr>
        <w:pStyle w:val="af7"/>
        <w:tabs>
          <w:tab w:val="right" w:leader="dot" w:pos="9344"/>
        </w:tabs>
        <w:rPr>
          <w:rFonts w:asciiTheme="minorHAnsi" w:eastAsiaTheme="minorEastAsia" w:hAnsiTheme="minorHAnsi"/>
          <w:noProof/>
          <w:sz w:val="22"/>
          <w:lang w:val="ru-RU" w:eastAsia="ru-RU"/>
        </w:rPr>
      </w:pPr>
      <w:hyperlink w:anchor="_Toc104985438" w:history="1">
        <w:r w:rsidR="00087753" w:rsidRPr="00C04E2E">
          <w:rPr>
            <w:rStyle w:val="a7"/>
            <w:rFonts w:cs="Times New Roman"/>
            <w:noProof/>
            <w:lang w:bidi="en-US"/>
          </w:rPr>
          <w:t>Figure 2.29</w:t>
        </w:r>
        <w:r w:rsidR="00087753" w:rsidRPr="00C04E2E">
          <w:rPr>
            <w:rStyle w:val="a7"/>
            <w:noProof/>
          </w:rPr>
          <w:t xml:space="preserve"> </w:t>
        </w:r>
        <w:r w:rsidR="00087753" w:rsidRPr="00C04E2E">
          <w:rPr>
            <w:rStyle w:val="a7"/>
            <w:rFonts w:cs="Times New Roman"/>
            <w:noProof/>
            <w:lang w:bidi="en-US"/>
          </w:rPr>
          <w:t>– Raster to polygon output from 2011 datasets</w:t>
        </w:r>
        <w:r w:rsidR="00087753">
          <w:rPr>
            <w:noProof/>
            <w:webHidden/>
          </w:rPr>
          <w:tab/>
        </w:r>
        <w:r w:rsidR="00087753">
          <w:rPr>
            <w:noProof/>
            <w:webHidden/>
          </w:rPr>
          <w:fldChar w:fldCharType="begin"/>
        </w:r>
        <w:r w:rsidR="00087753">
          <w:rPr>
            <w:noProof/>
            <w:webHidden/>
          </w:rPr>
          <w:instrText xml:space="preserve"> PAGEREF _Toc104985438 \h </w:instrText>
        </w:r>
        <w:r w:rsidR="00087753">
          <w:rPr>
            <w:noProof/>
            <w:webHidden/>
          </w:rPr>
        </w:r>
        <w:r w:rsidR="00087753">
          <w:rPr>
            <w:noProof/>
            <w:webHidden/>
          </w:rPr>
          <w:fldChar w:fldCharType="separate"/>
        </w:r>
        <w:r w:rsidR="004870F1">
          <w:rPr>
            <w:noProof/>
            <w:webHidden/>
          </w:rPr>
          <w:t>131</w:t>
        </w:r>
        <w:r w:rsidR="00087753">
          <w:rPr>
            <w:noProof/>
            <w:webHidden/>
          </w:rPr>
          <w:fldChar w:fldCharType="end"/>
        </w:r>
      </w:hyperlink>
    </w:p>
    <w:p w14:paraId="590801E5" w14:textId="3A4DF6AE" w:rsidR="00087753" w:rsidRDefault="00536556">
      <w:pPr>
        <w:pStyle w:val="af7"/>
        <w:tabs>
          <w:tab w:val="right" w:leader="dot" w:pos="9344"/>
        </w:tabs>
        <w:rPr>
          <w:rFonts w:asciiTheme="minorHAnsi" w:eastAsiaTheme="minorEastAsia" w:hAnsiTheme="minorHAnsi"/>
          <w:noProof/>
          <w:sz w:val="22"/>
          <w:lang w:val="ru-RU" w:eastAsia="ru-RU"/>
        </w:rPr>
      </w:pPr>
      <w:hyperlink w:anchor="_Toc104985439" w:history="1">
        <w:r w:rsidR="00087753" w:rsidRPr="00C04E2E">
          <w:rPr>
            <w:rStyle w:val="a7"/>
            <w:rFonts w:cs="Times New Roman"/>
            <w:noProof/>
            <w:lang w:bidi="en-US"/>
          </w:rPr>
          <w:t>Figure 4.1</w:t>
        </w:r>
        <w:r w:rsidR="00087753" w:rsidRPr="00C04E2E">
          <w:rPr>
            <w:rStyle w:val="a7"/>
            <w:noProof/>
          </w:rPr>
          <w:t xml:space="preserve"> </w:t>
        </w:r>
        <w:r w:rsidR="00087753" w:rsidRPr="00C04E2E">
          <w:rPr>
            <w:rStyle w:val="a7"/>
            <w:rFonts w:cs="Times New Roman"/>
            <w:noProof/>
            <w:lang w:bidi="en-US"/>
          </w:rPr>
          <w:t>– General embankment geometry used in the numerical modeling</w:t>
        </w:r>
        <w:r w:rsidR="00087753">
          <w:rPr>
            <w:noProof/>
            <w:webHidden/>
          </w:rPr>
          <w:tab/>
        </w:r>
        <w:r w:rsidR="00087753">
          <w:rPr>
            <w:noProof/>
            <w:webHidden/>
          </w:rPr>
          <w:fldChar w:fldCharType="begin"/>
        </w:r>
        <w:r w:rsidR="00087753">
          <w:rPr>
            <w:noProof/>
            <w:webHidden/>
          </w:rPr>
          <w:instrText xml:space="preserve"> PAGEREF _Toc104985439 \h </w:instrText>
        </w:r>
        <w:r w:rsidR="00087753">
          <w:rPr>
            <w:noProof/>
            <w:webHidden/>
          </w:rPr>
        </w:r>
        <w:r w:rsidR="00087753">
          <w:rPr>
            <w:noProof/>
            <w:webHidden/>
          </w:rPr>
          <w:fldChar w:fldCharType="separate"/>
        </w:r>
        <w:r w:rsidR="004870F1">
          <w:rPr>
            <w:noProof/>
            <w:webHidden/>
          </w:rPr>
          <w:t>140</w:t>
        </w:r>
        <w:r w:rsidR="00087753">
          <w:rPr>
            <w:noProof/>
            <w:webHidden/>
          </w:rPr>
          <w:fldChar w:fldCharType="end"/>
        </w:r>
      </w:hyperlink>
    </w:p>
    <w:p w14:paraId="233D80C4" w14:textId="20E42FFF" w:rsidR="00087753" w:rsidRDefault="00536556">
      <w:pPr>
        <w:pStyle w:val="af7"/>
        <w:tabs>
          <w:tab w:val="right" w:leader="dot" w:pos="9344"/>
        </w:tabs>
        <w:rPr>
          <w:rFonts w:asciiTheme="minorHAnsi" w:eastAsiaTheme="minorEastAsia" w:hAnsiTheme="minorHAnsi"/>
          <w:noProof/>
          <w:sz w:val="22"/>
          <w:lang w:val="ru-RU" w:eastAsia="ru-RU"/>
        </w:rPr>
      </w:pPr>
      <w:hyperlink w:anchor="_Toc104985440" w:history="1">
        <w:r w:rsidR="00087753" w:rsidRPr="00C04E2E">
          <w:rPr>
            <w:rStyle w:val="a7"/>
            <w:rFonts w:cs="Times New Roman"/>
            <w:noProof/>
            <w:lang w:bidi="en-US"/>
          </w:rPr>
          <w:t>Figure 4.2</w:t>
        </w:r>
        <w:r w:rsidR="00087753" w:rsidRPr="00C04E2E">
          <w:rPr>
            <w:rStyle w:val="a7"/>
            <w:noProof/>
          </w:rPr>
          <w:t xml:space="preserve"> </w:t>
        </w:r>
        <w:r w:rsidR="00087753" w:rsidRPr="00C04E2E">
          <w:rPr>
            <w:rStyle w:val="a7"/>
            <w:rFonts w:cs="Times New Roman"/>
            <w:noProof/>
            <w:lang w:bidi="en-US"/>
          </w:rPr>
          <w:t>– Water total head function</w:t>
        </w:r>
        <w:r w:rsidR="00087753">
          <w:rPr>
            <w:noProof/>
            <w:webHidden/>
          </w:rPr>
          <w:tab/>
        </w:r>
        <w:r w:rsidR="00087753">
          <w:rPr>
            <w:noProof/>
            <w:webHidden/>
          </w:rPr>
          <w:fldChar w:fldCharType="begin"/>
        </w:r>
        <w:r w:rsidR="00087753">
          <w:rPr>
            <w:noProof/>
            <w:webHidden/>
          </w:rPr>
          <w:instrText xml:space="preserve"> PAGEREF _Toc104985440 \h </w:instrText>
        </w:r>
        <w:r w:rsidR="00087753">
          <w:rPr>
            <w:noProof/>
            <w:webHidden/>
          </w:rPr>
        </w:r>
        <w:r w:rsidR="00087753">
          <w:rPr>
            <w:noProof/>
            <w:webHidden/>
          </w:rPr>
          <w:fldChar w:fldCharType="separate"/>
        </w:r>
        <w:r w:rsidR="004870F1">
          <w:rPr>
            <w:noProof/>
            <w:webHidden/>
          </w:rPr>
          <w:t>140</w:t>
        </w:r>
        <w:r w:rsidR="00087753">
          <w:rPr>
            <w:noProof/>
            <w:webHidden/>
          </w:rPr>
          <w:fldChar w:fldCharType="end"/>
        </w:r>
      </w:hyperlink>
    </w:p>
    <w:p w14:paraId="09819920" w14:textId="6B2FD944" w:rsidR="00087753" w:rsidRDefault="00536556">
      <w:pPr>
        <w:pStyle w:val="af7"/>
        <w:tabs>
          <w:tab w:val="right" w:leader="dot" w:pos="9344"/>
        </w:tabs>
        <w:rPr>
          <w:rFonts w:asciiTheme="minorHAnsi" w:eastAsiaTheme="minorEastAsia" w:hAnsiTheme="minorHAnsi"/>
          <w:noProof/>
          <w:sz w:val="22"/>
          <w:lang w:val="ru-RU" w:eastAsia="ru-RU"/>
        </w:rPr>
      </w:pPr>
      <w:hyperlink w:anchor="_Toc104985441" w:history="1">
        <w:r w:rsidR="00087753" w:rsidRPr="00C04E2E">
          <w:rPr>
            <w:rStyle w:val="a7"/>
            <w:rFonts w:cs="Times New Roman"/>
            <w:noProof/>
            <w:lang w:bidi="en-US"/>
          </w:rPr>
          <w:t>Figure 4.3</w:t>
        </w:r>
        <w:r w:rsidR="00087753" w:rsidRPr="00C04E2E">
          <w:rPr>
            <w:rStyle w:val="a7"/>
            <w:noProof/>
          </w:rPr>
          <w:t xml:space="preserve"> </w:t>
        </w:r>
        <w:r w:rsidR="00087753" w:rsidRPr="00C04E2E">
          <w:rPr>
            <w:rStyle w:val="a7"/>
            <w:rFonts w:cs="Times New Roman"/>
            <w:noProof/>
            <w:lang w:bidi="en-US"/>
          </w:rPr>
          <w:t>– Functions: a) volumetric water content; b) hydraulic conductivity function</w:t>
        </w:r>
        <w:r w:rsidR="00087753">
          <w:rPr>
            <w:noProof/>
            <w:webHidden/>
          </w:rPr>
          <w:tab/>
        </w:r>
        <w:r w:rsidR="00087753">
          <w:rPr>
            <w:noProof/>
            <w:webHidden/>
          </w:rPr>
          <w:fldChar w:fldCharType="begin"/>
        </w:r>
        <w:r w:rsidR="00087753">
          <w:rPr>
            <w:noProof/>
            <w:webHidden/>
          </w:rPr>
          <w:instrText xml:space="preserve"> PAGEREF _Toc104985441 \h </w:instrText>
        </w:r>
        <w:r w:rsidR="00087753">
          <w:rPr>
            <w:noProof/>
            <w:webHidden/>
          </w:rPr>
        </w:r>
        <w:r w:rsidR="00087753">
          <w:rPr>
            <w:noProof/>
            <w:webHidden/>
          </w:rPr>
          <w:fldChar w:fldCharType="separate"/>
        </w:r>
        <w:r w:rsidR="004870F1">
          <w:rPr>
            <w:noProof/>
            <w:webHidden/>
          </w:rPr>
          <w:t>141</w:t>
        </w:r>
        <w:r w:rsidR="00087753">
          <w:rPr>
            <w:noProof/>
            <w:webHidden/>
          </w:rPr>
          <w:fldChar w:fldCharType="end"/>
        </w:r>
      </w:hyperlink>
    </w:p>
    <w:p w14:paraId="4BDC23C3" w14:textId="45BEEFD2" w:rsidR="00087753" w:rsidRDefault="00536556">
      <w:pPr>
        <w:pStyle w:val="af7"/>
        <w:tabs>
          <w:tab w:val="right" w:leader="dot" w:pos="9344"/>
        </w:tabs>
        <w:rPr>
          <w:rFonts w:asciiTheme="minorHAnsi" w:eastAsiaTheme="minorEastAsia" w:hAnsiTheme="minorHAnsi"/>
          <w:noProof/>
          <w:sz w:val="22"/>
          <w:lang w:val="ru-RU" w:eastAsia="ru-RU"/>
        </w:rPr>
      </w:pPr>
      <w:hyperlink w:anchor="_Toc104985442" w:history="1">
        <w:r w:rsidR="00087753" w:rsidRPr="00C04E2E">
          <w:rPr>
            <w:rStyle w:val="a7"/>
            <w:rFonts w:cs="Times New Roman"/>
            <w:noProof/>
            <w:lang w:bidi="en-US"/>
          </w:rPr>
          <w:t>Figure 4.4</w:t>
        </w:r>
        <w:r w:rsidR="00087753" w:rsidRPr="00C04E2E">
          <w:rPr>
            <w:rStyle w:val="a7"/>
            <w:noProof/>
          </w:rPr>
          <w:t xml:space="preserve"> </w:t>
        </w:r>
        <w:r w:rsidR="00087753" w:rsidRPr="00C04E2E">
          <w:rPr>
            <w:rStyle w:val="a7"/>
            <w:rFonts w:cs="Times New Roman"/>
            <w:noProof/>
            <w:lang w:bidi="en-US"/>
          </w:rPr>
          <w:t>– Seepage results under 10 m water level: a) long-term steady-state; b) instantaneous drawdown; c) 5 days drawdown; d) 10 days drawdown</w:t>
        </w:r>
        <w:r w:rsidR="00087753">
          <w:rPr>
            <w:noProof/>
            <w:webHidden/>
          </w:rPr>
          <w:tab/>
        </w:r>
        <w:r w:rsidR="00087753">
          <w:rPr>
            <w:noProof/>
            <w:webHidden/>
          </w:rPr>
          <w:fldChar w:fldCharType="begin"/>
        </w:r>
        <w:r w:rsidR="00087753">
          <w:rPr>
            <w:noProof/>
            <w:webHidden/>
          </w:rPr>
          <w:instrText xml:space="preserve"> PAGEREF _Toc104985442 \h </w:instrText>
        </w:r>
        <w:r w:rsidR="00087753">
          <w:rPr>
            <w:noProof/>
            <w:webHidden/>
          </w:rPr>
        </w:r>
        <w:r w:rsidR="00087753">
          <w:rPr>
            <w:noProof/>
            <w:webHidden/>
          </w:rPr>
          <w:fldChar w:fldCharType="separate"/>
        </w:r>
        <w:r w:rsidR="004870F1">
          <w:rPr>
            <w:noProof/>
            <w:webHidden/>
          </w:rPr>
          <w:t>143</w:t>
        </w:r>
        <w:r w:rsidR="00087753">
          <w:rPr>
            <w:noProof/>
            <w:webHidden/>
          </w:rPr>
          <w:fldChar w:fldCharType="end"/>
        </w:r>
      </w:hyperlink>
    </w:p>
    <w:p w14:paraId="5754C016" w14:textId="1B6EB53D" w:rsidR="00087753" w:rsidRDefault="00536556">
      <w:pPr>
        <w:pStyle w:val="af7"/>
        <w:tabs>
          <w:tab w:val="right" w:leader="dot" w:pos="9344"/>
        </w:tabs>
        <w:rPr>
          <w:rFonts w:asciiTheme="minorHAnsi" w:eastAsiaTheme="minorEastAsia" w:hAnsiTheme="minorHAnsi"/>
          <w:noProof/>
          <w:sz w:val="22"/>
          <w:lang w:val="ru-RU" w:eastAsia="ru-RU"/>
        </w:rPr>
      </w:pPr>
      <w:hyperlink w:anchor="_Toc104985443" w:history="1">
        <w:r w:rsidR="00087753" w:rsidRPr="00C04E2E">
          <w:rPr>
            <w:rStyle w:val="a7"/>
            <w:rFonts w:cs="Times New Roman"/>
            <w:noProof/>
            <w:lang w:bidi="en-US"/>
          </w:rPr>
          <w:t>Figure 4.5</w:t>
        </w:r>
        <w:r w:rsidR="00087753" w:rsidRPr="00C04E2E">
          <w:rPr>
            <w:rStyle w:val="a7"/>
            <w:noProof/>
          </w:rPr>
          <w:t xml:space="preserve"> </w:t>
        </w:r>
        <w:r w:rsidR="00087753" w:rsidRPr="00C04E2E">
          <w:rPr>
            <w:rStyle w:val="a7"/>
            <w:rFonts w:cs="Times New Roman"/>
            <w:noProof/>
            <w:lang w:bidi="en-US"/>
          </w:rPr>
          <w:t>– Seepage results under 8m water level: a) long-term steady-state; b) 5 days drawdown</w:t>
        </w:r>
        <w:r w:rsidR="00087753">
          <w:rPr>
            <w:noProof/>
            <w:webHidden/>
          </w:rPr>
          <w:tab/>
        </w:r>
        <w:r w:rsidR="00087753">
          <w:rPr>
            <w:noProof/>
            <w:webHidden/>
          </w:rPr>
          <w:fldChar w:fldCharType="begin"/>
        </w:r>
        <w:r w:rsidR="00087753">
          <w:rPr>
            <w:noProof/>
            <w:webHidden/>
          </w:rPr>
          <w:instrText xml:space="preserve"> PAGEREF _Toc104985443 \h </w:instrText>
        </w:r>
        <w:r w:rsidR="00087753">
          <w:rPr>
            <w:noProof/>
            <w:webHidden/>
          </w:rPr>
        </w:r>
        <w:r w:rsidR="00087753">
          <w:rPr>
            <w:noProof/>
            <w:webHidden/>
          </w:rPr>
          <w:fldChar w:fldCharType="separate"/>
        </w:r>
        <w:r w:rsidR="004870F1">
          <w:rPr>
            <w:noProof/>
            <w:webHidden/>
          </w:rPr>
          <w:t>144</w:t>
        </w:r>
        <w:r w:rsidR="00087753">
          <w:rPr>
            <w:noProof/>
            <w:webHidden/>
          </w:rPr>
          <w:fldChar w:fldCharType="end"/>
        </w:r>
      </w:hyperlink>
    </w:p>
    <w:p w14:paraId="6959FA6F" w14:textId="7FE1DE83" w:rsidR="00087753" w:rsidRDefault="00536556">
      <w:pPr>
        <w:pStyle w:val="af7"/>
        <w:tabs>
          <w:tab w:val="right" w:leader="dot" w:pos="9344"/>
        </w:tabs>
        <w:rPr>
          <w:rFonts w:asciiTheme="minorHAnsi" w:eastAsiaTheme="minorEastAsia" w:hAnsiTheme="minorHAnsi"/>
          <w:noProof/>
          <w:sz w:val="22"/>
          <w:lang w:val="ru-RU" w:eastAsia="ru-RU"/>
        </w:rPr>
      </w:pPr>
      <w:hyperlink w:anchor="_Toc104985444" w:history="1">
        <w:r w:rsidR="00087753" w:rsidRPr="00C04E2E">
          <w:rPr>
            <w:rStyle w:val="a7"/>
            <w:rFonts w:cs="Times New Roman"/>
            <w:noProof/>
            <w:lang w:bidi="en-US"/>
          </w:rPr>
          <w:t>Figure 4.6</w:t>
        </w:r>
        <w:r w:rsidR="00087753" w:rsidRPr="00C04E2E">
          <w:rPr>
            <w:rStyle w:val="a7"/>
            <w:noProof/>
          </w:rPr>
          <w:t xml:space="preserve"> </w:t>
        </w:r>
        <w:r w:rsidR="00087753" w:rsidRPr="00C04E2E">
          <w:rPr>
            <w:rStyle w:val="a7"/>
            <w:rFonts w:cs="Times New Roman"/>
            <w:noProof/>
            <w:lang w:bidi="en-US"/>
          </w:rPr>
          <w:t>– Seepage results under 6m water level: a) long-term steady-state; b) 5 days drawdown</w:t>
        </w:r>
        <w:r w:rsidR="00087753">
          <w:rPr>
            <w:noProof/>
            <w:webHidden/>
          </w:rPr>
          <w:tab/>
        </w:r>
        <w:r w:rsidR="00087753">
          <w:rPr>
            <w:noProof/>
            <w:webHidden/>
          </w:rPr>
          <w:fldChar w:fldCharType="begin"/>
        </w:r>
        <w:r w:rsidR="00087753">
          <w:rPr>
            <w:noProof/>
            <w:webHidden/>
          </w:rPr>
          <w:instrText xml:space="preserve"> PAGEREF _Toc104985444 \h </w:instrText>
        </w:r>
        <w:r w:rsidR="00087753">
          <w:rPr>
            <w:noProof/>
            <w:webHidden/>
          </w:rPr>
        </w:r>
        <w:r w:rsidR="00087753">
          <w:rPr>
            <w:noProof/>
            <w:webHidden/>
          </w:rPr>
          <w:fldChar w:fldCharType="separate"/>
        </w:r>
        <w:r w:rsidR="004870F1">
          <w:rPr>
            <w:noProof/>
            <w:webHidden/>
          </w:rPr>
          <w:t>145</w:t>
        </w:r>
        <w:r w:rsidR="00087753">
          <w:rPr>
            <w:noProof/>
            <w:webHidden/>
          </w:rPr>
          <w:fldChar w:fldCharType="end"/>
        </w:r>
      </w:hyperlink>
    </w:p>
    <w:p w14:paraId="3BE96A7D" w14:textId="1B091E5D" w:rsidR="00087753" w:rsidRDefault="00536556">
      <w:pPr>
        <w:pStyle w:val="af7"/>
        <w:tabs>
          <w:tab w:val="right" w:leader="dot" w:pos="9344"/>
        </w:tabs>
        <w:rPr>
          <w:rFonts w:asciiTheme="minorHAnsi" w:eastAsiaTheme="minorEastAsia" w:hAnsiTheme="minorHAnsi"/>
          <w:noProof/>
          <w:sz w:val="22"/>
          <w:lang w:val="ru-RU" w:eastAsia="ru-RU"/>
        </w:rPr>
      </w:pPr>
      <w:hyperlink w:anchor="_Toc104985445" w:history="1">
        <w:r w:rsidR="00087753" w:rsidRPr="00C04E2E">
          <w:rPr>
            <w:rStyle w:val="a7"/>
            <w:rFonts w:cs="Times New Roman"/>
            <w:noProof/>
            <w:lang w:bidi="en-US"/>
          </w:rPr>
          <w:t>Figure 4.7</w:t>
        </w:r>
        <w:r w:rsidR="00087753" w:rsidRPr="00C04E2E">
          <w:rPr>
            <w:rStyle w:val="a7"/>
            <w:noProof/>
          </w:rPr>
          <w:t xml:space="preserve"> </w:t>
        </w:r>
        <w:r w:rsidR="00087753" w:rsidRPr="00C04E2E">
          <w:rPr>
            <w:rStyle w:val="a7"/>
            <w:rFonts w:cs="Times New Roman"/>
            <w:noProof/>
            <w:lang w:bidi="en-US"/>
          </w:rPr>
          <w:t>– Slope stability results for 10 m water level: a) long-term steady-state; b) instantaneous drawdown slip surface; c) 5 days drawdown slip surface; d) instantaneous drawdown graph; e) 5 days drawdown graph</w:t>
        </w:r>
        <w:r w:rsidR="00087753">
          <w:rPr>
            <w:noProof/>
            <w:webHidden/>
          </w:rPr>
          <w:tab/>
        </w:r>
        <w:r w:rsidR="00087753">
          <w:rPr>
            <w:noProof/>
            <w:webHidden/>
          </w:rPr>
          <w:fldChar w:fldCharType="begin"/>
        </w:r>
        <w:r w:rsidR="00087753">
          <w:rPr>
            <w:noProof/>
            <w:webHidden/>
          </w:rPr>
          <w:instrText xml:space="preserve"> PAGEREF _Toc104985445 \h </w:instrText>
        </w:r>
        <w:r w:rsidR="00087753">
          <w:rPr>
            <w:noProof/>
            <w:webHidden/>
          </w:rPr>
        </w:r>
        <w:r w:rsidR="00087753">
          <w:rPr>
            <w:noProof/>
            <w:webHidden/>
          </w:rPr>
          <w:fldChar w:fldCharType="separate"/>
        </w:r>
        <w:r w:rsidR="004870F1">
          <w:rPr>
            <w:noProof/>
            <w:webHidden/>
          </w:rPr>
          <w:t>146</w:t>
        </w:r>
        <w:r w:rsidR="00087753">
          <w:rPr>
            <w:noProof/>
            <w:webHidden/>
          </w:rPr>
          <w:fldChar w:fldCharType="end"/>
        </w:r>
      </w:hyperlink>
    </w:p>
    <w:p w14:paraId="04A7020C" w14:textId="3F643F97" w:rsidR="00087753" w:rsidRDefault="00536556">
      <w:pPr>
        <w:pStyle w:val="af7"/>
        <w:tabs>
          <w:tab w:val="right" w:leader="dot" w:pos="9344"/>
        </w:tabs>
        <w:rPr>
          <w:rFonts w:asciiTheme="minorHAnsi" w:eastAsiaTheme="minorEastAsia" w:hAnsiTheme="minorHAnsi"/>
          <w:noProof/>
          <w:sz w:val="22"/>
          <w:lang w:val="ru-RU" w:eastAsia="ru-RU"/>
        </w:rPr>
      </w:pPr>
      <w:hyperlink w:anchor="_Toc104985446" w:history="1">
        <w:r w:rsidR="00087753" w:rsidRPr="00C04E2E">
          <w:rPr>
            <w:rStyle w:val="a7"/>
            <w:rFonts w:cs="Times New Roman"/>
            <w:noProof/>
            <w:lang w:bidi="en-US"/>
          </w:rPr>
          <w:t>Figure 4.8 – Slope stability results for 10 m water level and 10 days drawdown: a)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_Toc104985446 \h </w:instrText>
        </w:r>
        <w:r w:rsidR="00087753">
          <w:rPr>
            <w:noProof/>
            <w:webHidden/>
          </w:rPr>
        </w:r>
        <w:r w:rsidR="00087753">
          <w:rPr>
            <w:noProof/>
            <w:webHidden/>
          </w:rPr>
          <w:fldChar w:fldCharType="separate"/>
        </w:r>
        <w:r w:rsidR="004870F1">
          <w:rPr>
            <w:noProof/>
            <w:webHidden/>
          </w:rPr>
          <w:t>147</w:t>
        </w:r>
        <w:r w:rsidR="00087753">
          <w:rPr>
            <w:noProof/>
            <w:webHidden/>
          </w:rPr>
          <w:fldChar w:fldCharType="end"/>
        </w:r>
      </w:hyperlink>
    </w:p>
    <w:p w14:paraId="16064886" w14:textId="0342B425" w:rsidR="00087753" w:rsidRDefault="00536556">
      <w:pPr>
        <w:pStyle w:val="af7"/>
        <w:tabs>
          <w:tab w:val="right" w:leader="dot" w:pos="9344"/>
        </w:tabs>
        <w:rPr>
          <w:rFonts w:asciiTheme="minorHAnsi" w:eastAsiaTheme="minorEastAsia" w:hAnsiTheme="minorHAnsi"/>
          <w:noProof/>
          <w:sz w:val="22"/>
          <w:lang w:val="ru-RU" w:eastAsia="ru-RU"/>
        </w:rPr>
      </w:pPr>
      <w:hyperlink w:anchor="_Toc104985447" w:history="1">
        <w:r w:rsidR="00087753" w:rsidRPr="00C04E2E">
          <w:rPr>
            <w:rStyle w:val="a7"/>
            <w:rFonts w:cs="Times New Roman"/>
            <w:noProof/>
            <w:lang w:bidi="en-US"/>
          </w:rPr>
          <w:t>Figure 4.9</w:t>
        </w:r>
        <w:r w:rsidR="00087753" w:rsidRPr="00C04E2E">
          <w:rPr>
            <w:rStyle w:val="a7"/>
            <w:noProof/>
          </w:rPr>
          <w:t xml:space="preserve"> </w:t>
        </w:r>
        <w:r w:rsidR="00087753" w:rsidRPr="00C04E2E">
          <w:rPr>
            <w:rStyle w:val="a7"/>
            <w:rFonts w:cs="Times New Roman"/>
            <w:noProof/>
            <w:lang w:bidi="en-US"/>
          </w:rPr>
          <w:t>– Slope stability results for 8 m water level: a) long-term steady-state with slip surface; b) instantaneous drawdown slip surface; c) 5 days drawdown slip surface; d) instantaneous drawdown graph; e) 5 days drawdown graph. HRAF = hypothetical region after failure.</w:t>
        </w:r>
        <w:r w:rsidR="00087753">
          <w:rPr>
            <w:noProof/>
            <w:webHidden/>
          </w:rPr>
          <w:tab/>
        </w:r>
        <w:r w:rsidR="00087753">
          <w:rPr>
            <w:noProof/>
            <w:webHidden/>
          </w:rPr>
          <w:fldChar w:fldCharType="begin"/>
        </w:r>
        <w:r w:rsidR="00087753">
          <w:rPr>
            <w:noProof/>
            <w:webHidden/>
          </w:rPr>
          <w:instrText xml:space="preserve"> PAGEREF _Toc104985447 \h </w:instrText>
        </w:r>
        <w:r w:rsidR="00087753">
          <w:rPr>
            <w:noProof/>
            <w:webHidden/>
          </w:rPr>
        </w:r>
        <w:r w:rsidR="00087753">
          <w:rPr>
            <w:noProof/>
            <w:webHidden/>
          </w:rPr>
          <w:fldChar w:fldCharType="separate"/>
        </w:r>
        <w:r w:rsidR="004870F1">
          <w:rPr>
            <w:noProof/>
            <w:webHidden/>
          </w:rPr>
          <w:t>149</w:t>
        </w:r>
        <w:r w:rsidR="00087753">
          <w:rPr>
            <w:noProof/>
            <w:webHidden/>
          </w:rPr>
          <w:fldChar w:fldCharType="end"/>
        </w:r>
      </w:hyperlink>
    </w:p>
    <w:p w14:paraId="0A18FF12" w14:textId="3E1D1C01" w:rsidR="00087753" w:rsidRDefault="00536556">
      <w:pPr>
        <w:pStyle w:val="af7"/>
        <w:tabs>
          <w:tab w:val="right" w:leader="dot" w:pos="9344"/>
        </w:tabs>
        <w:rPr>
          <w:rFonts w:asciiTheme="minorHAnsi" w:eastAsiaTheme="minorEastAsia" w:hAnsiTheme="minorHAnsi"/>
          <w:noProof/>
          <w:sz w:val="22"/>
          <w:lang w:val="ru-RU" w:eastAsia="ru-RU"/>
        </w:rPr>
      </w:pPr>
      <w:hyperlink w:anchor="_Toc104985448" w:history="1">
        <w:r w:rsidR="00087753" w:rsidRPr="00C04E2E">
          <w:rPr>
            <w:rStyle w:val="a7"/>
            <w:rFonts w:cs="Times New Roman"/>
            <w:noProof/>
            <w:lang w:bidi="en-US"/>
          </w:rPr>
          <w:t>Figure 4.10</w:t>
        </w:r>
        <w:r w:rsidR="00087753" w:rsidRPr="00C04E2E">
          <w:rPr>
            <w:rStyle w:val="a7"/>
            <w:noProof/>
          </w:rPr>
          <w:t xml:space="preserve"> </w:t>
        </w:r>
        <w:r w:rsidR="00087753" w:rsidRPr="00C04E2E">
          <w:rPr>
            <w:rStyle w:val="a7"/>
            <w:rFonts w:cs="Times New Roman"/>
            <w:noProof/>
            <w:lang w:bidi="en-US"/>
          </w:rPr>
          <w:t>– Slope stability results for 6 m water level: a) long-term steady-state with slip surface; b) instantaneous drawdown slip surface; c) 5 days drawdown slip surface; d) instantaneous drawdown graph; e) 5 days drawdown graph</w:t>
        </w:r>
        <w:r w:rsidR="00087753">
          <w:rPr>
            <w:noProof/>
            <w:webHidden/>
          </w:rPr>
          <w:tab/>
        </w:r>
        <w:r w:rsidR="00087753">
          <w:rPr>
            <w:noProof/>
            <w:webHidden/>
          </w:rPr>
          <w:fldChar w:fldCharType="begin"/>
        </w:r>
        <w:r w:rsidR="00087753">
          <w:rPr>
            <w:noProof/>
            <w:webHidden/>
          </w:rPr>
          <w:instrText xml:space="preserve"> PAGEREF _Toc104985448 \h </w:instrText>
        </w:r>
        <w:r w:rsidR="00087753">
          <w:rPr>
            <w:noProof/>
            <w:webHidden/>
          </w:rPr>
        </w:r>
        <w:r w:rsidR="00087753">
          <w:rPr>
            <w:noProof/>
            <w:webHidden/>
          </w:rPr>
          <w:fldChar w:fldCharType="separate"/>
        </w:r>
        <w:r w:rsidR="004870F1">
          <w:rPr>
            <w:noProof/>
            <w:webHidden/>
          </w:rPr>
          <w:t>151</w:t>
        </w:r>
        <w:r w:rsidR="00087753">
          <w:rPr>
            <w:noProof/>
            <w:webHidden/>
          </w:rPr>
          <w:fldChar w:fldCharType="end"/>
        </w:r>
      </w:hyperlink>
    </w:p>
    <w:p w14:paraId="7BFE0677" w14:textId="052C035B" w:rsidR="00087753" w:rsidRDefault="00536556">
      <w:pPr>
        <w:pStyle w:val="af7"/>
        <w:tabs>
          <w:tab w:val="right" w:leader="dot" w:pos="9344"/>
        </w:tabs>
        <w:rPr>
          <w:rFonts w:asciiTheme="minorHAnsi" w:eastAsiaTheme="minorEastAsia" w:hAnsiTheme="minorHAnsi"/>
          <w:noProof/>
          <w:sz w:val="22"/>
          <w:lang w:val="ru-RU" w:eastAsia="ru-RU"/>
        </w:rPr>
      </w:pPr>
      <w:hyperlink w:anchor="_Toc104985449" w:history="1">
        <w:r w:rsidR="00087753" w:rsidRPr="00C04E2E">
          <w:rPr>
            <w:rStyle w:val="a7"/>
            <w:rFonts w:cs="Times New Roman"/>
            <w:noProof/>
            <w:lang w:bidi="en-US"/>
          </w:rPr>
          <w:t>Figure 4.11</w:t>
        </w:r>
        <w:r w:rsidR="00087753" w:rsidRPr="00C04E2E">
          <w:rPr>
            <w:rStyle w:val="a7"/>
            <w:noProof/>
          </w:rPr>
          <w:t xml:space="preserve"> </w:t>
        </w:r>
        <w:r w:rsidR="00087753" w:rsidRPr="00C04E2E">
          <w:rPr>
            <w:rStyle w:val="a7"/>
            <w:rFonts w:cs="Times New Roman"/>
            <w:noProof/>
            <w:lang w:bidi="en-US"/>
          </w:rPr>
          <w:t>– General embankment geometry</w:t>
        </w:r>
        <w:r w:rsidR="00087753">
          <w:rPr>
            <w:noProof/>
            <w:webHidden/>
          </w:rPr>
          <w:tab/>
        </w:r>
        <w:r w:rsidR="00087753">
          <w:rPr>
            <w:noProof/>
            <w:webHidden/>
          </w:rPr>
          <w:fldChar w:fldCharType="begin"/>
        </w:r>
        <w:r w:rsidR="00087753">
          <w:rPr>
            <w:noProof/>
            <w:webHidden/>
          </w:rPr>
          <w:instrText xml:space="preserve"> PAGEREF _Toc104985449 \h </w:instrText>
        </w:r>
        <w:r w:rsidR="00087753">
          <w:rPr>
            <w:noProof/>
            <w:webHidden/>
          </w:rPr>
        </w:r>
        <w:r w:rsidR="00087753">
          <w:rPr>
            <w:noProof/>
            <w:webHidden/>
          </w:rPr>
          <w:fldChar w:fldCharType="separate"/>
        </w:r>
        <w:r w:rsidR="004870F1">
          <w:rPr>
            <w:noProof/>
            <w:webHidden/>
          </w:rPr>
          <w:t>153</w:t>
        </w:r>
        <w:r w:rsidR="00087753">
          <w:rPr>
            <w:noProof/>
            <w:webHidden/>
          </w:rPr>
          <w:fldChar w:fldCharType="end"/>
        </w:r>
      </w:hyperlink>
    </w:p>
    <w:p w14:paraId="5B4AF485" w14:textId="2963D99D" w:rsidR="00087753" w:rsidRDefault="00536556">
      <w:pPr>
        <w:pStyle w:val="af7"/>
        <w:tabs>
          <w:tab w:val="right" w:leader="dot" w:pos="9344"/>
        </w:tabs>
        <w:rPr>
          <w:rFonts w:asciiTheme="minorHAnsi" w:eastAsiaTheme="minorEastAsia" w:hAnsiTheme="minorHAnsi"/>
          <w:noProof/>
          <w:sz w:val="22"/>
          <w:lang w:val="ru-RU" w:eastAsia="ru-RU"/>
        </w:rPr>
      </w:pPr>
      <w:hyperlink w:anchor="_Toc104985450" w:history="1">
        <w:r w:rsidR="00087753" w:rsidRPr="00C04E2E">
          <w:rPr>
            <w:rStyle w:val="a7"/>
            <w:rFonts w:cs="Times New Roman"/>
            <w:noProof/>
            <w:lang w:bidi="en-US"/>
          </w:rPr>
          <w:t>Figure 4.12</w:t>
        </w:r>
        <w:r w:rsidR="00087753" w:rsidRPr="00C04E2E">
          <w:rPr>
            <w:rStyle w:val="a7"/>
            <w:noProof/>
          </w:rPr>
          <w:t xml:space="preserve"> </w:t>
        </w:r>
        <w:r w:rsidR="00087753" w:rsidRPr="00C04E2E">
          <w:rPr>
            <w:rStyle w:val="a7"/>
            <w:rFonts w:cs="Times New Roman"/>
            <w:noProof/>
            <w:lang w:bidi="en-US"/>
          </w:rPr>
          <w:t>– Pressure of pore-water at the upstream face</w:t>
        </w:r>
        <w:r w:rsidR="00087753">
          <w:rPr>
            <w:noProof/>
            <w:webHidden/>
          </w:rPr>
          <w:tab/>
        </w:r>
        <w:r w:rsidR="00087753">
          <w:rPr>
            <w:noProof/>
            <w:webHidden/>
          </w:rPr>
          <w:fldChar w:fldCharType="begin"/>
        </w:r>
        <w:r w:rsidR="00087753">
          <w:rPr>
            <w:noProof/>
            <w:webHidden/>
          </w:rPr>
          <w:instrText xml:space="preserve"> PAGEREF _Toc104985450 \h </w:instrText>
        </w:r>
        <w:r w:rsidR="00087753">
          <w:rPr>
            <w:noProof/>
            <w:webHidden/>
          </w:rPr>
        </w:r>
        <w:r w:rsidR="00087753">
          <w:rPr>
            <w:noProof/>
            <w:webHidden/>
          </w:rPr>
          <w:fldChar w:fldCharType="separate"/>
        </w:r>
        <w:r w:rsidR="004870F1">
          <w:rPr>
            <w:noProof/>
            <w:webHidden/>
          </w:rPr>
          <w:t>154</w:t>
        </w:r>
        <w:r w:rsidR="00087753">
          <w:rPr>
            <w:noProof/>
            <w:webHidden/>
          </w:rPr>
          <w:fldChar w:fldCharType="end"/>
        </w:r>
      </w:hyperlink>
    </w:p>
    <w:p w14:paraId="659384BB" w14:textId="77968E34" w:rsidR="00087753" w:rsidRDefault="00536556">
      <w:pPr>
        <w:pStyle w:val="af7"/>
        <w:tabs>
          <w:tab w:val="right" w:leader="dot" w:pos="9344"/>
        </w:tabs>
        <w:rPr>
          <w:rFonts w:asciiTheme="minorHAnsi" w:eastAsiaTheme="minorEastAsia" w:hAnsiTheme="minorHAnsi"/>
          <w:noProof/>
          <w:sz w:val="22"/>
          <w:lang w:val="ru-RU" w:eastAsia="ru-RU"/>
        </w:rPr>
      </w:pPr>
      <w:hyperlink w:anchor="_Toc104985451" w:history="1">
        <w:r w:rsidR="00087753" w:rsidRPr="00C04E2E">
          <w:rPr>
            <w:rStyle w:val="a7"/>
            <w:rFonts w:cs="Times New Roman"/>
            <w:noProof/>
            <w:lang w:bidi="en-US"/>
          </w:rPr>
          <w:t>Figure 4.13</w:t>
        </w:r>
        <w:r w:rsidR="00087753" w:rsidRPr="00C04E2E">
          <w:rPr>
            <w:rStyle w:val="a7"/>
            <w:noProof/>
          </w:rPr>
          <w:t xml:space="preserve"> – The downstream toe's pore-water pressure</w:t>
        </w:r>
        <w:r w:rsidR="00087753">
          <w:rPr>
            <w:noProof/>
            <w:webHidden/>
          </w:rPr>
          <w:tab/>
        </w:r>
        <w:r w:rsidR="00087753">
          <w:rPr>
            <w:noProof/>
            <w:webHidden/>
          </w:rPr>
          <w:fldChar w:fldCharType="begin"/>
        </w:r>
        <w:r w:rsidR="00087753">
          <w:rPr>
            <w:noProof/>
            <w:webHidden/>
          </w:rPr>
          <w:instrText xml:space="preserve"> PAGEREF _Toc104985451 \h </w:instrText>
        </w:r>
        <w:r w:rsidR="00087753">
          <w:rPr>
            <w:noProof/>
            <w:webHidden/>
          </w:rPr>
        </w:r>
        <w:r w:rsidR="00087753">
          <w:rPr>
            <w:noProof/>
            <w:webHidden/>
          </w:rPr>
          <w:fldChar w:fldCharType="separate"/>
        </w:r>
        <w:r w:rsidR="004870F1">
          <w:rPr>
            <w:noProof/>
            <w:webHidden/>
          </w:rPr>
          <w:t>155</w:t>
        </w:r>
        <w:r w:rsidR="00087753">
          <w:rPr>
            <w:noProof/>
            <w:webHidden/>
          </w:rPr>
          <w:fldChar w:fldCharType="end"/>
        </w:r>
      </w:hyperlink>
    </w:p>
    <w:p w14:paraId="6757E1C8" w14:textId="05D726F4" w:rsidR="00087753" w:rsidRDefault="00536556">
      <w:pPr>
        <w:pStyle w:val="af7"/>
        <w:tabs>
          <w:tab w:val="right" w:leader="dot" w:pos="9344"/>
        </w:tabs>
        <w:rPr>
          <w:rFonts w:asciiTheme="minorHAnsi" w:eastAsiaTheme="minorEastAsia" w:hAnsiTheme="minorHAnsi"/>
          <w:noProof/>
          <w:sz w:val="22"/>
          <w:lang w:val="ru-RU" w:eastAsia="ru-RU"/>
        </w:rPr>
      </w:pPr>
      <w:hyperlink w:anchor="_Toc104985452" w:history="1">
        <w:r w:rsidR="00087753" w:rsidRPr="00C04E2E">
          <w:rPr>
            <w:rStyle w:val="a7"/>
            <w:rFonts w:cs="Times New Roman"/>
            <w:noProof/>
            <w:lang w:bidi="en-US"/>
          </w:rPr>
          <w:t>Figure 4.14</w:t>
        </w:r>
        <w:r w:rsidR="00087753" w:rsidRPr="00C04E2E">
          <w:rPr>
            <w:rStyle w:val="a7"/>
            <w:noProof/>
          </w:rPr>
          <w:t xml:space="preserve"> </w:t>
        </w:r>
        <w:r w:rsidR="00087753" w:rsidRPr="00C04E2E">
          <w:rPr>
            <w:rStyle w:val="a7"/>
            <w:rFonts w:cs="Times New Roman"/>
            <w:noProof/>
            <w:lang w:bidi="en-US"/>
          </w:rPr>
          <w:t>– The factor of safety with slip surfaces from 5 days drawdown rate: a) 5 m drain size; b) 10 m drain size; c) 15 m drain size</w:t>
        </w:r>
        <w:r w:rsidR="00087753">
          <w:rPr>
            <w:noProof/>
            <w:webHidden/>
          </w:rPr>
          <w:tab/>
        </w:r>
        <w:r w:rsidR="00087753">
          <w:rPr>
            <w:noProof/>
            <w:webHidden/>
          </w:rPr>
          <w:fldChar w:fldCharType="begin"/>
        </w:r>
        <w:r w:rsidR="00087753">
          <w:rPr>
            <w:noProof/>
            <w:webHidden/>
          </w:rPr>
          <w:instrText xml:space="preserve"> PAGEREF _Toc104985452 \h </w:instrText>
        </w:r>
        <w:r w:rsidR="00087753">
          <w:rPr>
            <w:noProof/>
            <w:webHidden/>
          </w:rPr>
        </w:r>
        <w:r w:rsidR="00087753">
          <w:rPr>
            <w:noProof/>
            <w:webHidden/>
          </w:rPr>
          <w:fldChar w:fldCharType="separate"/>
        </w:r>
        <w:r w:rsidR="004870F1">
          <w:rPr>
            <w:noProof/>
            <w:webHidden/>
          </w:rPr>
          <w:t>156</w:t>
        </w:r>
        <w:r w:rsidR="00087753">
          <w:rPr>
            <w:noProof/>
            <w:webHidden/>
          </w:rPr>
          <w:fldChar w:fldCharType="end"/>
        </w:r>
      </w:hyperlink>
    </w:p>
    <w:p w14:paraId="317DAC6B" w14:textId="118B8BC6" w:rsidR="00087753" w:rsidRDefault="00536556">
      <w:pPr>
        <w:pStyle w:val="af7"/>
        <w:tabs>
          <w:tab w:val="right" w:leader="dot" w:pos="9344"/>
        </w:tabs>
        <w:rPr>
          <w:rFonts w:asciiTheme="minorHAnsi" w:eastAsiaTheme="minorEastAsia" w:hAnsiTheme="minorHAnsi"/>
          <w:noProof/>
          <w:sz w:val="22"/>
          <w:lang w:val="ru-RU" w:eastAsia="ru-RU"/>
        </w:rPr>
      </w:pPr>
      <w:hyperlink w:anchor="_Toc104985453" w:history="1">
        <w:r w:rsidR="00087753" w:rsidRPr="00C04E2E">
          <w:rPr>
            <w:rStyle w:val="a7"/>
            <w:rFonts w:cs="Times New Roman"/>
            <w:noProof/>
            <w:lang w:bidi="en-US"/>
          </w:rPr>
          <w:t>Figure 4.15</w:t>
        </w:r>
        <w:r w:rsidR="00087753" w:rsidRPr="00C04E2E">
          <w:rPr>
            <w:rStyle w:val="a7"/>
            <w:noProof/>
          </w:rPr>
          <w:t xml:space="preserve"> </w:t>
        </w:r>
        <w:r w:rsidR="00087753" w:rsidRPr="00C04E2E">
          <w:rPr>
            <w:rStyle w:val="a7"/>
            <w:rFonts w:cs="Times New Roman"/>
            <w:noProof/>
            <w:lang w:bidi="en-US"/>
          </w:rPr>
          <w:t>– The trend of the factor of safety values with time</w:t>
        </w:r>
        <w:r w:rsidR="00087753">
          <w:rPr>
            <w:noProof/>
            <w:webHidden/>
          </w:rPr>
          <w:tab/>
        </w:r>
        <w:r w:rsidR="00087753">
          <w:rPr>
            <w:noProof/>
            <w:webHidden/>
          </w:rPr>
          <w:fldChar w:fldCharType="begin"/>
        </w:r>
        <w:r w:rsidR="00087753">
          <w:rPr>
            <w:noProof/>
            <w:webHidden/>
          </w:rPr>
          <w:instrText xml:space="preserve"> PAGEREF _Toc104985453 \h </w:instrText>
        </w:r>
        <w:r w:rsidR="00087753">
          <w:rPr>
            <w:noProof/>
            <w:webHidden/>
          </w:rPr>
        </w:r>
        <w:r w:rsidR="00087753">
          <w:rPr>
            <w:noProof/>
            <w:webHidden/>
          </w:rPr>
          <w:fldChar w:fldCharType="separate"/>
        </w:r>
        <w:r w:rsidR="004870F1">
          <w:rPr>
            <w:noProof/>
            <w:webHidden/>
          </w:rPr>
          <w:t>156</w:t>
        </w:r>
        <w:r w:rsidR="00087753">
          <w:rPr>
            <w:noProof/>
            <w:webHidden/>
          </w:rPr>
          <w:fldChar w:fldCharType="end"/>
        </w:r>
      </w:hyperlink>
    </w:p>
    <w:p w14:paraId="3D4C5AE4" w14:textId="465F5B38" w:rsidR="00087753" w:rsidRDefault="00536556">
      <w:pPr>
        <w:pStyle w:val="af7"/>
        <w:tabs>
          <w:tab w:val="right" w:leader="dot" w:pos="9344"/>
        </w:tabs>
        <w:rPr>
          <w:rFonts w:asciiTheme="minorHAnsi" w:eastAsiaTheme="minorEastAsia" w:hAnsiTheme="minorHAnsi"/>
          <w:noProof/>
          <w:sz w:val="22"/>
          <w:lang w:val="ru-RU" w:eastAsia="ru-RU"/>
        </w:rPr>
      </w:pPr>
      <w:hyperlink w:anchor="_Toc104985454" w:history="1">
        <w:r w:rsidR="00087753" w:rsidRPr="00C04E2E">
          <w:rPr>
            <w:rStyle w:val="a7"/>
            <w:rFonts w:cs="Times New Roman"/>
            <w:noProof/>
            <w:lang w:bidi="en-US"/>
          </w:rPr>
          <w:t>Figure 4.16</w:t>
        </w:r>
        <w:r w:rsidR="00087753" w:rsidRPr="00C04E2E">
          <w:rPr>
            <w:rStyle w:val="a7"/>
            <w:noProof/>
          </w:rPr>
          <w:t xml:space="preserve"> </w:t>
        </w:r>
        <w:r w:rsidR="00087753" w:rsidRPr="00C04E2E">
          <w:rPr>
            <w:rStyle w:val="a7"/>
            <w:rFonts w:cs="Times New Roman"/>
            <w:noProof/>
            <w:lang w:bidi="en-US"/>
          </w:rPr>
          <w:t>– General embankment geometry</w:t>
        </w:r>
        <w:r w:rsidR="00087753">
          <w:rPr>
            <w:noProof/>
            <w:webHidden/>
          </w:rPr>
          <w:tab/>
        </w:r>
        <w:r w:rsidR="00087753">
          <w:rPr>
            <w:noProof/>
            <w:webHidden/>
          </w:rPr>
          <w:fldChar w:fldCharType="begin"/>
        </w:r>
        <w:r w:rsidR="00087753">
          <w:rPr>
            <w:noProof/>
            <w:webHidden/>
          </w:rPr>
          <w:instrText xml:space="preserve"> PAGEREF _Toc104985454 \h </w:instrText>
        </w:r>
        <w:r w:rsidR="00087753">
          <w:rPr>
            <w:noProof/>
            <w:webHidden/>
          </w:rPr>
        </w:r>
        <w:r w:rsidR="00087753">
          <w:rPr>
            <w:noProof/>
            <w:webHidden/>
          </w:rPr>
          <w:fldChar w:fldCharType="separate"/>
        </w:r>
        <w:r w:rsidR="004870F1">
          <w:rPr>
            <w:noProof/>
            <w:webHidden/>
          </w:rPr>
          <w:t>158</w:t>
        </w:r>
        <w:r w:rsidR="00087753">
          <w:rPr>
            <w:noProof/>
            <w:webHidden/>
          </w:rPr>
          <w:fldChar w:fldCharType="end"/>
        </w:r>
      </w:hyperlink>
    </w:p>
    <w:p w14:paraId="3547A463" w14:textId="24240039" w:rsidR="00087753" w:rsidRDefault="00536556">
      <w:pPr>
        <w:pStyle w:val="af7"/>
        <w:tabs>
          <w:tab w:val="right" w:leader="dot" w:pos="9344"/>
        </w:tabs>
        <w:rPr>
          <w:rFonts w:asciiTheme="minorHAnsi" w:eastAsiaTheme="minorEastAsia" w:hAnsiTheme="minorHAnsi"/>
          <w:noProof/>
          <w:sz w:val="22"/>
          <w:lang w:val="ru-RU" w:eastAsia="ru-RU"/>
        </w:rPr>
      </w:pPr>
      <w:hyperlink w:anchor="_Toc104985455" w:history="1">
        <w:r w:rsidR="00087753" w:rsidRPr="00C04E2E">
          <w:rPr>
            <w:rStyle w:val="a7"/>
            <w:rFonts w:cs="Times New Roman"/>
            <w:noProof/>
            <w:lang w:bidi="en-US"/>
          </w:rPr>
          <w:t>Figure 4.17</w:t>
        </w:r>
        <w:r w:rsidR="00087753" w:rsidRPr="00C04E2E">
          <w:rPr>
            <w:rStyle w:val="a7"/>
            <w:noProof/>
          </w:rPr>
          <w:t xml:space="preserve"> </w:t>
        </w:r>
        <w:r w:rsidR="00087753" w:rsidRPr="00C04E2E">
          <w:rPr>
            <w:rStyle w:val="a7"/>
            <w:rFonts w:cs="Times New Roman"/>
            <w:noProof/>
            <w:lang w:bidi="en-US"/>
          </w:rPr>
          <w:t>– Piezometric lines following the rapid drawdown</w:t>
        </w:r>
        <w:r w:rsidR="00087753">
          <w:rPr>
            <w:noProof/>
            <w:webHidden/>
          </w:rPr>
          <w:tab/>
        </w:r>
        <w:r w:rsidR="00087753">
          <w:rPr>
            <w:noProof/>
            <w:webHidden/>
          </w:rPr>
          <w:fldChar w:fldCharType="begin"/>
        </w:r>
        <w:r w:rsidR="00087753">
          <w:rPr>
            <w:noProof/>
            <w:webHidden/>
          </w:rPr>
          <w:instrText xml:space="preserve"> PAGEREF _Toc104985455 \h </w:instrText>
        </w:r>
        <w:r w:rsidR="00087753">
          <w:rPr>
            <w:noProof/>
            <w:webHidden/>
          </w:rPr>
        </w:r>
        <w:r w:rsidR="00087753">
          <w:rPr>
            <w:noProof/>
            <w:webHidden/>
          </w:rPr>
          <w:fldChar w:fldCharType="separate"/>
        </w:r>
        <w:r w:rsidR="004870F1">
          <w:rPr>
            <w:noProof/>
            <w:webHidden/>
          </w:rPr>
          <w:t>160</w:t>
        </w:r>
        <w:r w:rsidR="00087753">
          <w:rPr>
            <w:noProof/>
            <w:webHidden/>
          </w:rPr>
          <w:fldChar w:fldCharType="end"/>
        </w:r>
      </w:hyperlink>
    </w:p>
    <w:p w14:paraId="187A2F5A" w14:textId="113A1519" w:rsidR="00087753" w:rsidRDefault="00536556">
      <w:pPr>
        <w:pStyle w:val="af7"/>
        <w:tabs>
          <w:tab w:val="right" w:leader="dot" w:pos="9344"/>
        </w:tabs>
        <w:rPr>
          <w:rFonts w:asciiTheme="minorHAnsi" w:eastAsiaTheme="minorEastAsia" w:hAnsiTheme="minorHAnsi"/>
          <w:noProof/>
          <w:sz w:val="22"/>
          <w:lang w:val="ru-RU" w:eastAsia="ru-RU"/>
        </w:rPr>
      </w:pPr>
      <w:hyperlink w:anchor="_Toc104985456" w:history="1">
        <w:r w:rsidR="00087753" w:rsidRPr="00C04E2E">
          <w:rPr>
            <w:rStyle w:val="a7"/>
            <w:rFonts w:cs="Times New Roman"/>
            <w:noProof/>
            <w:lang w:bidi="en-US"/>
          </w:rPr>
          <w:t>Figure 4.18</w:t>
        </w:r>
        <w:r w:rsidR="00087753" w:rsidRPr="00C04E2E">
          <w:rPr>
            <w:rStyle w:val="a7"/>
            <w:noProof/>
          </w:rPr>
          <w:t xml:space="preserve"> </w:t>
        </w:r>
        <w:r w:rsidR="00087753" w:rsidRPr="00C04E2E">
          <w:rPr>
            <w:rStyle w:val="a7"/>
            <w:rFonts w:cs="Times New Roman"/>
            <w:noProof/>
            <w:lang w:bidi="en-US"/>
          </w:rPr>
          <w:t>– Slip surfaces from 5 days drawdown rate; a) 20</w:t>
        </w:r>
        <w:r w:rsidR="00087753" w:rsidRPr="00C04E2E">
          <w:rPr>
            <w:rStyle w:val="a7"/>
            <w:rFonts w:cs="Times New Roman"/>
            <w:noProof/>
            <w:vertAlign w:val="superscript"/>
            <w:lang w:bidi="en-US"/>
          </w:rPr>
          <w:t>0</w:t>
        </w:r>
        <w:r w:rsidR="00087753" w:rsidRPr="00C04E2E">
          <w:rPr>
            <w:rStyle w:val="a7"/>
            <w:rFonts w:cs="Times New Roman"/>
            <w:noProof/>
            <w:lang w:bidi="en-US"/>
          </w:rPr>
          <w:t xml:space="preserve"> internal angle of friction; b) 25</w:t>
        </w:r>
        <w:r w:rsidR="00087753" w:rsidRPr="00C04E2E">
          <w:rPr>
            <w:rStyle w:val="a7"/>
            <w:rFonts w:cs="Times New Roman"/>
            <w:noProof/>
            <w:vertAlign w:val="superscript"/>
            <w:lang w:bidi="en-US"/>
          </w:rPr>
          <w:t>0</w:t>
        </w:r>
        <w:r w:rsidR="00087753" w:rsidRPr="00C04E2E">
          <w:rPr>
            <w:rStyle w:val="a7"/>
            <w:rFonts w:cs="Times New Roman"/>
            <w:noProof/>
            <w:lang w:bidi="en-US"/>
          </w:rPr>
          <w:t xml:space="preserve"> internal angle of friction; c) 30</w:t>
        </w:r>
        <w:r w:rsidR="00087753" w:rsidRPr="00C04E2E">
          <w:rPr>
            <w:rStyle w:val="a7"/>
            <w:rFonts w:cs="Times New Roman"/>
            <w:noProof/>
            <w:vertAlign w:val="superscript"/>
            <w:lang w:bidi="en-US"/>
          </w:rPr>
          <w:t>0</w:t>
        </w:r>
        <w:r w:rsidR="00087753" w:rsidRPr="00C04E2E">
          <w:rPr>
            <w:rStyle w:val="a7"/>
            <w:rFonts w:cs="Times New Roman"/>
            <w:noProof/>
            <w:lang w:bidi="en-US"/>
          </w:rPr>
          <w:t xml:space="preserve"> internal angle of friction; d) 35</w:t>
        </w:r>
        <w:r w:rsidR="00087753" w:rsidRPr="00C04E2E">
          <w:rPr>
            <w:rStyle w:val="a7"/>
            <w:rFonts w:cs="Times New Roman"/>
            <w:noProof/>
            <w:vertAlign w:val="superscript"/>
            <w:lang w:bidi="en-US"/>
          </w:rPr>
          <w:t>0</w:t>
        </w:r>
        <w:r w:rsidR="00087753" w:rsidRPr="00C04E2E">
          <w:rPr>
            <w:rStyle w:val="a7"/>
            <w:rFonts w:cs="Times New Roman"/>
            <w:noProof/>
            <w:lang w:bidi="en-US"/>
          </w:rPr>
          <w:t xml:space="preserve"> internal angle of friction</w:t>
        </w:r>
        <w:r w:rsidR="00087753">
          <w:rPr>
            <w:noProof/>
            <w:webHidden/>
          </w:rPr>
          <w:tab/>
        </w:r>
        <w:r w:rsidR="00087753">
          <w:rPr>
            <w:noProof/>
            <w:webHidden/>
          </w:rPr>
          <w:fldChar w:fldCharType="begin"/>
        </w:r>
        <w:r w:rsidR="00087753">
          <w:rPr>
            <w:noProof/>
            <w:webHidden/>
          </w:rPr>
          <w:instrText xml:space="preserve"> PAGEREF _Toc104985456 \h </w:instrText>
        </w:r>
        <w:r w:rsidR="00087753">
          <w:rPr>
            <w:noProof/>
            <w:webHidden/>
          </w:rPr>
        </w:r>
        <w:r w:rsidR="00087753">
          <w:rPr>
            <w:noProof/>
            <w:webHidden/>
          </w:rPr>
          <w:fldChar w:fldCharType="separate"/>
        </w:r>
        <w:r w:rsidR="004870F1">
          <w:rPr>
            <w:noProof/>
            <w:webHidden/>
          </w:rPr>
          <w:t>161</w:t>
        </w:r>
        <w:r w:rsidR="00087753">
          <w:rPr>
            <w:noProof/>
            <w:webHidden/>
          </w:rPr>
          <w:fldChar w:fldCharType="end"/>
        </w:r>
      </w:hyperlink>
    </w:p>
    <w:p w14:paraId="22774AD1" w14:textId="7487C217" w:rsidR="00087753" w:rsidRDefault="00536556">
      <w:pPr>
        <w:pStyle w:val="af7"/>
        <w:tabs>
          <w:tab w:val="right" w:leader="dot" w:pos="9344"/>
        </w:tabs>
        <w:rPr>
          <w:rFonts w:asciiTheme="minorHAnsi" w:eastAsiaTheme="minorEastAsia" w:hAnsiTheme="minorHAnsi"/>
          <w:noProof/>
          <w:sz w:val="22"/>
          <w:lang w:val="ru-RU" w:eastAsia="ru-RU"/>
        </w:rPr>
      </w:pPr>
      <w:hyperlink w:anchor="_Toc104985457" w:history="1">
        <w:r w:rsidR="00087753" w:rsidRPr="00C04E2E">
          <w:rPr>
            <w:rStyle w:val="a7"/>
            <w:rFonts w:cs="Times New Roman"/>
            <w:noProof/>
            <w:lang w:bidi="en-US"/>
          </w:rPr>
          <w:t>Figure 4.19</w:t>
        </w:r>
        <w:r w:rsidR="00087753" w:rsidRPr="00C04E2E">
          <w:rPr>
            <w:rStyle w:val="a7"/>
            <w:noProof/>
          </w:rPr>
          <w:t xml:space="preserve"> </w:t>
        </w:r>
        <w:r w:rsidR="00087753" w:rsidRPr="00C04E2E">
          <w:rPr>
            <w:rStyle w:val="a7"/>
            <w:rFonts w:cs="Times New Roman"/>
            <w:noProof/>
            <w:lang w:bidi="en-US"/>
          </w:rPr>
          <w:t xml:space="preserve">– Factor of safety values with time from 5 days drawdown rate and different internal angles of friction; </w:t>
        </w:r>
        <w:r w:rsidR="00087753" w:rsidRPr="00C04E2E">
          <w:rPr>
            <w:rStyle w:val="a7"/>
            <w:noProof/>
          </w:rPr>
          <w:t>(a) 20</w:t>
        </w:r>
        <w:r w:rsidR="00087753" w:rsidRPr="00C04E2E">
          <w:rPr>
            <w:rStyle w:val="a7"/>
            <w:noProof/>
            <w:vertAlign w:val="superscript"/>
          </w:rPr>
          <w:t>0</w:t>
        </w:r>
        <w:r w:rsidR="00087753" w:rsidRPr="00C04E2E">
          <w:rPr>
            <w:rStyle w:val="a7"/>
            <w:noProof/>
          </w:rPr>
          <w:t>; (b) 25</w:t>
        </w:r>
        <w:r w:rsidR="00087753" w:rsidRPr="00C04E2E">
          <w:rPr>
            <w:rStyle w:val="a7"/>
            <w:noProof/>
            <w:vertAlign w:val="superscript"/>
          </w:rPr>
          <w:t>0</w:t>
        </w:r>
        <w:r w:rsidR="00087753" w:rsidRPr="00C04E2E">
          <w:rPr>
            <w:rStyle w:val="a7"/>
            <w:noProof/>
          </w:rPr>
          <w:t xml:space="preserve"> (c) 30</w:t>
        </w:r>
        <w:r w:rsidR="00087753" w:rsidRPr="00C04E2E">
          <w:rPr>
            <w:rStyle w:val="a7"/>
            <w:noProof/>
            <w:vertAlign w:val="superscript"/>
          </w:rPr>
          <w:t>0</w:t>
        </w:r>
        <w:r w:rsidR="00087753" w:rsidRPr="00C04E2E">
          <w:rPr>
            <w:rStyle w:val="a7"/>
            <w:noProof/>
          </w:rPr>
          <w:t xml:space="preserve"> (d) 35</w:t>
        </w:r>
        <w:r w:rsidR="00087753" w:rsidRPr="00C04E2E">
          <w:rPr>
            <w:rStyle w:val="a7"/>
            <w:noProof/>
            <w:vertAlign w:val="superscript"/>
          </w:rPr>
          <w:t>0</w:t>
        </w:r>
        <w:r w:rsidR="00087753" w:rsidRPr="00C04E2E">
          <w:rPr>
            <w:rStyle w:val="a7"/>
            <w:noProof/>
          </w:rPr>
          <w:t>.</w:t>
        </w:r>
        <w:r w:rsidR="00087753">
          <w:rPr>
            <w:noProof/>
            <w:webHidden/>
          </w:rPr>
          <w:tab/>
        </w:r>
        <w:r w:rsidR="00087753">
          <w:rPr>
            <w:noProof/>
            <w:webHidden/>
          </w:rPr>
          <w:fldChar w:fldCharType="begin"/>
        </w:r>
        <w:r w:rsidR="00087753">
          <w:rPr>
            <w:noProof/>
            <w:webHidden/>
          </w:rPr>
          <w:instrText xml:space="preserve"> PAGEREF _Toc104985457 \h </w:instrText>
        </w:r>
        <w:r w:rsidR="00087753">
          <w:rPr>
            <w:noProof/>
            <w:webHidden/>
          </w:rPr>
        </w:r>
        <w:r w:rsidR="00087753">
          <w:rPr>
            <w:noProof/>
            <w:webHidden/>
          </w:rPr>
          <w:fldChar w:fldCharType="separate"/>
        </w:r>
        <w:r w:rsidR="004870F1">
          <w:rPr>
            <w:noProof/>
            <w:webHidden/>
          </w:rPr>
          <w:t>163</w:t>
        </w:r>
        <w:r w:rsidR="00087753">
          <w:rPr>
            <w:noProof/>
            <w:webHidden/>
          </w:rPr>
          <w:fldChar w:fldCharType="end"/>
        </w:r>
      </w:hyperlink>
    </w:p>
    <w:p w14:paraId="557DF377" w14:textId="592C2C6F" w:rsidR="00087753" w:rsidRDefault="00536556">
      <w:pPr>
        <w:pStyle w:val="af7"/>
        <w:tabs>
          <w:tab w:val="right" w:leader="dot" w:pos="9344"/>
        </w:tabs>
        <w:rPr>
          <w:rFonts w:asciiTheme="minorHAnsi" w:eastAsiaTheme="minorEastAsia" w:hAnsiTheme="minorHAnsi"/>
          <w:noProof/>
          <w:sz w:val="22"/>
          <w:lang w:val="ru-RU" w:eastAsia="ru-RU"/>
        </w:rPr>
      </w:pPr>
      <w:hyperlink w:anchor="_Toc104985458" w:history="1">
        <w:r w:rsidR="00087753" w:rsidRPr="00C04E2E">
          <w:rPr>
            <w:rStyle w:val="a7"/>
            <w:rFonts w:cs="Times New Roman"/>
            <w:noProof/>
            <w:lang w:bidi="en-US"/>
          </w:rPr>
          <w:t>Figure 4.20</w:t>
        </w:r>
        <w:r w:rsidR="00087753" w:rsidRPr="00C04E2E">
          <w:rPr>
            <w:rStyle w:val="a7"/>
            <w:noProof/>
          </w:rPr>
          <w:t xml:space="preserve"> </w:t>
        </w:r>
        <w:r w:rsidR="00087753" w:rsidRPr="00C04E2E">
          <w:rPr>
            <w:rStyle w:val="a7"/>
            <w:rFonts w:cs="Times New Roman"/>
            <w:noProof/>
            <w:lang w:bidi="en-US"/>
          </w:rPr>
          <w:t>– The factor of safety values with time: a) instantaneous drawdown;(b) 5 days drawdown</w:t>
        </w:r>
        <w:r w:rsidR="00087753">
          <w:rPr>
            <w:noProof/>
            <w:webHidden/>
          </w:rPr>
          <w:tab/>
        </w:r>
        <w:r w:rsidR="00087753">
          <w:rPr>
            <w:noProof/>
            <w:webHidden/>
          </w:rPr>
          <w:fldChar w:fldCharType="begin"/>
        </w:r>
        <w:r w:rsidR="00087753">
          <w:rPr>
            <w:noProof/>
            <w:webHidden/>
          </w:rPr>
          <w:instrText xml:space="preserve"> PAGEREF _Toc104985458 \h </w:instrText>
        </w:r>
        <w:r w:rsidR="00087753">
          <w:rPr>
            <w:noProof/>
            <w:webHidden/>
          </w:rPr>
        </w:r>
        <w:r w:rsidR="00087753">
          <w:rPr>
            <w:noProof/>
            <w:webHidden/>
          </w:rPr>
          <w:fldChar w:fldCharType="separate"/>
        </w:r>
        <w:r w:rsidR="004870F1">
          <w:rPr>
            <w:noProof/>
            <w:webHidden/>
          </w:rPr>
          <w:t>164</w:t>
        </w:r>
        <w:r w:rsidR="00087753">
          <w:rPr>
            <w:noProof/>
            <w:webHidden/>
          </w:rPr>
          <w:fldChar w:fldCharType="end"/>
        </w:r>
      </w:hyperlink>
    </w:p>
    <w:p w14:paraId="5BF1F744" w14:textId="4C32F436" w:rsidR="00087753" w:rsidRDefault="00536556">
      <w:pPr>
        <w:pStyle w:val="af7"/>
        <w:tabs>
          <w:tab w:val="right" w:leader="dot" w:pos="9344"/>
        </w:tabs>
        <w:rPr>
          <w:rFonts w:asciiTheme="minorHAnsi" w:eastAsiaTheme="minorEastAsia" w:hAnsiTheme="minorHAnsi"/>
          <w:noProof/>
          <w:sz w:val="22"/>
          <w:lang w:val="ru-RU" w:eastAsia="ru-RU"/>
        </w:rPr>
      </w:pPr>
      <w:hyperlink w:anchor="_Toc104985459" w:history="1">
        <w:r w:rsidR="00087753" w:rsidRPr="00C04E2E">
          <w:rPr>
            <w:rStyle w:val="a7"/>
            <w:rFonts w:cs="Times New Roman"/>
            <w:noProof/>
            <w:lang w:bidi="en-US"/>
          </w:rPr>
          <w:t>Figure 4.21</w:t>
        </w:r>
        <w:r w:rsidR="00087753" w:rsidRPr="00C04E2E">
          <w:rPr>
            <w:rStyle w:val="a7"/>
            <w:noProof/>
          </w:rPr>
          <w:t xml:space="preserve"> </w:t>
        </w:r>
        <w:r w:rsidR="00087753" w:rsidRPr="00C04E2E">
          <w:rPr>
            <w:rStyle w:val="a7"/>
            <w:rFonts w:cs="Times New Roman"/>
            <w:noProof/>
            <w:lang w:bidi="en-US"/>
          </w:rPr>
          <w:t>– Minimum values of factor of safety from instantaneous and 5 days drawdown rate</w:t>
        </w:r>
        <w:r w:rsidR="00087753">
          <w:rPr>
            <w:noProof/>
            <w:webHidden/>
          </w:rPr>
          <w:tab/>
        </w:r>
        <w:r w:rsidR="00087753">
          <w:rPr>
            <w:noProof/>
            <w:webHidden/>
          </w:rPr>
          <w:fldChar w:fldCharType="begin"/>
        </w:r>
        <w:r w:rsidR="00087753">
          <w:rPr>
            <w:noProof/>
            <w:webHidden/>
          </w:rPr>
          <w:instrText xml:space="preserve"> PAGEREF _Toc104985459 \h </w:instrText>
        </w:r>
        <w:r w:rsidR="00087753">
          <w:rPr>
            <w:noProof/>
            <w:webHidden/>
          </w:rPr>
        </w:r>
        <w:r w:rsidR="00087753">
          <w:rPr>
            <w:noProof/>
            <w:webHidden/>
          </w:rPr>
          <w:fldChar w:fldCharType="separate"/>
        </w:r>
        <w:r w:rsidR="004870F1">
          <w:rPr>
            <w:noProof/>
            <w:webHidden/>
          </w:rPr>
          <w:t>164</w:t>
        </w:r>
        <w:r w:rsidR="00087753">
          <w:rPr>
            <w:noProof/>
            <w:webHidden/>
          </w:rPr>
          <w:fldChar w:fldCharType="end"/>
        </w:r>
      </w:hyperlink>
    </w:p>
    <w:p w14:paraId="6CA7E024" w14:textId="0A8EA7B9" w:rsidR="00087753" w:rsidRDefault="00536556">
      <w:pPr>
        <w:pStyle w:val="af7"/>
        <w:tabs>
          <w:tab w:val="right" w:leader="dot" w:pos="9344"/>
        </w:tabs>
        <w:rPr>
          <w:rFonts w:asciiTheme="minorHAnsi" w:eastAsiaTheme="minorEastAsia" w:hAnsiTheme="minorHAnsi"/>
          <w:noProof/>
          <w:sz w:val="22"/>
          <w:lang w:val="ru-RU" w:eastAsia="ru-RU"/>
        </w:rPr>
      </w:pPr>
      <w:hyperlink w:anchor="_Toc104985460" w:history="1">
        <w:r w:rsidR="00087753" w:rsidRPr="00C04E2E">
          <w:rPr>
            <w:rStyle w:val="a7"/>
            <w:rFonts w:cs="Times New Roman"/>
            <w:noProof/>
            <w:lang w:bidi="en-US"/>
          </w:rPr>
          <w:t>Figure 5.1</w:t>
        </w:r>
        <w:r w:rsidR="00087753" w:rsidRPr="00C04E2E">
          <w:rPr>
            <w:rStyle w:val="a7"/>
            <w:noProof/>
          </w:rPr>
          <w:t xml:space="preserve"> </w:t>
        </w:r>
        <w:r w:rsidR="00087753" w:rsidRPr="00C04E2E">
          <w:rPr>
            <w:rStyle w:val="a7"/>
            <w:rFonts w:cs="Times New Roman"/>
            <w:noProof/>
            <w:lang w:bidi="en-US"/>
          </w:rPr>
          <w:t>– Embankment geometry</w:t>
        </w:r>
        <w:r w:rsidR="00087753">
          <w:rPr>
            <w:noProof/>
            <w:webHidden/>
          </w:rPr>
          <w:tab/>
        </w:r>
        <w:r w:rsidR="00087753">
          <w:rPr>
            <w:noProof/>
            <w:webHidden/>
          </w:rPr>
          <w:fldChar w:fldCharType="begin"/>
        </w:r>
        <w:r w:rsidR="00087753">
          <w:rPr>
            <w:noProof/>
            <w:webHidden/>
          </w:rPr>
          <w:instrText xml:space="preserve"> PAGEREF _Toc104985460 \h </w:instrText>
        </w:r>
        <w:r w:rsidR="00087753">
          <w:rPr>
            <w:noProof/>
            <w:webHidden/>
          </w:rPr>
        </w:r>
        <w:r w:rsidR="00087753">
          <w:rPr>
            <w:noProof/>
            <w:webHidden/>
          </w:rPr>
          <w:fldChar w:fldCharType="separate"/>
        </w:r>
        <w:r w:rsidR="004870F1">
          <w:rPr>
            <w:noProof/>
            <w:webHidden/>
          </w:rPr>
          <w:t>168</w:t>
        </w:r>
        <w:r w:rsidR="00087753">
          <w:rPr>
            <w:noProof/>
            <w:webHidden/>
          </w:rPr>
          <w:fldChar w:fldCharType="end"/>
        </w:r>
      </w:hyperlink>
    </w:p>
    <w:p w14:paraId="7F4EA941" w14:textId="2F832B38" w:rsidR="00087753" w:rsidRDefault="00536556">
      <w:pPr>
        <w:pStyle w:val="af7"/>
        <w:tabs>
          <w:tab w:val="right" w:leader="dot" w:pos="9344"/>
        </w:tabs>
        <w:rPr>
          <w:rFonts w:asciiTheme="minorHAnsi" w:eastAsiaTheme="minorEastAsia" w:hAnsiTheme="minorHAnsi"/>
          <w:noProof/>
          <w:sz w:val="22"/>
          <w:lang w:val="ru-RU" w:eastAsia="ru-RU"/>
        </w:rPr>
      </w:pPr>
      <w:hyperlink w:anchor="_Toc104985461" w:history="1">
        <w:r w:rsidR="00087753" w:rsidRPr="00C04E2E">
          <w:rPr>
            <w:rStyle w:val="a7"/>
            <w:rFonts w:cs="Times New Roman"/>
            <w:noProof/>
            <w:lang w:bidi="en-US"/>
          </w:rPr>
          <w:t>Figure 5.2</w:t>
        </w:r>
        <w:r w:rsidR="00087753" w:rsidRPr="00C04E2E">
          <w:rPr>
            <w:rStyle w:val="a7"/>
            <w:noProof/>
          </w:rPr>
          <w:t xml:space="preserve"> </w:t>
        </w:r>
        <w:r w:rsidR="00087753" w:rsidRPr="00C04E2E">
          <w:rPr>
            <w:rStyle w:val="a7"/>
            <w:rFonts w:cs="Times New Roman"/>
            <w:noProof/>
            <w:lang w:bidi="en-US"/>
          </w:rPr>
          <w:t>– Some of the defined functions (a) the boundary condition for 10 days drawdown rate (b) volumetric water content function from zone 1</w:t>
        </w:r>
        <w:r w:rsidR="00087753">
          <w:rPr>
            <w:noProof/>
            <w:webHidden/>
          </w:rPr>
          <w:tab/>
        </w:r>
        <w:r w:rsidR="00087753">
          <w:rPr>
            <w:noProof/>
            <w:webHidden/>
          </w:rPr>
          <w:fldChar w:fldCharType="begin"/>
        </w:r>
        <w:r w:rsidR="00087753">
          <w:rPr>
            <w:noProof/>
            <w:webHidden/>
          </w:rPr>
          <w:instrText xml:space="preserve"> PAGEREF _Toc104985461 \h </w:instrText>
        </w:r>
        <w:r w:rsidR="00087753">
          <w:rPr>
            <w:noProof/>
            <w:webHidden/>
          </w:rPr>
        </w:r>
        <w:r w:rsidR="00087753">
          <w:rPr>
            <w:noProof/>
            <w:webHidden/>
          </w:rPr>
          <w:fldChar w:fldCharType="separate"/>
        </w:r>
        <w:r w:rsidR="004870F1">
          <w:rPr>
            <w:noProof/>
            <w:webHidden/>
          </w:rPr>
          <w:t>169</w:t>
        </w:r>
        <w:r w:rsidR="00087753">
          <w:rPr>
            <w:noProof/>
            <w:webHidden/>
          </w:rPr>
          <w:fldChar w:fldCharType="end"/>
        </w:r>
      </w:hyperlink>
    </w:p>
    <w:p w14:paraId="07C01D46" w14:textId="5011E465" w:rsidR="00087753" w:rsidRDefault="00536556">
      <w:pPr>
        <w:pStyle w:val="af7"/>
        <w:tabs>
          <w:tab w:val="right" w:leader="dot" w:pos="9344"/>
        </w:tabs>
        <w:rPr>
          <w:rFonts w:asciiTheme="minorHAnsi" w:eastAsiaTheme="minorEastAsia" w:hAnsiTheme="minorHAnsi"/>
          <w:noProof/>
          <w:sz w:val="22"/>
          <w:lang w:val="ru-RU" w:eastAsia="ru-RU"/>
        </w:rPr>
      </w:pPr>
      <w:hyperlink w:anchor="_Toc104985462" w:history="1">
        <w:r w:rsidR="00087753" w:rsidRPr="00C04E2E">
          <w:rPr>
            <w:rStyle w:val="a7"/>
            <w:rFonts w:cs="Times New Roman"/>
            <w:noProof/>
            <w:lang w:bidi="en-US"/>
          </w:rPr>
          <w:t>Figure 5.3</w:t>
        </w:r>
        <w:r w:rsidR="00087753" w:rsidRPr="00C04E2E">
          <w:rPr>
            <w:rStyle w:val="a7"/>
            <w:noProof/>
          </w:rPr>
          <w:t xml:space="preserve"> </w:t>
        </w:r>
        <w:r w:rsidR="00087753" w:rsidRPr="00C04E2E">
          <w:rPr>
            <w:rStyle w:val="a7"/>
            <w:rFonts w:cs="Times New Roman"/>
            <w:noProof/>
            <w:lang w:bidi="en-US"/>
          </w:rPr>
          <w:t>– Seepage analysis (a) long-term steady-state (b) Instantaneous drawdown (c) 5 days drawdown (d) 10 days drawdown (e) 1m per day drawdown</w:t>
        </w:r>
        <w:r w:rsidR="00087753">
          <w:rPr>
            <w:noProof/>
            <w:webHidden/>
          </w:rPr>
          <w:tab/>
        </w:r>
        <w:r w:rsidR="00087753">
          <w:rPr>
            <w:noProof/>
            <w:webHidden/>
          </w:rPr>
          <w:fldChar w:fldCharType="begin"/>
        </w:r>
        <w:r w:rsidR="00087753">
          <w:rPr>
            <w:noProof/>
            <w:webHidden/>
          </w:rPr>
          <w:instrText xml:space="preserve"> PAGEREF _Toc104985462 \h </w:instrText>
        </w:r>
        <w:r w:rsidR="00087753">
          <w:rPr>
            <w:noProof/>
            <w:webHidden/>
          </w:rPr>
        </w:r>
        <w:r w:rsidR="00087753">
          <w:rPr>
            <w:noProof/>
            <w:webHidden/>
          </w:rPr>
          <w:fldChar w:fldCharType="separate"/>
        </w:r>
        <w:r w:rsidR="004870F1">
          <w:rPr>
            <w:noProof/>
            <w:webHidden/>
          </w:rPr>
          <w:t>171</w:t>
        </w:r>
        <w:r w:rsidR="00087753">
          <w:rPr>
            <w:noProof/>
            <w:webHidden/>
          </w:rPr>
          <w:fldChar w:fldCharType="end"/>
        </w:r>
      </w:hyperlink>
    </w:p>
    <w:p w14:paraId="702FC73D" w14:textId="4DA60576" w:rsidR="00087753" w:rsidRDefault="00536556">
      <w:pPr>
        <w:pStyle w:val="af7"/>
        <w:tabs>
          <w:tab w:val="right" w:leader="dot" w:pos="9344"/>
        </w:tabs>
        <w:rPr>
          <w:rFonts w:asciiTheme="minorHAnsi" w:eastAsiaTheme="minorEastAsia" w:hAnsiTheme="minorHAnsi"/>
          <w:noProof/>
          <w:sz w:val="22"/>
          <w:lang w:val="ru-RU" w:eastAsia="ru-RU"/>
        </w:rPr>
      </w:pPr>
      <w:hyperlink w:anchor="_Toc104985463" w:history="1">
        <w:r w:rsidR="00087753" w:rsidRPr="00C04E2E">
          <w:rPr>
            <w:rStyle w:val="a7"/>
            <w:rFonts w:cs="Times New Roman"/>
            <w:noProof/>
            <w:lang w:bidi="en-US"/>
          </w:rPr>
          <w:t>Figure 5.4</w:t>
        </w:r>
        <w:r w:rsidR="00087753" w:rsidRPr="00C04E2E">
          <w:rPr>
            <w:rStyle w:val="a7"/>
            <w:noProof/>
          </w:rPr>
          <w:t xml:space="preserve"> </w:t>
        </w:r>
        <w:r w:rsidR="00087753" w:rsidRPr="00C04E2E">
          <w:rPr>
            <w:rStyle w:val="a7"/>
            <w:rFonts w:cs="Times New Roman"/>
            <w:noProof/>
            <w:lang w:bidi="en-US"/>
          </w:rPr>
          <w:t>– Steady-state slope stability</w:t>
        </w:r>
        <w:r w:rsidR="00087753">
          <w:rPr>
            <w:noProof/>
            <w:webHidden/>
          </w:rPr>
          <w:tab/>
        </w:r>
        <w:r w:rsidR="00087753">
          <w:rPr>
            <w:noProof/>
            <w:webHidden/>
          </w:rPr>
          <w:fldChar w:fldCharType="begin"/>
        </w:r>
        <w:r w:rsidR="00087753">
          <w:rPr>
            <w:noProof/>
            <w:webHidden/>
          </w:rPr>
          <w:instrText xml:space="preserve"> PAGEREF _Toc104985463 \h </w:instrText>
        </w:r>
        <w:r w:rsidR="00087753">
          <w:rPr>
            <w:noProof/>
            <w:webHidden/>
          </w:rPr>
        </w:r>
        <w:r w:rsidR="00087753">
          <w:rPr>
            <w:noProof/>
            <w:webHidden/>
          </w:rPr>
          <w:fldChar w:fldCharType="separate"/>
        </w:r>
        <w:r w:rsidR="004870F1">
          <w:rPr>
            <w:noProof/>
            <w:webHidden/>
          </w:rPr>
          <w:t>172</w:t>
        </w:r>
        <w:r w:rsidR="00087753">
          <w:rPr>
            <w:noProof/>
            <w:webHidden/>
          </w:rPr>
          <w:fldChar w:fldCharType="end"/>
        </w:r>
      </w:hyperlink>
    </w:p>
    <w:p w14:paraId="73FB73EE" w14:textId="43B64CB1" w:rsidR="00087753" w:rsidRDefault="00536556">
      <w:pPr>
        <w:pStyle w:val="af7"/>
        <w:tabs>
          <w:tab w:val="right" w:leader="dot" w:pos="9344"/>
        </w:tabs>
        <w:rPr>
          <w:rFonts w:asciiTheme="minorHAnsi" w:eastAsiaTheme="minorEastAsia" w:hAnsiTheme="minorHAnsi"/>
          <w:noProof/>
          <w:sz w:val="22"/>
          <w:lang w:val="ru-RU" w:eastAsia="ru-RU"/>
        </w:rPr>
      </w:pPr>
      <w:hyperlink w:anchor="_Toc104985464" w:history="1">
        <w:r w:rsidR="00087753" w:rsidRPr="00C04E2E">
          <w:rPr>
            <w:rStyle w:val="a7"/>
            <w:rFonts w:cs="Times New Roman"/>
            <w:noProof/>
            <w:lang w:bidi="en-US"/>
          </w:rPr>
          <w:t>Figure 5.5</w:t>
        </w:r>
        <w:r w:rsidR="00087753" w:rsidRPr="00C04E2E">
          <w:rPr>
            <w:rStyle w:val="a7"/>
            <w:noProof/>
          </w:rPr>
          <w:t xml:space="preserve"> </w:t>
        </w:r>
        <w:r w:rsidR="00087753" w:rsidRPr="00C04E2E">
          <w:rPr>
            <w:rStyle w:val="a7"/>
            <w:rFonts w:cs="Times New Roman"/>
            <w:noProof/>
            <w:lang w:bidi="en-US"/>
          </w:rPr>
          <w:t>– Drawdown: 1 m per day drawdown rate;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_Toc104985464 \h </w:instrText>
        </w:r>
        <w:r w:rsidR="00087753">
          <w:rPr>
            <w:noProof/>
            <w:webHidden/>
          </w:rPr>
        </w:r>
        <w:r w:rsidR="00087753">
          <w:rPr>
            <w:noProof/>
            <w:webHidden/>
          </w:rPr>
          <w:fldChar w:fldCharType="separate"/>
        </w:r>
        <w:r w:rsidR="004870F1">
          <w:rPr>
            <w:noProof/>
            <w:webHidden/>
          </w:rPr>
          <w:t>172</w:t>
        </w:r>
        <w:r w:rsidR="00087753">
          <w:rPr>
            <w:noProof/>
            <w:webHidden/>
          </w:rPr>
          <w:fldChar w:fldCharType="end"/>
        </w:r>
      </w:hyperlink>
    </w:p>
    <w:p w14:paraId="109B6C92" w14:textId="42A49C5B" w:rsidR="00087753" w:rsidRDefault="00536556">
      <w:pPr>
        <w:pStyle w:val="af7"/>
        <w:tabs>
          <w:tab w:val="right" w:leader="dot" w:pos="9344"/>
        </w:tabs>
        <w:rPr>
          <w:rFonts w:asciiTheme="minorHAnsi" w:eastAsiaTheme="minorEastAsia" w:hAnsiTheme="minorHAnsi"/>
          <w:noProof/>
          <w:sz w:val="22"/>
          <w:lang w:val="ru-RU" w:eastAsia="ru-RU"/>
        </w:rPr>
      </w:pPr>
      <w:hyperlink w:anchor="_Toc104985465" w:history="1">
        <w:r w:rsidR="00087753" w:rsidRPr="00C04E2E">
          <w:rPr>
            <w:rStyle w:val="a7"/>
            <w:rFonts w:cs="Times New Roman"/>
            <w:noProof/>
            <w:lang w:bidi="en-US"/>
          </w:rPr>
          <w:t>Figure 5.6</w:t>
        </w:r>
        <w:r w:rsidR="00087753" w:rsidRPr="00C04E2E">
          <w:rPr>
            <w:rStyle w:val="a7"/>
            <w:noProof/>
          </w:rPr>
          <w:t xml:space="preserve"> </w:t>
        </w:r>
        <w:r w:rsidR="00087753" w:rsidRPr="00C04E2E">
          <w:rPr>
            <w:rStyle w:val="a7"/>
            <w:rFonts w:cs="Times New Roman"/>
            <w:noProof/>
            <w:lang w:bidi="en-US"/>
          </w:rPr>
          <w:t>– Drawdown:10 days drawdown rate;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_Toc104985465 \h </w:instrText>
        </w:r>
        <w:r w:rsidR="00087753">
          <w:rPr>
            <w:noProof/>
            <w:webHidden/>
          </w:rPr>
        </w:r>
        <w:r w:rsidR="00087753">
          <w:rPr>
            <w:noProof/>
            <w:webHidden/>
          </w:rPr>
          <w:fldChar w:fldCharType="separate"/>
        </w:r>
        <w:r w:rsidR="004870F1">
          <w:rPr>
            <w:noProof/>
            <w:webHidden/>
          </w:rPr>
          <w:t>173</w:t>
        </w:r>
        <w:r w:rsidR="00087753">
          <w:rPr>
            <w:noProof/>
            <w:webHidden/>
          </w:rPr>
          <w:fldChar w:fldCharType="end"/>
        </w:r>
      </w:hyperlink>
    </w:p>
    <w:p w14:paraId="35A0E14D" w14:textId="221C4028" w:rsidR="00087753" w:rsidRDefault="00536556">
      <w:pPr>
        <w:pStyle w:val="af7"/>
        <w:tabs>
          <w:tab w:val="right" w:leader="dot" w:pos="9344"/>
        </w:tabs>
        <w:rPr>
          <w:rFonts w:asciiTheme="minorHAnsi" w:eastAsiaTheme="minorEastAsia" w:hAnsiTheme="minorHAnsi"/>
          <w:noProof/>
          <w:sz w:val="22"/>
          <w:lang w:val="ru-RU" w:eastAsia="ru-RU"/>
        </w:rPr>
      </w:pPr>
      <w:hyperlink w:anchor="_Toc104985466" w:history="1">
        <w:r w:rsidR="00087753" w:rsidRPr="00C04E2E">
          <w:rPr>
            <w:rStyle w:val="a7"/>
            <w:rFonts w:cs="Times New Roman"/>
            <w:noProof/>
            <w:lang w:bidi="en-US"/>
          </w:rPr>
          <w:t>Figure 5.7 – Drawdown: 5 days drawdown;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_Toc104985466 \h </w:instrText>
        </w:r>
        <w:r w:rsidR="00087753">
          <w:rPr>
            <w:noProof/>
            <w:webHidden/>
          </w:rPr>
        </w:r>
        <w:r w:rsidR="00087753">
          <w:rPr>
            <w:noProof/>
            <w:webHidden/>
          </w:rPr>
          <w:fldChar w:fldCharType="separate"/>
        </w:r>
        <w:r w:rsidR="004870F1">
          <w:rPr>
            <w:noProof/>
            <w:webHidden/>
          </w:rPr>
          <w:t>174</w:t>
        </w:r>
        <w:r w:rsidR="00087753">
          <w:rPr>
            <w:noProof/>
            <w:webHidden/>
          </w:rPr>
          <w:fldChar w:fldCharType="end"/>
        </w:r>
      </w:hyperlink>
    </w:p>
    <w:p w14:paraId="77F00CA7" w14:textId="1F5812DC" w:rsidR="00087753" w:rsidRDefault="00536556">
      <w:pPr>
        <w:pStyle w:val="af7"/>
        <w:tabs>
          <w:tab w:val="right" w:leader="dot" w:pos="9344"/>
        </w:tabs>
        <w:rPr>
          <w:rFonts w:asciiTheme="minorHAnsi" w:eastAsiaTheme="minorEastAsia" w:hAnsiTheme="minorHAnsi"/>
          <w:noProof/>
          <w:sz w:val="22"/>
          <w:lang w:val="ru-RU" w:eastAsia="ru-RU"/>
        </w:rPr>
      </w:pPr>
      <w:hyperlink w:anchor="_Toc104985467" w:history="1">
        <w:r w:rsidR="00087753" w:rsidRPr="00C04E2E">
          <w:rPr>
            <w:rStyle w:val="a7"/>
            <w:rFonts w:cs="Times New Roman"/>
            <w:noProof/>
            <w:lang w:bidi="en-US"/>
          </w:rPr>
          <w:t>Figure 5.8</w:t>
        </w:r>
        <w:r w:rsidR="00087753" w:rsidRPr="00C04E2E">
          <w:rPr>
            <w:rStyle w:val="a7"/>
            <w:noProof/>
          </w:rPr>
          <w:t xml:space="preserve"> </w:t>
        </w:r>
        <w:r w:rsidR="00087753" w:rsidRPr="00C04E2E">
          <w:rPr>
            <w:rStyle w:val="a7"/>
            <w:rFonts w:cs="Times New Roman"/>
            <w:noProof/>
            <w:lang w:bidi="en-US"/>
          </w:rPr>
          <w:t>– Instantaneous drawdown;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_Toc104985467 \h </w:instrText>
        </w:r>
        <w:r w:rsidR="00087753">
          <w:rPr>
            <w:noProof/>
            <w:webHidden/>
          </w:rPr>
        </w:r>
        <w:r w:rsidR="00087753">
          <w:rPr>
            <w:noProof/>
            <w:webHidden/>
          </w:rPr>
          <w:fldChar w:fldCharType="separate"/>
        </w:r>
        <w:r w:rsidR="004870F1">
          <w:rPr>
            <w:noProof/>
            <w:webHidden/>
          </w:rPr>
          <w:t>175</w:t>
        </w:r>
        <w:r w:rsidR="00087753">
          <w:rPr>
            <w:noProof/>
            <w:webHidden/>
          </w:rPr>
          <w:fldChar w:fldCharType="end"/>
        </w:r>
      </w:hyperlink>
    </w:p>
    <w:p w14:paraId="4F226006" w14:textId="547C3995" w:rsidR="00087753" w:rsidRDefault="00536556">
      <w:pPr>
        <w:pStyle w:val="af7"/>
        <w:tabs>
          <w:tab w:val="right" w:leader="dot" w:pos="9344"/>
        </w:tabs>
        <w:rPr>
          <w:rFonts w:asciiTheme="minorHAnsi" w:eastAsiaTheme="minorEastAsia" w:hAnsiTheme="minorHAnsi"/>
          <w:noProof/>
          <w:sz w:val="22"/>
          <w:lang w:val="ru-RU" w:eastAsia="ru-RU"/>
        </w:rPr>
      </w:pPr>
      <w:hyperlink w:anchor="_Toc104985468" w:history="1">
        <w:r w:rsidR="00087753" w:rsidRPr="00C04E2E">
          <w:rPr>
            <w:rStyle w:val="a7"/>
            <w:rFonts w:cs="Times New Roman"/>
            <w:noProof/>
            <w:lang w:bidi="en-US"/>
          </w:rPr>
          <w:t>Figure 5.9</w:t>
        </w:r>
        <w:r w:rsidR="00087753" w:rsidRPr="00C04E2E">
          <w:rPr>
            <w:rStyle w:val="a7"/>
            <w:noProof/>
          </w:rPr>
          <w:t xml:space="preserve"> </w:t>
        </w:r>
        <w:r w:rsidR="00087753" w:rsidRPr="00C04E2E">
          <w:rPr>
            <w:rStyle w:val="a7"/>
            <w:rFonts w:cs="Times New Roman"/>
            <w:noProof/>
            <w:lang w:bidi="en-US"/>
          </w:rPr>
          <w:t>– Summary of the minimum factor of safety values</w:t>
        </w:r>
        <w:r w:rsidR="00087753">
          <w:rPr>
            <w:noProof/>
            <w:webHidden/>
          </w:rPr>
          <w:tab/>
        </w:r>
        <w:r w:rsidR="00087753">
          <w:rPr>
            <w:noProof/>
            <w:webHidden/>
          </w:rPr>
          <w:fldChar w:fldCharType="begin"/>
        </w:r>
        <w:r w:rsidR="00087753">
          <w:rPr>
            <w:noProof/>
            <w:webHidden/>
          </w:rPr>
          <w:instrText xml:space="preserve"> PAGEREF _Toc104985468 \h </w:instrText>
        </w:r>
        <w:r w:rsidR="00087753">
          <w:rPr>
            <w:noProof/>
            <w:webHidden/>
          </w:rPr>
        </w:r>
        <w:r w:rsidR="00087753">
          <w:rPr>
            <w:noProof/>
            <w:webHidden/>
          </w:rPr>
          <w:fldChar w:fldCharType="separate"/>
        </w:r>
        <w:r w:rsidR="004870F1">
          <w:rPr>
            <w:noProof/>
            <w:webHidden/>
          </w:rPr>
          <w:t>175</w:t>
        </w:r>
        <w:r w:rsidR="00087753">
          <w:rPr>
            <w:noProof/>
            <w:webHidden/>
          </w:rPr>
          <w:fldChar w:fldCharType="end"/>
        </w:r>
      </w:hyperlink>
    </w:p>
    <w:p w14:paraId="74CA9BAC" w14:textId="45E2AC1F" w:rsidR="00087753" w:rsidRDefault="00536556">
      <w:pPr>
        <w:pStyle w:val="af7"/>
        <w:tabs>
          <w:tab w:val="right" w:leader="dot" w:pos="9344"/>
        </w:tabs>
        <w:rPr>
          <w:rFonts w:asciiTheme="minorHAnsi" w:eastAsiaTheme="minorEastAsia" w:hAnsiTheme="minorHAnsi"/>
          <w:noProof/>
          <w:sz w:val="22"/>
          <w:lang w:val="ru-RU" w:eastAsia="ru-RU"/>
        </w:rPr>
      </w:pPr>
      <w:hyperlink w:anchor="_Toc104985469" w:history="1">
        <w:r w:rsidR="00087753" w:rsidRPr="00C04E2E">
          <w:rPr>
            <w:rStyle w:val="a7"/>
            <w:rFonts w:cs="Times New Roman"/>
            <w:noProof/>
            <w:lang w:bidi="en-US"/>
          </w:rPr>
          <w:t>Figure 5.10</w:t>
        </w:r>
        <w:r w:rsidR="00087753" w:rsidRPr="00C04E2E">
          <w:rPr>
            <w:rStyle w:val="a7"/>
            <w:noProof/>
          </w:rPr>
          <w:t xml:space="preserve"> </w:t>
        </w:r>
        <w:r w:rsidR="00087753" w:rsidRPr="00C04E2E">
          <w:rPr>
            <w:rStyle w:val="a7"/>
            <w:rFonts w:cs="Times New Roman"/>
            <w:noProof/>
            <w:lang w:bidi="en-US"/>
          </w:rPr>
          <w:t>– Trench pits at the dam site</w:t>
        </w:r>
        <w:r w:rsidR="00087753">
          <w:rPr>
            <w:noProof/>
            <w:webHidden/>
          </w:rPr>
          <w:tab/>
        </w:r>
        <w:r w:rsidR="00087753">
          <w:rPr>
            <w:noProof/>
            <w:webHidden/>
          </w:rPr>
          <w:fldChar w:fldCharType="begin"/>
        </w:r>
        <w:r w:rsidR="00087753">
          <w:rPr>
            <w:noProof/>
            <w:webHidden/>
          </w:rPr>
          <w:instrText xml:space="preserve"> PAGEREF _Toc104985469 \h </w:instrText>
        </w:r>
        <w:r w:rsidR="00087753">
          <w:rPr>
            <w:noProof/>
            <w:webHidden/>
          </w:rPr>
        </w:r>
        <w:r w:rsidR="00087753">
          <w:rPr>
            <w:noProof/>
            <w:webHidden/>
          </w:rPr>
          <w:fldChar w:fldCharType="separate"/>
        </w:r>
        <w:r w:rsidR="004870F1">
          <w:rPr>
            <w:noProof/>
            <w:webHidden/>
          </w:rPr>
          <w:t>177</w:t>
        </w:r>
        <w:r w:rsidR="00087753">
          <w:rPr>
            <w:noProof/>
            <w:webHidden/>
          </w:rPr>
          <w:fldChar w:fldCharType="end"/>
        </w:r>
      </w:hyperlink>
    </w:p>
    <w:p w14:paraId="1BC2F8FE" w14:textId="17854BBD" w:rsidR="00087753" w:rsidRDefault="00536556">
      <w:pPr>
        <w:pStyle w:val="af7"/>
        <w:tabs>
          <w:tab w:val="right" w:leader="dot" w:pos="9344"/>
        </w:tabs>
        <w:rPr>
          <w:rFonts w:asciiTheme="minorHAnsi" w:eastAsiaTheme="minorEastAsia" w:hAnsiTheme="minorHAnsi"/>
          <w:noProof/>
          <w:sz w:val="22"/>
          <w:lang w:val="ru-RU" w:eastAsia="ru-RU"/>
        </w:rPr>
      </w:pPr>
      <w:hyperlink w:anchor="_Toc104985470" w:history="1">
        <w:r w:rsidR="00087753" w:rsidRPr="00C04E2E">
          <w:rPr>
            <w:rStyle w:val="a7"/>
            <w:rFonts w:cs="Times New Roman"/>
            <w:noProof/>
            <w:lang w:bidi="en-US"/>
          </w:rPr>
          <w:t>Figure 5.11</w:t>
        </w:r>
        <w:r w:rsidR="00087753" w:rsidRPr="00C04E2E">
          <w:rPr>
            <w:rStyle w:val="a7"/>
            <w:noProof/>
          </w:rPr>
          <w:t xml:space="preserve"> </w:t>
        </w:r>
        <w:r w:rsidR="00087753" w:rsidRPr="00C04E2E">
          <w:rPr>
            <w:rStyle w:val="a7"/>
            <w:rFonts w:cs="Times New Roman"/>
            <w:noProof/>
            <w:lang w:bidi="en-US"/>
          </w:rPr>
          <w:t>– Embankment geometry</w:t>
        </w:r>
        <w:r w:rsidR="00087753">
          <w:rPr>
            <w:noProof/>
            <w:webHidden/>
          </w:rPr>
          <w:tab/>
        </w:r>
        <w:r w:rsidR="00087753">
          <w:rPr>
            <w:noProof/>
            <w:webHidden/>
          </w:rPr>
          <w:fldChar w:fldCharType="begin"/>
        </w:r>
        <w:r w:rsidR="00087753">
          <w:rPr>
            <w:noProof/>
            <w:webHidden/>
          </w:rPr>
          <w:instrText xml:space="preserve"> PAGEREF _Toc104985470 \h </w:instrText>
        </w:r>
        <w:r w:rsidR="00087753">
          <w:rPr>
            <w:noProof/>
            <w:webHidden/>
          </w:rPr>
        </w:r>
        <w:r w:rsidR="00087753">
          <w:rPr>
            <w:noProof/>
            <w:webHidden/>
          </w:rPr>
          <w:fldChar w:fldCharType="separate"/>
        </w:r>
        <w:r w:rsidR="004870F1">
          <w:rPr>
            <w:noProof/>
            <w:webHidden/>
          </w:rPr>
          <w:t>178</w:t>
        </w:r>
        <w:r w:rsidR="00087753">
          <w:rPr>
            <w:noProof/>
            <w:webHidden/>
          </w:rPr>
          <w:fldChar w:fldCharType="end"/>
        </w:r>
      </w:hyperlink>
    </w:p>
    <w:p w14:paraId="21D6E425" w14:textId="65515C78" w:rsidR="00087753" w:rsidRDefault="00536556">
      <w:pPr>
        <w:pStyle w:val="af7"/>
        <w:tabs>
          <w:tab w:val="right" w:leader="dot" w:pos="9344"/>
        </w:tabs>
        <w:rPr>
          <w:rFonts w:asciiTheme="minorHAnsi" w:eastAsiaTheme="minorEastAsia" w:hAnsiTheme="minorHAnsi"/>
          <w:noProof/>
          <w:sz w:val="22"/>
          <w:lang w:val="ru-RU" w:eastAsia="ru-RU"/>
        </w:rPr>
      </w:pPr>
      <w:hyperlink w:anchor="_Toc104985471" w:history="1">
        <w:r w:rsidR="00087753" w:rsidRPr="00C04E2E">
          <w:rPr>
            <w:rStyle w:val="a7"/>
            <w:rFonts w:cs="Times New Roman"/>
            <w:noProof/>
            <w:lang w:bidi="en-US"/>
          </w:rPr>
          <w:t>Figure 5.12</w:t>
        </w:r>
        <w:r w:rsidR="00087753" w:rsidRPr="00C04E2E">
          <w:rPr>
            <w:rStyle w:val="a7"/>
            <w:noProof/>
          </w:rPr>
          <w:t xml:space="preserve"> </w:t>
        </w:r>
        <w:r w:rsidR="00087753" w:rsidRPr="00C04E2E">
          <w:rPr>
            <w:rStyle w:val="a7"/>
            <w:rFonts w:cs="Times New Roman"/>
            <w:noProof/>
            <w:lang w:bidi="en-US"/>
          </w:rPr>
          <w:t>– Drawdown boundary conditions (a) 10 days drawdown rate (b) 1m per day drawdown rate</w:t>
        </w:r>
        <w:r w:rsidR="00087753">
          <w:rPr>
            <w:noProof/>
            <w:webHidden/>
          </w:rPr>
          <w:tab/>
        </w:r>
        <w:r w:rsidR="00087753">
          <w:rPr>
            <w:noProof/>
            <w:webHidden/>
          </w:rPr>
          <w:fldChar w:fldCharType="begin"/>
        </w:r>
        <w:r w:rsidR="00087753">
          <w:rPr>
            <w:noProof/>
            <w:webHidden/>
          </w:rPr>
          <w:instrText xml:space="preserve"> PAGEREF _Toc104985471 \h </w:instrText>
        </w:r>
        <w:r w:rsidR="00087753">
          <w:rPr>
            <w:noProof/>
            <w:webHidden/>
          </w:rPr>
        </w:r>
        <w:r w:rsidR="00087753">
          <w:rPr>
            <w:noProof/>
            <w:webHidden/>
          </w:rPr>
          <w:fldChar w:fldCharType="separate"/>
        </w:r>
        <w:r w:rsidR="004870F1">
          <w:rPr>
            <w:noProof/>
            <w:webHidden/>
          </w:rPr>
          <w:t>180</w:t>
        </w:r>
        <w:r w:rsidR="00087753">
          <w:rPr>
            <w:noProof/>
            <w:webHidden/>
          </w:rPr>
          <w:fldChar w:fldCharType="end"/>
        </w:r>
      </w:hyperlink>
    </w:p>
    <w:p w14:paraId="4BFB17F0" w14:textId="4FF1D4FD" w:rsidR="00087753" w:rsidRDefault="00536556">
      <w:pPr>
        <w:pStyle w:val="af7"/>
        <w:tabs>
          <w:tab w:val="right" w:leader="dot" w:pos="9344"/>
        </w:tabs>
        <w:rPr>
          <w:rFonts w:asciiTheme="minorHAnsi" w:eastAsiaTheme="minorEastAsia" w:hAnsiTheme="minorHAnsi"/>
          <w:noProof/>
          <w:sz w:val="22"/>
          <w:lang w:val="ru-RU" w:eastAsia="ru-RU"/>
        </w:rPr>
      </w:pPr>
      <w:hyperlink w:anchor="_Toc104985472" w:history="1">
        <w:r w:rsidR="00087753" w:rsidRPr="00C04E2E">
          <w:rPr>
            <w:rStyle w:val="a7"/>
            <w:rFonts w:cs="Times New Roman"/>
            <w:noProof/>
            <w:lang w:bidi="en-US"/>
          </w:rPr>
          <w:t>Figure 5.13</w:t>
        </w:r>
        <w:r w:rsidR="00087753" w:rsidRPr="00C04E2E">
          <w:rPr>
            <w:rStyle w:val="a7"/>
            <w:noProof/>
          </w:rPr>
          <w:t xml:space="preserve"> </w:t>
        </w:r>
        <w:r w:rsidR="00087753" w:rsidRPr="00C04E2E">
          <w:rPr>
            <w:rStyle w:val="a7"/>
            <w:rFonts w:cs="Times New Roman"/>
            <w:noProof/>
            <w:lang w:bidi="en-US"/>
          </w:rPr>
          <w:t>– Steady state seepage: a) k</w:t>
        </w:r>
        <w:r w:rsidR="00087753" w:rsidRPr="00C04E2E">
          <w:rPr>
            <w:rStyle w:val="a7"/>
            <w:rFonts w:cs="Times New Roman"/>
            <w:noProof/>
            <w:vertAlign w:val="subscript"/>
            <w:lang w:bidi="en-US"/>
          </w:rPr>
          <w:t>sat</w:t>
        </w:r>
        <w:r w:rsidR="00087753" w:rsidRPr="00C04E2E">
          <w:rPr>
            <w:rStyle w:val="a7"/>
            <w:rFonts w:cs="Times New Roman"/>
            <w:noProof/>
            <w:lang w:bidi="en-US"/>
          </w:rPr>
          <w:t xml:space="preserve"> = 5∙10</w:t>
        </w:r>
        <w:r w:rsidR="00087753" w:rsidRPr="00C04E2E">
          <w:rPr>
            <w:rStyle w:val="a7"/>
            <w:rFonts w:cs="Times New Roman"/>
            <w:noProof/>
            <w:vertAlign w:val="superscript"/>
            <w:lang w:bidi="en-US"/>
          </w:rPr>
          <w:t>-5</w:t>
        </w:r>
        <w:r w:rsidR="00087753" w:rsidRPr="00C04E2E">
          <w:rPr>
            <w:rStyle w:val="a7"/>
            <w:rFonts w:cs="Times New Roman"/>
            <w:noProof/>
            <w:lang w:bidi="en-US"/>
          </w:rPr>
          <w:t xml:space="preserve"> m/s; b) k</w:t>
        </w:r>
        <w:r w:rsidR="00087753" w:rsidRPr="00C04E2E">
          <w:rPr>
            <w:rStyle w:val="a7"/>
            <w:rFonts w:cs="Times New Roman"/>
            <w:noProof/>
            <w:vertAlign w:val="subscript"/>
            <w:lang w:bidi="en-US"/>
          </w:rPr>
          <w:t>sat</w:t>
        </w:r>
        <w:r w:rsidR="00087753" w:rsidRPr="00C04E2E">
          <w:rPr>
            <w:rStyle w:val="a7"/>
            <w:rFonts w:cs="Times New Roman"/>
            <w:noProof/>
            <w:lang w:bidi="en-US"/>
          </w:rPr>
          <w:t xml:space="preserve"> = 10</w:t>
        </w:r>
        <w:r w:rsidR="00087753" w:rsidRPr="00C04E2E">
          <w:rPr>
            <w:rStyle w:val="a7"/>
            <w:rFonts w:cs="Times New Roman"/>
            <w:noProof/>
            <w:vertAlign w:val="superscript"/>
            <w:lang w:bidi="en-US"/>
          </w:rPr>
          <w:t xml:space="preserve">-5 </w:t>
        </w:r>
        <w:r w:rsidR="00087753" w:rsidRPr="00C04E2E">
          <w:rPr>
            <w:rStyle w:val="a7"/>
            <w:rFonts w:cs="Times New Roman"/>
            <w:noProof/>
            <w:lang w:bidi="en-US"/>
          </w:rPr>
          <w:t>m/s; c) k</w:t>
        </w:r>
        <w:r w:rsidR="00087753" w:rsidRPr="00C04E2E">
          <w:rPr>
            <w:rStyle w:val="a7"/>
            <w:rFonts w:cs="Times New Roman"/>
            <w:noProof/>
            <w:vertAlign w:val="subscript"/>
            <w:lang w:bidi="en-US"/>
          </w:rPr>
          <w:t>sat</w:t>
        </w:r>
        <w:r w:rsidR="00087753" w:rsidRPr="00C04E2E">
          <w:rPr>
            <w:rStyle w:val="a7"/>
            <w:rFonts w:cs="Times New Roman"/>
            <w:noProof/>
            <w:lang w:bidi="en-US"/>
          </w:rPr>
          <w:t xml:space="preserve"> = 5∙10</w:t>
        </w:r>
        <w:r w:rsidR="00087753" w:rsidRPr="00C04E2E">
          <w:rPr>
            <w:rStyle w:val="a7"/>
            <w:rFonts w:cs="Times New Roman"/>
            <w:noProof/>
            <w:vertAlign w:val="superscript"/>
            <w:lang w:bidi="en-US"/>
          </w:rPr>
          <w:t>-6</w:t>
        </w:r>
        <w:r w:rsidR="00087753" w:rsidRPr="00C04E2E">
          <w:rPr>
            <w:rStyle w:val="a7"/>
            <w:rFonts w:cs="Times New Roman"/>
            <w:noProof/>
            <w:lang w:bidi="en-US"/>
          </w:rPr>
          <w:t xml:space="preserve"> m/s; d) k</w:t>
        </w:r>
        <w:r w:rsidR="00087753" w:rsidRPr="00C04E2E">
          <w:rPr>
            <w:rStyle w:val="a7"/>
            <w:rFonts w:cs="Times New Roman"/>
            <w:noProof/>
            <w:vertAlign w:val="subscript"/>
            <w:lang w:bidi="en-US"/>
          </w:rPr>
          <w:t>sat</w:t>
        </w:r>
        <w:r w:rsidR="00087753" w:rsidRPr="00C04E2E">
          <w:rPr>
            <w:rStyle w:val="a7"/>
            <w:rFonts w:cs="Times New Roman"/>
            <w:noProof/>
            <w:lang w:bidi="en-US"/>
          </w:rPr>
          <w:t xml:space="preserve"> = 10</w:t>
        </w:r>
        <w:r w:rsidR="00087753" w:rsidRPr="00C04E2E">
          <w:rPr>
            <w:rStyle w:val="a7"/>
            <w:rFonts w:cs="Times New Roman"/>
            <w:noProof/>
            <w:vertAlign w:val="superscript"/>
            <w:lang w:bidi="en-US"/>
          </w:rPr>
          <w:t>-6</w:t>
        </w:r>
        <w:r w:rsidR="00087753" w:rsidRPr="00C04E2E">
          <w:rPr>
            <w:rStyle w:val="a7"/>
            <w:rFonts w:cs="Times New Roman"/>
            <w:noProof/>
            <w:lang w:bidi="en-US"/>
          </w:rPr>
          <w:t>; e) k</w:t>
        </w:r>
        <w:r w:rsidR="00087753" w:rsidRPr="00C04E2E">
          <w:rPr>
            <w:rStyle w:val="a7"/>
            <w:rFonts w:cs="Times New Roman"/>
            <w:noProof/>
            <w:vertAlign w:val="subscript"/>
            <w:lang w:bidi="en-US"/>
          </w:rPr>
          <w:t>sat</w:t>
        </w:r>
        <w:r w:rsidR="00087753" w:rsidRPr="00C04E2E">
          <w:rPr>
            <w:rStyle w:val="a7"/>
            <w:rFonts w:cs="Times New Roman"/>
            <w:noProof/>
            <w:lang w:bidi="en-US"/>
          </w:rPr>
          <w:t xml:space="preserve"> = 5∙10</w:t>
        </w:r>
        <w:r w:rsidR="00087753" w:rsidRPr="00C04E2E">
          <w:rPr>
            <w:rStyle w:val="a7"/>
            <w:rFonts w:cs="Times New Roman"/>
            <w:noProof/>
            <w:vertAlign w:val="superscript"/>
            <w:lang w:bidi="en-US"/>
          </w:rPr>
          <w:t>-7</w:t>
        </w:r>
        <w:r w:rsidR="00087753" w:rsidRPr="00C04E2E">
          <w:rPr>
            <w:rStyle w:val="a7"/>
            <w:rFonts w:cs="Times New Roman"/>
            <w:noProof/>
            <w:lang w:bidi="en-US"/>
          </w:rPr>
          <w:t xml:space="preserve"> m/s; f) k</w:t>
        </w:r>
        <w:r w:rsidR="00087753" w:rsidRPr="00C04E2E">
          <w:rPr>
            <w:rStyle w:val="a7"/>
            <w:rFonts w:cs="Times New Roman"/>
            <w:noProof/>
            <w:vertAlign w:val="subscript"/>
            <w:lang w:bidi="en-US"/>
          </w:rPr>
          <w:t>sat</w:t>
        </w:r>
        <w:r w:rsidR="00087753" w:rsidRPr="00C04E2E">
          <w:rPr>
            <w:rStyle w:val="a7"/>
            <w:rFonts w:cs="Times New Roman"/>
            <w:noProof/>
            <w:lang w:bidi="en-US"/>
          </w:rPr>
          <w:t xml:space="preserve"> = 10</w:t>
        </w:r>
        <w:r w:rsidR="00087753" w:rsidRPr="00C04E2E">
          <w:rPr>
            <w:rStyle w:val="a7"/>
            <w:rFonts w:cs="Times New Roman"/>
            <w:noProof/>
            <w:vertAlign w:val="superscript"/>
            <w:lang w:bidi="en-US"/>
          </w:rPr>
          <w:t xml:space="preserve">-7 </w:t>
        </w:r>
        <w:r w:rsidR="00087753" w:rsidRPr="00C04E2E">
          <w:rPr>
            <w:rStyle w:val="a7"/>
            <w:rFonts w:cs="Times New Roman"/>
            <w:noProof/>
            <w:lang w:bidi="en-US"/>
          </w:rPr>
          <w:t>m/s</w:t>
        </w:r>
        <w:r w:rsidR="00087753">
          <w:rPr>
            <w:noProof/>
            <w:webHidden/>
          </w:rPr>
          <w:tab/>
        </w:r>
        <w:r w:rsidR="00087753">
          <w:rPr>
            <w:noProof/>
            <w:webHidden/>
          </w:rPr>
          <w:fldChar w:fldCharType="begin"/>
        </w:r>
        <w:r w:rsidR="00087753">
          <w:rPr>
            <w:noProof/>
            <w:webHidden/>
          </w:rPr>
          <w:instrText xml:space="preserve"> PAGEREF _Toc104985472 \h </w:instrText>
        </w:r>
        <w:r w:rsidR="00087753">
          <w:rPr>
            <w:noProof/>
            <w:webHidden/>
          </w:rPr>
        </w:r>
        <w:r w:rsidR="00087753">
          <w:rPr>
            <w:noProof/>
            <w:webHidden/>
          </w:rPr>
          <w:fldChar w:fldCharType="separate"/>
        </w:r>
        <w:r w:rsidR="004870F1">
          <w:rPr>
            <w:noProof/>
            <w:webHidden/>
          </w:rPr>
          <w:t>181</w:t>
        </w:r>
        <w:r w:rsidR="00087753">
          <w:rPr>
            <w:noProof/>
            <w:webHidden/>
          </w:rPr>
          <w:fldChar w:fldCharType="end"/>
        </w:r>
      </w:hyperlink>
    </w:p>
    <w:p w14:paraId="7AD22A60" w14:textId="00CA5899" w:rsidR="00087753" w:rsidRDefault="00536556">
      <w:pPr>
        <w:pStyle w:val="af7"/>
        <w:tabs>
          <w:tab w:val="right" w:leader="dot" w:pos="9344"/>
        </w:tabs>
        <w:rPr>
          <w:rFonts w:asciiTheme="minorHAnsi" w:eastAsiaTheme="minorEastAsia" w:hAnsiTheme="minorHAnsi"/>
          <w:noProof/>
          <w:sz w:val="22"/>
          <w:lang w:val="ru-RU" w:eastAsia="ru-RU"/>
        </w:rPr>
      </w:pPr>
      <w:hyperlink w:anchor="_Toc104985473" w:history="1">
        <w:r w:rsidR="00087753" w:rsidRPr="00C04E2E">
          <w:rPr>
            <w:rStyle w:val="a7"/>
            <w:rFonts w:cs="Times New Roman"/>
            <w:noProof/>
            <w:lang w:bidi="en-US"/>
          </w:rPr>
          <w:t>Figure 5.14</w:t>
        </w:r>
        <w:r w:rsidR="00087753" w:rsidRPr="00C04E2E">
          <w:rPr>
            <w:rStyle w:val="a7"/>
            <w:noProof/>
          </w:rPr>
          <w:t xml:space="preserve"> </w:t>
        </w:r>
        <w:r w:rsidR="00087753" w:rsidRPr="00C04E2E">
          <w:rPr>
            <w:rStyle w:val="a7"/>
            <w:rFonts w:cs="Times New Roman"/>
            <w:noProof/>
            <w:lang w:bidi="en-US"/>
          </w:rPr>
          <w:t>– A half drawdown (1m per day) seepage; a) k</w:t>
        </w:r>
        <w:r w:rsidR="00087753" w:rsidRPr="00C04E2E">
          <w:rPr>
            <w:rStyle w:val="a7"/>
            <w:rFonts w:cs="Times New Roman"/>
            <w:noProof/>
            <w:vertAlign w:val="subscript"/>
            <w:lang w:bidi="en-US"/>
          </w:rPr>
          <w:t>sat</w:t>
        </w:r>
        <w:r w:rsidR="00087753" w:rsidRPr="00C04E2E">
          <w:rPr>
            <w:rStyle w:val="a7"/>
            <w:rFonts w:cs="Times New Roman"/>
            <w:noProof/>
            <w:lang w:bidi="en-US"/>
          </w:rPr>
          <w:t>=10</w:t>
        </w:r>
        <w:r w:rsidR="00087753" w:rsidRPr="00C04E2E">
          <w:rPr>
            <w:rStyle w:val="a7"/>
            <w:rFonts w:cs="Times New Roman"/>
            <w:noProof/>
            <w:vertAlign w:val="superscript"/>
            <w:lang w:bidi="en-US"/>
          </w:rPr>
          <w:t>-5</w:t>
        </w:r>
        <w:r w:rsidR="00087753" w:rsidRPr="00C04E2E">
          <w:rPr>
            <w:rStyle w:val="a7"/>
            <w:rFonts w:cs="Times New Roman"/>
            <w:noProof/>
            <w:lang w:bidi="en-US"/>
          </w:rPr>
          <w:t xml:space="preserve"> m/s; b) k</w:t>
        </w:r>
        <w:r w:rsidR="00087753" w:rsidRPr="00C04E2E">
          <w:rPr>
            <w:rStyle w:val="a7"/>
            <w:rFonts w:cs="Times New Roman"/>
            <w:noProof/>
            <w:vertAlign w:val="subscript"/>
            <w:lang w:bidi="en-US"/>
          </w:rPr>
          <w:t>sat</w:t>
        </w:r>
        <w:r w:rsidR="00087753" w:rsidRPr="00C04E2E">
          <w:rPr>
            <w:rStyle w:val="a7"/>
            <w:rFonts w:cs="Times New Roman"/>
            <w:noProof/>
            <w:lang w:bidi="en-US"/>
          </w:rPr>
          <w:t>=10</w:t>
        </w:r>
        <w:r w:rsidR="00087753" w:rsidRPr="00C04E2E">
          <w:rPr>
            <w:rStyle w:val="a7"/>
            <w:rFonts w:cs="Times New Roman"/>
            <w:noProof/>
            <w:vertAlign w:val="superscript"/>
            <w:lang w:bidi="en-US"/>
          </w:rPr>
          <w:t>-5</w:t>
        </w:r>
        <w:r w:rsidR="00087753" w:rsidRPr="00C04E2E">
          <w:rPr>
            <w:rStyle w:val="a7"/>
            <w:rFonts w:cs="Times New Roman"/>
            <w:noProof/>
            <w:lang w:bidi="en-US"/>
          </w:rPr>
          <w:t xml:space="preserve"> m/s; c) k</w:t>
        </w:r>
        <w:r w:rsidR="00087753" w:rsidRPr="00C04E2E">
          <w:rPr>
            <w:rStyle w:val="a7"/>
            <w:rFonts w:cs="Times New Roman"/>
            <w:noProof/>
            <w:vertAlign w:val="subscript"/>
            <w:lang w:bidi="en-US"/>
          </w:rPr>
          <w:t>sat</w:t>
        </w:r>
        <w:r w:rsidR="00087753" w:rsidRPr="00C04E2E">
          <w:rPr>
            <w:rStyle w:val="a7"/>
            <w:rFonts w:cs="Times New Roman"/>
            <w:noProof/>
            <w:lang w:bidi="en-US"/>
          </w:rPr>
          <w:t>=10</w:t>
        </w:r>
        <w:r w:rsidR="00087753" w:rsidRPr="00C04E2E">
          <w:rPr>
            <w:rStyle w:val="a7"/>
            <w:rFonts w:cs="Times New Roman"/>
            <w:noProof/>
            <w:vertAlign w:val="superscript"/>
            <w:lang w:bidi="en-US"/>
          </w:rPr>
          <w:t>-7</w:t>
        </w:r>
        <w:r w:rsidR="00087753" w:rsidRPr="00C04E2E">
          <w:rPr>
            <w:rStyle w:val="a7"/>
            <w:rFonts w:cs="Times New Roman"/>
            <w:noProof/>
            <w:lang w:bidi="en-US"/>
          </w:rPr>
          <w:t xml:space="preserve"> m/s</w:t>
        </w:r>
        <w:r w:rsidR="00087753">
          <w:rPr>
            <w:noProof/>
            <w:webHidden/>
          </w:rPr>
          <w:tab/>
        </w:r>
        <w:r w:rsidR="00087753">
          <w:rPr>
            <w:noProof/>
            <w:webHidden/>
          </w:rPr>
          <w:fldChar w:fldCharType="begin"/>
        </w:r>
        <w:r w:rsidR="00087753">
          <w:rPr>
            <w:noProof/>
            <w:webHidden/>
          </w:rPr>
          <w:instrText xml:space="preserve"> PAGEREF _Toc104985473 \h </w:instrText>
        </w:r>
        <w:r w:rsidR="00087753">
          <w:rPr>
            <w:noProof/>
            <w:webHidden/>
          </w:rPr>
        </w:r>
        <w:r w:rsidR="00087753">
          <w:rPr>
            <w:noProof/>
            <w:webHidden/>
          </w:rPr>
          <w:fldChar w:fldCharType="separate"/>
        </w:r>
        <w:r w:rsidR="004870F1">
          <w:rPr>
            <w:noProof/>
            <w:webHidden/>
          </w:rPr>
          <w:t>182</w:t>
        </w:r>
        <w:r w:rsidR="00087753">
          <w:rPr>
            <w:noProof/>
            <w:webHidden/>
          </w:rPr>
          <w:fldChar w:fldCharType="end"/>
        </w:r>
      </w:hyperlink>
    </w:p>
    <w:p w14:paraId="6BB09D0F" w14:textId="69BAF1C2" w:rsidR="00087753" w:rsidRDefault="00536556">
      <w:pPr>
        <w:pStyle w:val="af7"/>
        <w:tabs>
          <w:tab w:val="right" w:leader="dot" w:pos="9344"/>
        </w:tabs>
        <w:rPr>
          <w:rFonts w:asciiTheme="minorHAnsi" w:eastAsiaTheme="minorEastAsia" w:hAnsiTheme="minorHAnsi"/>
          <w:noProof/>
          <w:sz w:val="22"/>
          <w:lang w:val="ru-RU" w:eastAsia="ru-RU"/>
        </w:rPr>
      </w:pPr>
      <w:hyperlink w:anchor="_Toc104985474" w:history="1">
        <w:r w:rsidR="00087753" w:rsidRPr="00C04E2E">
          <w:rPr>
            <w:rStyle w:val="a7"/>
            <w:rFonts w:cs="Times New Roman"/>
            <w:noProof/>
            <w:lang w:bidi="en-US"/>
          </w:rPr>
          <w:t>Figure 5.15 – Slope stability under k</w:t>
        </w:r>
        <w:r w:rsidR="00087753" w:rsidRPr="00C04E2E">
          <w:rPr>
            <w:rStyle w:val="a7"/>
            <w:rFonts w:cs="Times New Roman"/>
            <w:noProof/>
            <w:vertAlign w:val="subscript"/>
            <w:lang w:bidi="en-US"/>
          </w:rPr>
          <w:t>sat</w:t>
        </w:r>
        <w:r w:rsidR="00087753" w:rsidRPr="00C04E2E">
          <w:rPr>
            <w:rStyle w:val="a7"/>
            <w:rFonts w:cs="Times New Roman"/>
            <w:noProof/>
            <w:lang w:bidi="en-US"/>
          </w:rPr>
          <w:t xml:space="preserve"> = 5∙10</w:t>
        </w:r>
        <w:r w:rsidR="00087753" w:rsidRPr="00C04E2E">
          <w:rPr>
            <w:rStyle w:val="a7"/>
            <w:rFonts w:cs="Times New Roman"/>
            <w:noProof/>
            <w:vertAlign w:val="superscript"/>
            <w:lang w:bidi="en-US"/>
          </w:rPr>
          <w:t>-5</w:t>
        </w:r>
        <w:r w:rsidR="00087753" w:rsidRPr="00C04E2E">
          <w:rPr>
            <w:rStyle w:val="a7"/>
            <w:rFonts w:cs="Times New Roman"/>
            <w:noProof/>
            <w:lang w:bidi="en-US"/>
          </w:rPr>
          <w:t xml:space="preserve"> m/s;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_Toc104985474 \h </w:instrText>
        </w:r>
        <w:r w:rsidR="00087753">
          <w:rPr>
            <w:noProof/>
            <w:webHidden/>
          </w:rPr>
        </w:r>
        <w:r w:rsidR="00087753">
          <w:rPr>
            <w:noProof/>
            <w:webHidden/>
          </w:rPr>
          <w:fldChar w:fldCharType="separate"/>
        </w:r>
        <w:r w:rsidR="004870F1">
          <w:rPr>
            <w:noProof/>
            <w:webHidden/>
          </w:rPr>
          <w:t>183</w:t>
        </w:r>
        <w:r w:rsidR="00087753">
          <w:rPr>
            <w:noProof/>
            <w:webHidden/>
          </w:rPr>
          <w:fldChar w:fldCharType="end"/>
        </w:r>
      </w:hyperlink>
    </w:p>
    <w:p w14:paraId="71862FC6" w14:textId="0E906ABB" w:rsidR="00087753" w:rsidRDefault="00536556">
      <w:pPr>
        <w:pStyle w:val="af7"/>
        <w:tabs>
          <w:tab w:val="right" w:leader="dot" w:pos="9344"/>
        </w:tabs>
        <w:rPr>
          <w:rFonts w:asciiTheme="minorHAnsi" w:eastAsiaTheme="minorEastAsia" w:hAnsiTheme="minorHAnsi"/>
          <w:noProof/>
          <w:sz w:val="22"/>
          <w:lang w:val="ru-RU" w:eastAsia="ru-RU"/>
        </w:rPr>
      </w:pPr>
      <w:hyperlink w:anchor="_Toc104985475" w:history="1">
        <w:r w:rsidR="00087753" w:rsidRPr="00C04E2E">
          <w:rPr>
            <w:rStyle w:val="a7"/>
            <w:rFonts w:cs="Times New Roman"/>
            <w:noProof/>
            <w:lang w:bidi="en-US"/>
          </w:rPr>
          <w:t>Figure 5.16</w:t>
        </w:r>
        <w:r w:rsidR="00087753" w:rsidRPr="00C04E2E">
          <w:rPr>
            <w:rStyle w:val="a7"/>
            <w:noProof/>
          </w:rPr>
          <w:t xml:space="preserve"> </w:t>
        </w:r>
        <w:r w:rsidR="00087753" w:rsidRPr="00C04E2E">
          <w:rPr>
            <w:rStyle w:val="a7"/>
            <w:rFonts w:cs="Times New Roman"/>
            <w:noProof/>
            <w:lang w:bidi="en-US"/>
          </w:rPr>
          <w:t>– Slope stability under k</w:t>
        </w:r>
        <w:r w:rsidR="00087753" w:rsidRPr="00C04E2E">
          <w:rPr>
            <w:rStyle w:val="a7"/>
            <w:rFonts w:cs="Times New Roman"/>
            <w:noProof/>
            <w:vertAlign w:val="subscript"/>
            <w:lang w:bidi="en-US"/>
          </w:rPr>
          <w:t>sat</w:t>
        </w:r>
        <w:r w:rsidR="00087753" w:rsidRPr="00C04E2E">
          <w:rPr>
            <w:rStyle w:val="a7"/>
            <w:rFonts w:cs="Times New Roman"/>
            <w:noProof/>
            <w:lang w:bidi="en-US"/>
          </w:rPr>
          <w:t>=10</w:t>
        </w:r>
        <w:r w:rsidR="00087753" w:rsidRPr="00C04E2E">
          <w:rPr>
            <w:rStyle w:val="a7"/>
            <w:rFonts w:cs="Times New Roman"/>
            <w:noProof/>
            <w:vertAlign w:val="superscript"/>
            <w:lang w:bidi="en-US"/>
          </w:rPr>
          <w:t>-5</w:t>
        </w:r>
        <w:r w:rsidR="00087753" w:rsidRPr="00C04E2E">
          <w:rPr>
            <w:rStyle w:val="a7"/>
            <w:rFonts w:cs="Times New Roman"/>
            <w:noProof/>
            <w:lang w:bidi="en-US"/>
          </w:rPr>
          <w:t xml:space="preserve"> m/s;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_Toc104985475 \h </w:instrText>
        </w:r>
        <w:r w:rsidR="00087753">
          <w:rPr>
            <w:noProof/>
            <w:webHidden/>
          </w:rPr>
        </w:r>
        <w:r w:rsidR="00087753">
          <w:rPr>
            <w:noProof/>
            <w:webHidden/>
          </w:rPr>
          <w:fldChar w:fldCharType="separate"/>
        </w:r>
        <w:r w:rsidR="004870F1">
          <w:rPr>
            <w:noProof/>
            <w:webHidden/>
          </w:rPr>
          <w:t>184</w:t>
        </w:r>
        <w:r w:rsidR="00087753">
          <w:rPr>
            <w:noProof/>
            <w:webHidden/>
          </w:rPr>
          <w:fldChar w:fldCharType="end"/>
        </w:r>
      </w:hyperlink>
    </w:p>
    <w:p w14:paraId="43E3AB5A" w14:textId="2A08658A" w:rsidR="00087753" w:rsidRDefault="00536556">
      <w:pPr>
        <w:pStyle w:val="af7"/>
        <w:tabs>
          <w:tab w:val="right" w:leader="dot" w:pos="9344"/>
        </w:tabs>
        <w:rPr>
          <w:rFonts w:asciiTheme="minorHAnsi" w:eastAsiaTheme="minorEastAsia" w:hAnsiTheme="minorHAnsi"/>
          <w:noProof/>
          <w:sz w:val="22"/>
          <w:lang w:val="ru-RU" w:eastAsia="ru-RU"/>
        </w:rPr>
      </w:pPr>
      <w:hyperlink w:anchor="_Toc104985476" w:history="1">
        <w:r w:rsidR="00087753" w:rsidRPr="00C04E2E">
          <w:rPr>
            <w:rStyle w:val="a7"/>
            <w:rFonts w:cs="Times New Roman"/>
            <w:noProof/>
            <w:lang w:bidi="en-US"/>
          </w:rPr>
          <w:t>Figure 5.17– Slope stability under k</w:t>
        </w:r>
        <w:r w:rsidR="00087753" w:rsidRPr="00C04E2E">
          <w:rPr>
            <w:rStyle w:val="a7"/>
            <w:rFonts w:cs="Times New Roman"/>
            <w:noProof/>
            <w:vertAlign w:val="subscript"/>
            <w:lang w:bidi="en-US"/>
          </w:rPr>
          <w:t>sat</w:t>
        </w:r>
        <w:r w:rsidR="00087753" w:rsidRPr="00C04E2E">
          <w:rPr>
            <w:rStyle w:val="a7"/>
            <w:rFonts w:cs="Times New Roman"/>
            <w:noProof/>
            <w:lang w:bidi="en-US"/>
          </w:rPr>
          <w:t xml:space="preserve"> = 5∙10</w:t>
        </w:r>
        <w:r w:rsidR="00087753" w:rsidRPr="00C04E2E">
          <w:rPr>
            <w:rStyle w:val="a7"/>
            <w:rFonts w:cs="Times New Roman"/>
            <w:noProof/>
            <w:vertAlign w:val="superscript"/>
            <w:lang w:bidi="en-US"/>
          </w:rPr>
          <w:t>-6</w:t>
        </w:r>
        <w:r w:rsidR="00087753" w:rsidRPr="00C04E2E">
          <w:rPr>
            <w:rStyle w:val="a7"/>
            <w:rFonts w:cs="Times New Roman"/>
            <w:noProof/>
            <w:lang w:bidi="en-US"/>
          </w:rPr>
          <w:t xml:space="preserve"> m/s;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_Toc104985476 \h </w:instrText>
        </w:r>
        <w:r w:rsidR="00087753">
          <w:rPr>
            <w:noProof/>
            <w:webHidden/>
          </w:rPr>
        </w:r>
        <w:r w:rsidR="00087753">
          <w:rPr>
            <w:noProof/>
            <w:webHidden/>
          </w:rPr>
          <w:fldChar w:fldCharType="separate"/>
        </w:r>
        <w:r w:rsidR="004870F1">
          <w:rPr>
            <w:noProof/>
            <w:webHidden/>
          </w:rPr>
          <w:t>185</w:t>
        </w:r>
        <w:r w:rsidR="00087753">
          <w:rPr>
            <w:noProof/>
            <w:webHidden/>
          </w:rPr>
          <w:fldChar w:fldCharType="end"/>
        </w:r>
      </w:hyperlink>
    </w:p>
    <w:p w14:paraId="10316F3E" w14:textId="7C92D125" w:rsidR="00087753" w:rsidRDefault="00536556">
      <w:pPr>
        <w:pStyle w:val="af7"/>
        <w:tabs>
          <w:tab w:val="right" w:leader="dot" w:pos="9344"/>
        </w:tabs>
        <w:rPr>
          <w:rFonts w:asciiTheme="minorHAnsi" w:eastAsiaTheme="minorEastAsia" w:hAnsiTheme="minorHAnsi"/>
          <w:noProof/>
          <w:sz w:val="22"/>
          <w:lang w:val="ru-RU" w:eastAsia="ru-RU"/>
        </w:rPr>
      </w:pPr>
      <w:hyperlink w:anchor="_Toc104985477" w:history="1">
        <w:r w:rsidR="00087753" w:rsidRPr="00C04E2E">
          <w:rPr>
            <w:rStyle w:val="a7"/>
            <w:rFonts w:cs="Times New Roman"/>
            <w:noProof/>
            <w:lang w:bidi="en-US"/>
          </w:rPr>
          <w:t>Figure 5.18</w:t>
        </w:r>
        <w:r w:rsidR="00087753" w:rsidRPr="00C04E2E">
          <w:rPr>
            <w:rStyle w:val="a7"/>
            <w:noProof/>
          </w:rPr>
          <w:t xml:space="preserve"> </w:t>
        </w:r>
        <w:r w:rsidR="00087753" w:rsidRPr="00C04E2E">
          <w:rPr>
            <w:rStyle w:val="a7"/>
            <w:rFonts w:cs="Times New Roman"/>
            <w:noProof/>
            <w:lang w:bidi="en-US"/>
          </w:rPr>
          <w:t>– Slope stability under k</w:t>
        </w:r>
        <w:r w:rsidR="00087753" w:rsidRPr="00C04E2E">
          <w:rPr>
            <w:rStyle w:val="a7"/>
            <w:rFonts w:cs="Times New Roman"/>
            <w:noProof/>
            <w:vertAlign w:val="subscript"/>
            <w:lang w:bidi="en-US"/>
          </w:rPr>
          <w:t>sat</w:t>
        </w:r>
        <w:r w:rsidR="00087753" w:rsidRPr="00C04E2E">
          <w:rPr>
            <w:rStyle w:val="a7"/>
            <w:rFonts w:cs="Times New Roman"/>
            <w:noProof/>
            <w:lang w:bidi="en-US"/>
          </w:rPr>
          <w:t>=10</w:t>
        </w:r>
        <w:r w:rsidR="00087753" w:rsidRPr="00C04E2E">
          <w:rPr>
            <w:rStyle w:val="a7"/>
            <w:rFonts w:cs="Times New Roman"/>
            <w:noProof/>
            <w:vertAlign w:val="superscript"/>
            <w:lang w:bidi="en-US"/>
          </w:rPr>
          <w:t>-6</w:t>
        </w:r>
        <w:r w:rsidR="00087753" w:rsidRPr="00C04E2E">
          <w:rPr>
            <w:rStyle w:val="a7"/>
            <w:rFonts w:cs="Times New Roman"/>
            <w:noProof/>
            <w:lang w:bidi="en-US"/>
          </w:rPr>
          <w:t xml:space="preserve"> m/s;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_Toc104985477 \h </w:instrText>
        </w:r>
        <w:r w:rsidR="00087753">
          <w:rPr>
            <w:noProof/>
            <w:webHidden/>
          </w:rPr>
        </w:r>
        <w:r w:rsidR="00087753">
          <w:rPr>
            <w:noProof/>
            <w:webHidden/>
          </w:rPr>
          <w:fldChar w:fldCharType="separate"/>
        </w:r>
        <w:r w:rsidR="004870F1">
          <w:rPr>
            <w:noProof/>
            <w:webHidden/>
          </w:rPr>
          <w:t>186</w:t>
        </w:r>
        <w:r w:rsidR="00087753">
          <w:rPr>
            <w:noProof/>
            <w:webHidden/>
          </w:rPr>
          <w:fldChar w:fldCharType="end"/>
        </w:r>
      </w:hyperlink>
    </w:p>
    <w:p w14:paraId="5385654E" w14:textId="54B81C72" w:rsidR="00087753" w:rsidRDefault="00536556">
      <w:pPr>
        <w:pStyle w:val="af7"/>
        <w:tabs>
          <w:tab w:val="right" w:leader="dot" w:pos="9344"/>
        </w:tabs>
        <w:rPr>
          <w:rFonts w:asciiTheme="minorHAnsi" w:eastAsiaTheme="minorEastAsia" w:hAnsiTheme="minorHAnsi"/>
          <w:noProof/>
          <w:sz w:val="22"/>
          <w:lang w:val="ru-RU" w:eastAsia="ru-RU"/>
        </w:rPr>
      </w:pPr>
      <w:hyperlink w:anchor="_Toc104985478" w:history="1">
        <w:r w:rsidR="00087753" w:rsidRPr="00C04E2E">
          <w:rPr>
            <w:rStyle w:val="a7"/>
            <w:rFonts w:cs="Times New Roman"/>
            <w:noProof/>
            <w:lang w:bidi="en-US"/>
          </w:rPr>
          <w:t>Figure 5.19– Slope stability under k</w:t>
        </w:r>
        <w:r w:rsidR="00087753" w:rsidRPr="00C04E2E">
          <w:rPr>
            <w:rStyle w:val="a7"/>
            <w:rFonts w:cs="Times New Roman"/>
            <w:noProof/>
            <w:vertAlign w:val="subscript"/>
            <w:lang w:bidi="en-US"/>
          </w:rPr>
          <w:t>sat</w:t>
        </w:r>
        <w:r w:rsidR="00087753" w:rsidRPr="00C04E2E">
          <w:rPr>
            <w:rStyle w:val="a7"/>
            <w:rFonts w:cs="Times New Roman"/>
            <w:noProof/>
            <w:lang w:bidi="en-US"/>
          </w:rPr>
          <w:t xml:space="preserve"> = 5∙10</w:t>
        </w:r>
        <w:r w:rsidR="00087753" w:rsidRPr="00C04E2E">
          <w:rPr>
            <w:rStyle w:val="a7"/>
            <w:rFonts w:cs="Times New Roman"/>
            <w:noProof/>
            <w:vertAlign w:val="superscript"/>
            <w:lang w:bidi="en-US"/>
          </w:rPr>
          <w:t>-7</w:t>
        </w:r>
        <w:r w:rsidR="00087753" w:rsidRPr="00C04E2E">
          <w:rPr>
            <w:rStyle w:val="a7"/>
            <w:rFonts w:cs="Times New Roman"/>
            <w:noProof/>
            <w:lang w:bidi="en-US"/>
          </w:rPr>
          <w:t xml:space="preserve"> m/s;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_Toc104985478 \h </w:instrText>
        </w:r>
        <w:r w:rsidR="00087753">
          <w:rPr>
            <w:noProof/>
            <w:webHidden/>
          </w:rPr>
        </w:r>
        <w:r w:rsidR="00087753">
          <w:rPr>
            <w:noProof/>
            <w:webHidden/>
          </w:rPr>
          <w:fldChar w:fldCharType="separate"/>
        </w:r>
        <w:r w:rsidR="004870F1">
          <w:rPr>
            <w:noProof/>
            <w:webHidden/>
          </w:rPr>
          <w:t>187</w:t>
        </w:r>
        <w:r w:rsidR="00087753">
          <w:rPr>
            <w:noProof/>
            <w:webHidden/>
          </w:rPr>
          <w:fldChar w:fldCharType="end"/>
        </w:r>
      </w:hyperlink>
    </w:p>
    <w:p w14:paraId="3F8C3BA0" w14:textId="3C8D7412" w:rsidR="00087753" w:rsidRDefault="00536556">
      <w:pPr>
        <w:pStyle w:val="af7"/>
        <w:tabs>
          <w:tab w:val="right" w:leader="dot" w:pos="9344"/>
        </w:tabs>
        <w:rPr>
          <w:rFonts w:asciiTheme="minorHAnsi" w:eastAsiaTheme="minorEastAsia" w:hAnsiTheme="minorHAnsi"/>
          <w:noProof/>
          <w:sz w:val="22"/>
          <w:lang w:val="ru-RU" w:eastAsia="ru-RU"/>
        </w:rPr>
      </w:pPr>
      <w:hyperlink w:anchor="_Toc104985479" w:history="1">
        <w:r w:rsidR="00087753" w:rsidRPr="00C04E2E">
          <w:rPr>
            <w:rStyle w:val="a7"/>
            <w:rFonts w:cs="Times New Roman"/>
            <w:noProof/>
            <w:lang w:bidi="en-US"/>
          </w:rPr>
          <w:t>Figure 5.20</w:t>
        </w:r>
        <w:r w:rsidR="00087753" w:rsidRPr="00C04E2E">
          <w:rPr>
            <w:rStyle w:val="a7"/>
            <w:noProof/>
          </w:rPr>
          <w:t xml:space="preserve"> </w:t>
        </w:r>
        <w:r w:rsidR="00087753" w:rsidRPr="00C04E2E">
          <w:rPr>
            <w:rStyle w:val="a7"/>
            <w:rFonts w:cs="Times New Roman"/>
            <w:noProof/>
            <w:lang w:bidi="en-US"/>
          </w:rPr>
          <w:t>– Slope stability under k</w:t>
        </w:r>
        <w:r w:rsidR="00087753" w:rsidRPr="00C04E2E">
          <w:rPr>
            <w:rStyle w:val="a7"/>
            <w:rFonts w:cs="Times New Roman"/>
            <w:noProof/>
            <w:vertAlign w:val="subscript"/>
            <w:lang w:bidi="en-US"/>
          </w:rPr>
          <w:t>sat</w:t>
        </w:r>
        <w:r w:rsidR="00087753" w:rsidRPr="00C04E2E">
          <w:rPr>
            <w:rStyle w:val="a7"/>
            <w:rFonts w:cs="Times New Roman"/>
            <w:noProof/>
            <w:lang w:bidi="en-US"/>
          </w:rPr>
          <w:t>=10-7 m/s;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_Toc104985479 \h </w:instrText>
        </w:r>
        <w:r w:rsidR="00087753">
          <w:rPr>
            <w:noProof/>
            <w:webHidden/>
          </w:rPr>
        </w:r>
        <w:r w:rsidR="00087753">
          <w:rPr>
            <w:noProof/>
            <w:webHidden/>
          </w:rPr>
          <w:fldChar w:fldCharType="separate"/>
        </w:r>
        <w:r w:rsidR="004870F1">
          <w:rPr>
            <w:noProof/>
            <w:webHidden/>
          </w:rPr>
          <w:t>188</w:t>
        </w:r>
        <w:r w:rsidR="00087753">
          <w:rPr>
            <w:noProof/>
            <w:webHidden/>
          </w:rPr>
          <w:fldChar w:fldCharType="end"/>
        </w:r>
      </w:hyperlink>
    </w:p>
    <w:p w14:paraId="01D83E3F" w14:textId="41604BE3" w:rsidR="00087753" w:rsidRDefault="00536556">
      <w:pPr>
        <w:pStyle w:val="af7"/>
        <w:tabs>
          <w:tab w:val="right" w:leader="dot" w:pos="9344"/>
        </w:tabs>
        <w:rPr>
          <w:rFonts w:asciiTheme="minorHAnsi" w:eastAsiaTheme="minorEastAsia" w:hAnsiTheme="minorHAnsi"/>
          <w:noProof/>
          <w:sz w:val="22"/>
          <w:lang w:val="ru-RU" w:eastAsia="ru-RU"/>
        </w:rPr>
      </w:pPr>
      <w:hyperlink w:anchor="_Toc104985480" w:history="1">
        <w:r w:rsidR="00087753" w:rsidRPr="00C04E2E">
          <w:rPr>
            <w:rStyle w:val="a7"/>
            <w:rFonts w:cs="Times New Roman"/>
            <w:noProof/>
            <w:lang w:bidi="en-US"/>
          </w:rPr>
          <w:t>Figure 5.21</w:t>
        </w:r>
        <w:r w:rsidR="00087753" w:rsidRPr="00C04E2E">
          <w:rPr>
            <w:rStyle w:val="a7"/>
            <w:noProof/>
          </w:rPr>
          <w:t xml:space="preserve"> </w:t>
        </w:r>
        <w:r w:rsidR="00087753" w:rsidRPr="00C04E2E">
          <w:rPr>
            <w:rStyle w:val="a7"/>
            <w:rFonts w:cs="Times New Roman"/>
            <w:noProof/>
            <w:lang w:bidi="en-US"/>
          </w:rPr>
          <w:t>– Minimum values of factor of safety from the instantaneous, 5 days, and 10 days drawdown rates under 5∙10</w:t>
        </w:r>
        <w:r w:rsidR="00087753" w:rsidRPr="00C04E2E">
          <w:rPr>
            <w:rStyle w:val="a7"/>
            <w:rFonts w:cs="Times New Roman"/>
            <w:noProof/>
            <w:vertAlign w:val="superscript"/>
            <w:lang w:bidi="en-US"/>
          </w:rPr>
          <w:t>-5</w:t>
        </w:r>
        <w:r w:rsidR="00087753" w:rsidRPr="00C04E2E">
          <w:rPr>
            <w:rStyle w:val="a7"/>
            <w:rFonts w:cs="Times New Roman"/>
            <w:noProof/>
            <w:lang w:bidi="en-US"/>
          </w:rPr>
          <w:t xml:space="preserve"> m/s and 10</w:t>
        </w:r>
        <w:r w:rsidR="00087753" w:rsidRPr="00C04E2E">
          <w:rPr>
            <w:rStyle w:val="a7"/>
            <w:rFonts w:cs="Times New Roman"/>
            <w:noProof/>
            <w:vertAlign w:val="superscript"/>
            <w:lang w:bidi="en-US"/>
          </w:rPr>
          <w:t>-7</w:t>
        </w:r>
        <w:r w:rsidR="00087753" w:rsidRPr="00C04E2E">
          <w:rPr>
            <w:rStyle w:val="a7"/>
            <w:rFonts w:cs="Times New Roman"/>
            <w:noProof/>
            <w:lang w:bidi="en-US"/>
          </w:rPr>
          <w:t xml:space="preserve"> m/s saturated hydraulic conductivities: FS- factor of safety</w:t>
        </w:r>
        <w:r w:rsidR="00087753">
          <w:rPr>
            <w:noProof/>
            <w:webHidden/>
          </w:rPr>
          <w:tab/>
        </w:r>
        <w:r w:rsidR="00087753">
          <w:rPr>
            <w:noProof/>
            <w:webHidden/>
          </w:rPr>
          <w:fldChar w:fldCharType="begin"/>
        </w:r>
        <w:r w:rsidR="00087753">
          <w:rPr>
            <w:noProof/>
            <w:webHidden/>
          </w:rPr>
          <w:instrText xml:space="preserve"> PAGEREF _Toc104985480 \h </w:instrText>
        </w:r>
        <w:r w:rsidR="00087753">
          <w:rPr>
            <w:noProof/>
            <w:webHidden/>
          </w:rPr>
        </w:r>
        <w:r w:rsidR="00087753">
          <w:rPr>
            <w:noProof/>
            <w:webHidden/>
          </w:rPr>
          <w:fldChar w:fldCharType="separate"/>
        </w:r>
        <w:r w:rsidR="004870F1">
          <w:rPr>
            <w:noProof/>
            <w:webHidden/>
          </w:rPr>
          <w:t>189</w:t>
        </w:r>
        <w:r w:rsidR="00087753">
          <w:rPr>
            <w:noProof/>
            <w:webHidden/>
          </w:rPr>
          <w:fldChar w:fldCharType="end"/>
        </w:r>
      </w:hyperlink>
    </w:p>
    <w:p w14:paraId="5FD8B78C" w14:textId="533D91CA" w:rsidR="00087753" w:rsidRDefault="00536556">
      <w:pPr>
        <w:pStyle w:val="af7"/>
        <w:tabs>
          <w:tab w:val="right" w:leader="dot" w:pos="9344"/>
        </w:tabs>
        <w:rPr>
          <w:rFonts w:asciiTheme="minorHAnsi" w:eastAsiaTheme="minorEastAsia" w:hAnsiTheme="minorHAnsi"/>
          <w:noProof/>
          <w:sz w:val="22"/>
          <w:lang w:val="ru-RU" w:eastAsia="ru-RU"/>
        </w:rPr>
      </w:pPr>
      <w:hyperlink w:anchor="_Toc104985481" w:history="1">
        <w:r w:rsidR="00087753" w:rsidRPr="00C04E2E">
          <w:rPr>
            <w:rStyle w:val="a7"/>
            <w:rFonts w:cs="Times New Roman"/>
            <w:noProof/>
            <w:lang w:bidi="en-US"/>
          </w:rPr>
          <w:t>Figure 5.22</w:t>
        </w:r>
        <w:r w:rsidR="00087753" w:rsidRPr="00C04E2E">
          <w:rPr>
            <w:rStyle w:val="a7"/>
            <w:noProof/>
          </w:rPr>
          <w:t xml:space="preserve"> </w:t>
        </w:r>
        <w:r w:rsidR="00087753" w:rsidRPr="00C04E2E">
          <w:rPr>
            <w:rStyle w:val="a7"/>
            <w:rFonts w:cs="Times New Roman"/>
            <w:noProof/>
            <w:lang w:bidi="en-US"/>
          </w:rPr>
          <w:t>– Steady-state seepage under the reduced operating water level</w:t>
        </w:r>
        <w:r w:rsidR="00087753">
          <w:rPr>
            <w:noProof/>
            <w:webHidden/>
          </w:rPr>
          <w:tab/>
        </w:r>
        <w:r w:rsidR="00087753">
          <w:rPr>
            <w:noProof/>
            <w:webHidden/>
          </w:rPr>
          <w:fldChar w:fldCharType="begin"/>
        </w:r>
        <w:r w:rsidR="00087753">
          <w:rPr>
            <w:noProof/>
            <w:webHidden/>
          </w:rPr>
          <w:instrText xml:space="preserve"> PAGEREF _Toc104985481 \h </w:instrText>
        </w:r>
        <w:r w:rsidR="00087753">
          <w:rPr>
            <w:noProof/>
            <w:webHidden/>
          </w:rPr>
        </w:r>
        <w:r w:rsidR="00087753">
          <w:rPr>
            <w:noProof/>
            <w:webHidden/>
          </w:rPr>
          <w:fldChar w:fldCharType="separate"/>
        </w:r>
        <w:r w:rsidR="004870F1">
          <w:rPr>
            <w:noProof/>
            <w:webHidden/>
          </w:rPr>
          <w:t>193</w:t>
        </w:r>
        <w:r w:rsidR="00087753">
          <w:rPr>
            <w:noProof/>
            <w:webHidden/>
          </w:rPr>
          <w:fldChar w:fldCharType="end"/>
        </w:r>
      </w:hyperlink>
    </w:p>
    <w:p w14:paraId="18066CB3" w14:textId="5EF9D5A9" w:rsidR="00087753" w:rsidRDefault="00536556">
      <w:pPr>
        <w:pStyle w:val="af7"/>
        <w:tabs>
          <w:tab w:val="right" w:leader="dot" w:pos="9344"/>
        </w:tabs>
        <w:rPr>
          <w:rFonts w:asciiTheme="minorHAnsi" w:eastAsiaTheme="minorEastAsia" w:hAnsiTheme="minorHAnsi"/>
          <w:noProof/>
          <w:sz w:val="22"/>
          <w:lang w:val="ru-RU" w:eastAsia="ru-RU"/>
        </w:rPr>
      </w:pPr>
      <w:hyperlink w:anchor="_Toc104985482" w:history="1">
        <w:r w:rsidR="00087753" w:rsidRPr="00C04E2E">
          <w:rPr>
            <w:rStyle w:val="a7"/>
            <w:rFonts w:cs="Times New Roman"/>
            <w:noProof/>
            <w:lang w:bidi="en-US"/>
          </w:rPr>
          <w:t>Figure 5.23</w:t>
        </w:r>
        <w:r w:rsidR="00087753" w:rsidRPr="00C04E2E">
          <w:rPr>
            <w:rStyle w:val="a7"/>
            <w:noProof/>
          </w:rPr>
          <w:t xml:space="preserve"> </w:t>
        </w:r>
        <w:r w:rsidR="00087753" w:rsidRPr="00C04E2E">
          <w:rPr>
            <w:rStyle w:val="a7"/>
            <w:rFonts w:cs="Times New Roman"/>
            <w:noProof/>
            <w:lang w:bidi="en-US"/>
          </w:rPr>
          <w:t>– Instantaneous drawdown seepage under the reduced operating water level</w:t>
        </w:r>
        <w:r w:rsidR="00087753">
          <w:rPr>
            <w:noProof/>
            <w:webHidden/>
          </w:rPr>
          <w:tab/>
        </w:r>
        <w:r w:rsidR="00087753">
          <w:rPr>
            <w:noProof/>
            <w:webHidden/>
          </w:rPr>
          <w:fldChar w:fldCharType="begin"/>
        </w:r>
        <w:r w:rsidR="00087753">
          <w:rPr>
            <w:noProof/>
            <w:webHidden/>
          </w:rPr>
          <w:instrText xml:space="preserve"> PAGEREF _Toc104985482 \h </w:instrText>
        </w:r>
        <w:r w:rsidR="00087753">
          <w:rPr>
            <w:noProof/>
            <w:webHidden/>
          </w:rPr>
        </w:r>
        <w:r w:rsidR="00087753">
          <w:rPr>
            <w:noProof/>
            <w:webHidden/>
          </w:rPr>
          <w:fldChar w:fldCharType="separate"/>
        </w:r>
        <w:r w:rsidR="004870F1">
          <w:rPr>
            <w:noProof/>
            <w:webHidden/>
          </w:rPr>
          <w:t>193</w:t>
        </w:r>
        <w:r w:rsidR="00087753">
          <w:rPr>
            <w:noProof/>
            <w:webHidden/>
          </w:rPr>
          <w:fldChar w:fldCharType="end"/>
        </w:r>
      </w:hyperlink>
    </w:p>
    <w:p w14:paraId="4984DCA7" w14:textId="164434D8" w:rsidR="00087753" w:rsidRDefault="00536556">
      <w:pPr>
        <w:pStyle w:val="af7"/>
        <w:tabs>
          <w:tab w:val="right" w:leader="dot" w:pos="9344"/>
        </w:tabs>
        <w:rPr>
          <w:rFonts w:asciiTheme="minorHAnsi" w:eastAsiaTheme="minorEastAsia" w:hAnsiTheme="minorHAnsi"/>
          <w:noProof/>
          <w:sz w:val="22"/>
          <w:lang w:val="ru-RU" w:eastAsia="ru-RU"/>
        </w:rPr>
      </w:pPr>
      <w:hyperlink w:anchor="_Toc104985483" w:history="1">
        <w:r w:rsidR="00087753" w:rsidRPr="00C04E2E">
          <w:rPr>
            <w:rStyle w:val="a7"/>
            <w:noProof/>
          </w:rPr>
          <w:t>Figure 5.24 – Rapid drawdown (5 days) seepage under the reduced operating water level</w:t>
        </w:r>
        <w:r w:rsidR="00087753">
          <w:rPr>
            <w:noProof/>
            <w:webHidden/>
          </w:rPr>
          <w:tab/>
        </w:r>
        <w:r w:rsidR="00087753">
          <w:rPr>
            <w:noProof/>
            <w:webHidden/>
          </w:rPr>
          <w:fldChar w:fldCharType="begin"/>
        </w:r>
        <w:r w:rsidR="00087753">
          <w:rPr>
            <w:noProof/>
            <w:webHidden/>
          </w:rPr>
          <w:instrText xml:space="preserve"> PAGEREF _Toc104985483 \h </w:instrText>
        </w:r>
        <w:r w:rsidR="00087753">
          <w:rPr>
            <w:noProof/>
            <w:webHidden/>
          </w:rPr>
        </w:r>
        <w:r w:rsidR="00087753">
          <w:rPr>
            <w:noProof/>
            <w:webHidden/>
          </w:rPr>
          <w:fldChar w:fldCharType="separate"/>
        </w:r>
        <w:r w:rsidR="004870F1">
          <w:rPr>
            <w:noProof/>
            <w:webHidden/>
          </w:rPr>
          <w:t>194</w:t>
        </w:r>
        <w:r w:rsidR="00087753">
          <w:rPr>
            <w:noProof/>
            <w:webHidden/>
          </w:rPr>
          <w:fldChar w:fldCharType="end"/>
        </w:r>
      </w:hyperlink>
    </w:p>
    <w:p w14:paraId="0911D367" w14:textId="5076AF03" w:rsidR="00087753" w:rsidRDefault="00536556">
      <w:pPr>
        <w:pStyle w:val="af7"/>
        <w:tabs>
          <w:tab w:val="right" w:leader="dot" w:pos="9344"/>
        </w:tabs>
        <w:rPr>
          <w:rFonts w:asciiTheme="minorHAnsi" w:eastAsiaTheme="minorEastAsia" w:hAnsiTheme="minorHAnsi"/>
          <w:noProof/>
          <w:sz w:val="22"/>
          <w:lang w:val="ru-RU" w:eastAsia="ru-RU"/>
        </w:rPr>
      </w:pPr>
      <w:hyperlink w:anchor="_Toc104985484" w:history="1">
        <w:r w:rsidR="00087753" w:rsidRPr="00C04E2E">
          <w:rPr>
            <w:rStyle w:val="a7"/>
            <w:noProof/>
          </w:rPr>
          <w:t>Figure 5.25 – Rapid drawdown (10 days) seepage under the reduced operating water level</w:t>
        </w:r>
        <w:r w:rsidR="00087753">
          <w:rPr>
            <w:noProof/>
            <w:webHidden/>
          </w:rPr>
          <w:tab/>
        </w:r>
        <w:r w:rsidR="00087753">
          <w:rPr>
            <w:noProof/>
            <w:webHidden/>
          </w:rPr>
          <w:fldChar w:fldCharType="begin"/>
        </w:r>
        <w:r w:rsidR="00087753">
          <w:rPr>
            <w:noProof/>
            <w:webHidden/>
          </w:rPr>
          <w:instrText xml:space="preserve"> PAGEREF _Toc104985484 \h </w:instrText>
        </w:r>
        <w:r w:rsidR="00087753">
          <w:rPr>
            <w:noProof/>
            <w:webHidden/>
          </w:rPr>
        </w:r>
        <w:r w:rsidR="00087753">
          <w:rPr>
            <w:noProof/>
            <w:webHidden/>
          </w:rPr>
          <w:fldChar w:fldCharType="separate"/>
        </w:r>
        <w:r w:rsidR="004870F1">
          <w:rPr>
            <w:noProof/>
            <w:webHidden/>
          </w:rPr>
          <w:t>194</w:t>
        </w:r>
        <w:r w:rsidR="00087753">
          <w:rPr>
            <w:noProof/>
            <w:webHidden/>
          </w:rPr>
          <w:fldChar w:fldCharType="end"/>
        </w:r>
      </w:hyperlink>
    </w:p>
    <w:p w14:paraId="0BE7DD01" w14:textId="465BF760" w:rsidR="00087753" w:rsidRDefault="00536556">
      <w:pPr>
        <w:pStyle w:val="af7"/>
        <w:tabs>
          <w:tab w:val="right" w:leader="dot" w:pos="9344"/>
        </w:tabs>
        <w:rPr>
          <w:rFonts w:asciiTheme="minorHAnsi" w:eastAsiaTheme="minorEastAsia" w:hAnsiTheme="minorHAnsi"/>
          <w:noProof/>
          <w:sz w:val="22"/>
          <w:lang w:val="ru-RU" w:eastAsia="ru-RU"/>
        </w:rPr>
      </w:pPr>
      <w:hyperlink w:anchor="_Toc104985485" w:history="1">
        <w:r w:rsidR="00087753" w:rsidRPr="00C04E2E">
          <w:rPr>
            <w:rStyle w:val="a7"/>
            <w:noProof/>
          </w:rPr>
          <w:t>Figure 5.26 – Rapid drawdown (1 m per day) seepage under the reduced operating water level</w:t>
        </w:r>
        <w:r w:rsidR="00087753">
          <w:rPr>
            <w:noProof/>
            <w:webHidden/>
          </w:rPr>
          <w:tab/>
        </w:r>
        <w:r w:rsidR="00087753">
          <w:rPr>
            <w:noProof/>
            <w:webHidden/>
          </w:rPr>
          <w:fldChar w:fldCharType="begin"/>
        </w:r>
        <w:r w:rsidR="00087753">
          <w:rPr>
            <w:noProof/>
            <w:webHidden/>
          </w:rPr>
          <w:instrText xml:space="preserve"> PAGEREF _Toc104985485 \h </w:instrText>
        </w:r>
        <w:r w:rsidR="00087753">
          <w:rPr>
            <w:noProof/>
            <w:webHidden/>
          </w:rPr>
        </w:r>
        <w:r w:rsidR="00087753">
          <w:rPr>
            <w:noProof/>
            <w:webHidden/>
          </w:rPr>
          <w:fldChar w:fldCharType="separate"/>
        </w:r>
        <w:r w:rsidR="004870F1">
          <w:rPr>
            <w:noProof/>
            <w:webHidden/>
          </w:rPr>
          <w:t>195</w:t>
        </w:r>
        <w:r w:rsidR="00087753">
          <w:rPr>
            <w:noProof/>
            <w:webHidden/>
          </w:rPr>
          <w:fldChar w:fldCharType="end"/>
        </w:r>
      </w:hyperlink>
    </w:p>
    <w:p w14:paraId="591626E2" w14:textId="68EA1727" w:rsidR="00087753" w:rsidRDefault="00536556">
      <w:pPr>
        <w:pStyle w:val="af7"/>
        <w:tabs>
          <w:tab w:val="right" w:leader="dot" w:pos="9344"/>
        </w:tabs>
        <w:rPr>
          <w:rFonts w:asciiTheme="minorHAnsi" w:eastAsiaTheme="minorEastAsia" w:hAnsiTheme="minorHAnsi"/>
          <w:noProof/>
          <w:sz w:val="22"/>
          <w:lang w:val="ru-RU" w:eastAsia="ru-RU"/>
        </w:rPr>
      </w:pPr>
      <w:hyperlink w:anchor="_Toc104985486" w:history="1">
        <w:r w:rsidR="00087753" w:rsidRPr="00C04E2E">
          <w:rPr>
            <w:rStyle w:val="a7"/>
            <w:noProof/>
          </w:rPr>
          <w:t>Figure 5.27 – Steady-state slope stability under the reduced operating water level</w:t>
        </w:r>
        <w:r w:rsidR="00087753">
          <w:rPr>
            <w:noProof/>
            <w:webHidden/>
          </w:rPr>
          <w:tab/>
        </w:r>
        <w:r w:rsidR="00087753">
          <w:rPr>
            <w:noProof/>
            <w:webHidden/>
          </w:rPr>
          <w:fldChar w:fldCharType="begin"/>
        </w:r>
        <w:r w:rsidR="00087753">
          <w:rPr>
            <w:noProof/>
            <w:webHidden/>
          </w:rPr>
          <w:instrText xml:space="preserve"> PAGEREF _Toc104985486 \h </w:instrText>
        </w:r>
        <w:r w:rsidR="00087753">
          <w:rPr>
            <w:noProof/>
            <w:webHidden/>
          </w:rPr>
        </w:r>
        <w:r w:rsidR="00087753">
          <w:rPr>
            <w:noProof/>
            <w:webHidden/>
          </w:rPr>
          <w:fldChar w:fldCharType="separate"/>
        </w:r>
        <w:r w:rsidR="004870F1">
          <w:rPr>
            <w:noProof/>
            <w:webHidden/>
          </w:rPr>
          <w:t>195</w:t>
        </w:r>
        <w:r w:rsidR="00087753">
          <w:rPr>
            <w:noProof/>
            <w:webHidden/>
          </w:rPr>
          <w:fldChar w:fldCharType="end"/>
        </w:r>
      </w:hyperlink>
    </w:p>
    <w:p w14:paraId="41DE9CCB" w14:textId="18465B23" w:rsidR="00087753" w:rsidRDefault="00536556">
      <w:pPr>
        <w:pStyle w:val="af7"/>
        <w:tabs>
          <w:tab w:val="right" w:leader="dot" w:pos="9344"/>
        </w:tabs>
        <w:rPr>
          <w:rFonts w:asciiTheme="minorHAnsi" w:eastAsiaTheme="minorEastAsia" w:hAnsiTheme="minorHAnsi"/>
          <w:noProof/>
          <w:sz w:val="22"/>
          <w:lang w:val="ru-RU" w:eastAsia="ru-RU"/>
        </w:rPr>
      </w:pPr>
      <w:hyperlink w:anchor="_Toc104985487" w:history="1">
        <w:r w:rsidR="00087753" w:rsidRPr="00C04E2E">
          <w:rPr>
            <w:rStyle w:val="a7"/>
            <w:noProof/>
          </w:rPr>
          <w:t>Figure 5.28 – Instantaneous slope stability under the reduced operating water level</w:t>
        </w:r>
        <w:r w:rsidR="00087753">
          <w:rPr>
            <w:noProof/>
            <w:webHidden/>
          </w:rPr>
          <w:tab/>
        </w:r>
        <w:r w:rsidR="00087753">
          <w:rPr>
            <w:noProof/>
            <w:webHidden/>
          </w:rPr>
          <w:fldChar w:fldCharType="begin"/>
        </w:r>
        <w:r w:rsidR="00087753">
          <w:rPr>
            <w:noProof/>
            <w:webHidden/>
          </w:rPr>
          <w:instrText xml:space="preserve"> PAGEREF _Toc104985487 \h </w:instrText>
        </w:r>
        <w:r w:rsidR="00087753">
          <w:rPr>
            <w:noProof/>
            <w:webHidden/>
          </w:rPr>
        </w:r>
        <w:r w:rsidR="00087753">
          <w:rPr>
            <w:noProof/>
            <w:webHidden/>
          </w:rPr>
          <w:fldChar w:fldCharType="separate"/>
        </w:r>
        <w:r w:rsidR="004870F1">
          <w:rPr>
            <w:noProof/>
            <w:webHidden/>
          </w:rPr>
          <w:t>196</w:t>
        </w:r>
        <w:r w:rsidR="00087753">
          <w:rPr>
            <w:noProof/>
            <w:webHidden/>
          </w:rPr>
          <w:fldChar w:fldCharType="end"/>
        </w:r>
      </w:hyperlink>
    </w:p>
    <w:p w14:paraId="1431F8C8" w14:textId="7F8A0B20" w:rsidR="00087753" w:rsidRDefault="00536556">
      <w:pPr>
        <w:pStyle w:val="af7"/>
        <w:tabs>
          <w:tab w:val="right" w:leader="dot" w:pos="9344"/>
        </w:tabs>
        <w:rPr>
          <w:rFonts w:asciiTheme="minorHAnsi" w:eastAsiaTheme="minorEastAsia" w:hAnsiTheme="minorHAnsi"/>
          <w:noProof/>
          <w:sz w:val="22"/>
          <w:lang w:val="ru-RU" w:eastAsia="ru-RU"/>
        </w:rPr>
      </w:pPr>
      <w:hyperlink w:anchor="_Toc104985488" w:history="1">
        <w:r w:rsidR="00087753" w:rsidRPr="00C04E2E">
          <w:rPr>
            <w:rStyle w:val="a7"/>
            <w:noProof/>
          </w:rPr>
          <w:t>Figure 5.29 – Rapid drawdown (5 days) slope stability under the reduced operating water level</w:t>
        </w:r>
        <w:r w:rsidR="00087753" w:rsidRPr="00C04E2E">
          <w:rPr>
            <w:rStyle w:val="a7"/>
            <w:rFonts w:cs="Times New Roman"/>
            <w:noProof/>
            <w:lang w:bidi="en-US"/>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_Toc104985488 \h </w:instrText>
        </w:r>
        <w:r w:rsidR="00087753">
          <w:rPr>
            <w:noProof/>
            <w:webHidden/>
          </w:rPr>
        </w:r>
        <w:r w:rsidR="00087753">
          <w:rPr>
            <w:noProof/>
            <w:webHidden/>
          </w:rPr>
          <w:fldChar w:fldCharType="separate"/>
        </w:r>
        <w:r w:rsidR="004870F1">
          <w:rPr>
            <w:noProof/>
            <w:webHidden/>
          </w:rPr>
          <w:t>197</w:t>
        </w:r>
        <w:r w:rsidR="00087753">
          <w:rPr>
            <w:noProof/>
            <w:webHidden/>
          </w:rPr>
          <w:fldChar w:fldCharType="end"/>
        </w:r>
      </w:hyperlink>
    </w:p>
    <w:p w14:paraId="5C21CCBF" w14:textId="56724255" w:rsidR="00087753" w:rsidRDefault="00536556">
      <w:pPr>
        <w:pStyle w:val="af7"/>
        <w:tabs>
          <w:tab w:val="right" w:leader="dot" w:pos="9344"/>
        </w:tabs>
        <w:rPr>
          <w:rFonts w:asciiTheme="minorHAnsi" w:eastAsiaTheme="minorEastAsia" w:hAnsiTheme="minorHAnsi"/>
          <w:noProof/>
          <w:sz w:val="22"/>
          <w:lang w:val="ru-RU" w:eastAsia="ru-RU"/>
        </w:rPr>
      </w:pPr>
      <w:hyperlink w:anchor="_Toc104985489" w:history="1">
        <w:r w:rsidR="00087753" w:rsidRPr="00C04E2E">
          <w:rPr>
            <w:rStyle w:val="a7"/>
            <w:noProof/>
          </w:rPr>
          <w:t>Figure 5.30 – Rapid drawdown (10 days) slope stability under the reduced operating water level</w:t>
        </w:r>
        <w:r w:rsidR="00087753">
          <w:rPr>
            <w:noProof/>
            <w:webHidden/>
          </w:rPr>
          <w:tab/>
        </w:r>
        <w:r w:rsidR="00087753">
          <w:rPr>
            <w:noProof/>
            <w:webHidden/>
          </w:rPr>
          <w:fldChar w:fldCharType="begin"/>
        </w:r>
        <w:r w:rsidR="00087753">
          <w:rPr>
            <w:noProof/>
            <w:webHidden/>
          </w:rPr>
          <w:instrText xml:space="preserve"> PAGEREF _Toc104985489 \h </w:instrText>
        </w:r>
        <w:r w:rsidR="00087753">
          <w:rPr>
            <w:noProof/>
            <w:webHidden/>
          </w:rPr>
        </w:r>
        <w:r w:rsidR="00087753">
          <w:rPr>
            <w:noProof/>
            <w:webHidden/>
          </w:rPr>
          <w:fldChar w:fldCharType="separate"/>
        </w:r>
        <w:r w:rsidR="004870F1">
          <w:rPr>
            <w:noProof/>
            <w:webHidden/>
          </w:rPr>
          <w:t>197</w:t>
        </w:r>
        <w:r w:rsidR="00087753">
          <w:rPr>
            <w:noProof/>
            <w:webHidden/>
          </w:rPr>
          <w:fldChar w:fldCharType="end"/>
        </w:r>
      </w:hyperlink>
    </w:p>
    <w:p w14:paraId="17B8AF27" w14:textId="38D9EC80" w:rsidR="00087753" w:rsidRDefault="00536556">
      <w:pPr>
        <w:pStyle w:val="af7"/>
        <w:tabs>
          <w:tab w:val="right" w:leader="dot" w:pos="9344"/>
        </w:tabs>
        <w:rPr>
          <w:rFonts w:asciiTheme="minorHAnsi" w:eastAsiaTheme="minorEastAsia" w:hAnsiTheme="minorHAnsi"/>
          <w:noProof/>
          <w:sz w:val="22"/>
          <w:lang w:val="ru-RU" w:eastAsia="ru-RU"/>
        </w:rPr>
      </w:pPr>
      <w:hyperlink w:anchor="_Toc104985490" w:history="1">
        <w:r w:rsidR="00087753" w:rsidRPr="00C04E2E">
          <w:rPr>
            <w:rStyle w:val="a7"/>
            <w:noProof/>
          </w:rPr>
          <w:t>Figure 5.31 – Rapid drawdown (1 m per day slope stability) under the reduced operating water level</w:t>
        </w:r>
        <w:r w:rsidR="00087753">
          <w:rPr>
            <w:noProof/>
            <w:webHidden/>
          </w:rPr>
          <w:tab/>
        </w:r>
        <w:r w:rsidR="00087753">
          <w:rPr>
            <w:noProof/>
            <w:webHidden/>
          </w:rPr>
          <w:fldChar w:fldCharType="begin"/>
        </w:r>
        <w:r w:rsidR="00087753">
          <w:rPr>
            <w:noProof/>
            <w:webHidden/>
          </w:rPr>
          <w:instrText xml:space="preserve"> PAGEREF _Toc104985490 \h </w:instrText>
        </w:r>
        <w:r w:rsidR="00087753">
          <w:rPr>
            <w:noProof/>
            <w:webHidden/>
          </w:rPr>
        </w:r>
        <w:r w:rsidR="00087753">
          <w:rPr>
            <w:noProof/>
            <w:webHidden/>
          </w:rPr>
          <w:fldChar w:fldCharType="separate"/>
        </w:r>
        <w:r w:rsidR="004870F1">
          <w:rPr>
            <w:noProof/>
            <w:webHidden/>
          </w:rPr>
          <w:t>198</w:t>
        </w:r>
        <w:r w:rsidR="00087753">
          <w:rPr>
            <w:noProof/>
            <w:webHidden/>
          </w:rPr>
          <w:fldChar w:fldCharType="end"/>
        </w:r>
      </w:hyperlink>
    </w:p>
    <w:p w14:paraId="232436FF" w14:textId="4D663BC4" w:rsidR="00087753" w:rsidRDefault="00536556">
      <w:pPr>
        <w:pStyle w:val="af7"/>
        <w:tabs>
          <w:tab w:val="right" w:leader="dot" w:pos="9344"/>
        </w:tabs>
        <w:rPr>
          <w:rFonts w:asciiTheme="minorHAnsi" w:eastAsiaTheme="minorEastAsia" w:hAnsiTheme="minorHAnsi"/>
          <w:noProof/>
          <w:sz w:val="22"/>
          <w:lang w:val="ru-RU" w:eastAsia="ru-RU"/>
        </w:rPr>
      </w:pPr>
      <w:hyperlink w:anchor="_Toc104985491" w:history="1">
        <w:r w:rsidR="00087753" w:rsidRPr="00C04E2E">
          <w:rPr>
            <w:rStyle w:val="a7"/>
            <w:noProof/>
          </w:rPr>
          <w:t>Figure 5.32 – Steady-state seepage at embankment height operating level</w:t>
        </w:r>
        <w:r w:rsidR="00087753">
          <w:rPr>
            <w:noProof/>
            <w:webHidden/>
          </w:rPr>
          <w:tab/>
        </w:r>
        <w:r w:rsidR="00087753">
          <w:rPr>
            <w:noProof/>
            <w:webHidden/>
          </w:rPr>
          <w:fldChar w:fldCharType="begin"/>
        </w:r>
        <w:r w:rsidR="00087753">
          <w:rPr>
            <w:noProof/>
            <w:webHidden/>
          </w:rPr>
          <w:instrText xml:space="preserve"> PAGEREF _Toc104985491 \h </w:instrText>
        </w:r>
        <w:r w:rsidR="00087753">
          <w:rPr>
            <w:noProof/>
            <w:webHidden/>
          </w:rPr>
        </w:r>
        <w:r w:rsidR="00087753">
          <w:rPr>
            <w:noProof/>
            <w:webHidden/>
          </w:rPr>
          <w:fldChar w:fldCharType="separate"/>
        </w:r>
        <w:r w:rsidR="004870F1">
          <w:rPr>
            <w:noProof/>
            <w:webHidden/>
          </w:rPr>
          <w:t>198</w:t>
        </w:r>
        <w:r w:rsidR="00087753">
          <w:rPr>
            <w:noProof/>
            <w:webHidden/>
          </w:rPr>
          <w:fldChar w:fldCharType="end"/>
        </w:r>
      </w:hyperlink>
    </w:p>
    <w:p w14:paraId="3F5EA795" w14:textId="0158438D" w:rsidR="00087753" w:rsidRDefault="00536556">
      <w:pPr>
        <w:pStyle w:val="af7"/>
        <w:tabs>
          <w:tab w:val="right" w:leader="dot" w:pos="9344"/>
        </w:tabs>
        <w:rPr>
          <w:rFonts w:asciiTheme="minorHAnsi" w:eastAsiaTheme="minorEastAsia" w:hAnsiTheme="minorHAnsi"/>
          <w:noProof/>
          <w:sz w:val="22"/>
          <w:lang w:val="ru-RU" w:eastAsia="ru-RU"/>
        </w:rPr>
      </w:pPr>
      <w:hyperlink w:anchor="_Toc104985492" w:history="1">
        <w:r w:rsidR="00087753" w:rsidRPr="00C04E2E">
          <w:rPr>
            <w:rStyle w:val="a7"/>
            <w:noProof/>
          </w:rPr>
          <w:t>Figure 5.33 – Instantaneous seepage at embankment height operating level</w:t>
        </w:r>
        <w:r w:rsidR="00087753">
          <w:rPr>
            <w:noProof/>
            <w:webHidden/>
          </w:rPr>
          <w:tab/>
        </w:r>
        <w:r w:rsidR="00087753">
          <w:rPr>
            <w:noProof/>
            <w:webHidden/>
          </w:rPr>
          <w:fldChar w:fldCharType="begin"/>
        </w:r>
        <w:r w:rsidR="00087753">
          <w:rPr>
            <w:noProof/>
            <w:webHidden/>
          </w:rPr>
          <w:instrText xml:space="preserve"> PAGEREF _Toc104985492 \h </w:instrText>
        </w:r>
        <w:r w:rsidR="00087753">
          <w:rPr>
            <w:noProof/>
            <w:webHidden/>
          </w:rPr>
        </w:r>
        <w:r w:rsidR="00087753">
          <w:rPr>
            <w:noProof/>
            <w:webHidden/>
          </w:rPr>
          <w:fldChar w:fldCharType="separate"/>
        </w:r>
        <w:r w:rsidR="004870F1">
          <w:rPr>
            <w:noProof/>
            <w:webHidden/>
          </w:rPr>
          <w:t>199</w:t>
        </w:r>
        <w:r w:rsidR="00087753">
          <w:rPr>
            <w:noProof/>
            <w:webHidden/>
          </w:rPr>
          <w:fldChar w:fldCharType="end"/>
        </w:r>
      </w:hyperlink>
    </w:p>
    <w:p w14:paraId="2D4FDBE4" w14:textId="31E3B5BC" w:rsidR="00087753" w:rsidRDefault="00536556">
      <w:pPr>
        <w:pStyle w:val="af7"/>
        <w:tabs>
          <w:tab w:val="right" w:leader="dot" w:pos="9344"/>
        </w:tabs>
        <w:rPr>
          <w:rFonts w:asciiTheme="minorHAnsi" w:eastAsiaTheme="minorEastAsia" w:hAnsiTheme="minorHAnsi"/>
          <w:noProof/>
          <w:sz w:val="22"/>
          <w:lang w:val="ru-RU" w:eastAsia="ru-RU"/>
        </w:rPr>
      </w:pPr>
      <w:hyperlink w:anchor="_Toc104985493" w:history="1">
        <w:r w:rsidR="00087753" w:rsidRPr="00C04E2E">
          <w:rPr>
            <w:rStyle w:val="a7"/>
            <w:noProof/>
          </w:rPr>
          <w:t>Figure 5.34 – Rapid drawdown (5 days) seepage at embankment height operating level</w:t>
        </w:r>
        <w:r w:rsidR="00087753">
          <w:rPr>
            <w:noProof/>
            <w:webHidden/>
          </w:rPr>
          <w:tab/>
        </w:r>
        <w:r w:rsidR="00087753">
          <w:rPr>
            <w:noProof/>
            <w:webHidden/>
          </w:rPr>
          <w:fldChar w:fldCharType="begin"/>
        </w:r>
        <w:r w:rsidR="00087753">
          <w:rPr>
            <w:noProof/>
            <w:webHidden/>
          </w:rPr>
          <w:instrText xml:space="preserve"> PAGEREF _Toc104985493 \h </w:instrText>
        </w:r>
        <w:r w:rsidR="00087753">
          <w:rPr>
            <w:noProof/>
            <w:webHidden/>
          </w:rPr>
        </w:r>
        <w:r w:rsidR="00087753">
          <w:rPr>
            <w:noProof/>
            <w:webHidden/>
          </w:rPr>
          <w:fldChar w:fldCharType="separate"/>
        </w:r>
        <w:r w:rsidR="004870F1">
          <w:rPr>
            <w:noProof/>
            <w:webHidden/>
          </w:rPr>
          <w:t>199</w:t>
        </w:r>
        <w:r w:rsidR="00087753">
          <w:rPr>
            <w:noProof/>
            <w:webHidden/>
          </w:rPr>
          <w:fldChar w:fldCharType="end"/>
        </w:r>
      </w:hyperlink>
    </w:p>
    <w:p w14:paraId="6BB38EB8" w14:textId="617A0024" w:rsidR="00087753" w:rsidRDefault="00536556">
      <w:pPr>
        <w:pStyle w:val="af7"/>
        <w:tabs>
          <w:tab w:val="right" w:leader="dot" w:pos="9344"/>
        </w:tabs>
        <w:rPr>
          <w:rFonts w:asciiTheme="minorHAnsi" w:eastAsiaTheme="minorEastAsia" w:hAnsiTheme="minorHAnsi"/>
          <w:noProof/>
          <w:sz w:val="22"/>
          <w:lang w:val="ru-RU" w:eastAsia="ru-RU"/>
        </w:rPr>
      </w:pPr>
      <w:hyperlink w:anchor="_Toc104985494" w:history="1">
        <w:r w:rsidR="00087753" w:rsidRPr="00C04E2E">
          <w:rPr>
            <w:rStyle w:val="a7"/>
            <w:noProof/>
          </w:rPr>
          <w:t>Figure 5.35 – Rapid drawdown (10 days) seepage at embankment height operating level</w:t>
        </w:r>
        <w:r w:rsidR="00087753">
          <w:rPr>
            <w:noProof/>
            <w:webHidden/>
          </w:rPr>
          <w:tab/>
        </w:r>
        <w:r w:rsidR="00087753">
          <w:rPr>
            <w:noProof/>
            <w:webHidden/>
          </w:rPr>
          <w:fldChar w:fldCharType="begin"/>
        </w:r>
        <w:r w:rsidR="00087753">
          <w:rPr>
            <w:noProof/>
            <w:webHidden/>
          </w:rPr>
          <w:instrText xml:space="preserve"> PAGEREF _Toc104985494 \h </w:instrText>
        </w:r>
        <w:r w:rsidR="00087753">
          <w:rPr>
            <w:noProof/>
            <w:webHidden/>
          </w:rPr>
        </w:r>
        <w:r w:rsidR="00087753">
          <w:rPr>
            <w:noProof/>
            <w:webHidden/>
          </w:rPr>
          <w:fldChar w:fldCharType="separate"/>
        </w:r>
        <w:r w:rsidR="004870F1">
          <w:rPr>
            <w:noProof/>
            <w:webHidden/>
          </w:rPr>
          <w:t>200</w:t>
        </w:r>
        <w:r w:rsidR="00087753">
          <w:rPr>
            <w:noProof/>
            <w:webHidden/>
          </w:rPr>
          <w:fldChar w:fldCharType="end"/>
        </w:r>
      </w:hyperlink>
    </w:p>
    <w:p w14:paraId="62772154" w14:textId="45002EC7" w:rsidR="00087753" w:rsidRDefault="00536556">
      <w:pPr>
        <w:pStyle w:val="af7"/>
        <w:tabs>
          <w:tab w:val="right" w:leader="dot" w:pos="9344"/>
        </w:tabs>
        <w:rPr>
          <w:rFonts w:asciiTheme="minorHAnsi" w:eastAsiaTheme="minorEastAsia" w:hAnsiTheme="minorHAnsi"/>
          <w:noProof/>
          <w:sz w:val="22"/>
          <w:lang w:val="ru-RU" w:eastAsia="ru-RU"/>
        </w:rPr>
      </w:pPr>
      <w:hyperlink w:anchor="_Toc104985495" w:history="1">
        <w:r w:rsidR="00087753" w:rsidRPr="00C04E2E">
          <w:rPr>
            <w:rStyle w:val="a7"/>
            <w:noProof/>
          </w:rPr>
          <w:t>Figure 5.36 – Rapid drawdown (1 m per day) seepage at embankment height operating water level</w:t>
        </w:r>
        <w:r w:rsidR="00087753">
          <w:rPr>
            <w:noProof/>
            <w:webHidden/>
          </w:rPr>
          <w:tab/>
        </w:r>
        <w:r w:rsidR="00087753">
          <w:rPr>
            <w:noProof/>
            <w:webHidden/>
          </w:rPr>
          <w:fldChar w:fldCharType="begin"/>
        </w:r>
        <w:r w:rsidR="00087753">
          <w:rPr>
            <w:noProof/>
            <w:webHidden/>
          </w:rPr>
          <w:instrText xml:space="preserve"> PAGEREF _Toc104985495 \h </w:instrText>
        </w:r>
        <w:r w:rsidR="00087753">
          <w:rPr>
            <w:noProof/>
            <w:webHidden/>
          </w:rPr>
        </w:r>
        <w:r w:rsidR="00087753">
          <w:rPr>
            <w:noProof/>
            <w:webHidden/>
          </w:rPr>
          <w:fldChar w:fldCharType="separate"/>
        </w:r>
        <w:r w:rsidR="004870F1">
          <w:rPr>
            <w:noProof/>
            <w:webHidden/>
          </w:rPr>
          <w:t>200</w:t>
        </w:r>
        <w:r w:rsidR="00087753">
          <w:rPr>
            <w:noProof/>
            <w:webHidden/>
          </w:rPr>
          <w:fldChar w:fldCharType="end"/>
        </w:r>
      </w:hyperlink>
    </w:p>
    <w:p w14:paraId="0F46705B" w14:textId="6FF546DE" w:rsidR="00087753" w:rsidRDefault="00536556">
      <w:pPr>
        <w:pStyle w:val="af7"/>
        <w:tabs>
          <w:tab w:val="right" w:leader="dot" w:pos="9344"/>
        </w:tabs>
        <w:rPr>
          <w:rFonts w:asciiTheme="minorHAnsi" w:eastAsiaTheme="minorEastAsia" w:hAnsiTheme="minorHAnsi"/>
          <w:noProof/>
          <w:sz w:val="22"/>
          <w:lang w:val="ru-RU" w:eastAsia="ru-RU"/>
        </w:rPr>
      </w:pPr>
      <w:hyperlink w:anchor="_Toc104985496" w:history="1">
        <w:r w:rsidR="00087753" w:rsidRPr="00C04E2E">
          <w:rPr>
            <w:rStyle w:val="a7"/>
            <w:noProof/>
          </w:rPr>
          <w:t>Figure 5.37 – Steady-state slope stability at embankment height operating water level</w:t>
        </w:r>
        <w:r w:rsidR="00087753">
          <w:rPr>
            <w:noProof/>
            <w:webHidden/>
          </w:rPr>
          <w:tab/>
        </w:r>
        <w:r w:rsidR="00087753">
          <w:rPr>
            <w:noProof/>
            <w:webHidden/>
          </w:rPr>
          <w:fldChar w:fldCharType="begin"/>
        </w:r>
        <w:r w:rsidR="00087753">
          <w:rPr>
            <w:noProof/>
            <w:webHidden/>
          </w:rPr>
          <w:instrText xml:space="preserve"> PAGEREF _Toc104985496 \h </w:instrText>
        </w:r>
        <w:r w:rsidR="00087753">
          <w:rPr>
            <w:noProof/>
            <w:webHidden/>
          </w:rPr>
        </w:r>
        <w:r w:rsidR="00087753">
          <w:rPr>
            <w:noProof/>
            <w:webHidden/>
          </w:rPr>
          <w:fldChar w:fldCharType="separate"/>
        </w:r>
        <w:r w:rsidR="004870F1">
          <w:rPr>
            <w:noProof/>
            <w:webHidden/>
          </w:rPr>
          <w:t>201</w:t>
        </w:r>
        <w:r w:rsidR="00087753">
          <w:rPr>
            <w:noProof/>
            <w:webHidden/>
          </w:rPr>
          <w:fldChar w:fldCharType="end"/>
        </w:r>
      </w:hyperlink>
    </w:p>
    <w:p w14:paraId="1C51088F" w14:textId="0B9BD1E2" w:rsidR="00087753" w:rsidRDefault="00536556">
      <w:pPr>
        <w:pStyle w:val="af7"/>
        <w:tabs>
          <w:tab w:val="right" w:leader="dot" w:pos="9344"/>
        </w:tabs>
        <w:rPr>
          <w:rFonts w:asciiTheme="minorHAnsi" w:eastAsiaTheme="minorEastAsia" w:hAnsiTheme="minorHAnsi"/>
          <w:noProof/>
          <w:sz w:val="22"/>
          <w:lang w:val="ru-RU" w:eastAsia="ru-RU"/>
        </w:rPr>
      </w:pPr>
      <w:hyperlink w:anchor="_Toc104985497" w:history="1">
        <w:r w:rsidR="00087753" w:rsidRPr="00C04E2E">
          <w:rPr>
            <w:rStyle w:val="a7"/>
            <w:noProof/>
          </w:rPr>
          <w:t>Figure 5.38 – Instantaneous slope stability at embankment height operating water level</w:t>
        </w:r>
        <w:r w:rsidR="00087753">
          <w:rPr>
            <w:noProof/>
            <w:webHidden/>
          </w:rPr>
          <w:tab/>
        </w:r>
        <w:r w:rsidR="00087753">
          <w:rPr>
            <w:noProof/>
            <w:webHidden/>
          </w:rPr>
          <w:fldChar w:fldCharType="begin"/>
        </w:r>
        <w:r w:rsidR="00087753">
          <w:rPr>
            <w:noProof/>
            <w:webHidden/>
          </w:rPr>
          <w:instrText xml:space="preserve"> PAGEREF _Toc104985497 \h </w:instrText>
        </w:r>
        <w:r w:rsidR="00087753">
          <w:rPr>
            <w:noProof/>
            <w:webHidden/>
          </w:rPr>
        </w:r>
        <w:r w:rsidR="00087753">
          <w:rPr>
            <w:noProof/>
            <w:webHidden/>
          </w:rPr>
          <w:fldChar w:fldCharType="separate"/>
        </w:r>
        <w:r w:rsidR="004870F1">
          <w:rPr>
            <w:noProof/>
            <w:webHidden/>
          </w:rPr>
          <w:t>202</w:t>
        </w:r>
        <w:r w:rsidR="00087753">
          <w:rPr>
            <w:noProof/>
            <w:webHidden/>
          </w:rPr>
          <w:fldChar w:fldCharType="end"/>
        </w:r>
      </w:hyperlink>
    </w:p>
    <w:p w14:paraId="6BC223F2" w14:textId="7943706D" w:rsidR="00087753" w:rsidRDefault="00536556">
      <w:pPr>
        <w:pStyle w:val="af7"/>
        <w:tabs>
          <w:tab w:val="right" w:leader="dot" w:pos="9344"/>
        </w:tabs>
        <w:rPr>
          <w:rFonts w:asciiTheme="minorHAnsi" w:eastAsiaTheme="minorEastAsia" w:hAnsiTheme="minorHAnsi"/>
          <w:noProof/>
          <w:sz w:val="22"/>
          <w:lang w:val="ru-RU" w:eastAsia="ru-RU"/>
        </w:rPr>
      </w:pPr>
      <w:hyperlink w:anchor="_Toc104985498" w:history="1">
        <w:r w:rsidR="00087753" w:rsidRPr="00C04E2E">
          <w:rPr>
            <w:rStyle w:val="a7"/>
            <w:noProof/>
          </w:rPr>
          <w:t>Figure 5.39 – Rapid drawdown (5 days) slope stability at embankment height operating water level</w:t>
        </w:r>
        <w:r w:rsidR="00087753">
          <w:rPr>
            <w:noProof/>
            <w:webHidden/>
          </w:rPr>
          <w:tab/>
        </w:r>
        <w:r w:rsidR="00087753">
          <w:rPr>
            <w:noProof/>
            <w:webHidden/>
          </w:rPr>
          <w:fldChar w:fldCharType="begin"/>
        </w:r>
        <w:r w:rsidR="00087753">
          <w:rPr>
            <w:noProof/>
            <w:webHidden/>
          </w:rPr>
          <w:instrText xml:space="preserve"> PAGEREF _Toc104985498 \h </w:instrText>
        </w:r>
        <w:r w:rsidR="00087753">
          <w:rPr>
            <w:noProof/>
            <w:webHidden/>
          </w:rPr>
        </w:r>
        <w:r w:rsidR="00087753">
          <w:rPr>
            <w:noProof/>
            <w:webHidden/>
          </w:rPr>
          <w:fldChar w:fldCharType="separate"/>
        </w:r>
        <w:r w:rsidR="004870F1">
          <w:rPr>
            <w:noProof/>
            <w:webHidden/>
          </w:rPr>
          <w:t>202</w:t>
        </w:r>
        <w:r w:rsidR="00087753">
          <w:rPr>
            <w:noProof/>
            <w:webHidden/>
          </w:rPr>
          <w:fldChar w:fldCharType="end"/>
        </w:r>
      </w:hyperlink>
    </w:p>
    <w:p w14:paraId="11E9FE7E" w14:textId="5FC69333" w:rsidR="00087753" w:rsidRDefault="00536556">
      <w:pPr>
        <w:pStyle w:val="af7"/>
        <w:tabs>
          <w:tab w:val="right" w:leader="dot" w:pos="9344"/>
        </w:tabs>
        <w:rPr>
          <w:rFonts w:asciiTheme="minorHAnsi" w:eastAsiaTheme="minorEastAsia" w:hAnsiTheme="minorHAnsi"/>
          <w:noProof/>
          <w:sz w:val="22"/>
          <w:lang w:val="ru-RU" w:eastAsia="ru-RU"/>
        </w:rPr>
      </w:pPr>
      <w:hyperlink w:anchor="_Toc104985499" w:history="1">
        <w:r w:rsidR="00087753" w:rsidRPr="00C04E2E">
          <w:rPr>
            <w:rStyle w:val="a7"/>
            <w:noProof/>
          </w:rPr>
          <w:t>Figure 5.40 – Rapid drawdown (10 days) slope stability at embankment height operating water level</w:t>
        </w:r>
        <w:r w:rsidR="00087753">
          <w:rPr>
            <w:noProof/>
            <w:webHidden/>
          </w:rPr>
          <w:tab/>
        </w:r>
        <w:r w:rsidR="00087753">
          <w:rPr>
            <w:noProof/>
            <w:webHidden/>
          </w:rPr>
          <w:fldChar w:fldCharType="begin"/>
        </w:r>
        <w:r w:rsidR="00087753">
          <w:rPr>
            <w:noProof/>
            <w:webHidden/>
          </w:rPr>
          <w:instrText xml:space="preserve"> PAGEREF _Toc104985499 \h </w:instrText>
        </w:r>
        <w:r w:rsidR="00087753">
          <w:rPr>
            <w:noProof/>
            <w:webHidden/>
          </w:rPr>
        </w:r>
        <w:r w:rsidR="00087753">
          <w:rPr>
            <w:noProof/>
            <w:webHidden/>
          </w:rPr>
          <w:fldChar w:fldCharType="separate"/>
        </w:r>
        <w:r w:rsidR="004870F1">
          <w:rPr>
            <w:noProof/>
            <w:webHidden/>
          </w:rPr>
          <w:t>203</w:t>
        </w:r>
        <w:r w:rsidR="00087753">
          <w:rPr>
            <w:noProof/>
            <w:webHidden/>
          </w:rPr>
          <w:fldChar w:fldCharType="end"/>
        </w:r>
      </w:hyperlink>
    </w:p>
    <w:p w14:paraId="58D4D9C0" w14:textId="799F5710" w:rsidR="00087753" w:rsidRDefault="00536556">
      <w:pPr>
        <w:pStyle w:val="af7"/>
        <w:tabs>
          <w:tab w:val="right" w:leader="dot" w:pos="9344"/>
        </w:tabs>
        <w:rPr>
          <w:rFonts w:asciiTheme="minorHAnsi" w:eastAsiaTheme="minorEastAsia" w:hAnsiTheme="minorHAnsi"/>
          <w:noProof/>
          <w:sz w:val="22"/>
          <w:lang w:val="ru-RU" w:eastAsia="ru-RU"/>
        </w:rPr>
      </w:pPr>
      <w:hyperlink w:anchor="_Toc104985500" w:history="1">
        <w:r w:rsidR="00087753" w:rsidRPr="00C04E2E">
          <w:rPr>
            <w:rStyle w:val="a7"/>
            <w:noProof/>
          </w:rPr>
          <w:t>Figure 5.41 – Rapid drawdown (1 m per day) slope stability at embankment height operating water level</w:t>
        </w:r>
        <w:r w:rsidR="00087753">
          <w:rPr>
            <w:noProof/>
            <w:webHidden/>
          </w:rPr>
          <w:tab/>
        </w:r>
        <w:r w:rsidR="00087753">
          <w:rPr>
            <w:noProof/>
            <w:webHidden/>
          </w:rPr>
          <w:fldChar w:fldCharType="begin"/>
        </w:r>
        <w:r w:rsidR="00087753">
          <w:rPr>
            <w:noProof/>
            <w:webHidden/>
          </w:rPr>
          <w:instrText xml:space="preserve"> PAGEREF _Toc104985500 \h </w:instrText>
        </w:r>
        <w:r w:rsidR="00087753">
          <w:rPr>
            <w:noProof/>
            <w:webHidden/>
          </w:rPr>
        </w:r>
        <w:r w:rsidR="00087753">
          <w:rPr>
            <w:noProof/>
            <w:webHidden/>
          </w:rPr>
          <w:fldChar w:fldCharType="separate"/>
        </w:r>
        <w:r w:rsidR="004870F1">
          <w:rPr>
            <w:noProof/>
            <w:webHidden/>
          </w:rPr>
          <w:t>203</w:t>
        </w:r>
        <w:r w:rsidR="00087753">
          <w:rPr>
            <w:noProof/>
            <w:webHidden/>
          </w:rPr>
          <w:fldChar w:fldCharType="end"/>
        </w:r>
      </w:hyperlink>
    </w:p>
    <w:p w14:paraId="78B27A81" w14:textId="42D7EB82" w:rsidR="00087753" w:rsidRDefault="00536556">
      <w:pPr>
        <w:pStyle w:val="af7"/>
        <w:tabs>
          <w:tab w:val="right" w:leader="dot" w:pos="9344"/>
        </w:tabs>
        <w:rPr>
          <w:rFonts w:asciiTheme="minorHAnsi" w:eastAsiaTheme="minorEastAsia" w:hAnsiTheme="minorHAnsi"/>
          <w:noProof/>
          <w:sz w:val="22"/>
          <w:lang w:val="ru-RU" w:eastAsia="ru-RU"/>
        </w:rPr>
      </w:pPr>
      <w:hyperlink w:anchor="_Toc104985501" w:history="1">
        <w:r w:rsidR="00087753" w:rsidRPr="00C04E2E">
          <w:rPr>
            <w:rStyle w:val="a7"/>
            <w:noProof/>
          </w:rPr>
          <w:t>Figure 5.42 – Results from different slope stability analysis methods under steady-state conditions: a) Bishop method; b) Janbu; c) Morgenstern-Price; d) Sarma</w:t>
        </w:r>
        <w:r w:rsidR="00087753">
          <w:rPr>
            <w:noProof/>
            <w:webHidden/>
          </w:rPr>
          <w:tab/>
        </w:r>
        <w:r w:rsidR="00087753">
          <w:rPr>
            <w:noProof/>
            <w:webHidden/>
          </w:rPr>
          <w:fldChar w:fldCharType="begin"/>
        </w:r>
        <w:r w:rsidR="00087753">
          <w:rPr>
            <w:noProof/>
            <w:webHidden/>
          </w:rPr>
          <w:instrText xml:space="preserve"> PAGEREF _Toc104985501 \h </w:instrText>
        </w:r>
        <w:r w:rsidR="00087753">
          <w:rPr>
            <w:noProof/>
            <w:webHidden/>
          </w:rPr>
        </w:r>
        <w:r w:rsidR="00087753">
          <w:rPr>
            <w:noProof/>
            <w:webHidden/>
          </w:rPr>
          <w:fldChar w:fldCharType="separate"/>
        </w:r>
        <w:r w:rsidR="004870F1">
          <w:rPr>
            <w:noProof/>
            <w:webHidden/>
          </w:rPr>
          <w:t>207</w:t>
        </w:r>
        <w:r w:rsidR="00087753">
          <w:rPr>
            <w:noProof/>
            <w:webHidden/>
          </w:rPr>
          <w:fldChar w:fldCharType="end"/>
        </w:r>
      </w:hyperlink>
    </w:p>
    <w:p w14:paraId="7212AC4F" w14:textId="7BAC3F42" w:rsidR="00087753" w:rsidRDefault="00536556">
      <w:pPr>
        <w:pStyle w:val="af7"/>
        <w:tabs>
          <w:tab w:val="right" w:leader="dot" w:pos="9344"/>
        </w:tabs>
        <w:rPr>
          <w:rFonts w:asciiTheme="minorHAnsi" w:eastAsiaTheme="minorEastAsia" w:hAnsiTheme="minorHAnsi"/>
          <w:noProof/>
          <w:sz w:val="22"/>
          <w:lang w:val="ru-RU" w:eastAsia="ru-RU"/>
        </w:rPr>
      </w:pPr>
      <w:hyperlink w:anchor="_Toc104985502" w:history="1">
        <w:r w:rsidR="00087753" w:rsidRPr="00C04E2E">
          <w:rPr>
            <w:rStyle w:val="a7"/>
            <w:noProof/>
          </w:rPr>
          <w:t>Figure 5.43 – Embankment geometry</w:t>
        </w:r>
        <w:r w:rsidR="00087753">
          <w:rPr>
            <w:noProof/>
            <w:webHidden/>
          </w:rPr>
          <w:tab/>
        </w:r>
        <w:r w:rsidR="00087753">
          <w:rPr>
            <w:noProof/>
            <w:webHidden/>
          </w:rPr>
          <w:fldChar w:fldCharType="begin"/>
        </w:r>
        <w:r w:rsidR="00087753">
          <w:rPr>
            <w:noProof/>
            <w:webHidden/>
          </w:rPr>
          <w:instrText xml:space="preserve"> PAGEREF _Toc104985502 \h </w:instrText>
        </w:r>
        <w:r w:rsidR="00087753">
          <w:rPr>
            <w:noProof/>
            <w:webHidden/>
          </w:rPr>
        </w:r>
        <w:r w:rsidR="00087753">
          <w:rPr>
            <w:noProof/>
            <w:webHidden/>
          </w:rPr>
          <w:fldChar w:fldCharType="separate"/>
        </w:r>
        <w:r w:rsidR="004870F1">
          <w:rPr>
            <w:noProof/>
            <w:webHidden/>
          </w:rPr>
          <w:t>209</w:t>
        </w:r>
        <w:r w:rsidR="00087753">
          <w:rPr>
            <w:noProof/>
            <w:webHidden/>
          </w:rPr>
          <w:fldChar w:fldCharType="end"/>
        </w:r>
      </w:hyperlink>
    </w:p>
    <w:p w14:paraId="51693FDE" w14:textId="1D170BCE" w:rsidR="00087753" w:rsidRDefault="00536556">
      <w:pPr>
        <w:pStyle w:val="af7"/>
        <w:tabs>
          <w:tab w:val="right" w:leader="dot" w:pos="9344"/>
        </w:tabs>
        <w:rPr>
          <w:rFonts w:asciiTheme="minorHAnsi" w:eastAsiaTheme="minorEastAsia" w:hAnsiTheme="minorHAnsi"/>
          <w:noProof/>
          <w:sz w:val="22"/>
          <w:lang w:val="ru-RU" w:eastAsia="ru-RU"/>
        </w:rPr>
      </w:pPr>
      <w:hyperlink w:anchor="_Toc104985503" w:history="1">
        <w:r w:rsidR="00087753" w:rsidRPr="00C04E2E">
          <w:rPr>
            <w:rStyle w:val="a7"/>
            <w:noProof/>
          </w:rPr>
          <w:t>Figure 5.44 – Boundary conditions: a) 10 days drawdown rate; b) 1 m per day drawdown rate</w:t>
        </w:r>
        <w:r w:rsidR="00087753">
          <w:rPr>
            <w:noProof/>
            <w:webHidden/>
          </w:rPr>
          <w:tab/>
        </w:r>
        <w:r w:rsidR="00087753">
          <w:rPr>
            <w:noProof/>
            <w:webHidden/>
          </w:rPr>
          <w:fldChar w:fldCharType="begin"/>
        </w:r>
        <w:r w:rsidR="00087753">
          <w:rPr>
            <w:noProof/>
            <w:webHidden/>
          </w:rPr>
          <w:instrText xml:space="preserve"> PAGEREF _Toc104985503 \h </w:instrText>
        </w:r>
        <w:r w:rsidR="00087753">
          <w:rPr>
            <w:noProof/>
            <w:webHidden/>
          </w:rPr>
        </w:r>
        <w:r w:rsidR="00087753">
          <w:rPr>
            <w:noProof/>
            <w:webHidden/>
          </w:rPr>
          <w:fldChar w:fldCharType="separate"/>
        </w:r>
        <w:r w:rsidR="004870F1">
          <w:rPr>
            <w:noProof/>
            <w:webHidden/>
          </w:rPr>
          <w:t>210</w:t>
        </w:r>
        <w:r w:rsidR="00087753">
          <w:rPr>
            <w:noProof/>
            <w:webHidden/>
          </w:rPr>
          <w:fldChar w:fldCharType="end"/>
        </w:r>
      </w:hyperlink>
    </w:p>
    <w:p w14:paraId="4DC41A83" w14:textId="0533692C" w:rsidR="00087753" w:rsidRDefault="00536556">
      <w:pPr>
        <w:pStyle w:val="af7"/>
        <w:tabs>
          <w:tab w:val="right" w:leader="dot" w:pos="9344"/>
        </w:tabs>
        <w:rPr>
          <w:rFonts w:asciiTheme="minorHAnsi" w:eastAsiaTheme="minorEastAsia" w:hAnsiTheme="minorHAnsi"/>
          <w:noProof/>
          <w:sz w:val="22"/>
          <w:lang w:val="ru-RU" w:eastAsia="ru-RU"/>
        </w:rPr>
      </w:pPr>
      <w:hyperlink w:anchor="_Toc104985504" w:history="1">
        <w:r w:rsidR="00087753" w:rsidRPr="00C04E2E">
          <w:rPr>
            <w:rStyle w:val="a7"/>
            <w:noProof/>
          </w:rPr>
          <w:t>Figure 5.45 – Volumetric water content and hydraulic conductivity functions for different zones</w:t>
        </w:r>
        <w:r w:rsidR="00087753">
          <w:rPr>
            <w:noProof/>
            <w:webHidden/>
          </w:rPr>
          <w:tab/>
        </w:r>
        <w:r w:rsidR="00087753">
          <w:rPr>
            <w:noProof/>
            <w:webHidden/>
          </w:rPr>
          <w:fldChar w:fldCharType="begin"/>
        </w:r>
        <w:r w:rsidR="00087753">
          <w:rPr>
            <w:noProof/>
            <w:webHidden/>
          </w:rPr>
          <w:instrText xml:space="preserve"> PAGEREF _Toc104985504 \h </w:instrText>
        </w:r>
        <w:r w:rsidR="00087753">
          <w:rPr>
            <w:noProof/>
            <w:webHidden/>
          </w:rPr>
        </w:r>
        <w:r w:rsidR="00087753">
          <w:rPr>
            <w:noProof/>
            <w:webHidden/>
          </w:rPr>
          <w:fldChar w:fldCharType="separate"/>
        </w:r>
        <w:r w:rsidR="004870F1">
          <w:rPr>
            <w:noProof/>
            <w:webHidden/>
          </w:rPr>
          <w:t>212</w:t>
        </w:r>
        <w:r w:rsidR="00087753">
          <w:rPr>
            <w:noProof/>
            <w:webHidden/>
          </w:rPr>
          <w:fldChar w:fldCharType="end"/>
        </w:r>
      </w:hyperlink>
    </w:p>
    <w:p w14:paraId="7739FEE2" w14:textId="2F111172" w:rsidR="00087753" w:rsidRDefault="00536556">
      <w:pPr>
        <w:pStyle w:val="af7"/>
        <w:tabs>
          <w:tab w:val="right" w:leader="dot" w:pos="9344"/>
        </w:tabs>
        <w:rPr>
          <w:rFonts w:asciiTheme="minorHAnsi" w:eastAsiaTheme="minorEastAsia" w:hAnsiTheme="minorHAnsi"/>
          <w:noProof/>
          <w:sz w:val="22"/>
          <w:lang w:val="ru-RU" w:eastAsia="ru-RU"/>
        </w:rPr>
      </w:pPr>
      <w:hyperlink w:anchor="_Toc104985505" w:history="1">
        <w:r w:rsidR="00087753" w:rsidRPr="00C04E2E">
          <w:rPr>
            <w:rStyle w:val="a7"/>
            <w:noProof/>
          </w:rPr>
          <w:t>Figure 5.46 – Steady-state seepage</w:t>
        </w:r>
        <w:r w:rsidR="00087753">
          <w:rPr>
            <w:noProof/>
            <w:webHidden/>
          </w:rPr>
          <w:tab/>
        </w:r>
        <w:r w:rsidR="00087753">
          <w:rPr>
            <w:noProof/>
            <w:webHidden/>
          </w:rPr>
          <w:fldChar w:fldCharType="begin"/>
        </w:r>
        <w:r w:rsidR="00087753">
          <w:rPr>
            <w:noProof/>
            <w:webHidden/>
          </w:rPr>
          <w:instrText xml:space="preserve"> PAGEREF _Toc104985505 \h </w:instrText>
        </w:r>
        <w:r w:rsidR="00087753">
          <w:rPr>
            <w:noProof/>
            <w:webHidden/>
          </w:rPr>
        </w:r>
        <w:r w:rsidR="00087753">
          <w:rPr>
            <w:noProof/>
            <w:webHidden/>
          </w:rPr>
          <w:fldChar w:fldCharType="separate"/>
        </w:r>
        <w:r w:rsidR="004870F1">
          <w:rPr>
            <w:noProof/>
            <w:webHidden/>
          </w:rPr>
          <w:t>213</w:t>
        </w:r>
        <w:r w:rsidR="00087753">
          <w:rPr>
            <w:noProof/>
            <w:webHidden/>
          </w:rPr>
          <w:fldChar w:fldCharType="end"/>
        </w:r>
      </w:hyperlink>
    </w:p>
    <w:p w14:paraId="06F42881" w14:textId="21E56C7D" w:rsidR="00087753" w:rsidRDefault="00536556">
      <w:pPr>
        <w:pStyle w:val="af7"/>
        <w:tabs>
          <w:tab w:val="right" w:leader="dot" w:pos="9344"/>
        </w:tabs>
        <w:rPr>
          <w:rFonts w:asciiTheme="minorHAnsi" w:eastAsiaTheme="minorEastAsia" w:hAnsiTheme="minorHAnsi"/>
          <w:noProof/>
          <w:sz w:val="22"/>
          <w:lang w:val="ru-RU" w:eastAsia="ru-RU"/>
        </w:rPr>
      </w:pPr>
      <w:hyperlink w:anchor="_Toc104985506" w:history="1">
        <w:r w:rsidR="00087753" w:rsidRPr="00C04E2E">
          <w:rPr>
            <w:rStyle w:val="a7"/>
            <w:noProof/>
          </w:rPr>
          <w:t>Figure 5.47 – Instantaneous seepage</w:t>
        </w:r>
        <w:r w:rsidR="00087753">
          <w:rPr>
            <w:noProof/>
            <w:webHidden/>
          </w:rPr>
          <w:tab/>
        </w:r>
        <w:r w:rsidR="00087753">
          <w:rPr>
            <w:noProof/>
            <w:webHidden/>
          </w:rPr>
          <w:fldChar w:fldCharType="begin"/>
        </w:r>
        <w:r w:rsidR="00087753">
          <w:rPr>
            <w:noProof/>
            <w:webHidden/>
          </w:rPr>
          <w:instrText xml:space="preserve"> PAGEREF _Toc104985506 \h </w:instrText>
        </w:r>
        <w:r w:rsidR="00087753">
          <w:rPr>
            <w:noProof/>
            <w:webHidden/>
          </w:rPr>
        </w:r>
        <w:r w:rsidR="00087753">
          <w:rPr>
            <w:noProof/>
            <w:webHidden/>
          </w:rPr>
          <w:fldChar w:fldCharType="separate"/>
        </w:r>
        <w:r w:rsidR="004870F1">
          <w:rPr>
            <w:noProof/>
            <w:webHidden/>
          </w:rPr>
          <w:t>214</w:t>
        </w:r>
        <w:r w:rsidR="00087753">
          <w:rPr>
            <w:noProof/>
            <w:webHidden/>
          </w:rPr>
          <w:fldChar w:fldCharType="end"/>
        </w:r>
      </w:hyperlink>
    </w:p>
    <w:p w14:paraId="5FC28ED7" w14:textId="3360E5E7" w:rsidR="00087753" w:rsidRDefault="00536556">
      <w:pPr>
        <w:pStyle w:val="af7"/>
        <w:tabs>
          <w:tab w:val="right" w:leader="dot" w:pos="9344"/>
        </w:tabs>
        <w:rPr>
          <w:rFonts w:asciiTheme="minorHAnsi" w:eastAsiaTheme="minorEastAsia" w:hAnsiTheme="minorHAnsi"/>
          <w:noProof/>
          <w:sz w:val="22"/>
          <w:lang w:val="ru-RU" w:eastAsia="ru-RU"/>
        </w:rPr>
      </w:pPr>
      <w:hyperlink w:anchor="_Toc104985507" w:history="1">
        <w:r w:rsidR="00087753" w:rsidRPr="00C04E2E">
          <w:rPr>
            <w:rStyle w:val="a7"/>
            <w:noProof/>
          </w:rPr>
          <w:t>Figure 5.48 – Steady-state slope stability</w:t>
        </w:r>
        <w:r w:rsidR="00087753">
          <w:rPr>
            <w:noProof/>
            <w:webHidden/>
          </w:rPr>
          <w:tab/>
        </w:r>
        <w:r w:rsidR="00087753">
          <w:rPr>
            <w:noProof/>
            <w:webHidden/>
          </w:rPr>
          <w:fldChar w:fldCharType="begin"/>
        </w:r>
        <w:r w:rsidR="00087753">
          <w:rPr>
            <w:noProof/>
            <w:webHidden/>
          </w:rPr>
          <w:instrText xml:space="preserve"> PAGEREF _Toc104985507 \h </w:instrText>
        </w:r>
        <w:r w:rsidR="00087753">
          <w:rPr>
            <w:noProof/>
            <w:webHidden/>
          </w:rPr>
        </w:r>
        <w:r w:rsidR="00087753">
          <w:rPr>
            <w:noProof/>
            <w:webHidden/>
          </w:rPr>
          <w:fldChar w:fldCharType="separate"/>
        </w:r>
        <w:r w:rsidR="004870F1">
          <w:rPr>
            <w:noProof/>
            <w:webHidden/>
          </w:rPr>
          <w:t>214</w:t>
        </w:r>
        <w:r w:rsidR="00087753">
          <w:rPr>
            <w:noProof/>
            <w:webHidden/>
          </w:rPr>
          <w:fldChar w:fldCharType="end"/>
        </w:r>
      </w:hyperlink>
    </w:p>
    <w:p w14:paraId="45EEADDD" w14:textId="4150F67F" w:rsidR="00087753" w:rsidRDefault="00536556">
      <w:pPr>
        <w:pStyle w:val="af7"/>
        <w:tabs>
          <w:tab w:val="right" w:leader="dot" w:pos="9344"/>
        </w:tabs>
        <w:rPr>
          <w:rFonts w:asciiTheme="minorHAnsi" w:eastAsiaTheme="minorEastAsia" w:hAnsiTheme="minorHAnsi"/>
          <w:noProof/>
          <w:sz w:val="22"/>
          <w:lang w:val="ru-RU" w:eastAsia="ru-RU"/>
        </w:rPr>
      </w:pPr>
      <w:hyperlink w:anchor="_Toc104985508" w:history="1">
        <w:r w:rsidR="00087753" w:rsidRPr="00C04E2E">
          <w:rPr>
            <w:rStyle w:val="a7"/>
            <w:noProof/>
          </w:rPr>
          <w:t>Figure 5.49 – Instantaneous slope stability: a) embankment with slip surface; b) factor of safety values graph</w:t>
        </w:r>
        <w:r w:rsidR="00087753">
          <w:rPr>
            <w:noProof/>
            <w:webHidden/>
          </w:rPr>
          <w:tab/>
        </w:r>
        <w:r w:rsidR="00087753">
          <w:rPr>
            <w:noProof/>
            <w:webHidden/>
          </w:rPr>
          <w:fldChar w:fldCharType="begin"/>
        </w:r>
        <w:r w:rsidR="00087753">
          <w:rPr>
            <w:noProof/>
            <w:webHidden/>
          </w:rPr>
          <w:instrText xml:space="preserve"> PAGEREF _Toc104985508 \h </w:instrText>
        </w:r>
        <w:r w:rsidR="00087753">
          <w:rPr>
            <w:noProof/>
            <w:webHidden/>
          </w:rPr>
        </w:r>
        <w:r w:rsidR="00087753">
          <w:rPr>
            <w:noProof/>
            <w:webHidden/>
          </w:rPr>
          <w:fldChar w:fldCharType="separate"/>
        </w:r>
        <w:r w:rsidR="004870F1">
          <w:rPr>
            <w:noProof/>
            <w:webHidden/>
          </w:rPr>
          <w:t>215</w:t>
        </w:r>
        <w:r w:rsidR="00087753">
          <w:rPr>
            <w:noProof/>
            <w:webHidden/>
          </w:rPr>
          <w:fldChar w:fldCharType="end"/>
        </w:r>
      </w:hyperlink>
    </w:p>
    <w:p w14:paraId="7090D65E" w14:textId="46F5072B" w:rsidR="00087753" w:rsidRDefault="00536556">
      <w:pPr>
        <w:pStyle w:val="af7"/>
        <w:tabs>
          <w:tab w:val="right" w:leader="dot" w:pos="9344"/>
        </w:tabs>
        <w:rPr>
          <w:rFonts w:asciiTheme="minorHAnsi" w:eastAsiaTheme="minorEastAsia" w:hAnsiTheme="minorHAnsi"/>
          <w:noProof/>
          <w:sz w:val="22"/>
          <w:lang w:val="ru-RU" w:eastAsia="ru-RU"/>
        </w:rPr>
      </w:pPr>
      <w:hyperlink w:anchor="_Toc104985509" w:history="1">
        <w:r w:rsidR="00087753" w:rsidRPr="00C04E2E">
          <w:rPr>
            <w:rStyle w:val="a7"/>
            <w:noProof/>
          </w:rPr>
          <w:t>Figure 5.50 – Drawdown 5 days</w:t>
        </w:r>
        <w:r w:rsidR="00087753">
          <w:rPr>
            <w:noProof/>
            <w:webHidden/>
          </w:rPr>
          <w:tab/>
        </w:r>
        <w:r w:rsidR="00087753">
          <w:rPr>
            <w:noProof/>
            <w:webHidden/>
          </w:rPr>
          <w:fldChar w:fldCharType="begin"/>
        </w:r>
        <w:r w:rsidR="00087753">
          <w:rPr>
            <w:noProof/>
            <w:webHidden/>
          </w:rPr>
          <w:instrText xml:space="preserve"> PAGEREF _Toc104985509 \h </w:instrText>
        </w:r>
        <w:r w:rsidR="00087753">
          <w:rPr>
            <w:noProof/>
            <w:webHidden/>
          </w:rPr>
        </w:r>
        <w:r w:rsidR="00087753">
          <w:rPr>
            <w:noProof/>
            <w:webHidden/>
          </w:rPr>
          <w:fldChar w:fldCharType="separate"/>
        </w:r>
        <w:r w:rsidR="004870F1">
          <w:rPr>
            <w:noProof/>
            <w:webHidden/>
          </w:rPr>
          <w:t>216</w:t>
        </w:r>
        <w:r w:rsidR="00087753">
          <w:rPr>
            <w:noProof/>
            <w:webHidden/>
          </w:rPr>
          <w:fldChar w:fldCharType="end"/>
        </w:r>
      </w:hyperlink>
    </w:p>
    <w:p w14:paraId="7F7CC13E" w14:textId="23ADC018" w:rsidR="00087753" w:rsidRDefault="00536556">
      <w:pPr>
        <w:pStyle w:val="af7"/>
        <w:tabs>
          <w:tab w:val="right" w:leader="dot" w:pos="9344"/>
        </w:tabs>
        <w:rPr>
          <w:rFonts w:asciiTheme="minorHAnsi" w:eastAsiaTheme="minorEastAsia" w:hAnsiTheme="minorHAnsi"/>
          <w:noProof/>
          <w:sz w:val="22"/>
          <w:lang w:val="ru-RU" w:eastAsia="ru-RU"/>
        </w:rPr>
      </w:pPr>
      <w:hyperlink w:anchor="_Toc104985510" w:history="1">
        <w:r w:rsidR="00087753" w:rsidRPr="00C04E2E">
          <w:rPr>
            <w:rStyle w:val="a7"/>
            <w:noProof/>
          </w:rPr>
          <w:t>Figure 5.51 – Drawdown 10 days</w:t>
        </w:r>
        <w:r w:rsidR="00087753">
          <w:rPr>
            <w:noProof/>
            <w:webHidden/>
          </w:rPr>
          <w:tab/>
        </w:r>
        <w:r w:rsidR="00087753">
          <w:rPr>
            <w:noProof/>
            <w:webHidden/>
          </w:rPr>
          <w:fldChar w:fldCharType="begin"/>
        </w:r>
        <w:r w:rsidR="00087753">
          <w:rPr>
            <w:noProof/>
            <w:webHidden/>
          </w:rPr>
          <w:instrText xml:space="preserve"> PAGEREF _Toc104985510 \h </w:instrText>
        </w:r>
        <w:r w:rsidR="00087753">
          <w:rPr>
            <w:noProof/>
            <w:webHidden/>
          </w:rPr>
        </w:r>
        <w:r w:rsidR="00087753">
          <w:rPr>
            <w:noProof/>
            <w:webHidden/>
          </w:rPr>
          <w:fldChar w:fldCharType="separate"/>
        </w:r>
        <w:r w:rsidR="004870F1">
          <w:rPr>
            <w:noProof/>
            <w:webHidden/>
          </w:rPr>
          <w:t>217</w:t>
        </w:r>
        <w:r w:rsidR="00087753">
          <w:rPr>
            <w:noProof/>
            <w:webHidden/>
          </w:rPr>
          <w:fldChar w:fldCharType="end"/>
        </w:r>
      </w:hyperlink>
    </w:p>
    <w:p w14:paraId="700E5358" w14:textId="670BD978" w:rsidR="00087753" w:rsidRDefault="00536556">
      <w:pPr>
        <w:pStyle w:val="af7"/>
        <w:tabs>
          <w:tab w:val="right" w:leader="dot" w:pos="9344"/>
        </w:tabs>
        <w:rPr>
          <w:rFonts w:asciiTheme="minorHAnsi" w:eastAsiaTheme="minorEastAsia" w:hAnsiTheme="minorHAnsi"/>
          <w:noProof/>
          <w:sz w:val="22"/>
          <w:lang w:val="ru-RU" w:eastAsia="ru-RU"/>
        </w:rPr>
      </w:pPr>
      <w:hyperlink w:anchor="_Toc104985511" w:history="1">
        <w:r w:rsidR="00087753" w:rsidRPr="00C04E2E">
          <w:rPr>
            <w:rStyle w:val="a7"/>
            <w:noProof/>
          </w:rPr>
          <w:t>Figure 5.52 – Drawdown 1m per day</w:t>
        </w:r>
        <w:r w:rsidR="00087753">
          <w:rPr>
            <w:noProof/>
            <w:webHidden/>
          </w:rPr>
          <w:tab/>
        </w:r>
        <w:r w:rsidR="00087753">
          <w:rPr>
            <w:noProof/>
            <w:webHidden/>
          </w:rPr>
          <w:fldChar w:fldCharType="begin"/>
        </w:r>
        <w:r w:rsidR="00087753">
          <w:rPr>
            <w:noProof/>
            <w:webHidden/>
          </w:rPr>
          <w:instrText xml:space="preserve"> PAGEREF _Toc104985511 \h </w:instrText>
        </w:r>
        <w:r w:rsidR="00087753">
          <w:rPr>
            <w:noProof/>
            <w:webHidden/>
          </w:rPr>
        </w:r>
        <w:r w:rsidR="00087753">
          <w:rPr>
            <w:noProof/>
            <w:webHidden/>
          </w:rPr>
          <w:fldChar w:fldCharType="separate"/>
        </w:r>
        <w:r w:rsidR="004870F1">
          <w:rPr>
            <w:noProof/>
            <w:webHidden/>
          </w:rPr>
          <w:t>218</w:t>
        </w:r>
        <w:r w:rsidR="00087753">
          <w:rPr>
            <w:noProof/>
            <w:webHidden/>
          </w:rPr>
          <w:fldChar w:fldCharType="end"/>
        </w:r>
      </w:hyperlink>
    </w:p>
    <w:p w14:paraId="70A03F7E" w14:textId="1BAA055F" w:rsidR="00087753" w:rsidRDefault="00536556">
      <w:pPr>
        <w:pStyle w:val="af7"/>
        <w:tabs>
          <w:tab w:val="right" w:leader="dot" w:pos="9344"/>
        </w:tabs>
        <w:rPr>
          <w:rFonts w:asciiTheme="minorHAnsi" w:eastAsiaTheme="minorEastAsia" w:hAnsiTheme="minorHAnsi"/>
          <w:noProof/>
          <w:sz w:val="22"/>
          <w:lang w:val="ru-RU" w:eastAsia="ru-RU"/>
        </w:rPr>
      </w:pPr>
      <w:hyperlink w:anchor="_Toc104985512" w:history="1">
        <w:r w:rsidR="00087753" w:rsidRPr="00C04E2E">
          <w:rPr>
            <w:rStyle w:val="a7"/>
            <w:noProof/>
          </w:rPr>
          <w:t>Figure 5.53 – Analysis results under reduced operating reservoir level: a) steady-state; b) instantaneous; c) 5 days; d) 10 days; e) 1 m per day</w:t>
        </w:r>
        <w:r w:rsidR="00087753">
          <w:rPr>
            <w:noProof/>
            <w:webHidden/>
          </w:rPr>
          <w:tab/>
        </w:r>
        <w:r w:rsidR="00087753">
          <w:rPr>
            <w:noProof/>
            <w:webHidden/>
          </w:rPr>
          <w:fldChar w:fldCharType="begin"/>
        </w:r>
        <w:r w:rsidR="00087753">
          <w:rPr>
            <w:noProof/>
            <w:webHidden/>
          </w:rPr>
          <w:instrText xml:space="preserve"> PAGEREF _Toc104985512 \h </w:instrText>
        </w:r>
        <w:r w:rsidR="00087753">
          <w:rPr>
            <w:noProof/>
            <w:webHidden/>
          </w:rPr>
        </w:r>
        <w:r w:rsidR="00087753">
          <w:rPr>
            <w:noProof/>
            <w:webHidden/>
          </w:rPr>
          <w:fldChar w:fldCharType="separate"/>
        </w:r>
        <w:r w:rsidR="004870F1">
          <w:rPr>
            <w:noProof/>
            <w:webHidden/>
          </w:rPr>
          <w:t>220</w:t>
        </w:r>
        <w:r w:rsidR="00087753">
          <w:rPr>
            <w:noProof/>
            <w:webHidden/>
          </w:rPr>
          <w:fldChar w:fldCharType="end"/>
        </w:r>
      </w:hyperlink>
    </w:p>
    <w:p w14:paraId="4EB0AD99" w14:textId="70141401" w:rsidR="00087753" w:rsidRDefault="00536556">
      <w:pPr>
        <w:pStyle w:val="af7"/>
        <w:tabs>
          <w:tab w:val="right" w:leader="dot" w:pos="9344"/>
        </w:tabs>
        <w:rPr>
          <w:rFonts w:asciiTheme="minorHAnsi" w:eastAsiaTheme="minorEastAsia" w:hAnsiTheme="minorHAnsi"/>
          <w:noProof/>
          <w:sz w:val="22"/>
          <w:lang w:val="ru-RU" w:eastAsia="ru-RU"/>
        </w:rPr>
      </w:pPr>
      <w:hyperlink w:anchor="_Toc104985513" w:history="1">
        <w:r w:rsidR="00087753" w:rsidRPr="00C04E2E">
          <w:rPr>
            <w:rStyle w:val="a7"/>
            <w:noProof/>
          </w:rPr>
          <w:t>Figure 5.54 – Different drawdown rates under reduced operating level: a) instantaneous; b) 5 days drawdown; c) 10 days drawdown; d) 1 m per day drawdown</w:t>
        </w:r>
        <w:r w:rsidR="00087753">
          <w:rPr>
            <w:noProof/>
            <w:webHidden/>
          </w:rPr>
          <w:tab/>
        </w:r>
        <w:r w:rsidR="00087753">
          <w:rPr>
            <w:noProof/>
            <w:webHidden/>
          </w:rPr>
          <w:fldChar w:fldCharType="begin"/>
        </w:r>
        <w:r w:rsidR="00087753">
          <w:rPr>
            <w:noProof/>
            <w:webHidden/>
          </w:rPr>
          <w:instrText xml:space="preserve"> PAGEREF _Toc104985513 \h </w:instrText>
        </w:r>
        <w:r w:rsidR="00087753">
          <w:rPr>
            <w:noProof/>
            <w:webHidden/>
          </w:rPr>
        </w:r>
        <w:r w:rsidR="00087753">
          <w:rPr>
            <w:noProof/>
            <w:webHidden/>
          </w:rPr>
          <w:fldChar w:fldCharType="separate"/>
        </w:r>
        <w:r w:rsidR="004870F1">
          <w:rPr>
            <w:noProof/>
            <w:webHidden/>
          </w:rPr>
          <w:t>221</w:t>
        </w:r>
        <w:r w:rsidR="00087753">
          <w:rPr>
            <w:noProof/>
            <w:webHidden/>
          </w:rPr>
          <w:fldChar w:fldCharType="end"/>
        </w:r>
      </w:hyperlink>
    </w:p>
    <w:p w14:paraId="6B00A4EA" w14:textId="21C186AA" w:rsidR="00087753" w:rsidRDefault="00536556">
      <w:pPr>
        <w:pStyle w:val="af7"/>
        <w:tabs>
          <w:tab w:val="right" w:leader="dot" w:pos="9344"/>
        </w:tabs>
        <w:rPr>
          <w:rFonts w:asciiTheme="minorHAnsi" w:eastAsiaTheme="minorEastAsia" w:hAnsiTheme="minorHAnsi"/>
          <w:noProof/>
          <w:sz w:val="22"/>
          <w:lang w:val="ru-RU" w:eastAsia="ru-RU"/>
        </w:rPr>
      </w:pPr>
      <w:hyperlink w:anchor="_Toc104985514" w:history="1">
        <w:r w:rsidR="00087753" w:rsidRPr="00C04E2E">
          <w:rPr>
            <w:rStyle w:val="a7"/>
            <w:noProof/>
          </w:rPr>
          <w:t>Figure 5.55 Steady-state results under embankment height operating reservoir level: a) steady-state; b) instantaneous; c) 5 days; d) 10 days; e) 1 m per day</w:t>
        </w:r>
        <w:r w:rsidR="00087753">
          <w:rPr>
            <w:noProof/>
            <w:webHidden/>
          </w:rPr>
          <w:tab/>
        </w:r>
        <w:r w:rsidR="00087753">
          <w:rPr>
            <w:noProof/>
            <w:webHidden/>
          </w:rPr>
          <w:fldChar w:fldCharType="begin"/>
        </w:r>
        <w:r w:rsidR="00087753">
          <w:rPr>
            <w:noProof/>
            <w:webHidden/>
          </w:rPr>
          <w:instrText xml:space="preserve"> PAGEREF _Toc104985514 \h </w:instrText>
        </w:r>
        <w:r w:rsidR="00087753">
          <w:rPr>
            <w:noProof/>
            <w:webHidden/>
          </w:rPr>
        </w:r>
        <w:r w:rsidR="00087753">
          <w:rPr>
            <w:noProof/>
            <w:webHidden/>
          </w:rPr>
          <w:fldChar w:fldCharType="separate"/>
        </w:r>
        <w:r w:rsidR="004870F1">
          <w:rPr>
            <w:noProof/>
            <w:webHidden/>
          </w:rPr>
          <w:t>223</w:t>
        </w:r>
        <w:r w:rsidR="00087753">
          <w:rPr>
            <w:noProof/>
            <w:webHidden/>
          </w:rPr>
          <w:fldChar w:fldCharType="end"/>
        </w:r>
      </w:hyperlink>
    </w:p>
    <w:p w14:paraId="12C39926" w14:textId="01ACCE7E" w:rsidR="00087753" w:rsidRDefault="00536556">
      <w:pPr>
        <w:pStyle w:val="af7"/>
        <w:tabs>
          <w:tab w:val="right" w:leader="dot" w:pos="9344"/>
        </w:tabs>
        <w:rPr>
          <w:rFonts w:asciiTheme="minorHAnsi" w:eastAsiaTheme="minorEastAsia" w:hAnsiTheme="minorHAnsi"/>
          <w:noProof/>
          <w:sz w:val="22"/>
          <w:lang w:val="ru-RU" w:eastAsia="ru-RU"/>
        </w:rPr>
      </w:pPr>
      <w:hyperlink w:anchor="_Toc104985515" w:history="1">
        <w:r w:rsidR="00087753" w:rsidRPr="00C04E2E">
          <w:rPr>
            <w:rStyle w:val="a7"/>
            <w:noProof/>
          </w:rPr>
          <w:t>Figure 5.56 Results from different drawdown rates embankment height operating level; a) instantaneous; b) 5 days drawdown; c) 10 days drawdown; d) 1 m per day drawdown</w:t>
        </w:r>
        <w:r w:rsidR="00087753">
          <w:rPr>
            <w:noProof/>
            <w:webHidden/>
          </w:rPr>
          <w:tab/>
        </w:r>
        <w:r w:rsidR="00087753">
          <w:rPr>
            <w:noProof/>
            <w:webHidden/>
          </w:rPr>
          <w:fldChar w:fldCharType="begin"/>
        </w:r>
        <w:r w:rsidR="00087753">
          <w:rPr>
            <w:noProof/>
            <w:webHidden/>
          </w:rPr>
          <w:instrText xml:space="preserve"> PAGEREF _Toc104985515 \h </w:instrText>
        </w:r>
        <w:r w:rsidR="00087753">
          <w:rPr>
            <w:noProof/>
            <w:webHidden/>
          </w:rPr>
        </w:r>
        <w:r w:rsidR="00087753">
          <w:rPr>
            <w:noProof/>
            <w:webHidden/>
          </w:rPr>
          <w:fldChar w:fldCharType="separate"/>
        </w:r>
        <w:r w:rsidR="004870F1">
          <w:rPr>
            <w:noProof/>
            <w:webHidden/>
          </w:rPr>
          <w:t>224</w:t>
        </w:r>
        <w:r w:rsidR="00087753">
          <w:rPr>
            <w:noProof/>
            <w:webHidden/>
          </w:rPr>
          <w:fldChar w:fldCharType="end"/>
        </w:r>
      </w:hyperlink>
    </w:p>
    <w:p w14:paraId="74D70F42" w14:textId="3D379F00" w:rsidR="00087753" w:rsidRDefault="00536556">
      <w:pPr>
        <w:pStyle w:val="af7"/>
        <w:tabs>
          <w:tab w:val="right" w:leader="dot" w:pos="9344"/>
        </w:tabs>
        <w:rPr>
          <w:rFonts w:asciiTheme="minorHAnsi" w:eastAsiaTheme="minorEastAsia" w:hAnsiTheme="minorHAnsi"/>
          <w:noProof/>
          <w:sz w:val="22"/>
          <w:lang w:val="ru-RU" w:eastAsia="ru-RU"/>
        </w:rPr>
      </w:pPr>
      <w:hyperlink w:anchor="_Toc104985516" w:history="1">
        <w:r w:rsidR="00087753" w:rsidRPr="00C04E2E">
          <w:rPr>
            <w:rStyle w:val="a7"/>
            <w:noProof/>
          </w:rPr>
          <w:t>Figure 5.57 – Embankment geometry</w:t>
        </w:r>
        <w:r w:rsidR="00087753">
          <w:rPr>
            <w:noProof/>
            <w:webHidden/>
          </w:rPr>
          <w:tab/>
        </w:r>
        <w:r w:rsidR="00087753">
          <w:rPr>
            <w:noProof/>
            <w:webHidden/>
          </w:rPr>
          <w:fldChar w:fldCharType="begin"/>
        </w:r>
        <w:r w:rsidR="00087753">
          <w:rPr>
            <w:noProof/>
            <w:webHidden/>
          </w:rPr>
          <w:instrText xml:space="preserve"> PAGEREF _Toc104985516 \h </w:instrText>
        </w:r>
        <w:r w:rsidR="00087753">
          <w:rPr>
            <w:noProof/>
            <w:webHidden/>
          </w:rPr>
        </w:r>
        <w:r w:rsidR="00087753">
          <w:rPr>
            <w:noProof/>
            <w:webHidden/>
          </w:rPr>
          <w:fldChar w:fldCharType="separate"/>
        </w:r>
        <w:r w:rsidR="004870F1">
          <w:rPr>
            <w:noProof/>
            <w:webHidden/>
          </w:rPr>
          <w:t>228</w:t>
        </w:r>
        <w:r w:rsidR="00087753">
          <w:rPr>
            <w:noProof/>
            <w:webHidden/>
          </w:rPr>
          <w:fldChar w:fldCharType="end"/>
        </w:r>
      </w:hyperlink>
    </w:p>
    <w:p w14:paraId="7971499D" w14:textId="1A1F6A24" w:rsidR="00087753" w:rsidRDefault="00536556">
      <w:pPr>
        <w:pStyle w:val="af7"/>
        <w:tabs>
          <w:tab w:val="right" w:leader="dot" w:pos="9344"/>
        </w:tabs>
        <w:rPr>
          <w:rFonts w:asciiTheme="minorHAnsi" w:eastAsiaTheme="minorEastAsia" w:hAnsiTheme="minorHAnsi"/>
          <w:noProof/>
          <w:sz w:val="22"/>
          <w:lang w:val="ru-RU" w:eastAsia="ru-RU"/>
        </w:rPr>
      </w:pPr>
      <w:hyperlink w:anchor="_Toc104985517" w:history="1">
        <w:r w:rsidR="00087753" w:rsidRPr="00C04E2E">
          <w:rPr>
            <w:rStyle w:val="a7"/>
            <w:noProof/>
          </w:rPr>
          <w:t>Figure 5.58 – General workflow</w:t>
        </w:r>
        <w:r w:rsidR="00087753">
          <w:rPr>
            <w:noProof/>
            <w:webHidden/>
          </w:rPr>
          <w:tab/>
        </w:r>
        <w:r w:rsidR="00087753">
          <w:rPr>
            <w:noProof/>
            <w:webHidden/>
          </w:rPr>
          <w:fldChar w:fldCharType="begin"/>
        </w:r>
        <w:r w:rsidR="00087753">
          <w:rPr>
            <w:noProof/>
            <w:webHidden/>
          </w:rPr>
          <w:instrText xml:space="preserve"> PAGEREF _Toc104985517 \h </w:instrText>
        </w:r>
        <w:r w:rsidR="00087753">
          <w:rPr>
            <w:noProof/>
            <w:webHidden/>
          </w:rPr>
        </w:r>
        <w:r w:rsidR="00087753">
          <w:rPr>
            <w:noProof/>
            <w:webHidden/>
          </w:rPr>
          <w:fldChar w:fldCharType="separate"/>
        </w:r>
        <w:r w:rsidR="004870F1">
          <w:rPr>
            <w:noProof/>
            <w:webHidden/>
          </w:rPr>
          <w:t>230</w:t>
        </w:r>
        <w:r w:rsidR="00087753">
          <w:rPr>
            <w:noProof/>
            <w:webHidden/>
          </w:rPr>
          <w:fldChar w:fldCharType="end"/>
        </w:r>
      </w:hyperlink>
    </w:p>
    <w:p w14:paraId="0A2208F2" w14:textId="6C08760C" w:rsidR="00087753" w:rsidRDefault="00536556">
      <w:pPr>
        <w:pStyle w:val="af7"/>
        <w:tabs>
          <w:tab w:val="right" w:leader="dot" w:pos="9344"/>
        </w:tabs>
        <w:rPr>
          <w:rFonts w:asciiTheme="minorHAnsi" w:eastAsiaTheme="minorEastAsia" w:hAnsiTheme="minorHAnsi"/>
          <w:noProof/>
          <w:sz w:val="22"/>
          <w:lang w:val="ru-RU" w:eastAsia="ru-RU"/>
        </w:rPr>
      </w:pPr>
      <w:hyperlink w:anchor="_Toc104985518" w:history="1">
        <w:r w:rsidR="00087753" w:rsidRPr="00C04E2E">
          <w:rPr>
            <w:rStyle w:val="a7"/>
            <w:noProof/>
          </w:rPr>
          <w:t>Figure 5.59 – Steady-state seepage based on normal operating reservoir level</w:t>
        </w:r>
        <w:r w:rsidR="00087753">
          <w:rPr>
            <w:noProof/>
            <w:webHidden/>
          </w:rPr>
          <w:tab/>
        </w:r>
        <w:r w:rsidR="00087753">
          <w:rPr>
            <w:noProof/>
            <w:webHidden/>
          </w:rPr>
          <w:fldChar w:fldCharType="begin"/>
        </w:r>
        <w:r w:rsidR="00087753">
          <w:rPr>
            <w:noProof/>
            <w:webHidden/>
          </w:rPr>
          <w:instrText xml:space="preserve"> PAGEREF _Toc104985518 \h </w:instrText>
        </w:r>
        <w:r w:rsidR="00087753">
          <w:rPr>
            <w:noProof/>
            <w:webHidden/>
          </w:rPr>
        </w:r>
        <w:r w:rsidR="00087753">
          <w:rPr>
            <w:noProof/>
            <w:webHidden/>
          </w:rPr>
          <w:fldChar w:fldCharType="separate"/>
        </w:r>
        <w:r w:rsidR="004870F1">
          <w:rPr>
            <w:noProof/>
            <w:webHidden/>
          </w:rPr>
          <w:t>231</w:t>
        </w:r>
        <w:r w:rsidR="00087753">
          <w:rPr>
            <w:noProof/>
            <w:webHidden/>
          </w:rPr>
          <w:fldChar w:fldCharType="end"/>
        </w:r>
      </w:hyperlink>
    </w:p>
    <w:p w14:paraId="56BDD799" w14:textId="39EF91B4" w:rsidR="00087753" w:rsidRDefault="00536556">
      <w:pPr>
        <w:pStyle w:val="af7"/>
        <w:tabs>
          <w:tab w:val="right" w:leader="dot" w:pos="9344"/>
        </w:tabs>
        <w:rPr>
          <w:rFonts w:asciiTheme="minorHAnsi" w:eastAsiaTheme="minorEastAsia" w:hAnsiTheme="minorHAnsi"/>
          <w:noProof/>
          <w:sz w:val="22"/>
          <w:lang w:val="ru-RU" w:eastAsia="ru-RU"/>
        </w:rPr>
      </w:pPr>
      <w:hyperlink w:anchor="_Toc104985519" w:history="1">
        <w:r w:rsidR="00087753" w:rsidRPr="00C04E2E">
          <w:rPr>
            <w:rStyle w:val="a7"/>
            <w:noProof/>
          </w:rPr>
          <w:t>Figure 5.60 – Steady-state seepage based on the reduced operating level</w:t>
        </w:r>
        <w:r w:rsidR="00087753">
          <w:rPr>
            <w:noProof/>
            <w:webHidden/>
          </w:rPr>
          <w:tab/>
        </w:r>
        <w:r w:rsidR="00087753">
          <w:rPr>
            <w:noProof/>
            <w:webHidden/>
          </w:rPr>
          <w:fldChar w:fldCharType="begin"/>
        </w:r>
        <w:r w:rsidR="00087753">
          <w:rPr>
            <w:noProof/>
            <w:webHidden/>
          </w:rPr>
          <w:instrText xml:space="preserve"> PAGEREF _Toc104985519 \h </w:instrText>
        </w:r>
        <w:r w:rsidR="00087753">
          <w:rPr>
            <w:noProof/>
            <w:webHidden/>
          </w:rPr>
        </w:r>
        <w:r w:rsidR="00087753">
          <w:rPr>
            <w:noProof/>
            <w:webHidden/>
          </w:rPr>
          <w:fldChar w:fldCharType="separate"/>
        </w:r>
        <w:r w:rsidR="004870F1">
          <w:rPr>
            <w:noProof/>
            <w:webHidden/>
          </w:rPr>
          <w:t>232</w:t>
        </w:r>
        <w:r w:rsidR="00087753">
          <w:rPr>
            <w:noProof/>
            <w:webHidden/>
          </w:rPr>
          <w:fldChar w:fldCharType="end"/>
        </w:r>
      </w:hyperlink>
    </w:p>
    <w:p w14:paraId="4C04DE73" w14:textId="6AA39903" w:rsidR="00087753" w:rsidRDefault="00536556">
      <w:pPr>
        <w:pStyle w:val="af7"/>
        <w:tabs>
          <w:tab w:val="right" w:leader="dot" w:pos="9344"/>
        </w:tabs>
        <w:rPr>
          <w:rFonts w:asciiTheme="minorHAnsi" w:eastAsiaTheme="minorEastAsia" w:hAnsiTheme="minorHAnsi"/>
          <w:noProof/>
          <w:sz w:val="22"/>
          <w:lang w:val="ru-RU" w:eastAsia="ru-RU"/>
        </w:rPr>
      </w:pPr>
      <w:hyperlink w:anchor="_Toc104985520" w:history="1">
        <w:r w:rsidR="00087753" w:rsidRPr="00C04E2E">
          <w:rPr>
            <w:rStyle w:val="a7"/>
            <w:noProof/>
          </w:rPr>
          <w:t>Figure 5.61 – Steady-state seepage under embankment height level</w:t>
        </w:r>
        <w:r w:rsidR="00087753">
          <w:rPr>
            <w:noProof/>
            <w:webHidden/>
          </w:rPr>
          <w:tab/>
        </w:r>
        <w:r w:rsidR="00087753">
          <w:rPr>
            <w:noProof/>
            <w:webHidden/>
          </w:rPr>
          <w:fldChar w:fldCharType="begin"/>
        </w:r>
        <w:r w:rsidR="00087753">
          <w:rPr>
            <w:noProof/>
            <w:webHidden/>
          </w:rPr>
          <w:instrText xml:space="preserve"> PAGEREF _Toc104985520 \h </w:instrText>
        </w:r>
        <w:r w:rsidR="00087753">
          <w:rPr>
            <w:noProof/>
            <w:webHidden/>
          </w:rPr>
        </w:r>
        <w:r w:rsidR="00087753">
          <w:rPr>
            <w:noProof/>
            <w:webHidden/>
          </w:rPr>
          <w:fldChar w:fldCharType="separate"/>
        </w:r>
        <w:r w:rsidR="004870F1">
          <w:rPr>
            <w:noProof/>
            <w:webHidden/>
          </w:rPr>
          <w:t>232</w:t>
        </w:r>
        <w:r w:rsidR="00087753">
          <w:rPr>
            <w:noProof/>
            <w:webHidden/>
          </w:rPr>
          <w:fldChar w:fldCharType="end"/>
        </w:r>
      </w:hyperlink>
    </w:p>
    <w:p w14:paraId="71D6C1C2" w14:textId="12DD4BD1" w:rsidR="00087753" w:rsidRDefault="00536556">
      <w:pPr>
        <w:pStyle w:val="af7"/>
        <w:tabs>
          <w:tab w:val="right" w:leader="dot" w:pos="9344"/>
        </w:tabs>
        <w:rPr>
          <w:rFonts w:asciiTheme="minorHAnsi" w:eastAsiaTheme="minorEastAsia" w:hAnsiTheme="minorHAnsi"/>
          <w:noProof/>
          <w:sz w:val="22"/>
          <w:lang w:val="ru-RU" w:eastAsia="ru-RU"/>
        </w:rPr>
      </w:pPr>
      <w:hyperlink w:anchor="_Toc104985521" w:history="1">
        <w:r w:rsidR="00087753" w:rsidRPr="00C04E2E">
          <w:rPr>
            <w:rStyle w:val="a7"/>
            <w:noProof/>
          </w:rPr>
          <w:t>Figure 5.62 – Steady-state seepage under overflow level</w:t>
        </w:r>
        <w:r w:rsidR="00087753">
          <w:rPr>
            <w:noProof/>
            <w:webHidden/>
          </w:rPr>
          <w:tab/>
        </w:r>
        <w:r w:rsidR="00087753">
          <w:rPr>
            <w:noProof/>
            <w:webHidden/>
          </w:rPr>
          <w:fldChar w:fldCharType="begin"/>
        </w:r>
        <w:r w:rsidR="00087753">
          <w:rPr>
            <w:noProof/>
            <w:webHidden/>
          </w:rPr>
          <w:instrText xml:space="preserve"> PAGEREF _Toc104985521 \h </w:instrText>
        </w:r>
        <w:r w:rsidR="00087753">
          <w:rPr>
            <w:noProof/>
            <w:webHidden/>
          </w:rPr>
        </w:r>
        <w:r w:rsidR="00087753">
          <w:rPr>
            <w:noProof/>
            <w:webHidden/>
          </w:rPr>
          <w:fldChar w:fldCharType="separate"/>
        </w:r>
        <w:r w:rsidR="004870F1">
          <w:rPr>
            <w:noProof/>
            <w:webHidden/>
          </w:rPr>
          <w:t>232</w:t>
        </w:r>
        <w:r w:rsidR="00087753">
          <w:rPr>
            <w:noProof/>
            <w:webHidden/>
          </w:rPr>
          <w:fldChar w:fldCharType="end"/>
        </w:r>
      </w:hyperlink>
    </w:p>
    <w:p w14:paraId="56D42377" w14:textId="2786DA23" w:rsidR="00087753" w:rsidRDefault="00536556">
      <w:pPr>
        <w:pStyle w:val="af7"/>
        <w:tabs>
          <w:tab w:val="right" w:leader="dot" w:pos="9344"/>
        </w:tabs>
        <w:rPr>
          <w:rFonts w:asciiTheme="minorHAnsi" w:eastAsiaTheme="minorEastAsia" w:hAnsiTheme="minorHAnsi"/>
          <w:noProof/>
          <w:sz w:val="22"/>
          <w:lang w:val="ru-RU" w:eastAsia="ru-RU"/>
        </w:rPr>
      </w:pPr>
      <w:hyperlink w:anchor="_Toc104985522" w:history="1">
        <w:r w:rsidR="00087753" w:rsidRPr="00C04E2E">
          <w:rPr>
            <w:rStyle w:val="a7"/>
            <w:rFonts w:eastAsia="Calibri" w:cs="Times New Roman"/>
            <w:noProof/>
          </w:rPr>
          <w:t>Figure 5.63</w:t>
        </w:r>
        <w:r w:rsidR="00087753" w:rsidRPr="00C04E2E">
          <w:rPr>
            <w:rStyle w:val="a7"/>
            <w:noProof/>
          </w:rPr>
          <w:t xml:space="preserve"> </w:t>
        </w:r>
        <w:r w:rsidR="00087753" w:rsidRPr="00C04E2E">
          <w:rPr>
            <w:rStyle w:val="a7"/>
            <w:rFonts w:eastAsia="Calibri" w:cs="Times New Roman"/>
            <w:noProof/>
          </w:rPr>
          <w:t>– Instantaneous drawdown seepage under normal operating reservoir level</w:t>
        </w:r>
        <w:r w:rsidR="00087753">
          <w:rPr>
            <w:noProof/>
            <w:webHidden/>
          </w:rPr>
          <w:tab/>
        </w:r>
        <w:r w:rsidR="00087753">
          <w:rPr>
            <w:noProof/>
            <w:webHidden/>
          </w:rPr>
          <w:fldChar w:fldCharType="begin"/>
        </w:r>
        <w:r w:rsidR="00087753">
          <w:rPr>
            <w:noProof/>
            <w:webHidden/>
          </w:rPr>
          <w:instrText xml:space="preserve"> PAGEREF _Toc104985522 \h </w:instrText>
        </w:r>
        <w:r w:rsidR="00087753">
          <w:rPr>
            <w:noProof/>
            <w:webHidden/>
          </w:rPr>
        </w:r>
        <w:r w:rsidR="00087753">
          <w:rPr>
            <w:noProof/>
            <w:webHidden/>
          </w:rPr>
          <w:fldChar w:fldCharType="separate"/>
        </w:r>
        <w:r w:rsidR="004870F1">
          <w:rPr>
            <w:noProof/>
            <w:webHidden/>
          </w:rPr>
          <w:t>233</w:t>
        </w:r>
        <w:r w:rsidR="00087753">
          <w:rPr>
            <w:noProof/>
            <w:webHidden/>
          </w:rPr>
          <w:fldChar w:fldCharType="end"/>
        </w:r>
      </w:hyperlink>
    </w:p>
    <w:p w14:paraId="23616CF7" w14:textId="595DD1B4" w:rsidR="00087753" w:rsidRDefault="00536556">
      <w:pPr>
        <w:pStyle w:val="af7"/>
        <w:tabs>
          <w:tab w:val="right" w:leader="dot" w:pos="9344"/>
        </w:tabs>
        <w:rPr>
          <w:rFonts w:asciiTheme="minorHAnsi" w:eastAsiaTheme="minorEastAsia" w:hAnsiTheme="minorHAnsi"/>
          <w:noProof/>
          <w:sz w:val="22"/>
          <w:lang w:val="ru-RU" w:eastAsia="ru-RU"/>
        </w:rPr>
      </w:pPr>
      <w:hyperlink w:anchor="_Toc104985523" w:history="1">
        <w:r w:rsidR="00087753" w:rsidRPr="00C04E2E">
          <w:rPr>
            <w:rStyle w:val="a7"/>
            <w:rFonts w:eastAsia="Calibri" w:cs="Times New Roman"/>
            <w:noProof/>
          </w:rPr>
          <w:t>Figure 5.64</w:t>
        </w:r>
        <w:r w:rsidR="00087753" w:rsidRPr="00C04E2E">
          <w:rPr>
            <w:rStyle w:val="a7"/>
            <w:noProof/>
          </w:rPr>
          <w:t xml:space="preserve"> </w:t>
        </w:r>
        <w:r w:rsidR="00087753" w:rsidRPr="00C04E2E">
          <w:rPr>
            <w:rStyle w:val="a7"/>
            <w:rFonts w:eastAsia="Calibri" w:cs="Times New Roman"/>
            <w:noProof/>
          </w:rPr>
          <w:t>– Instantaneous drawdown seepage under reduced reservoir operating level</w:t>
        </w:r>
        <w:r w:rsidR="00087753">
          <w:rPr>
            <w:noProof/>
            <w:webHidden/>
          </w:rPr>
          <w:tab/>
        </w:r>
        <w:r w:rsidR="00087753">
          <w:rPr>
            <w:noProof/>
            <w:webHidden/>
          </w:rPr>
          <w:fldChar w:fldCharType="begin"/>
        </w:r>
        <w:r w:rsidR="00087753">
          <w:rPr>
            <w:noProof/>
            <w:webHidden/>
          </w:rPr>
          <w:instrText xml:space="preserve"> PAGEREF _Toc104985523 \h </w:instrText>
        </w:r>
        <w:r w:rsidR="00087753">
          <w:rPr>
            <w:noProof/>
            <w:webHidden/>
          </w:rPr>
        </w:r>
        <w:r w:rsidR="00087753">
          <w:rPr>
            <w:noProof/>
            <w:webHidden/>
          </w:rPr>
          <w:fldChar w:fldCharType="separate"/>
        </w:r>
        <w:r w:rsidR="004870F1">
          <w:rPr>
            <w:noProof/>
            <w:webHidden/>
          </w:rPr>
          <w:t>233</w:t>
        </w:r>
        <w:r w:rsidR="00087753">
          <w:rPr>
            <w:noProof/>
            <w:webHidden/>
          </w:rPr>
          <w:fldChar w:fldCharType="end"/>
        </w:r>
      </w:hyperlink>
    </w:p>
    <w:p w14:paraId="6B9E0650" w14:textId="40119AE1" w:rsidR="00087753" w:rsidRDefault="00536556">
      <w:pPr>
        <w:pStyle w:val="af7"/>
        <w:tabs>
          <w:tab w:val="right" w:leader="dot" w:pos="9344"/>
        </w:tabs>
        <w:rPr>
          <w:rFonts w:asciiTheme="minorHAnsi" w:eastAsiaTheme="minorEastAsia" w:hAnsiTheme="minorHAnsi"/>
          <w:noProof/>
          <w:sz w:val="22"/>
          <w:lang w:val="ru-RU" w:eastAsia="ru-RU"/>
        </w:rPr>
      </w:pPr>
      <w:hyperlink w:anchor="_Toc104985524" w:history="1">
        <w:r w:rsidR="00087753" w:rsidRPr="00C04E2E">
          <w:rPr>
            <w:rStyle w:val="a7"/>
            <w:rFonts w:eastAsia="Calibri" w:cs="Times New Roman"/>
            <w:noProof/>
          </w:rPr>
          <w:t>Figure 5.65</w:t>
        </w:r>
        <w:r w:rsidR="00087753" w:rsidRPr="00C04E2E">
          <w:rPr>
            <w:rStyle w:val="a7"/>
            <w:noProof/>
          </w:rPr>
          <w:t xml:space="preserve"> </w:t>
        </w:r>
        <w:r w:rsidR="00087753" w:rsidRPr="00C04E2E">
          <w:rPr>
            <w:rStyle w:val="a7"/>
            <w:rFonts w:eastAsia="Calibri" w:cs="Times New Roman"/>
            <w:noProof/>
          </w:rPr>
          <w:t>– Instantaneous drawdown seepage under embankment height operating level</w:t>
        </w:r>
        <w:r w:rsidR="00087753">
          <w:rPr>
            <w:noProof/>
            <w:webHidden/>
          </w:rPr>
          <w:tab/>
        </w:r>
        <w:r w:rsidR="00087753">
          <w:rPr>
            <w:noProof/>
            <w:webHidden/>
          </w:rPr>
          <w:fldChar w:fldCharType="begin"/>
        </w:r>
        <w:r w:rsidR="00087753">
          <w:rPr>
            <w:noProof/>
            <w:webHidden/>
          </w:rPr>
          <w:instrText xml:space="preserve"> PAGEREF _Toc104985524 \h </w:instrText>
        </w:r>
        <w:r w:rsidR="00087753">
          <w:rPr>
            <w:noProof/>
            <w:webHidden/>
          </w:rPr>
        </w:r>
        <w:r w:rsidR="00087753">
          <w:rPr>
            <w:noProof/>
            <w:webHidden/>
          </w:rPr>
          <w:fldChar w:fldCharType="separate"/>
        </w:r>
        <w:r w:rsidR="004870F1">
          <w:rPr>
            <w:noProof/>
            <w:webHidden/>
          </w:rPr>
          <w:t>234</w:t>
        </w:r>
        <w:r w:rsidR="00087753">
          <w:rPr>
            <w:noProof/>
            <w:webHidden/>
          </w:rPr>
          <w:fldChar w:fldCharType="end"/>
        </w:r>
      </w:hyperlink>
    </w:p>
    <w:p w14:paraId="286508F3" w14:textId="18148B0F" w:rsidR="00087753" w:rsidRDefault="00536556">
      <w:pPr>
        <w:pStyle w:val="af7"/>
        <w:tabs>
          <w:tab w:val="right" w:leader="dot" w:pos="9344"/>
        </w:tabs>
        <w:rPr>
          <w:rFonts w:asciiTheme="minorHAnsi" w:eastAsiaTheme="minorEastAsia" w:hAnsiTheme="minorHAnsi"/>
          <w:noProof/>
          <w:sz w:val="22"/>
          <w:lang w:val="ru-RU" w:eastAsia="ru-RU"/>
        </w:rPr>
      </w:pPr>
      <w:hyperlink w:anchor="_Toc104985525" w:history="1">
        <w:r w:rsidR="00087753" w:rsidRPr="00C04E2E">
          <w:rPr>
            <w:rStyle w:val="a7"/>
            <w:noProof/>
          </w:rPr>
          <w:t>Figure 5.66 – Instantaneous drawdown seepage under overflow condition</w:t>
        </w:r>
        <w:r w:rsidR="00087753">
          <w:rPr>
            <w:noProof/>
            <w:webHidden/>
          </w:rPr>
          <w:tab/>
        </w:r>
        <w:r w:rsidR="00087753">
          <w:rPr>
            <w:noProof/>
            <w:webHidden/>
          </w:rPr>
          <w:fldChar w:fldCharType="begin"/>
        </w:r>
        <w:r w:rsidR="00087753">
          <w:rPr>
            <w:noProof/>
            <w:webHidden/>
          </w:rPr>
          <w:instrText xml:space="preserve"> PAGEREF _Toc104985525 \h </w:instrText>
        </w:r>
        <w:r w:rsidR="00087753">
          <w:rPr>
            <w:noProof/>
            <w:webHidden/>
          </w:rPr>
        </w:r>
        <w:r w:rsidR="00087753">
          <w:rPr>
            <w:noProof/>
            <w:webHidden/>
          </w:rPr>
          <w:fldChar w:fldCharType="separate"/>
        </w:r>
        <w:r w:rsidR="004870F1">
          <w:rPr>
            <w:noProof/>
            <w:webHidden/>
          </w:rPr>
          <w:t>234</w:t>
        </w:r>
        <w:r w:rsidR="00087753">
          <w:rPr>
            <w:noProof/>
            <w:webHidden/>
          </w:rPr>
          <w:fldChar w:fldCharType="end"/>
        </w:r>
      </w:hyperlink>
    </w:p>
    <w:p w14:paraId="47151CAE" w14:textId="7263BF13" w:rsidR="00087753" w:rsidRDefault="00536556">
      <w:pPr>
        <w:pStyle w:val="af7"/>
        <w:tabs>
          <w:tab w:val="right" w:leader="dot" w:pos="9344"/>
        </w:tabs>
        <w:rPr>
          <w:rFonts w:asciiTheme="minorHAnsi" w:eastAsiaTheme="minorEastAsia" w:hAnsiTheme="minorHAnsi"/>
          <w:noProof/>
          <w:sz w:val="22"/>
          <w:lang w:val="ru-RU" w:eastAsia="ru-RU"/>
        </w:rPr>
      </w:pPr>
      <w:hyperlink w:anchor="_Toc104985526" w:history="1">
        <w:r w:rsidR="00087753" w:rsidRPr="00C04E2E">
          <w:rPr>
            <w:rStyle w:val="a7"/>
            <w:rFonts w:eastAsia="Calibri" w:cs="Times New Roman"/>
            <w:noProof/>
          </w:rPr>
          <w:t>Figure 5.67</w:t>
        </w:r>
        <w:r w:rsidR="00087753" w:rsidRPr="00C04E2E">
          <w:rPr>
            <w:rStyle w:val="a7"/>
            <w:noProof/>
          </w:rPr>
          <w:t xml:space="preserve"> </w:t>
        </w:r>
        <w:r w:rsidR="00087753" w:rsidRPr="00C04E2E">
          <w:rPr>
            <w:rStyle w:val="a7"/>
            <w:rFonts w:eastAsia="Calibri" w:cs="Times New Roman"/>
            <w:noProof/>
          </w:rPr>
          <w:t>– Rapid drawdown (5 days) seepage under normal operating level</w:t>
        </w:r>
        <w:r w:rsidR="00087753">
          <w:rPr>
            <w:noProof/>
            <w:webHidden/>
          </w:rPr>
          <w:tab/>
        </w:r>
        <w:r w:rsidR="00087753">
          <w:rPr>
            <w:noProof/>
            <w:webHidden/>
          </w:rPr>
          <w:fldChar w:fldCharType="begin"/>
        </w:r>
        <w:r w:rsidR="00087753">
          <w:rPr>
            <w:noProof/>
            <w:webHidden/>
          </w:rPr>
          <w:instrText xml:space="preserve"> PAGEREF _Toc104985526 \h </w:instrText>
        </w:r>
        <w:r w:rsidR="00087753">
          <w:rPr>
            <w:noProof/>
            <w:webHidden/>
          </w:rPr>
        </w:r>
        <w:r w:rsidR="00087753">
          <w:rPr>
            <w:noProof/>
            <w:webHidden/>
          </w:rPr>
          <w:fldChar w:fldCharType="separate"/>
        </w:r>
        <w:r w:rsidR="004870F1">
          <w:rPr>
            <w:noProof/>
            <w:webHidden/>
          </w:rPr>
          <w:t>235</w:t>
        </w:r>
        <w:r w:rsidR="00087753">
          <w:rPr>
            <w:noProof/>
            <w:webHidden/>
          </w:rPr>
          <w:fldChar w:fldCharType="end"/>
        </w:r>
      </w:hyperlink>
    </w:p>
    <w:p w14:paraId="0FFA2737" w14:textId="3B911545" w:rsidR="00087753" w:rsidRDefault="00536556">
      <w:pPr>
        <w:pStyle w:val="af7"/>
        <w:tabs>
          <w:tab w:val="right" w:leader="dot" w:pos="9344"/>
        </w:tabs>
        <w:rPr>
          <w:rFonts w:asciiTheme="minorHAnsi" w:eastAsiaTheme="minorEastAsia" w:hAnsiTheme="minorHAnsi"/>
          <w:noProof/>
          <w:sz w:val="22"/>
          <w:lang w:val="ru-RU" w:eastAsia="ru-RU"/>
        </w:rPr>
      </w:pPr>
      <w:hyperlink w:anchor="_Toc104985527" w:history="1">
        <w:r w:rsidR="00087753" w:rsidRPr="00C04E2E">
          <w:rPr>
            <w:rStyle w:val="a7"/>
            <w:rFonts w:eastAsia="Calibri" w:cs="Times New Roman"/>
            <w:noProof/>
          </w:rPr>
          <w:t>Figure 5.68</w:t>
        </w:r>
        <w:r w:rsidR="00087753" w:rsidRPr="00C04E2E">
          <w:rPr>
            <w:rStyle w:val="a7"/>
            <w:noProof/>
          </w:rPr>
          <w:t xml:space="preserve"> </w:t>
        </w:r>
        <w:r w:rsidR="00087753" w:rsidRPr="00C04E2E">
          <w:rPr>
            <w:rStyle w:val="a7"/>
            <w:rFonts w:eastAsia="Calibri" w:cs="Times New Roman"/>
            <w:noProof/>
          </w:rPr>
          <w:t>– Rapid drawdown (5 days) seepage under reduced reservoir operating level</w:t>
        </w:r>
        <w:r w:rsidR="00087753">
          <w:rPr>
            <w:noProof/>
            <w:webHidden/>
          </w:rPr>
          <w:tab/>
        </w:r>
        <w:r w:rsidR="00087753">
          <w:rPr>
            <w:noProof/>
            <w:webHidden/>
          </w:rPr>
          <w:fldChar w:fldCharType="begin"/>
        </w:r>
        <w:r w:rsidR="00087753">
          <w:rPr>
            <w:noProof/>
            <w:webHidden/>
          </w:rPr>
          <w:instrText xml:space="preserve"> PAGEREF _Toc104985527 \h </w:instrText>
        </w:r>
        <w:r w:rsidR="00087753">
          <w:rPr>
            <w:noProof/>
            <w:webHidden/>
          </w:rPr>
        </w:r>
        <w:r w:rsidR="00087753">
          <w:rPr>
            <w:noProof/>
            <w:webHidden/>
          </w:rPr>
          <w:fldChar w:fldCharType="separate"/>
        </w:r>
        <w:r w:rsidR="004870F1">
          <w:rPr>
            <w:noProof/>
            <w:webHidden/>
          </w:rPr>
          <w:t>235</w:t>
        </w:r>
        <w:r w:rsidR="00087753">
          <w:rPr>
            <w:noProof/>
            <w:webHidden/>
          </w:rPr>
          <w:fldChar w:fldCharType="end"/>
        </w:r>
      </w:hyperlink>
    </w:p>
    <w:p w14:paraId="0ABF20F5" w14:textId="6D29E55A" w:rsidR="00087753" w:rsidRDefault="00536556">
      <w:pPr>
        <w:pStyle w:val="af7"/>
        <w:tabs>
          <w:tab w:val="right" w:leader="dot" w:pos="9344"/>
        </w:tabs>
        <w:rPr>
          <w:rFonts w:asciiTheme="minorHAnsi" w:eastAsiaTheme="minorEastAsia" w:hAnsiTheme="minorHAnsi"/>
          <w:noProof/>
          <w:sz w:val="22"/>
          <w:lang w:val="ru-RU" w:eastAsia="ru-RU"/>
        </w:rPr>
      </w:pPr>
      <w:hyperlink w:anchor="_Toc104985528" w:history="1">
        <w:r w:rsidR="00087753" w:rsidRPr="00C04E2E">
          <w:rPr>
            <w:rStyle w:val="a7"/>
            <w:rFonts w:eastAsia="Calibri" w:cs="Times New Roman"/>
            <w:noProof/>
          </w:rPr>
          <w:t>Figure 5.69</w:t>
        </w:r>
        <w:r w:rsidR="00087753" w:rsidRPr="00C04E2E">
          <w:rPr>
            <w:rStyle w:val="a7"/>
            <w:noProof/>
          </w:rPr>
          <w:t xml:space="preserve"> </w:t>
        </w:r>
        <w:r w:rsidR="00087753" w:rsidRPr="00C04E2E">
          <w:rPr>
            <w:rStyle w:val="a7"/>
            <w:rFonts w:eastAsia="Calibri" w:cs="Times New Roman"/>
            <w:noProof/>
          </w:rPr>
          <w:t>– Rapid drawdown (5 days) seepage under embankment height reservoir operating level</w:t>
        </w:r>
        <w:r w:rsidR="00087753">
          <w:rPr>
            <w:noProof/>
            <w:webHidden/>
          </w:rPr>
          <w:tab/>
        </w:r>
        <w:r w:rsidR="00087753">
          <w:rPr>
            <w:noProof/>
            <w:webHidden/>
          </w:rPr>
          <w:fldChar w:fldCharType="begin"/>
        </w:r>
        <w:r w:rsidR="00087753">
          <w:rPr>
            <w:noProof/>
            <w:webHidden/>
          </w:rPr>
          <w:instrText xml:space="preserve"> PAGEREF _Toc104985528 \h </w:instrText>
        </w:r>
        <w:r w:rsidR="00087753">
          <w:rPr>
            <w:noProof/>
            <w:webHidden/>
          </w:rPr>
        </w:r>
        <w:r w:rsidR="00087753">
          <w:rPr>
            <w:noProof/>
            <w:webHidden/>
          </w:rPr>
          <w:fldChar w:fldCharType="separate"/>
        </w:r>
        <w:r w:rsidR="004870F1">
          <w:rPr>
            <w:noProof/>
            <w:webHidden/>
          </w:rPr>
          <w:t>235</w:t>
        </w:r>
        <w:r w:rsidR="00087753">
          <w:rPr>
            <w:noProof/>
            <w:webHidden/>
          </w:rPr>
          <w:fldChar w:fldCharType="end"/>
        </w:r>
      </w:hyperlink>
    </w:p>
    <w:p w14:paraId="615FFE6A" w14:textId="5EA83F45" w:rsidR="00087753" w:rsidRDefault="00536556">
      <w:pPr>
        <w:pStyle w:val="af7"/>
        <w:tabs>
          <w:tab w:val="right" w:leader="dot" w:pos="9344"/>
        </w:tabs>
        <w:rPr>
          <w:rFonts w:asciiTheme="minorHAnsi" w:eastAsiaTheme="minorEastAsia" w:hAnsiTheme="minorHAnsi"/>
          <w:noProof/>
          <w:sz w:val="22"/>
          <w:lang w:val="ru-RU" w:eastAsia="ru-RU"/>
        </w:rPr>
      </w:pPr>
      <w:hyperlink w:anchor="_Toc104985529" w:history="1">
        <w:r w:rsidR="00087753" w:rsidRPr="00C04E2E">
          <w:rPr>
            <w:rStyle w:val="a7"/>
            <w:noProof/>
          </w:rPr>
          <w:t>Figure 5.70 – Rapid drawdown (5 days) seepage under overflow reservoir operating level</w:t>
        </w:r>
        <w:r w:rsidR="00087753">
          <w:rPr>
            <w:noProof/>
            <w:webHidden/>
          </w:rPr>
          <w:tab/>
        </w:r>
        <w:r w:rsidR="00087753">
          <w:rPr>
            <w:noProof/>
            <w:webHidden/>
          </w:rPr>
          <w:fldChar w:fldCharType="begin"/>
        </w:r>
        <w:r w:rsidR="00087753">
          <w:rPr>
            <w:noProof/>
            <w:webHidden/>
          </w:rPr>
          <w:instrText xml:space="preserve"> PAGEREF _Toc104985529 \h </w:instrText>
        </w:r>
        <w:r w:rsidR="00087753">
          <w:rPr>
            <w:noProof/>
            <w:webHidden/>
          </w:rPr>
        </w:r>
        <w:r w:rsidR="00087753">
          <w:rPr>
            <w:noProof/>
            <w:webHidden/>
          </w:rPr>
          <w:fldChar w:fldCharType="separate"/>
        </w:r>
        <w:r w:rsidR="004870F1">
          <w:rPr>
            <w:noProof/>
            <w:webHidden/>
          </w:rPr>
          <w:t>236</w:t>
        </w:r>
        <w:r w:rsidR="00087753">
          <w:rPr>
            <w:noProof/>
            <w:webHidden/>
          </w:rPr>
          <w:fldChar w:fldCharType="end"/>
        </w:r>
      </w:hyperlink>
    </w:p>
    <w:p w14:paraId="3AB0172D" w14:textId="6EB16D6E" w:rsidR="00087753" w:rsidRDefault="00536556">
      <w:pPr>
        <w:pStyle w:val="af7"/>
        <w:tabs>
          <w:tab w:val="right" w:leader="dot" w:pos="9344"/>
        </w:tabs>
        <w:rPr>
          <w:rFonts w:asciiTheme="minorHAnsi" w:eastAsiaTheme="minorEastAsia" w:hAnsiTheme="minorHAnsi"/>
          <w:noProof/>
          <w:sz w:val="22"/>
          <w:lang w:val="ru-RU" w:eastAsia="ru-RU"/>
        </w:rPr>
      </w:pPr>
      <w:hyperlink w:anchor="_Toc104985530" w:history="1">
        <w:r w:rsidR="00087753" w:rsidRPr="00C04E2E">
          <w:rPr>
            <w:rStyle w:val="a7"/>
            <w:rFonts w:eastAsia="Calibri" w:cs="Times New Roman"/>
            <w:noProof/>
          </w:rPr>
          <w:t>Figure 5.71</w:t>
        </w:r>
        <w:r w:rsidR="00087753" w:rsidRPr="00C04E2E">
          <w:rPr>
            <w:rStyle w:val="a7"/>
            <w:noProof/>
          </w:rPr>
          <w:t xml:space="preserve"> </w:t>
        </w:r>
        <w:r w:rsidR="00087753" w:rsidRPr="00C04E2E">
          <w:rPr>
            <w:rStyle w:val="a7"/>
            <w:rFonts w:eastAsia="Calibri" w:cs="Times New Roman"/>
            <w:noProof/>
          </w:rPr>
          <w:t>– Rapid drawdown (10 days) seepage under normal operating level</w:t>
        </w:r>
        <w:r w:rsidR="00087753">
          <w:rPr>
            <w:noProof/>
            <w:webHidden/>
          </w:rPr>
          <w:tab/>
        </w:r>
        <w:r w:rsidR="00087753">
          <w:rPr>
            <w:noProof/>
            <w:webHidden/>
          </w:rPr>
          <w:fldChar w:fldCharType="begin"/>
        </w:r>
        <w:r w:rsidR="00087753">
          <w:rPr>
            <w:noProof/>
            <w:webHidden/>
          </w:rPr>
          <w:instrText xml:space="preserve"> PAGEREF _Toc104985530 \h </w:instrText>
        </w:r>
        <w:r w:rsidR="00087753">
          <w:rPr>
            <w:noProof/>
            <w:webHidden/>
          </w:rPr>
        </w:r>
        <w:r w:rsidR="00087753">
          <w:rPr>
            <w:noProof/>
            <w:webHidden/>
          </w:rPr>
          <w:fldChar w:fldCharType="separate"/>
        </w:r>
        <w:r w:rsidR="004870F1">
          <w:rPr>
            <w:noProof/>
            <w:webHidden/>
          </w:rPr>
          <w:t>236</w:t>
        </w:r>
        <w:r w:rsidR="00087753">
          <w:rPr>
            <w:noProof/>
            <w:webHidden/>
          </w:rPr>
          <w:fldChar w:fldCharType="end"/>
        </w:r>
      </w:hyperlink>
    </w:p>
    <w:p w14:paraId="1075FE0E" w14:textId="0F8E3748" w:rsidR="00087753" w:rsidRDefault="00536556">
      <w:pPr>
        <w:pStyle w:val="af7"/>
        <w:tabs>
          <w:tab w:val="right" w:leader="dot" w:pos="9344"/>
        </w:tabs>
        <w:rPr>
          <w:rFonts w:asciiTheme="minorHAnsi" w:eastAsiaTheme="minorEastAsia" w:hAnsiTheme="minorHAnsi"/>
          <w:noProof/>
          <w:sz w:val="22"/>
          <w:lang w:val="ru-RU" w:eastAsia="ru-RU"/>
        </w:rPr>
      </w:pPr>
      <w:hyperlink w:anchor="_Toc104985531" w:history="1">
        <w:r w:rsidR="00087753" w:rsidRPr="00C04E2E">
          <w:rPr>
            <w:rStyle w:val="a7"/>
            <w:noProof/>
          </w:rPr>
          <w:t>Figure 5.72 – Rapid drawdown (10 days) seepage under reduced reservoir operating level</w:t>
        </w:r>
        <w:r w:rsidR="00087753">
          <w:rPr>
            <w:noProof/>
            <w:webHidden/>
          </w:rPr>
          <w:tab/>
        </w:r>
        <w:r w:rsidR="00087753">
          <w:rPr>
            <w:noProof/>
            <w:webHidden/>
          </w:rPr>
          <w:fldChar w:fldCharType="begin"/>
        </w:r>
        <w:r w:rsidR="00087753">
          <w:rPr>
            <w:noProof/>
            <w:webHidden/>
          </w:rPr>
          <w:instrText xml:space="preserve"> PAGEREF _Toc104985531 \h </w:instrText>
        </w:r>
        <w:r w:rsidR="00087753">
          <w:rPr>
            <w:noProof/>
            <w:webHidden/>
          </w:rPr>
        </w:r>
        <w:r w:rsidR="00087753">
          <w:rPr>
            <w:noProof/>
            <w:webHidden/>
          </w:rPr>
          <w:fldChar w:fldCharType="separate"/>
        </w:r>
        <w:r w:rsidR="004870F1">
          <w:rPr>
            <w:noProof/>
            <w:webHidden/>
          </w:rPr>
          <w:t>237</w:t>
        </w:r>
        <w:r w:rsidR="00087753">
          <w:rPr>
            <w:noProof/>
            <w:webHidden/>
          </w:rPr>
          <w:fldChar w:fldCharType="end"/>
        </w:r>
      </w:hyperlink>
    </w:p>
    <w:p w14:paraId="19A0175C" w14:textId="30DB29DB" w:rsidR="00087753" w:rsidRDefault="00536556">
      <w:pPr>
        <w:pStyle w:val="af7"/>
        <w:tabs>
          <w:tab w:val="right" w:leader="dot" w:pos="9344"/>
        </w:tabs>
        <w:rPr>
          <w:rFonts w:asciiTheme="minorHAnsi" w:eastAsiaTheme="minorEastAsia" w:hAnsiTheme="minorHAnsi"/>
          <w:noProof/>
          <w:sz w:val="22"/>
          <w:lang w:val="ru-RU" w:eastAsia="ru-RU"/>
        </w:rPr>
      </w:pPr>
      <w:hyperlink w:anchor="_Toc104985532" w:history="1">
        <w:r w:rsidR="00087753" w:rsidRPr="00C04E2E">
          <w:rPr>
            <w:rStyle w:val="a7"/>
            <w:noProof/>
          </w:rPr>
          <w:t>Figure 5.73 – Rapid drawdown (10 days) seepage under embankment height reservoir operating level</w:t>
        </w:r>
        <w:r w:rsidR="00087753">
          <w:rPr>
            <w:noProof/>
            <w:webHidden/>
          </w:rPr>
          <w:tab/>
        </w:r>
        <w:r w:rsidR="00087753">
          <w:rPr>
            <w:noProof/>
            <w:webHidden/>
          </w:rPr>
          <w:fldChar w:fldCharType="begin"/>
        </w:r>
        <w:r w:rsidR="00087753">
          <w:rPr>
            <w:noProof/>
            <w:webHidden/>
          </w:rPr>
          <w:instrText xml:space="preserve"> PAGEREF _Toc104985532 \h </w:instrText>
        </w:r>
        <w:r w:rsidR="00087753">
          <w:rPr>
            <w:noProof/>
            <w:webHidden/>
          </w:rPr>
        </w:r>
        <w:r w:rsidR="00087753">
          <w:rPr>
            <w:noProof/>
            <w:webHidden/>
          </w:rPr>
          <w:fldChar w:fldCharType="separate"/>
        </w:r>
        <w:r w:rsidR="004870F1">
          <w:rPr>
            <w:noProof/>
            <w:webHidden/>
          </w:rPr>
          <w:t>237</w:t>
        </w:r>
        <w:r w:rsidR="00087753">
          <w:rPr>
            <w:noProof/>
            <w:webHidden/>
          </w:rPr>
          <w:fldChar w:fldCharType="end"/>
        </w:r>
      </w:hyperlink>
    </w:p>
    <w:p w14:paraId="2DACE7B5" w14:textId="01ACD365" w:rsidR="00087753" w:rsidRDefault="00536556">
      <w:pPr>
        <w:pStyle w:val="af7"/>
        <w:tabs>
          <w:tab w:val="right" w:leader="dot" w:pos="9344"/>
        </w:tabs>
        <w:rPr>
          <w:rFonts w:asciiTheme="minorHAnsi" w:eastAsiaTheme="minorEastAsia" w:hAnsiTheme="minorHAnsi"/>
          <w:noProof/>
          <w:sz w:val="22"/>
          <w:lang w:val="ru-RU" w:eastAsia="ru-RU"/>
        </w:rPr>
      </w:pPr>
      <w:hyperlink w:anchor="_Toc104985533" w:history="1">
        <w:r w:rsidR="00087753" w:rsidRPr="00C04E2E">
          <w:rPr>
            <w:rStyle w:val="a7"/>
            <w:noProof/>
          </w:rPr>
          <w:t>Figure 5.74 – Rapid drawdown (10 days) seepage under overflow reservoir operating level</w:t>
        </w:r>
        <w:r w:rsidR="00087753">
          <w:rPr>
            <w:noProof/>
            <w:webHidden/>
          </w:rPr>
          <w:tab/>
        </w:r>
        <w:r w:rsidR="00087753">
          <w:rPr>
            <w:noProof/>
            <w:webHidden/>
          </w:rPr>
          <w:fldChar w:fldCharType="begin"/>
        </w:r>
        <w:r w:rsidR="00087753">
          <w:rPr>
            <w:noProof/>
            <w:webHidden/>
          </w:rPr>
          <w:instrText xml:space="preserve"> PAGEREF _Toc104985533 \h </w:instrText>
        </w:r>
        <w:r w:rsidR="00087753">
          <w:rPr>
            <w:noProof/>
            <w:webHidden/>
          </w:rPr>
        </w:r>
        <w:r w:rsidR="00087753">
          <w:rPr>
            <w:noProof/>
            <w:webHidden/>
          </w:rPr>
          <w:fldChar w:fldCharType="separate"/>
        </w:r>
        <w:r w:rsidR="004870F1">
          <w:rPr>
            <w:noProof/>
            <w:webHidden/>
          </w:rPr>
          <w:t>238</w:t>
        </w:r>
        <w:r w:rsidR="00087753">
          <w:rPr>
            <w:noProof/>
            <w:webHidden/>
          </w:rPr>
          <w:fldChar w:fldCharType="end"/>
        </w:r>
      </w:hyperlink>
    </w:p>
    <w:p w14:paraId="5D41E8F0" w14:textId="6C7DC002" w:rsidR="00087753" w:rsidRDefault="00536556">
      <w:pPr>
        <w:pStyle w:val="af7"/>
        <w:tabs>
          <w:tab w:val="right" w:leader="dot" w:pos="9344"/>
        </w:tabs>
        <w:rPr>
          <w:rFonts w:asciiTheme="minorHAnsi" w:eastAsiaTheme="minorEastAsia" w:hAnsiTheme="minorHAnsi"/>
          <w:noProof/>
          <w:sz w:val="22"/>
          <w:lang w:val="ru-RU" w:eastAsia="ru-RU"/>
        </w:rPr>
      </w:pPr>
      <w:hyperlink w:anchor="_Toc104985534" w:history="1">
        <w:r w:rsidR="00087753" w:rsidRPr="00C04E2E">
          <w:rPr>
            <w:rStyle w:val="a7"/>
            <w:noProof/>
          </w:rPr>
          <w:t>Figure 5.75 – Rapid drawdown (1 m per day) seepage under normal operating level</w:t>
        </w:r>
        <w:r w:rsidR="00087753">
          <w:rPr>
            <w:noProof/>
            <w:webHidden/>
          </w:rPr>
          <w:tab/>
        </w:r>
        <w:r w:rsidR="00087753">
          <w:rPr>
            <w:noProof/>
            <w:webHidden/>
          </w:rPr>
          <w:fldChar w:fldCharType="begin"/>
        </w:r>
        <w:r w:rsidR="00087753">
          <w:rPr>
            <w:noProof/>
            <w:webHidden/>
          </w:rPr>
          <w:instrText xml:space="preserve"> PAGEREF _Toc104985534 \h </w:instrText>
        </w:r>
        <w:r w:rsidR="00087753">
          <w:rPr>
            <w:noProof/>
            <w:webHidden/>
          </w:rPr>
        </w:r>
        <w:r w:rsidR="00087753">
          <w:rPr>
            <w:noProof/>
            <w:webHidden/>
          </w:rPr>
          <w:fldChar w:fldCharType="separate"/>
        </w:r>
        <w:r w:rsidR="004870F1">
          <w:rPr>
            <w:noProof/>
            <w:webHidden/>
          </w:rPr>
          <w:t>238</w:t>
        </w:r>
        <w:r w:rsidR="00087753">
          <w:rPr>
            <w:noProof/>
            <w:webHidden/>
          </w:rPr>
          <w:fldChar w:fldCharType="end"/>
        </w:r>
      </w:hyperlink>
    </w:p>
    <w:p w14:paraId="44922564" w14:textId="2A3C8114" w:rsidR="00087753" w:rsidRDefault="00536556">
      <w:pPr>
        <w:pStyle w:val="af7"/>
        <w:tabs>
          <w:tab w:val="right" w:leader="dot" w:pos="9344"/>
        </w:tabs>
        <w:rPr>
          <w:rFonts w:asciiTheme="minorHAnsi" w:eastAsiaTheme="minorEastAsia" w:hAnsiTheme="minorHAnsi"/>
          <w:noProof/>
          <w:sz w:val="22"/>
          <w:lang w:val="ru-RU" w:eastAsia="ru-RU"/>
        </w:rPr>
      </w:pPr>
      <w:hyperlink w:anchor="_Toc104985535" w:history="1">
        <w:r w:rsidR="00087753" w:rsidRPr="00C04E2E">
          <w:rPr>
            <w:rStyle w:val="a7"/>
            <w:rFonts w:eastAsia="Calibri" w:cs="Times New Roman"/>
            <w:noProof/>
          </w:rPr>
          <w:t>Figure 5.76</w:t>
        </w:r>
        <w:r w:rsidR="00087753" w:rsidRPr="00C04E2E">
          <w:rPr>
            <w:rStyle w:val="a7"/>
            <w:noProof/>
          </w:rPr>
          <w:t xml:space="preserve"> </w:t>
        </w:r>
        <w:r w:rsidR="00087753" w:rsidRPr="00C04E2E">
          <w:rPr>
            <w:rStyle w:val="a7"/>
            <w:rFonts w:eastAsia="Calibri" w:cs="Times New Roman"/>
            <w:noProof/>
          </w:rPr>
          <w:t>– Rapid drawdown (1 m per day) seepage under reduced reservoir operating level</w:t>
        </w:r>
        <w:r w:rsidR="00087753">
          <w:rPr>
            <w:noProof/>
            <w:webHidden/>
          </w:rPr>
          <w:tab/>
        </w:r>
        <w:r w:rsidR="00087753">
          <w:rPr>
            <w:noProof/>
            <w:webHidden/>
          </w:rPr>
          <w:fldChar w:fldCharType="begin"/>
        </w:r>
        <w:r w:rsidR="00087753">
          <w:rPr>
            <w:noProof/>
            <w:webHidden/>
          </w:rPr>
          <w:instrText xml:space="preserve"> PAGEREF _Toc104985535 \h </w:instrText>
        </w:r>
        <w:r w:rsidR="00087753">
          <w:rPr>
            <w:noProof/>
            <w:webHidden/>
          </w:rPr>
        </w:r>
        <w:r w:rsidR="00087753">
          <w:rPr>
            <w:noProof/>
            <w:webHidden/>
          </w:rPr>
          <w:fldChar w:fldCharType="separate"/>
        </w:r>
        <w:r w:rsidR="004870F1">
          <w:rPr>
            <w:noProof/>
            <w:webHidden/>
          </w:rPr>
          <w:t>239</w:t>
        </w:r>
        <w:r w:rsidR="00087753">
          <w:rPr>
            <w:noProof/>
            <w:webHidden/>
          </w:rPr>
          <w:fldChar w:fldCharType="end"/>
        </w:r>
      </w:hyperlink>
    </w:p>
    <w:p w14:paraId="35B13DE1" w14:textId="58B0D610" w:rsidR="00087753" w:rsidRDefault="00536556">
      <w:pPr>
        <w:pStyle w:val="af7"/>
        <w:tabs>
          <w:tab w:val="right" w:leader="dot" w:pos="9344"/>
        </w:tabs>
        <w:rPr>
          <w:rFonts w:asciiTheme="minorHAnsi" w:eastAsiaTheme="minorEastAsia" w:hAnsiTheme="minorHAnsi"/>
          <w:noProof/>
          <w:sz w:val="22"/>
          <w:lang w:val="ru-RU" w:eastAsia="ru-RU"/>
        </w:rPr>
      </w:pPr>
      <w:hyperlink w:anchor="_Toc104985536" w:history="1">
        <w:r w:rsidR="00087753" w:rsidRPr="00C04E2E">
          <w:rPr>
            <w:rStyle w:val="a7"/>
            <w:rFonts w:eastAsia="Calibri" w:cs="Times New Roman"/>
            <w:noProof/>
          </w:rPr>
          <w:t>Figure 5.77</w:t>
        </w:r>
        <w:r w:rsidR="00087753" w:rsidRPr="00C04E2E">
          <w:rPr>
            <w:rStyle w:val="a7"/>
            <w:noProof/>
          </w:rPr>
          <w:t xml:space="preserve"> </w:t>
        </w:r>
        <w:r w:rsidR="00087753" w:rsidRPr="00C04E2E">
          <w:rPr>
            <w:rStyle w:val="a7"/>
            <w:rFonts w:eastAsia="Calibri" w:cs="Times New Roman"/>
            <w:noProof/>
          </w:rPr>
          <w:t>– Rapid drawdown (1m per day) seepage under embankment height reservoir operating level</w:t>
        </w:r>
        <w:r w:rsidR="00087753">
          <w:rPr>
            <w:noProof/>
            <w:webHidden/>
          </w:rPr>
          <w:tab/>
        </w:r>
        <w:r w:rsidR="00087753">
          <w:rPr>
            <w:noProof/>
            <w:webHidden/>
          </w:rPr>
          <w:fldChar w:fldCharType="begin"/>
        </w:r>
        <w:r w:rsidR="00087753">
          <w:rPr>
            <w:noProof/>
            <w:webHidden/>
          </w:rPr>
          <w:instrText xml:space="preserve"> PAGEREF _Toc104985536 \h </w:instrText>
        </w:r>
        <w:r w:rsidR="00087753">
          <w:rPr>
            <w:noProof/>
            <w:webHidden/>
          </w:rPr>
        </w:r>
        <w:r w:rsidR="00087753">
          <w:rPr>
            <w:noProof/>
            <w:webHidden/>
          </w:rPr>
          <w:fldChar w:fldCharType="separate"/>
        </w:r>
        <w:r w:rsidR="004870F1">
          <w:rPr>
            <w:noProof/>
            <w:webHidden/>
          </w:rPr>
          <w:t>239</w:t>
        </w:r>
        <w:r w:rsidR="00087753">
          <w:rPr>
            <w:noProof/>
            <w:webHidden/>
          </w:rPr>
          <w:fldChar w:fldCharType="end"/>
        </w:r>
      </w:hyperlink>
    </w:p>
    <w:p w14:paraId="6B9F9E54" w14:textId="119FD626" w:rsidR="00087753" w:rsidRDefault="00536556">
      <w:pPr>
        <w:pStyle w:val="af7"/>
        <w:tabs>
          <w:tab w:val="right" w:leader="dot" w:pos="9344"/>
        </w:tabs>
        <w:rPr>
          <w:rFonts w:asciiTheme="minorHAnsi" w:eastAsiaTheme="minorEastAsia" w:hAnsiTheme="minorHAnsi"/>
          <w:noProof/>
          <w:sz w:val="22"/>
          <w:lang w:val="ru-RU" w:eastAsia="ru-RU"/>
        </w:rPr>
      </w:pPr>
      <w:hyperlink w:anchor="_Toc104985537" w:history="1">
        <w:r w:rsidR="00087753" w:rsidRPr="00C04E2E">
          <w:rPr>
            <w:rStyle w:val="a7"/>
            <w:noProof/>
          </w:rPr>
          <w:t>Figure 5.78 – Rapid drawdown (1 m per day) seepage under overflow reservoir operating level</w:t>
        </w:r>
        <w:r w:rsidR="00087753">
          <w:rPr>
            <w:noProof/>
            <w:webHidden/>
          </w:rPr>
          <w:tab/>
        </w:r>
        <w:r w:rsidR="00087753">
          <w:rPr>
            <w:noProof/>
            <w:webHidden/>
          </w:rPr>
          <w:fldChar w:fldCharType="begin"/>
        </w:r>
        <w:r w:rsidR="00087753">
          <w:rPr>
            <w:noProof/>
            <w:webHidden/>
          </w:rPr>
          <w:instrText xml:space="preserve"> PAGEREF _Toc104985537 \h </w:instrText>
        </w:r>
        <w:r w:rsidR="00087753">
          <w:rPr>
            <w:noProof/>
            <w:webHidden/>
          </w:rPr>
        </w:r>
        <w:r w:rsidR="00087753">
          <w:rPr>
            <w:noProof/>
            <w:webHidden/>
          </w:rPr>
          <w:fldChar w:fldCharType="separate"/>
        </w:r>
        <w:r w:rsidR="004870F1">
          <w:rPr>
            <w:noProof/>
            <w:webHidden/>
          </w:rPr>
          <w:t>239</w:t>
        </w:r>
        <w:r w:rsidR="00087753">
          <w:rPr>
            <w:noProof/>
            <w:webHidden/>
          </w:rPr>
          <w:fldChar w:fldCharType="end"/>
        </w:r>
      </w:hyperlink>
    </w:p>
    <w:p w14:paraId="6589E231" w14:textId="2DE24B96" w:rsidR="00087753" w:rsidRDefault="00536556">
      <w:pPr>
        <w:pStyle w:val="af7"/>
        <w:tabs>
          <w:tab w:val="right" w:leader="dot" w:pos="9344"/>
        </w:tabs>
        <w:rPr>
          <w:rFonts w:asciiTheme="minorHAnsi" w:eastAsiaTheme="minorEastAsia" w:hAnsiTheme="minorHAnsi"/>
          <w:noProof/>
          <w:sz w:val="22"/>
          <w:lang w:val="ru-RU" w:eastAsia="ru-RU"/>
        </w:rPr>
      </w:pPr>
      <w:hyperlink w:anchor="_Toc104985538" w:history="1">
        <w:r w:rsidR="00087753" w:rsidRPr="00C04E2E">
          <w:rPr>
            <w:rStyle w:val="a7"/>
            <w:rFonts w:eastAsia="Calibri" w:cs="Times New Roman"/>
            <w:noProof/>
          </w:rPr>
          <w:t>Figure 5.79</w:t>
        </w:r>
        <w:r w:rsidR="00087753" w:rsidRPr="00C04E2E">
          <w:rPr>
            <w:rStyle w:val="a7"/>
            <w:noProof/>
          </w:rPr>
          <w:t xml:space="preserve"> </w:t>
        </w:r>
        <w:r w:rsidR="00087753" w:rsidRPr="00C04E2E">
          <w:rPr>
            <w:rStyle w:val="a7"/>
            <w:rFonts w:eastAsia="Calibri" w:cs="Times New Roman"/>
            <w:noProof/>
          </w:rPr>
          <w:t>– Steady-state slope stability under normal operating reservoir level</w:t>
        </w:r>
        <w:r w:rsidR="00087753">
          <w:rPr>
            <w:noProof/>
            <w:webHidden/>
          </w:rPr>
          <w:tab/>
        </w:r>
        <w:r w:rsidR="00087753">
          <w:rPr>
            <w:noProof/>
            <w:webHidden/>
          </w:rPr>
          <w:fldChar w:fldCharType="begin"/>
        </w:r>
        <w:r w:rsidR="00087753">
          <w:rPr>
            <w:noProof/>
            <w:webHidden/>
          </w:rPr>
          <w:instrText xml:space="preserve"> PAGEREF _Toc104985538 \h </w:instrText>
        </w:r>
        <w:r w:rsidR="00087753">
          <w:rPr>
            <w:noProof/>
            <w:webHidden/>
          </w:rPr>
        </w:r>
        <w:r w:rsidR="00087753">
          <w:rPr>
            <w:noProof/>
            <w:webHidden/>
          </w:rPr>
          <w:fldChar w:fldCharType="separate"/>
        </w:r>
        <w:r w:rsidR="004870F1">
          <w:rPr>
            <w:noProof/>
            <w:webHidden/>
          </w:rPr>
          <w:t>240</w:t>
        </w:r>
        <w:r w:rsidR="00087753">
          <w:rPr>
            <w:noProof/>
            <w:webHidden/>
          </w:rPr>
          <w:fldChar w:fldCharType="end"/>
        </w:r>
      </w:hyperlink>
    </w:p>
    <w:p w14:paraId="75B75E5E" w14:textId="424AB75D" w:rsidR="00087753" w:rsidRDefault="00536556">
      <w:pPr>
        <w:pStyle w:val="af7"/>
        <w:tabs>
          <w:tab w:val="right" w:leader="dot" w:pos="9344"/>
        </w:tabs>
        <w:rPr>
          <w:rFonts w:asciiTheme="minorHAnsi" w:eastAsiaTheme="minorEastAsia" w:hAnsiTheme="minorHAnsi"/>
          <w:noProof/>
          <w:sz w:val="22"/>
          <w:lang w:val="ru-RU" w:eastAsia="ru-RU"/>
        </w:rPr>
      </w:pPr>
      <w:hyperlink w:anchor="_Toc104985539" w:history="1">
        <w:r w:rsidR="00087753" w:rsidRPr="00C04E2E">
          <w:rPr>
            <w:rStyle w:val="a7"/>
            <w:rFonts w:eastAsia="Calibri" w:cs="Times New Roman"/>
            <w:noProof/>
          </w:rPr>
          <w:t>Figure 5.80</w:t>
        </w:r>
        <w:r w:rsidR="00087753" w:rsidRPr="00C04E2E">
          <w:rPr>
            <w:rStyle w:val="a7"/>
            <w:noProof/>
          </w:rPr>
          <w:t xml:space="preserve"> </w:t>
        </w:r>
        <w:r w:rsidR="00087753" w:rsidRPr="00C04E2E">
          <w:rPr>
            <w:rStyle w:val="a7"/>
            <w:rFonts w:eastAsia="Calibri" w:cs="Times New Roman"/>
            <w:noProof/>
          </w:rPr>
          <w:t>– Steady-state slope stability under reduced reservoir operation level</w:t>
        </w:r>
        <w:r w:rsidR="00087753">
          <w:rPr>
            <w:noProof/>
            <w:webHidden/>
          </w:rPr>
          <w:tab/>
        </w:r>
        <w:r w:rsidR="00087753">
          <w:rPr>
            <w:noProof/>
            <w:webHidden/>
          </w:rPr>
          <w:fldChar w:fldCharType="begin"/>
        </w:r>
        <w:r w:rsidR="00087753">
          <w:rPr>
            <w:noProof/>
            <w:webHidden/>
          </w:rPr>
          <w:instrText xml:space="preserve"> PAGEREF _Toc104985539 \h </w:instrText>
        </w:r>
        <w:r w:rsidR="00087753">
          <w:rPr>
            <w:noProof/>
            <w:webHidden/>
          </w:rPr>
        </w:r>
        <w:r w:rsidR="00087753">
          <w:rPr>
            <w:noProof/>
            <w:webHidden/>
          </w:rPr>
          <w:fldChar w:fldCharType="separate"/>
        </w:r>
        <w:r w:rsidR="004870F1">
          <w:rPr>
            <w:noProof/>
            <w:webHidden/>
          </w:rPr>
          <w:t>241</w:t>
        </w:r>
        <w:r w:rsidR="00087753">
          <w:rPr>
            <w:noProof/>
            <w:webHidden/>
          </w:rPr>
          <w:fldChar w:fldCharType="end"/>
        </w:r>
      </w:hyperlink>
    </w:p>
    <w:p w14:paraId="16AC43EC" w14:textId="298F216C" w:rsidR="00087753" w:rsidRDefault="00536556">
      <w:pPr>
        <w:pStyle w:val="af7"/>
        <w:tabs>
          <w:tab w:val="right" w:leader="dot" w:pos="9344"/>
        </w:tabs>
        <w:rPr>
          <w:rFonts w:asciiTheme="minorHAnsi" w:eastAsiaTheme="minorEastAsia" w:hAnsiTheme="minorHAnsi"/>
          <w:noProof/>
          <w:sz w:val="22"/>
          <w:lang w:val="ru-RU" w:eastAsia="ru-RU"/>
        </w:rPr>
      </w:pPr>
      <w:hyperlink w:anchor="_Toc104985540" w:history="1">
        <w:r w:rsidR="00087753" w:rsidRPr="00C04E2E">
          <w:rPr>
            <w:rStyle w:val="a7"/>
            <w:rFonts w:eastAsia="Calibri" w:cs="Times New Roman"/>
            <w:noProof/>
          </w:rPr>
          <w:t>Figure 5.81</w:t>
        </w:r>
        <w:r w:rsidR="00087753" w:rsidRPr="00C04E2E">
          <w:rPr>
            <w:rStyle w:val="a7"/>
            <w:noProof/>
          </w:rPr>
          <w:t xml:space="preserve"> </w:t>
        </w:r>
        <w:r w:rsidR="00087753" w:rsidRPr="00C04E2E">
          <w:rPr>
            <w:rStyle w:val="a7"/>
            <w:rFonts w:eastAsia="Calibri" w:cs="Times New Roman"/>
            <w:noProof/>
          </w:rPr>
          <w:t>– Steady-state slope stability under embankment height reservoir level</w:t>
        </w:r>
        <w:r w:rsidR="00087753">
          <w:rPr>
            <w:noProof/>
            <w:webHidden/>
          </w:rPr>
          <w:tab/>
        </w:r>
        <w:r w:rsidR="00087753">
          <w:rPr>
            <w:noProof/>
            <w:webHidden/>
          </w:rPr>
          <w:fldChar w:fldCharType="begin"/>
        </w:r>
        <w:r w:rsidR="00087753">
          <w:rPr>
            <w:noProof/>
            <w:webHidden/>
          </w:rPr>
          <w:instrText xml:space="preserve"> PAGEREF _Toc104985540 \h </w:instrText>
        </w:r>
        <w:r w:rsidR="00087753">
          <w:rPr>
            <w:noProof/>
            <w:webHidden/>
          </w:rPr>
        </w:r>
        <w:r w:rsidR="00087753">
          <w:rPr>
            <w:noProof/>
            <w:webHidden/>
          </w:rPr>
          <w:fldChar w:fldCharType="separate"/>
        </w:r>
        <w:r w:rsidR="004870F1">
          <w:rPr>
            <w:noProof/>
            <w:webHidden/>
          </w:rPr>
          <w:t>241</w:t>
        </w:r>
        <w:r w:rsidR="00087753">
          <w:rPr>
            <w:noProof/>
            <w:webHidden/>
          </w:rPr>
          <w:fldChar w:fldCharType="end"/>
        </w:r>
      </w:hyperlink>
    </w:p>
    <w:p w14:paraId="69B66D4E" w14:textId="2F371E02" w:rsidR="00087753" w:rsidRDefault="00536556">
      <w:pPr>
        <w:pStyle w:val="af7"/>
        <w:tabs>
          <w:tab w:val="right" w:leader="dot" w:pos="9344"/>
        </w:tabs>
        <w:rPr>
          <w:rFonts w:asciiTheme="minorHAnsi" w:eastAsiaTheme="minorEastAsia" w:hAnsiTheme="minorHAnsi"/>
          <w:noProof/>
          <w:sz w:val="22"/>
          <w:lang w:val="ru-RU" w:eastAsia="ru-RU"/>
        </w:rPr>
      </w:pPr>
      <w:hyperlink w:anchor="_Toc104985541" w:history="1">
        <w:r w:rsidR="00087753" w:rsidRPr="00C04E2E">
          <w:rPr>
            <w:rStyle w:val="a7"/>
            <w:noProof/>
          </w:rPr>
          <w:t>Figure 5.82 – Steady-state slope stability under overflow reservoir level</w:t>
        </w:r>
        <w:r w:rsidR="00087753">
          <w:rPr>
            <w:noProof/>
            <w:webHidden/>
          </w:rPr>
          <w:tab/>
        </w:r>
        <w:r w:rsidR="00087753">
          <w:rPr>
            <w:noProof/>
            <w:webHidden/>
          </w:rPr>
          <w:fldChar w:fldCharType="begin"/>
        </w:r>
        <w:r w:rsidR="00087753">
          <w:rPr>
            <w:noProof/>
            <w:webHidden/>
          </w:rPr>
          <w:instrText xml:space="preserve"> PAGEREF _Toc104985541 \h </w:instrText>
        </w:r>
        <w:r w:rsidR="00087753">
          <w:rPr>
            <w:noProof/>
            <w:webHidden/>
          </w:rPr>
        </w:r>
        <w:r w:rsidR="00087753">
          <w:rPr>
            <w:noProof/>
            <w:webHidden/>
          </w:rPr>
          <w:fldChar w:fldCharType="separate"/>
        </w:r>
        <w:r w:rsidR="004870F1">
          <w:rPr>
            <w:noProof/>
            <w:webHidden/>
          </w:rPr>
          <w:t>242</w:t>
        </w:r>
        <w:r w:rsidR="00087753">
          <w:rPr>
            <w:noProof/>
            <w:webHidden/>
          </w:rPr>
          <w:fldChar w:fldCharType="end"/>
        </w:r>
      </w:hyperlink>
    </w:p>
    <w:p w14:paraId="168C287F" w14:textId="051A0975" w:rsidR="00087753" w:rsidRDefault="00536556">
      <w:pPr>
        <w:pStyle w:val="af7"/>
        <w:tabs>
          <w:tab w:val="right" w:leader="dot" w:pos="9344"/>
        </w:tabs>
        <w:rPr>
          <w:rFonts w:asciiTheme="minorHAnsi" w:eastAsiaTheme="minorEastAsia" w:hAnsiTheme="minorHAnsi"/>
          <w:noProof/>
          <w:sz w:val="22"/>
          <w:lang w:val="ru-RU" w:eastAsia="ru-RU"/>
        </w:rPr>
      </w:pPr>
      <w:hyperlink w:anchor="_Toc104985542" w:history="1">
        <w:r w:rsidR="00087753" w:rsidRPr="00C04E2E">
          <w:rPr>
            <w:rStyle w:val="a7"/>
            <w:rFonts w:eastAsia="Calibri" w:cs="Times New Roman"/>
            <w:noProof/>
          </w:rPr>
          <w:t>Figure 5.83</w:t>
        </w:r>
        <w:r w:rsidR="00087753" w:rsidRPr="00C04E2E">
          <w:rPr>
            <w:rStyle w:val="a7"/>
            <w:noProof/>
          </w:rPr>
          <w:t xml:space="preserve"> </w:t>
        </w:r>
        <w:r w:rsidR="00087753" w:rsidRPr="00C04E2E">
          <w:rPr>
            <w:rStyle w:val="a7"/>
            <w:rFonts w:eastAsia="Calibri" w:cs="Times New Roman"/>
            <w:noProof/>
          </w:rPr>
          <w:t>– Instantaneous slope stability under normal operating reservoir level: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_Toc104985542 \h </w:instrText>
        </w:r>
        <w:r w:rsidR="00087753">
          <w:rPr>
            <w:noProof/>
            <w:webHidden/>
          </w:rPr>
        </w:r>
        <w:r w:rsidR="00087753">
          <w:rPr>
            <w:noProof/>
            <w:webHidden/>
          </w:rPr>
          <w:fldChar w:fldCharType="separate"/>
        </w:r>
        <w:r w:rsidR="004870F1">
          <w:rPr>
            <w:noProof/>
            <w:webHidden/>
          </w:rPr>
          <w:t>242</w:t>
        </w:r>
        <w:r w:rsidR="00087753">
          <w:rPr>
            <w:noProof/>
            <w:webHidden/>
          </w:rPr>
          <w:fldChar w:fldCharType="end"/>
        </w:r>
      </w:hyperlink>
    </w:p>
    <w:p w14:paraId="19FA5DD7" w14:textId="65DA4E43" w:rsidR="00087753" w:rsidRDefault="00536556">
      <w:pPr>
        <w:pStyle w:val="af7"/>
        <w:tabs>
          <w:tab w:val="right" w:leader="dot" w:pos="9344"/>
        </w:tabs>
        <w:rPr>
          <w:rFonts w:asciiTheme="minorHAnsi" w:eastAsiaTheme="minorEastAsia" w:hAnsiTheme="minorHAnsi"/>
          <w:noProof/>
          <w:sz w:val="22"/>
          <w:lang w:val="ru-RU" w:eastAsia="ru-RU"/>
        </w:rPr>
      </w:pPr>
      <w:hyperlink w:anchor="_Toc104985543" w:history="1">
        <w:r w:rsidR="00087753" w:rsidRPr="00C04E2E">
          <w:rPr>
            <w:rStyle w:val="a7"/>
            <w:rFonts w:eastAsia="Calibri" w:cs="Times New Roman"/>
            <w:noProof/>
          </w:rPr>
          <w:t>Figure 5.84</w:t>
        </w:r>
        <w:r w:rsidR="00087753" w:rsidRPr="00C04E2E">
          <w:rPr>
            <w:rStyle w:val="a7"/>
            <w:noProof/>
          </w:rPr>
          <w:t xml:space="preserve"> </w:t>
        </w:r>
        <w:r w:rsidR="00087753" w:rsidRPr="00C04E2E">
          <w:rPr>
            <w:rStyle w:val="a7"/>
            <w:rFonts w:eastAsia="Calibri" w:cs="Times New Roman"/>
            <w:noProof/>
          </w:rPr>
          <w:t>– Instantaneous slope stability under reduced reservoir operating level: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_Toc104985543 \h </w:instrText>
        </w:r>
        <w:r w:rsidR="00087753">
          <w:rPr>
            <w:noProof/>
            <w:webHidden/>
          </w:rPr>
        </w:r>
        <w:r w:rsidR="00087753">
          <w:rPr>
            <w:noProof/>
            <w:webHidden/>
          </w:rPr>
          <w:fldChar w:fldCharType="separate"/>
        </w:r>
        <w:r w:rsidR="004870F1">
          <w:rPr>
            <w:noProof/>
            <w:webHidden/>
          </w:rPr>
          <w:t>243</w:t>
        </w:r>
        <w:r w:rsidR="00087753">
          <w:rPr>
            <w:noProof/>
            <w:webHidden/>
          </w:rPr>
          <w:fldChar w:fldCharType="end"/>
        </w:r>
      </w:hyperlink>
    </w:p>
    <w:p w14:paraId="34EEC272" w14:textId="3380CB9A" w:rsidR="00087753" w:rsidRDefault="00536556">
      <w:pPr>
        <w:pStyle w:val="af7"/>
        <w:tabs>
          <w:tab w:val="right" w:leader="dot" w:pos="9344"/>
        </w:tabs>
        <w:rPr>
          <w:rFonts w:asciiTheme="minorHAnsi" w:eastAsiaTheme="minorEastAsia" w:hAnsiTheme="minorHAnsi"/>
          <w:noProof/>
          <w:sz w:val="22"/>
          <w:lang w:val="ru-RU" w:eastAsia="ru-RU"/>
        </w:rPr>
      </w:pPr>
      <w:hyperlink w:anchor="_Toc104985544" w:history="1">
        <w:r w:rsidR="00087753" w:rsidRPr="00C04E2E">
          <w:rPr>
            <w:rStyle w:val="a7"/>
            <w:rFonts w:eastAsia="Calibri" w:cs="Times New Roman"/>
            <w:noProof/>
          </w:rPr>
          <w:t>Figure 5.85</w:t>
        </w:r>
        <w:r w:rsidR="00087753" w:rsidRPr="00C04E2E">
          <w:rPr>
            <w:rStyle w:val="a7"/>
            <w:noProof/>
          </w:rPr>
          <w:t xml:space="preserve"> </w:t>
        </w:r>
        <w:r w:rsidR="00087753" w:rsidRPr="00C04E2E">
          <w:rPr>
            <w:rStyle w:val="a7"/>
            <w:rFonts w:eastAsia="Calibri" w:cs="Times New Roman"/>
            <w:noProof/>
          </w:rPr>
          <w:t>– Instantaneous slope stability under embankment height operating level: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_Toc104985544 \h </w:instrText>
        </w:r>
        <w:r w:rsidR="00087753">
          <w:rPr>
            <w:noProof/>
            <w:webHidden/>
          </w:rPr>
        </w:r>
        <w:r w:rsidR="00087753">
          <w:rPr>
            <w:noProof/>
            <w:webHidden/>
          </w:rPr>
          <w:fldChar w:fldCharType="separate"/>
        </w:r>
        <w:r w:rsidR="004870F1">
          <w:rPr>
            <w:noProof/>
            <w:webHidden/>
          </w:rPr>
          <w:t>244</w:t>
        </w:r>
        <w:r w:rsidR="00087753">
          <w:rPr>
            <w:noProof/>
            <w:webHidden/>
          </w:rPr>
          <w:fldChar w:fldCharType="end"/>
        </w:r>
      </w:hyperlink>
    </w:p>
    <w:p w14:paraId="46A651E0" w14:textId="4484A4CD" w:rsidR="00087753" w:rsidRDefault="00536556">
      <w:pPr>
        <w:pStyle w:val="af7"/>
        <w:tabs>
          <w:tab w:val="right" w:leader="dot" w:pos="9344"/>
        </w:tabs>
        <w:rPr>
          <w:rFonts w:asciiTheme="minorHAnsi" w:eastAsiaTheme="minorEastAsia" w:hAnsiTheme="minorHAnsi"/>
          <w:noProof/>
          <w:sz w:val="22"/>
          <w:lang w:val="ru-RU" w:eastAsia="ru-RU"/>
        </w:rPr>
      </w:pPr>
      <w:hyperlink w:anchor="_Toc104985545" w:history="1">
        <w:r w:rsidR="00087753" w:rsidRPr="00C04E2E">
          <w:rPr>
            <w:rStyle w:val="a7"/>
            <w:noProof/>
          </w:rPr>
          <w:t>Figure 5.86 – Instantaneous slope stability under overflow level</w:t>
        </w:r>
        <w:r w:rsidR="00087753" w:rsidRPr="00C04E2E">
          <w:rPr>
            <w:rStyle w:val="a7"/>
            <w:rFonts w:eastAsia="Calibri" w:cs="Times New Roman"/>
            <w:noProof/>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_Toc104985545 \h </w:instrText>
        </w:r>
        <w:r w:rsidR="00087753">
          <w:rPr>
            <w:noProof/>
            <w:webHidden/>
          </w:rPr>
        </w:r>
        <w:r w:rsidR="00087753">
          <w:rPr>
            <w:noProof/>
            <w:webHidden/>
          </w:rPr>
          <w:fldChar w:fldCharType="separate"/>
        </w:r>
        <w:r w:rsidR="004870F1">
          <w:rPr>
            <w:noProof/>
            <w:webHidden/>
          </w:rPr>
          <w:t>245</w:t>
        </w:r>
        <w:r w:rsidR="00087753">
          <w:rPr>
            <w:noProof/>
            <w:webHidden/>
          </w:rPr>
          <w:fldChar w:fldCharType="end"/>
        </w:r>
      </w:hyperlink>
    </w:p>
    <w:p w14:paraId="759FDCA2" w14:textId="08474BED" w:rsidR="00087753" w:rsidRDefault="00536556">
      <w:pPr>
        <w:pStyle w:val="af7"/>
        <w:tabs>
          <w:tab w:val="right" w:leader="dot" w:pos="9344"/>
        </w:tabs>
        <w:rPr>
          <w:rFonts w:asciiTheme="minorHAnsi" w:eastAsiaTheme="minorEastAsia" w:hAnsiTheme="minorHAnsi"/>
          <w:noProof/>
          <w:sz w:val="22"/>
          <w:lang w:val="ru-RU" w:eastAsia="ru-RU"/>
        </w:rPr>
      </w:pPr>
      <w:hyperlink w:anchor="_Toc104985546" w:history="1">
        <w:r w:rsidR="00087753" w:rsidRPr="00C04E2E">
          <w:rPr>
            <w:rStyle w:val="a7"/>
            <w:noProof/>
          </w:rPr>
          <w:t>Figure 5.87 – Rapid drawdown (5 days) slope stability under normal operating reservoir level</w:t>
        </w:r>
        <w:r w:rsidR="00087753" w:rsidRPr="00C04E2E">
          <w:rPr>
            <w:rStyle w:val="a7"/>
            <w:rFonts w:eastAsia="Calibri" w:cs="Times New Roman"/>
            <w:noProof/>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_Toc104985546 \h </w:instrText>
        </w:r>
        <w:r w:rsidR="00087753">
          <w:rPr>
            <w:noProof/>
            <w:webHidden/>
          </w:rPr>
        </w:r>
        <w:r w:rsidR="00087753">
          <w:rPr>
            <w:noProof/>
            <w:webHidden/>
          </w:rPr>
          <w:fldChar w:fldCharType="separate"/>
        </w:r>
        <w:r w:rsidR="004870F1">
          <w:rPr>
            <w:noProof/>
            <w:webHidden/>
          </w:rPr>
          <w:t>246</w:t>
        </w:r>
        <w:r w:rsidR="00087753">
          <w:rPr>
            <w:noProof/>
            <w:webHidden/>
          </w:rPr>
          <w:fldChar w:fldCharType="end"/>
        </w:r>
      </w:hyperlink>
    </w:p>
    <w:p w14:paraId="10E02006" w14:textId="3B4C3586" w:rsidR="00087753" w:rsidRDefault="00536556">
      <w:pPr>
        <w:pStyle w:val="af7"/>
        <w:tabs>
          <w:tab w:val="right" w:leader="dot" w:pos="9344"/>
        </w:tabs>
        <w:rPr>
          <w:rFonts w:asciiTheme="minorHAnsi" w:eastAsiaTheme="minorEastAsia" w:hAnsiTheme="minorHAnsi"/>
          <w:noProof/>
          <w:sz w:val="22"/>
          <w:lang w:val="ru-RU" w:eastAsia="ru-RU"/>
        </w:rPr>
      </w:pPr>
      <w:hyperlink w:anchor="_Toc104985547" w:history="1">
        <w:r w:rsidR="00087753" w:rsidRPr="00C04E2E">
          <w:rPr>
            <w:rStyle w:val="a7"/>
            <w:noProof/>
          </w:rPr>
          <w:t>Figure 5.88 – Rapid drawdown (5 days) slope stability under reduced reservoir operating level</w:t>
        </w:r>
        <w:r w:rsidR="00087753" w:rsidRPr="00C04E2E">
          <w:rPr>
            <w:rStyle w:val="a7"/>
            <w:rFonts w:eastAsia="Calibri" w:cs="Times New Roman"/>
            <w:noProof/>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_Toc104985547 \h </w:instrText>
        </w:r>
        <w:r w:rsidR="00087753">
          <w:rPr>
            <w:noProof/>
            <w:webHidden/>
          </w:rPr>
        </w:r>
        <w:r w:rsidR="00087753">
          <w:rPr>
            <w:noProof/>
            <w:webHidden/>
          </w:rPr>
          <w:fldChar w:fldCharType="separate"/>
        </w:r>
        <w:r w:rsidR="004870F1">
          <w:rPr>
            <w:noProof/>
            <w:webHidden/>
          </w:rPr>
          <w:t>247</w:t>
        </w:r>
        <w:r w:rsidR="00087753">
          <w:rPr>
            <w:noProof/>
            <w:webHidden/>
          </w:rPr>
          <w:fldChar w:fldCharType="end"/>
        </w:r>
      </w:hyperlink>
    </w:p>
    <w:p w14:paraId="013952B0" w14:textId="34A726E8" w:rsidR="00087753" w:rsidRDefault="00536556">
      <w:pPr>
        <w:pStyle w:val="af7"/>
        <w:tabs>
          <w:tab w:val="right" w:leader="dot" w:pos="9344"/>
        </w:tabs>
        <w:rPr>
          <w:rFonts w:asciiTheme="minorHAnsi" w:eastAsiaTheme="minorEastAsia" w:hAnsiTheme="minorHAnsi"/>
          <w:noProof/>
          <w:sz w:val="22"/>
          <w:lang w:val="ru-RU" w:eastAsia="ru-RU"/>
        </w:rPr>
      </w:pPr>
      <w:hyperlink w:anchor="_Toc104985548" w:history="1">
        <w:r w:rsidR="00087753" w:rsidRPr="00C04E2E">
          <w:rPr>
            <w:rStyle w:val="a7"/>
            <w:noProof/>
          </w:rPr>
          <w:t>Figure 5.89 – Rapid drawdown (5 days) slope stability at embankment height</w:t>
        </w:r>
        <w:r w:rsidR="00087753" w:rsidRPr="00C04E2E">
          <w:rPr>
            <w:rStyle w:val="a7"/>
            <w:rFonts w:eastAsia="Calibri" w:cs="Times New Roman"/>
            <w:noProof/>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_Toc104985548 \h </w:instrText>
        </w:r>
        <w:r w:rsidR="00087753">
          <w:rPr>
            <w:noProof/>
            <w:webHidden/>
          </w:rPr>
        </w:r>
        <w:r w:rsidR="00087753">
          <w:rPr>
            <w:noProof/>
            <w:webHidden/>
          </w:rPr>
          <w:fldChar w:fldCharType="separate"/>
        </w:r>
        <w:r w:rsidR="004870F1">
          <w:rPr>
            <w:noProof/>
            <w:webHidden/>
          </w:rPr>
          <w:t>248</w:t>
        </w:r>
        <w:r w:rsidR="00087753">
          <w:rPr>
            <w:noProof/>
            <w:webHidden/>
          </w:rPr>
          <w:fldChar w:fldCharType="end"/>
        </w:r>
      </w:hyperlink>
    </w:p>
    <w:p w14:paraId="0F25C883" w14:textId="226AD1F9" w:rsidR="00087753" w:rsidRDefault="00536556">
      <w:pPr>
        <w:pStyle w:val="af7"/>
        <w:tabs>
          <w:tab w:val="right" w:leader="dot" w:pos="9344"/>
        </w:tabs>
        <w:rPr>
          <w:rFonts w:asciiTheme="minorHAnsi" w:eastAsiaTheme="minorEastAsia" w:hAnsiTheme="minorHAnsi"/>
          <w:noProof/>
          <w:sz w:val="22"/>
          <w:lang w:val="ru-RU" w:eastAsia="ru-RU"/>
        </w:rPr>
      </w:pPr>
      <w:hyperlink w:anchor="_Toc104985549" w:history="1">
        <w:r w:rsidR="00087753" w:rsidRPr="00C04E2E">
          <w:rPr>
            <w:rStyle w:val="a7"/>
            <w:noProof/>
          </w:rPr>
          <w:t>Figure 5.90 – Rapid drawdown (5 days) slope stability at the overflow</w:t>
        </w:r>
        <w:r w:rsidR="00087753" w:rsidRPr="00C04E2E">
          <w:rPr>
            <w:rStyle w:val="a7"/>
            <w:rFonts w:eastAsia="Calibri" w:cs="Times New Roman"/>
            <w:noProof/>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_Toc104985549 \h </w:instrText>
        </w:r>
        <w:r w:rsidR="00087753">
          <w:rPr>
            <w:noProof/>
            <w:webHidden/>
          </w:rPr>
        </w:r>
        <w:r w:rsidR="00087753">
          <w:rPr>
            <w:noProof/>
            <w:webHidden/>
          </w:rPr>
          <w:fldChar w:fldCharType="separate"/>
        </w:r>
        <w:r w:rsidR="004870F1">
          <w:rPr>
            <w:noProof/>
            <w:webHidden/>
          </w:rPr>
          <w:t>249</w:t>
        </w:r>
        <w:r w:rsidR="00087753">
          <w:rPr>
            <w:noProof/>
            <w:webHidden/>
          </w:rPr>
          <w:fldChar w:fldCharType="end"/>
        </w:r>
      </w:hyperlink>
    </w:p>
    <w:p w14:paraId="378A0143" w14:textId="3E655F8B" w:rsidR="00087753" w:rsidRDefault="00536556">
      <w:pPr>
        <w:pStyle w:val="af7"/>
        <w:tabs>
          <w:tab w:val="right" w:leader="dot" w:pos="9344"/>
        </w:tabs>
        <w:rPr>
          <w:rFonts w:asciiTheme="minorHAnsi" w:eastAsiaTheme="minorEastAsia" w:hAnsiTheme="minorHAnsi"/>
          <w:noProof/>
          <w:sz w:val="22"/>
          <w:lang w:val="ru-RU" w:eastAsia="ru-RU"/>
        </w:rPr>
      </w:pPr>
      <w:hyperlink w:anchor="_Toc104985550" w:history="1">
        <w:r w:rsidR="00087753" w:rsidRPr="00C04E2E">
          <w:rPr>
            <w:rStyle w:val="a7"/>
            <w:noProof/>
          </w:rPr>
          <w:t>Figure 5.91 – Rapid drawdown (10 days) slope stability normal operating level</w:t>
        </w:r>
        <w:r w:rsidR="00087753" w:rsidRPr="00C04E2E">
          <w:rPr>
            <w:rStyle w:val="a7"/>
            <w:rFonts w:eastAsia="Calibri" w:cs="Times New Roman"/>
            <w:noProof/>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_Toc104985550 \h </w:instrText>
        </w:r>
        <w:r w:rsidR="00087753">
          <w:rPr>
            <w:noProof/>
            <w:webHidden/>
          </w:rPr>
        </w:r>
        <w:r w:rsidR="00087753">
          <w:rPr>
            <w:noProof/>
            <w:webHidden/>
          </w:rPr>
          <w:fldChar w:fldCharType="separate"/>
        </w:r>
        <w:r w:rsidR="004870F1">
          <w:rPr>
            <w:noProof/>
            <w:webHidden/>
          </w:rPr>
          <w:t>250</w:t>
        </w:r>
        <w:r w:rsidR="00087753">
          <w:rPr>
            <w:noProof/>
            <w:webHidden/>
          </w:rPr>
          <w:fldChar w:fldCharType="end"/>
        </w:r>
      </w:hyperlink>
    </w:p>
    <w:p w14:paraId="445F4B1B" w14:textId="29F61829" w:rsidR="00087753" w:rsidRDefault="00536556">
      <w:pPr>
        <w:pStyle w:val="af7"/>
        <w:tabs>
          <w:tab w:val="right" w:leader="dot" w:pos="9344"/>
        </w:tabs>
        <w:rPr>
          <w:rFonts w:asciiTheme="minorHAnsi" w:eastAsiaTheme="minorEastAsia" w:hAnsiTheme="minorHAnsi"/>
          <w:noProof/>
          <w:sz w:val="22"/>
          <w:lang w:val="ru-RU" w:eastAsia="ru-RU"/>
        </w:rPr>
      </w:pPr>
      <w:hyperlink w:anchor="_Toc104985551" w:history="1">
        <w:r w:rsidR="00087753" w:rsidRPr="00C04E2E">
          <w:rPr>
            <w:rStyle w:val="a7"/>
            <w:noProof/>
          </w:rPr>
          <w:t>Figure 5.92 – Rapid drawdown (10 days) slope stability under reduced reservoir operating level</w:t>
        </w:r>
        <w:r w:rsidR="00087753" w:rsidRPr="00C04E2E">
          <w:rPr>
            <w:rStyle w:val="a7"/>
            <w:rFonts w:eastAsia="Calibri" w:cs="Times New Roman"/>
            <w:noProof/>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_Toc104985551 \h </w:instrText>
        </w:r>
        <w:r w:rsidR="00087753">
          <w:rPr>
            <w:noProof/>
            <w:webHidden/>
          </w:rPr>
        </w:r>
        <w:r w:rsidR="00087753">
          <w:rPr>
            <w:noProof/>
            <w:webHidden/>
          </w:rPr>
          <w:fldChar w:fldCharType="separate"/>
        </w:r>
        <w:r w:rsidR="004870F1">
          <w:rPr>
            <w:noProof/>
            <w:webHidden/>
          </w:rPr>
          <w:t>251</w:t>
        </w:r>
        <w:r w:rsidR="00087753">
          <w:rPr>
            <w:noProof/>
            <w:webHidden/>
          </w:rPr>
          <w:fldChar w:fldCharType="end"/>
        </w:r>
      </w:hyperlink>
    </w:p>
    <w:p w14:paraId="16D13236" w14:textId="49A07F67" w:rsidR="00087753" w:rsidRDefault="00536556">
      <w:pPr>
        <w:pStyle w:val="af7"/>
        <w:tabs>
          <w:tab w:val="right" w:leader="dot" w:pos="9344"/>
        </w:tabs>
        <w:rPr>
          <w:rFonts w:asciiTheme="minorHAnsi" w:eastAsiaTheme="minorEastAsia" w:hAnsiTheme="minorHAnsi"/>
          <w:noProof/>
          <w:sz w:val="22"/>
          <w:lang w:val="ru-RU" w:eastAsia="ru-RU"/>
        </w:rPr>
      </w:pPr>
      <w:hyperlink w:anchor="_Toc104985552" w:history="1">
        <w:r w:rsidR="00087753" w:rsidRPr="00C04E2E">
          <w:rPr>
            <w:rStyle w:val="a7"/>
            <w:noProof/>
          </w:rPr>
          <w:t>Figure 5.93 – Rapid drawdown (10 days) slope stability at embankment height</w:t>
        </w:r>
        <w:r w:rsidR="00087753" w:rsidRPr="00C04E2E">
          <w:rPr>
            <w:rStyle w:val="a7"/>
            <w:rFonts w:eastAsia="Calibri" w:cs="Times New Roman"/>
            <w:noProof/>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_Toc104985552 \h </w:instrText>
        </w:r>
        <w:r w:rsidR="00087753">
          <w:rPr>
            <w:noProof/>
            <w:webHidden/>
          </w:rPr>
        </w:r>
        <w:r w:rsidR="00087753">
          <w:rPr>
            <w:noProof/>
            <w:webHidden/>
          </w:rPr>
          <w:fldChar w:fldCharType="separate"/>
        </w:r>
        <w:r w:rsidR="004870F1">
          <w:rPr>
            <w:noProof/>
            <w:webHidden/>
          </w:rPr>
          <w:t>252</w:t>
        </w:r>
        <w:r w:rsidR="00087753">
          <w:rPr>
            <w:noProof/>
            <w:webHidden/>
          </w:rPr>
          <w:fldChar w:fldCharType="end"/>
        </w:r>
      </w:hyperlink>
    </w:p>
    <w:p w14:paraId="72800E91" w14:textId="3766D5B7" w:rsidR="00087753" w:rsidRDefault="00536556">
      <w:pPr>
        <w:pStyle w:val="af7"/>
        <w:tabs>
          <w:tab w:val="right" w:leader="dot" w:pos="9344"/>
        </w:tabs>
        <w:rPr>
          <w:rFonts w:asciiTheme="minorHAnsi" w:eastAsiaTheme="minorEastAsia" w:hAnsiTheme="minorHAnsi"/>
          <w:noProof/>
          <w:sz w:val="22"/>
          <w:lang w:val="ru-RU" w:eastAsia="ru-RU"/>
        </w:rPr>
      </w:pPr>
      <w:hyperlink w:anchor="_Toc104985553" w:history="1">
        <w:r w:rsidR="00087753" w:rsidRPr="00C04E2E">
          <w:rPr>
            <w:rStyle w:val="a7"/>
            <w:noProof/>
          </w:rPr>
          <w:t>Figure 5.94 – Rapid drawdown (10 days) slope stability at the overflow</w:t>
        </w:r>
        <w:r w:rsidR="00087753" w:rsidRPr="00C04E2E">
          <w:rPr>
            <w:rStyle w:val="a7"/>
            <w:rFonts w:eastAsia="Calibri" w:cs="Times New Roman"/>
            <w:noProof/>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_Toc104985553 \h </w:instrText>
        </w:r>
        <w:r w:rsidR="00087753">
          <w:rPr>
            <w:noProof/>
            <w:webHidden/>
          </w:rPr>
        </w:r>
        <w:r w:rsidR="00087753">
          <w:rPr>
            <w:noProof/>
            <w:webHidden/>
          </w:rPr>
          <w:fldChar w:fldCharType="separate"/>
        </w:r>
        <w:r w:rsidR="004870F1">
          <w:rPr>
            <w:noProof/>
            <w:webHidden/>
          </w:rPr>
          <w:t>253</w:t>
        </w:r>
        <w:r w:rsidR="00087753">
          <w:rPr>
            <w:noProof/>
            <w:webHidden/>
          </w:rPr>
          <w:fldChar w:fldCharType="end"/>
        </w:r>
      </w:hyperlink>
    </w:p>
    <w:p w14:paraId="35BBBF6C" w14:textId="47E094B0" w:rsidR="00087753" w:rsidRDefault="00536556">
      <w:pPr>
        <w:pStyle w:val="af7"/>
        <w:tabs>
          <w:tab w:val="right" w:leader="dot" w:pos="9344"/>
        </w:tabs>
        <w:rPr>
          <w:rFonts w:asciiTheme="minorHAnsi" w:eastAsiaTheme="minorEastAsia" w:hAnsiTheme="minorHAnsi"/>
          <w:noProof/>
          <w:sz w:val="22"/>
          <w:lang w:val="ru-RU" w:eastAsia="ru-RU"/>
        </w:rPr>
      </w:pPr>
      <w:hyperlink w:anchor="_Toc104985554" w:history="1">
        <w:r w:rsidR="00087753" w:rsidRPr="00C04E2E">
          <w:rPr>
            <w:rStyle w:val="a7"/>
            <w:noProof/>
          </w:rPr>
          <w:t>Figure 5.95 – Rapid drawdown (1 m per day) slope stability normal operating level</w:t>
        </w:r>
        <w:r w:rsidR="00087753" w:rsidRPr="00C04E2E">
          <w:rPr>
            <w:rStyle w:val="a7"/>
            <w:rFonts w:eastAsia="Calibri" w:cs="Times New Roman"/>
            <w:noProof/>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_Toc104985554 \h </w:instrText>
        </w:r>
        <w:r w:rsidR="00087753">
          <w:rPr>
            <w:noProof/>
            <w:webHidden/>
          </w:rPr>
        </w:r>
        <w:r w:rsidR="00087753">
          <w:rPr>
            <w:noProof/>
            <w:webHidden/>
          </w:rPr>
          <w:fldChar w:fldCharType="separate"/>
        </w:r>
        <w:r w:rsidR="004870F1">
          <w:rPr>
            <w:noProof/>
            <w:webHidden/>
          </w:rPr>
          <w:t>254</w:t>
        </w:r>
        <w:r w:rsidR="00087753">
          <w:rPr>
            <w:noProof/>
            <w:webHidden/>
          </w:rPr>
          <w:fldChar w:fldCharType="end"/>
        </w:r>
      </w:hyperlink>
    </w:p>
    <w:p w14:paraId="7EAB57B0" w14:textId="725919E5" w:rsidR="00087753" w:rsidRDefault="00536556">
      <w:pPr>
        <w:pStyle w:val="af7"/>
        <w:tabs>
          <w:tab w:val="right" w:leader="dot" w:pos="9344"/>
        </w:tabs>
        <w:rPr>
          <w:rFonts w:asciiTheme="minorHAnsi" w:eastAsiaTheme="minorEastAsia" w:hAnsiTheme="minorHAnsi"/>
          <w:noProof/>
          <w:sz w:val="22"/>
          <w:lang w:val="ru-RU" w:eastAsia="ru-RU"/>
        </w:rPr>
      </w:pPr>
      <w:hyperlink w:anchor="_Toc104985555" w:history="1">
        <w:r w:rsidR="00087753" w:rsidRPr="00C04E2E">
          <w:rPr>
            <w:rStyle w:val="a7"/>
            <w:noProof/>
          </w:rPr>
          <w:t>Figure 5.96 – Rapid drawdown (1 m per day) slope stability under reduced reservoir operating level</w:t>
        </w:r>
        <w:r w:rsidR="00087753" w:rsidRPr="00C04E2E">
          <w:rPr>
            <w:rStyle w:val="a7"/>
            <w:rFonts w:eastAsia="Calibri" w:cs="Times New Roman"/>
            <w:noProof/>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_Toc104985555 \h </w:instrText>
        </w:r>
        <w:r w:rsidR="00087753">
          <w:rPr>
            <w:noProof/>
            <w:webHidden/>
          </w:rPr>
        </w:r>
        <w:r w:rsidR="00087753">
          <w:rPr>
            <w:noProof/>
            <w:webHidden/>
          </w:rPr>
          <w:fldChar w:fldCharType="separate"/>
        </w:r>
        <w:r w:rsidR="004870F1">
          <w:rPr>
            <w:noProof/>
            <w:webHidden/>
          </w:rPr>
          <w:t>255</w:t>
        </w:r>
        <w:r w:rsidR="00087753">
          <w:rPr>
            <w:noProof/>
            <w:webHidden/>
          </w:rPr>
          <w:fldChar w:fldCharType="end"/>
        </w:r>
      </w:hyperlink>
    </w:p>
    <w:p w14:paraId="0E5009C1" w14:textId="362F5449" w:rsidR="00087753" w:rsidRDefault="00536556">
      <w:pPr>
        <w:pStyle w:val="af7"/>
        <w:tabs>
          <w:tab w:val="right" w:leader="dot" w:pos="9344"/>
        </w:tabs>
        <w:rPr>
          <w:rFonts w:asciiTheme="minorHAnsi" w:eastAsiaTheme="minorEastAsia" w:hAnsiTheme="minorHAnsi"/>
          <w:noProof/>
          <w:sz w:val="22"/>
          <w:lang w:val="ru-RU" w:eastAsia="ru-RU"/>
        </w:rPr>
      </w:pPr>
      <w:hyperlink w:anchor="_Toc104985556" w:history="1">
        <w:r w:rsidR="00087753" w:rsidRPr="00C04E2E">
          <w:rPr>
            <w:rStyle w:val="a7"/>
            <w:noProof/>
          </w:rPr>
          <w:t>Figure 5.97 – Rapid drawdown (1 m per day) slope stability at embankment height</w:t>
        </w:r>
        <w:r w:rsidR="00087753" w:rsidRPr="00C04E2E">
          <w:rPr>
            <w:rStyle w:val="a7"/>
            <w:rFonts w:eastAsia="Calibri" w:cs="Times New Roman"/>
            <w:noProof/>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_Toc104985556 \h </w:instrText>
        </w:r>
        <w:r w:rsidR="00087753">
          <w:rPr>
            <w:noProof/>
            <w:webHidden/>
          </w:rPr>
        </w:r>
        <w:r w:rsidR="00087753">
          <w:rPr>
            <w:noProof/>
            <w:webHidden/>
          </w:rPr>
          <w:fldChar w:fldCharType="separate"/>
        </w:r>
        <w:r w:rsidR="004870F1">
          <w:rPr>
            <w:noProof/>
            <w:webHidden/>
          </w:rPr>
          <w:t>256</w:t>
        </w:r>
        <w:r w:rsidR="00087753">
          <w:rPr>
            <w:noProof/>
            <w:webHidden/>
          </w:rPr>
          <w:fldChar w:fldCharType="end"/>
        </w:r>
      </w:hyperlink>
    </w:p>
    <w:p w14:paraId="2F92ECAF" w14:textId="22DF517C" w:rsidR="00087753" w:rsidRDefault="00536556">
      <w:pPr>
        <w:pStyle w:val="af7"/>
        <w:tabs>
          <w:tab w:val="right" w:leader="dot" w:pos="9344"/>
        </w:tabs>
        <w:rPr>
          <w:rFonts w:asciiTheme="minorHAnsi" w:eastAsiaTheme="minorEastAsia" w:hAnsiTheme="minorHAnsi"/>
          <w:noProof/>
          <w:sz w:val="22"/>
          <w:lang w:val="ru-RU" w:eastAsia="ru-RU"/>
        </w:rPr>
      </w:pPr>
      <w:hyperlink w:anchor="_Toc104985557" w:history="1">
        <w:r w:rsidR="00087753" w:rsidRPr="00C04E2E">
          <w:rPr>
            <w:rStyle w:val="a7"/>
            <w:noProof/>
          </w:rPr>
          <w:t>Figure 5.98 – Rapid drawdown (1 m per day) slope stability at the overflow</w:t>
        </w:r>
        <w:r w:rsidR="00087753" w:rsidRPr="00C04E2E">
          <w:rPr>
            <w:rStyle w:val="a7"/>
            <w:rFonts w:eastAsia="Calibri" w:cs="Times New Roman"/>
            <w:noProof/>
          </w:rPr>
          <w:t>: a) embankment with slip surface; b) graph of factor of safety values</w:t>
        </w:r>
        <w:r w:rsidR="00087753">
          <w:rPr>
            <w:noProof/>
            <w:webHidden/>
          </w:rPr>
          <w:tab/>
        </w:r>
        <w:r w:rsidR="00087753">
          <w:rPr>
            <w:noProof/>
            <w:webHidden/>
          </w:rPr>
          <w:fldChar w:fldCharType="begin"/>
        </w:r>
        <w:r w:rsidR="00087753">
          <w:rPr>
            <w:noProof/>
            <w:webHidden/>
          </w:rPr>
          <w:instrText xml:space="preserve"> PAGEREF _Toc104985557 \h </w:instrText>
        </w:r>
        <w:r w:rsidR="00087753">
          <w:rPr>
            <w:noProof/>
            <w:webHidden/>
          </w:rPr>
        </w:r>
        <w:r w:rsidR="00087753">
          <w:rPr>
            <w:noProof/>
            <w:webHidden/>
          </w:rPr>
          <w:fldChar w:fldCharType="separate"/>
        </w:r>
        <w:r w:rsidR="004870F1">
          <w:rPr>
            <w:noProof/>
            <w:webHidden/>
          </w:rPr>
          <w:t>257</w:t>
        </w:r>
        <w:r w:rsidR="00087753">
          <w:rPr>
            <w:noProof/>
            <w:webHidden/>
          </w:rPr>
          <w:fldChar w:fldCharType="end"/>
        </w:r>
      </w:hyperlink>
    </w:p>
    <w:p w14:paraId="71D5EB77" w14:textId="328EB890" w:rsidR="00FF2B90" w:rsidRPr="006A35C2" w:rsidRDefault="000C6600" w:rsidP="00E979BA">
      <w:pPr>
        <w:pStyle w:val="1"/>
        <w:numPr>
          <w:ilvl w:val="0"/>
          <w:numId w:val="0"/>
        </w:numPr>
        <w:jc w:val="center"/>
        <w:rPr>
          <w:lang w:val="en-US"/>
        </w:rPr>
      </w:pPr>
      <w:r>
        <w:lastRenderedPageBreak/>
        <w:fldChar w:fldCharType="end"/>
      </w:r>
      <w:bookmarkStart w:id="4" w:name="_Toc104985156"/>
      <w:r w:rsidR="00FF2B90" w:rsidRPr="006A35C2">
        <w:rPr>
          <w:lang w:val="en-US"/>
        </w:rPr>
        <w:t>LIST OF TABLES</w:t>
      </w:r>
      <w:bookmarkEnd w:id="4"/>
    </w:p>
    <w:p w14:paraId="61DC0654" w14:textId="2D174863" w:rsidR="00087753" w:rsidRDefault="00FF2B90">
      <w:pPr>
        <w:pStyle w:val="af7"/>
        <w:tabs>
          <w:tab w:val="right" w:leader="dot" w:pos="9344"/>
        </w:tabs>
        <w:rPr>
          <w:rFonts w:asciiTheme="minorHAnsi" w:eastAsiaTheme="minorEastAsia" w:hAnsiTheme="minorHAnsi"/>
          <w:noProof/>
          <w:sz w:val="22"/>
          <w:lang w:val="ru-RU" w:eastAsia="ru-RU"/>
        </w:rPr>
      </w:pPr>
      <w:r>
        <w:rPr>
          <w:b/>
          <w:bCs/>
        </w:rPr>
        <w:fldChar w:fldCharType="begin"/>
      </w:r>
      <w:r>
        <w:rPr>
          <w:b/>
          <w:bCs/>
        </w:rPr>
        <w:instrText xml:space="preserve"> TOC \h \z \c "Table" </w:instrText>
      </w:r>
      <w:r>
        <w:rPr>
          <w:b/>
          <w:bCs/>
        </w:rPr>
        <w:fldChar w:fldCharType="separate"/>
      </w:r>
      <w:hyperlink w:anchor="_Toc104985558" w:history="1">
        <w:r w:rsidR="00087753" w:rsidRPr="0042250A">
          <w:rPr>
            <w:rStyle w:val="a7"/>
            <w:rFonts w:cs="Times New Roman"/>
            <w:noProof/>
            <w:lang w:bidi="en-US"/>
          </w:rPr>
          <w:t>Table 1.1 – Applicability of watershed size for peak runoff calculations [74]</w:t>
        </w:r>
        <w:r w:rsidR="00087753">
          <w:rPr>
            <w:noProof/>
            <w:webHidden/>
          </w:rPr>
          <w:tab/>
        </w:r>
        <w:r w:rsidR="00087753">
          <w:rPr>
            <w:noProof/>
            <w:webHidden/>
          </w:rPr>
          <w:fldChar w:fldCharType="begin"/>
        </w:r>
        <w:r w:rsidR="00087753">
          <w:rPr>
            <w:noProof/>
            <w:webHidden/>
          </w:rPr>
          <w:instrText xml:space="preserve"> PAGEREF _Toc104985558 \h </w:instrText>
        </w:r>
        <w:r w:rsidR="00087753">
          <w:rPr>
            <w:noProof/>
            <w:webHidden/>
          </w:rPr>
        </w:r>
        <w:r w:rsidR="00087753">
          <w:rPr>
            <w:noProof/>
            <w:webHidden/>
          </w:rPr>
          <w:fldChar w:fldCharType="separate"/>
        </w:r>
        <w:r w:rsidR="004870F1">
          <w:rPr>
            <w:noProof/>
            <w:webHidden/>
          </w:rPr>
          <w:t>40</w:t>
        </w:r>
        <w:r w:rsidR="00087753">
          <w:rPr>
            <w:noProof/>
            <w:webHidden/>
          </w:rPr>
          <w:fldChar w:fldCharType="end"/>
        </w:r>
      </w:hyperlink>
    </w:p>
    <w:p w14:paraId="50EBAE17" w14:textId="5ECF1514" w:rsidR="00087753" w:rsidRDefault="00536556">
      <w:pPr>
        <w:pStyle w:val="af7"/>
        <w:tabs>
          <w:tab w:val="right" w:leader="dot" w:pos="9344"/>
        </w:tabs>
        <w:rPr>
          <w:rFonts w:asciiTheme="minorHAnsi" w:eastAsiaTheme="minorEastAsia" w:hAnsiTheme="minorHAnsi"/>
          <w:noProof/>
          <w:sz w:val="22"/>
          <w:lang w:val="ru-RU" w:eastAsia="ru-RU"/>
        </w:rPr>
      </w:pPr>
      <w:hyperlink w:anchor="_Toc104985559" w:history="1">
        <w:r w:rsidR="00087753" w:rsidRPr="0042250A">
          <w:rPr>
            <w:rStyle w:val="a7"/>
            <w:rFonts w:cs="Times New Roman"/>
            <w:noProof/>
            <w:lang w:bidi="en-US"/>
          </w:rPr>
          <w:t>Table 1.2 – C specific land uses and zoning [77]</w:t>
        </w:r>
        <w:r w:rsidR="00087753">
          <w:rPr>
            <w:noProof/>
            <w:webHidden/>
          </w:rPr>
          <w:tab/>
        </w:r>
        <w:r w:rsidR="00087753">
          <w:rPr>
            <w:noProof/>
            <w:webHidden/>
          </w:rPr>
          <w:fldChar w:fldCharType="begin"/>
        </w:r>
        <w:r w:rsidR="00087753">
          <w:rPr>
            <w:noProof/>
            <w:webHidden/>
          </w:rPr>
          <w:instrText xml:space="preserve"> PAGEREF _Toc104985559 \h </w:instrText>
        </w:r>
        <w:r w:rsidR="00087753">
          <w:rPr>
            <w:noProof/>
            <w:webHidden/>
          </w:rPr>
        </w:r>
        <w:r w:rsidR="00087753">
          <w:rPr>
            <w:noProof/>
            <w:webHidden/>
          </w:rPr>
          <w:fldChar w:fldCharType="separate"/>
        </w:r>
        <w:r w:rsidR="004870F1">
          <w:rPr>
            <w:noProof/>
            <w:webHidden/>
          </w:rPr>
          <w:t>43</w:t>
        </w:r>
        <w:r w:rsidR="00087753">
          <w:rPr>
            <w:noProof/>
            <w:webHidden/>
          </w:rPr>
          <w:fldChar w:fldCharType="end"/>
        </w:r>
      </w:hyperlink>
    </w:p>
    <w:p w14:paraId="7C827F92" w14:textId="47C5339E" w:rsidR="00087753" w:rsidRDefault="00536556">
      <w:pPr>
        <w:pStyle w:val="af7"/>
        <w:tabs>
          <w:tab w:val="right" w:leader="dot" w:pos="9344"/>
        </w:tabs>
        <w:rPr>
          <w:rFonts w:asciiTheme="minorHAnsi" w:eastAsiaTheme="minorEastAsia" w:hAnsiTheme="minorHAnsi"/>
          <w:noProof/>
          <w:sz w:val="22"/>
          <w:lang w:val="ru-RU" w:eastAsia="ru-RU"/>
        </w:rPr>
      </w:pPr>
      <w:hyperlink w:anchor="_Toc104985560" w:history="1">
        <w:r w:rsidR="00087753" w:rsidRPr="0042250A">
          <w:rPr>
            <w:rStyle w:val="a7"/>
            <w:rFonts w:cs="Times New Roman"/>
            <w:noProof/>
            <w:lang w:bidi="en-US"/>
          </w:rPr>
          <w:t>T</w:t>
        </w:r>
        <w:r w:rsidR="00087753" w:rsidRPr="0042250A">
          <w:rPr>
            <w:rStyle w:val="a7"/>
            <w:rFonts w:cs="Times New Roman"/>
            <w:noProof/>
          </w:rPr>
          <w:t>able 1.3 – Frequency Factor Multipliers for Runoff Coefficients [77]</w:t>
        </w:r>
        <w:r w:rsidR="00087753">
          <w:rPr>
            <w:noProof/>
            <w:webHidden/>
          </w:rPr>
          <w:tab/>
        </w:r>
        <w:r w:rsidR="00087753">
          <w:rPr>
            <w:noProof/>
            <w:webHidden/>
          </w:rPr>
          <w:fldChar w:fldCharType="begin"/>
        </w:r>
        <w:r w:rsidR="00087753">
          <w:rPr>
            <w:noProof/>
            <w:webHidden/>
          </w:rPr>
          <w:instrText xml:space="preserve"> PAGEREF _Toc104985560 \h </w:instrText>
        </w:r>
        <w:r w:rsidR="00087753">
          <w:rPr>
            <w:noProof/>
            <w:webHidden/>
          </w:rPr>
        </w:r>
        <w:r w:rsidR="00087753">
          <w:rPr>
            <w:noProof/>
            <w:webHidden/>
          </w:rPr>
          <w:fldChar w:fldCharType="separate"/>
        </w:r>
        <w:r w:rsidR="004870F1">
          <w:rPr>
            <w:noProof/>
            <w:webHidden/>
          </w:rPr>
          <w:t>43</w:t>
        </w:r>
        <w:r w:rsidR="00087753">
          <w:rPr>
            <w:noProof/>
            <w:webHidden/>
          </w:rPr>
          <w:fldChar w:fldCharType="end"/>
        </w:r>
      </w:hyperlink>
    </w:p>
    <w:p w14:paraId="3564EE5D" w14:textId="6353AFA3" w:rsidR="00087753" w:rsidRDefault="00536556">
      <w:pPr>
        <w:pStyle w:val="af7"/>
        <w:tabs>
          <w:tab w:val="right" w:leader="dot" w:pos="9344"/>
        </w:tabs>
        <w:rPr>
          <w:rFonts w:asciiTheme="minorHAnsi" w:eastAsiaTheme="minorEastAsia" w:hAnsiTheme="minorHAnsi"/>
          <w:noProof/>
          <w:sz w:val="22"/>
          <w:lang w:val="ru-RU" w:eastAsia="ru-RU"/>
        </w:rPr>
      </w:pPr>
      <w:hyperlink w:anchor="_Toc104985561" w:history="1">
        <w:r w:rsidR="00087753" w:rsidRPr="0042250A">
          <w:rPr>
            <w:rStyle w:val="a7"/>
            <w:rFonts w:cs="Times New Roman"/>
            <w:noProof/>
            <w:lang w:bidi="en-US"/>
          </w:rPr>
          <w:t>Table 1.4 – Ready-computed runoff depths from some of the CNs and rainfall amounts [92]</w:t>
        </w:r>
        <w:r w:rsidR="00087753">
          <w:rPr>
            <w:noProof/>
            <w:webHidden/>
          </w:rPr>
          <w:tab/>
        </w:r>
        <w:r w:rsidR="00087753">
          <w:rPr>
            <w:noProof/>
            <w:webHidden/>
          </w:rPr>
          <w:fldChar w:fldCharType="begin"/>
        </w:r>
        <w:r w:rsidR="00087753">
          <w:rPr>
            <w:noProof/>
            <w:webHidden/>
          </w:rPr>
          <w:instrText xml:space="preserve"> PAGEREF _Toc104985561 \h </w:instrText>
        </w:r>
        <w:r w:rsidR="00087753">
          <w:rPr>
            <w:noProof/>
            <w:webHidden/>
          </w:rPr>
        </w:r>
        <w:r w:rsidR="00087753">
          <w:rPr>
            <w:noProof/>
            <w:webHidden/>
          </w:rPr>
          <w:fldChar w:fldCharType="separate"/>
        </w:r>
        <w:r w:rsidR="004870F1">
          <w:rPr>
            <w:noProof/>
            <w:webHidden/>
          </w:rPr>
          <w:t>46</w:t>
        </w:r>
        <w:r w:rsidR="00087753">
          <w:rPr>
            <w:noProof/>
            <w:webHidden/>
          </w:rPr>
          <w:fldChar w:fldCharType="end"/>
        </w:r>
      </w:hyperlink>
    </w:p>
    <w:p w14:paraId="7C193608" w14:textId="595276FE" w:rsidR="00087753" w:rsidRDefault="00536556">
      <w:pPr>
        <w:pStyle w:val="af7"/>
        <w:tabs>
          <w:tab w:val="right" w:leader="dot" w:pos="9344"/>
        </w:tabs>
        <w:rPr>
          <w:rFonts w:asciiTheme="minorHAnsi" w:eastAsiaTheme="minorEastAsia" w:hAnsiTheme="minorHAnsi"/>
          <w:noProof/>
          <w:sz w:val="22"/>
          <w:lang w:val="ru-RU" w:eastAsia="ru-RU"/>
        </w:rPr>
      </w:pPr>
      <w:hyperlink w:anchor="_Toc104985562" w:history="1">
        <w:r w:rsidR="00087753" w:rsidRPr="0042250A">
          <w:rPr>
            <w:rStyle w:val="a7"/>
            <w:rFonts w:cs="Times New Roman"/>
            <w:noProof/>
            <w:lang w:bidi="en-US"/>
          </w:rPr>
          <w:t>Table 1.5 – Runoff Curve Numbers  for urban areas [92]</w:t>
        </w:r>
        <w:r w:rsidR="00087753">
          <w:rPr>
            <w:noProof/>
            <w:webHidden/>
          </w:rPr>
          <w:tab/>
        </w:r>
        <w:r w:rsidR="00087753">
          <w:rPr>
            <w:noProof/>
            <w:webHidden/>
          </w:rPr>
          <w:fldChar w:fldCharType="begin"/>
        </w:r>
        <w:r w:rsidR="00087753">
          <w:rPr>
            <w:noProof/>
            <w:webHidden/>
          </w:rPr>
          <w:instrText xml:space="preserve"> PAGEREF _Toc104985562 \h </w:instrText>
        </w:r>
        <w:r w:rsidR="00087753">
          <w:rPr>
            <w:noProof/>
            <w:webHidden/>
          </w:rPr>
        </w:r>
        <w:r w:rsidR="00087753">
          <w:rPr>
            <w:noProof/>
            <w:webHidden/>
          </w:rPr>
          <w:fldChar w:fldCharType="separate"/>
        </w:r>
        <w:r w:rsidR="004870F1">
          <w:rPr>
            <w:noProof/>
            <w:webHidden/>
          </w:rPr>
          <w:t>48</w:t>
        </w:r>
        <w:r w:rsidR="00087753">
          <w:rPr>
            <w:noProof/>
            <w:webHidden/>
          </w:rPr>
          <w:fldChar w:fldCharType="end"/>
        </w:r>
      </w:hyperlink>
    </w:p>
    <w:p w14:paraId="6E3ABF59" w14:textId="1BBAE915" w:rsidR="00087753" w:rsidRDefault="00536556">
      <w:pPr>
        <w:pStyle w:val="af7"/>
        <w:tabs>
          <w:tab w:val="right" w:leader="dot" w:pos="9344"/>
        </w:tabs>
        <w:rPr>
          <w:rFonts w:asciiTheme="minorHAnsi" w:eastAsiaTheme="minorEastAsia" w:hAnsiTheme="minorHAnsi"/>
          <w:noProof/>
          <w:sz w:val="22"/>
          <w:lang w:val="ru-RU" w:eastAsia="ru-RU"/>
        </w:rPr>
      </w:pPr>
      <w:hyperlink w:anchor="_Toc104985563" w:history="1">
        <w:r w:rsidR="00087753" w:rsidRPr="0042250A">
          <w:rPr>
            <w:rStyle w:val="a7"/>
            <w:rFonts w:cs="Times New Roman"/>
            <w:noProof/>
            <w:lang w:bidi="en-US"/>
          </w:rPr>
          <w:t>Table 1.6 – Runoff CN for non-urban areas  [92].</w:t>
        </w:r>
        <w:r w:rsidR="00087753">
          <w:rPr>
            <w:noProof/>
            <w:webHidden/>
          </w:rPr>
          <w:tab/>
        </w:r>
        <w:r w:rsidR="00087753">
          <w:rPr>
            <w:noProof/>
            <w:webHidden/>
          </w:rPr>
          <w:fldChar w:fldCharType="begin"/>
        </w:r>
        <w:r w:rsidR="00087753">
          <w:rPr>
            <w:noProof/>
            <w:webHidden/>
          </w:rPr>
          <w:instrText xml:space="preserve"> PAGEREF _Toc104985563 \h </w:instrText>
        </w:r>
        <w:r w:rsidR="00087753">
          <w:rPr>
            <w:noProof/>
            <w:webHidden/>
          </w:rPr>
        </w:r>
        <w:r w:rsidR="00087753">
          <w:rPr>
            <w:noProof/>
            <w:webHidden/>
          </w:rPr>
          <w:fldChar w:fldCharType="separate"/>
        </w:r>
        <w:r w:rsidR="004870F1">
          <w:rPr>
            <w:noProof/>
            <w:webHidden/>
          </w:rPr>
          <w:t>49</w:t>
        </w:r>
        <w:r w:rsidR="00087753">
          <w:rPr>
            <w:noProof/>
            <w:webHidden/>
          </w:rPr>
          <w:fldChar w:fldCharType="end"/>
        </w:r>
      </w:hyperlink>
    </w:p>
    <w:p w14:paraId="5ECBAFA4" w14:textId="69916CA5" w:rsidR="00087753" w:rsidRDefault="00536556">
      <w:pPr>
        <w:pStyle w:val="af7"/>
        <w:tabs>
          <w:tab w:val="right" w:leader="dot" w:pos="9344"/>
        </w:tabs>
        <w:rPr>
          <w:rFonts w:asciiTheme="minorHAnsi" w:eastAsiaTheme="minorEastAsia" w:hAnsiTheme="minorHAnsi"/>
          <w:noProof/>
          <w:sz w:val="22"/>
          <w:lang w:val="ru-RU" w:eastAsia="ru-RU"/>
        </w:rPr>
      </w:pPr>
      <w:hyperlink w:anchor="_Toc104985564" w:history="1">
        <w:r w:rsidR="00087753" w:rsidRPr="0042250A">
          <w:rPr>
            <w:rStyle w:val="a7"/>
            <w:rFonts w:cs="Times New Roman"/>
            <w:noProof/>
            <w:lang w:bidi="en-US"/>
          </w:rPr>
          <w:t>Table 1.7</w:t>
        </w:r>
        <w:r w:rsidR="00087753" w:rsidRPr="0042250A">
          <w:rPr>
            <w:rStyle w:val="a7"/>
            <w:noProof/>
          </w:rPr>
          <w:t xml:space="preserve"> </w:t>
        </w:r>
        <w:r w:rsidR="00087753" w:rsidRPr="0042250A">
          <w:rPr>
            <w:rStyle w:val="a7"/>
            <w:rFonts w:cs="Times New Roman"/>
            <w:noProof/>
            <w:lang w:bidi="en-US"/>
          </w:rPr>
          <w:t>– Recommended values of freeboard [115]</w:t>
        </w:r>
        <w:r w:rsidR="00087753">
          <w:rPr>
            <w:noProof/>
            <w:webHidden/>
          </w:rPr>
          <w:tab/>
        </w:r>
        <w:r w:rsidR="00087753">
          <w:rPr>
            <w:noProof/>
            <w:webHidden/>
          </w:rPr>
          <w:fldChar w:fldCharType="begin"/>
        </w:r>
        <w:r w:rsidR="00087753">
          <w:rPr>
            <w:noProof/>
            <w:webHidden/>
          </w:rPr>
          <w:instrText xml:space="preserve"> PAGEREF _Toc104985564 \h </w:instrText>
        </w:r>
        <w:r w:rsidR="00087753">
          <w:rPr>
            <w:noProof/>
            <w:webHidden/>
          </w:rPr>
        </w:r>
        <w:r w:rsidR="00087753">
          <w:rPr>
            <w:noProof/>
            <w:webHidden/>
          </w:rPr>
          <w:fldChar w:fldCharType="separate"/>
        </w:r>
        <w:r w:rsidR="004870F1">
          <w:rPr>
            <w:noProof/>
            <w:webHidden/>
          </w:rPr>
          <w:t>54</w:t>
        </w:r>
        <w:r w:rsidR="00087753">
          <w:rPr>
            <w:noProof/>
            <w:webHidden/>
          </w:rPr>
          <w:fldChar w:fldCharType="end"/>
        </w:r>
      </w:hyperlink>
    </w:p>
    <w:p w14:paraId="471E1F96" w14:textId="621C5FD7" w:rsidR="00087753" w:rsidRDefault="00536556">
      <w:pPr>
        <w:pStyle w:val="af7"/>
        <w:tabs>
          <w:tab w:val="right" w:leader="dot" w:pos="9344"/>
        </w:tabs>
        <w:rPr>
          <w:rFonts w:asciiTheme="minorHAnsi" w:eastAsiaTheme="minorEastAsia" w:hAnsiTheme="minorHAnsi"/>
          <w:noProof/>
          <w:sz w:val="22"/>
          <w:lang w:val="ru-RU" w:eastAsia="ru-RU"/>
        </w:rPr>
      </w:pPr>
      <w:hyperlink w:anchor="_Toc104985565" w:history="1">
        <w:r w:rsidR="00087753" w:rsidRPr="0042250A">
          <w:rPr>
            <w:rStyle w:val="a7"/>
            <w:rFonts w:cs="Times New Roman"/>
            <w:noProof/>
            <w:lang w:bidi="en-US"/>
          </w:rPr>
          <w:t>Table 1.8 – Suitable soil for core construction [114]</w:t>
        </w:r>
        <w:r w:rsidR="00087753">
          <w:rPr>
            <w:noProof/>
            <w:webHidden/>
          </w:rPr>
          <w:tab/>
        </w:r>
        <w:r w:rsidR="00087753">
          <w:rPr>
            <w:noProof/>
            <w:webHidden/>
          </w:rPr>
          <w:fldChar w:fldCharType="begin"/>
        </w:r>
        <w:r w:rsidR="00087753">
          <w:rPr>
            <w:noProof/>
            <w:webHidden/>
          </w:rPr>
          <w:instrText xml:space="preserve"> PAGEREF _Toc104985565 \h </w:instrText>
        </w:r>
        <w:r w:rsidR="00087753">
          <w:rPr>
            <w:noProof/>
            <w:webHidden/>
          </w:rPr>
        </w:r>
        <w:r w:rsidR="00087753">
          <w:rPr>
            <w:noProof/>
            <w:webHidden/>
          </w:rPr>
          <w:fldChar w:fldCharType="separate"/>
        </w:r>
        <w:r w:rsidR="004870F1">
          <w:rPr>
            <w:noProof/>
            <w:webHidden/>
          </w:rPr>
          <w:t>56</w:t>
        </w:r>
        <w:r w:rsidR="00087753">
          <w:rPr>
            <w:noProof/>
            <w:webHidden/>
          </w:rPr>
          <w:fldChar w:fldCharType="end"/>
        </w:r>
      </w:hyperlink>
    </w:p>
    <w:p w14:paraId="69AEA4BE" w14:textId="0959F8BE" w:rsidR="00087753" w:rsidRDefault="00536556">
      <w:pPr>
        <w:pStyle w:val="af7"/>
        <w:tabs>
          <w:tab w:val="right" w:leader="dot" w:pos="9344"/>
        </w:tabs>
        <w:rPr>
          <w:rFonts w:asciiTheme="minorHAnsi" w:eastAsiaTheme="minorEastAsia" w:hAnsiTheme="minorHAnsi"/>
          <w:noProof/>
          <w:sz w:val="22"/>
          <w:lang w:val="ru-RU" w:eastAsia="ru-RU"/>
        </w:rPr>
      </w:pPr>
      <w:hyperlink w:anchor="_Toc104985566" w:history="1">
        <w:r w:rsidR="00087753" w:rsidRPr="0042250A">
          <w:rPr>
            <w:rStyle w:val="a7"/>
            <w:rFonts w:cs="Times New Roman"/>
            <w:noProof/>
            <w:lang w:bidi="en-US"/>
          </w:rPr>
          <w:t>Table 1.9  – Recommended side slopes of an earthen dam [124]</w:t>
        </w:r>
        <w:r w:rsidR="00087753">
          <w:rPr>
            <w:noProof/>
            <w:webHidden/>
          </w:rPr>
          <w:tab/>
        </w:r>
        <w:r w:rsidR="00087753">
          <w:rPr>
            <w:noProof/>
            <w:webHidden/>
          </w:rPr>
          <w:fldChar w:fldCharType="begin"/>
        </w:r>
        <w:r w:rsidR="00087753">
          <w:rPr>
            <w:noProof/>
            <w:webHidden/>
          </w:rPr>
          <w:instrText xml:space="preserve"> PAGEREF _Toc104985566 \h </w:instrText>
        </w:r>
        <w:r w:rsidR="00087753">
          <w:rPr>
            <w:noProof/>
            <w:webHidden/>
          </w:rPr>
        </w:r>
        <w:r w:rsidR="00087753">
          <w:rPr>
            <w:noProof/>
            <w:webHidden/>
          </w:rPr>
          <w:fldChar w:fldCharType="separate"/>
        </w:r>
        <w:r w:rsidR="004870F1">
          <w:rPr>
            <w:noProof/>
            <w:webHidden/>
          </w:rPr>
          <w:t>57</w:t>
        </w:r>
        <w:r w:rsidR="00087753">
          <w:rPr>
            <w:noProof/>
            <w:webHidden/>
          </w:rPr>
          <w:fldChar w:fldCharType="end"/>
        </w:r>
      </w:hyperlink>
    </w:p>
    <w:p w14:paraId="6BF2F266" w14:textId="5FA3C7D4" w:rsidR="00087753" w:rsidRDefault="00536556">
      <w:pPr>
        <w:pStyle w:val="af7"/>
        <w:tabs>
          <w:tab w:val="right" w:leader="dot" w:pos="9344"/>
        </w:tabs>
        <w:rPr>
          <w:rFonts w:asciiTheme="minorHAnsi" w:eastAsiaTheme="minorEastAsia" w:hAnsiTheme="minorHAnsi"/>
          <w:noProof/>
          <w:sz w:val="22"/>
          <w:lang w:val="ru-RU" w:eastAsia="ru-RU"/>
        </w:rPr>
      </w:pPr>
      <w:hyperlink w:anchor="_Toc104985567" w:history="1">
        <w:r w:rsidR="00087753" w:rsidRPr="0042250A">
          <w:rPr>
            <w:rStyle w:val="a7"/>
            <w:rFonts w:cs="Times New Roman"/>
            <w:noProof/>
            <w:lang w:bidi="en-US"/>
          </w:rPr>
          <w:t>Table 2.1 – Land use/land cover classification</w:t>
        </w:r>
        <w:r w:rsidR="00087753">
          <w:rPr>
            <w:noProof/>
            <w:webHidden/>
          </w:rPr>
          <w:tab/>
        </w:r>
        <w:r w:rsidR="00087753">
          <w:rPr>
            <w:noProof/>
            <w:webHidden/>
          </w:rPr>
          <w:fldChar w:fldCharType="begin"/>
        </w:r>
        <w:r w:rsidR="00087753">
          <w:rPr>
            <w:noProof/>
            <w:webHidden/>
          </w:rPr>
          <w:instrText xml:space="preserve"> PAGEREF _Toc104985567 \h </w:instrText>
        </w:r>
        <w:r w:rsidR="00087753">
          <w:rPr>
            <w:noProof/>
            <w:webHidden/>
          </w:rPr>
        </w:r>
        <w:r w:rsidR="00087753">
          <w:rPr>
            <w:noProof/>
            <w:webHidden/>
          </w:rPr>
          <w:fldChar w:fldCharType="separate"/>
        </w:r>
        <w:r w:rsidR="004870F1">
          <w:rPr>
            <w:noProof/>
            <w:webHidden/>
          </w:rPr>
          <w:t>105</w:t>
        </w:r>
        <w:r w:rsidR="00087753">
          <w:rPr>
            <w:noProof/>
            <w:webHidden/>
          </w:rPr>
          <w:fldChar w:fldCharType="end"/>
        </w:r>
      </w:hyperlink>
    </w:p>
    <w:p w14:paraId="624A2A0A" w14:textId="162AF348" w:rsidR="00087753" w:rsidRDefault="00536556">
      <w:pPr>
        <w:pStyle w:val="af7"/>
        <w:tabs>
          <w:tab w:val="right" w:leader="dot" w:pos="9344"/>
        </w:tabs>
        <w:rPr>
          <w:rFonts w:asciiTheme="minorHAnsi" w:eastAsiaTheme="minorEastAsia" w:hAnsiTheme="minorHAnsi"/>
          <w:noProof/>
          <w:sz w:val="22"/>
          <w:lang w:val="ru-RU" w:eastAsia="ru-RU"/>
        </w:rPr>
      </w:pPr>
      <w:hyperlink w:anchor="_Toc104985568" w:history="1">
        <w:r w:rsidR="00087753" w:rsidRPr="0042250A">
          <w:rPr>
            <w:rStyle w:val="a7"/>
            <w:rFonts w:cs="Times New Roman"/>
            <w:noProof/>
            <w:lang w:bidi="en-US"/>
          </w:rPr>
          <w:t>Table 2.2 Summary of the selected dam sites</w:t>
        </w:r>
        <w:r w:rsidR="00087753">
          <w:rPr>
            <w:noProof/>
            <w:webHidden/>
          </w:rPr>
          <w:tab/>
        </w:r>
        <w:r w:rsidR="00087753">
          <w:rPr>
            <w:noProof/>
            <w:webHidden/>
          </w:rPr>
          <w:fldChar w:fldCharType="begin"/>
        </w:r>
        <w:r w:rsidR="00087753">
          <w:rPr>
            <w:noProof/>
            <w:webHidden/>
          </w:rPr>
          <w:instrText xml:space="preserve"> PAGEREF _Toc104985568 \h </w:instrText>
        </w:r>
        <w:r w:rsidR="00087753">
          <w:rPr>
            <w:noProof/>
            <w:webHidden/>
          </w:rPr>
        </w:r>
        <w:r w:rsidR="00087753">
          <w:rPr>
            <w:noProof/>
            <w:webHidden/>
          </w:rPr>
          <w:fldChar w:fldCharType="separate"/>
        </w:r>
        <w:r w:rsidR="004870F1">
          <w:rPr>
            <w:noProof/>
            <w:webHidden/>
          </w:rPr>
          <w:t>112</w:t>
        </w:r>
        <w:r w:rsidR="00087753">
          <w:rPr>
            <w:noProof/>
            <w:webHidden/>
          </w:rPr>
          <w:fldChar w:fldCharType="end"/>
        </w:r>
      </w:hyperlink>
    </w:p>
    <w:p w14:paraId="523BAC8E" w14:textId="5CB9A5B9" w:rsidR="00087753" w:rsidRDefault="00536556">
      <w:pPr>
        <w:pStyle w:val="af7"/>
        <w:tabs>
          <w:tab w:val="right" w:leader="dot" w:pos="9344"/>
        </w:tabs>
        <w:rPr>
          <w:rFonts w:asciiTheme="minorHAnsi" w:eastAsiaTheme="minorEastAsia" w:hAnsiTheme="minorHAnsi"/>
          <w:noProof/>
          <w:sz w:val="22"/>
          <w:lang w:val="ru-RU" w:eastAsia="ru-RU"/>
        </w:rPr>
      </w:pPr>
      <w:hyperlink w:anchor="_Toc104985569" w:history="1">
        <w:r w:rsidR="00087753" w:rsidRPr="0042250A">
          <w:rPr>
            <w:rStyle w:val="a7"/>
            <w:rFonts w:cs="Times New Roman"/>
            <w:noProof/>
            <w:lang w:bidi="en-US"/>
          </w:rPr>
          <w:t>Table 2.3</w:t>
        </w:r>
        <w:r w:rsidR="00087753" w:rsidRPr="0042250A">
          <w:rPr>
            <w:rStyle w:val="a7"/>
            <w:noProof/>
          </w:rPr>
          <w:t xml:space="preserve"> </w:t>
        </w:r>
        <w:r w:rsidR="00087753" w:rsidRPr="0042250A">
          <w:rPr>
            <w:rStyle w:val="a7"/>
            <w:rFonts w:cs="Times New Roman"/>
            <w:noProof/>
            <w:lang w:bidi="en-US"/>
          </w:rPr>
          <w:t>– Composite CN in the Ndembera catchment</w:t>
        </w:r>
        <w:r w:rsidR="00087753">
          <w:rPr>
            <w:noProof/>
            <w:webHidden/>
          </w:rPr>
          <w:tab/>
        </w:r>
        <w:r w:rsidR="00087753">
          <w:rPr>
            <w:noProof/>
            <w:webHidden/>
          </w:rPr>
          <w:fldChar w:fldCharType="begin"/>
        </w:r>
        <w:r w:rsidR="00087753">
          <w:rPr>
            <w:noProof/>
            <w:webHidden/>
          </w:rPr>
          <w:instrText xml:space="preserve"> PAGEREF _Toc104985569 \h </w:instrText>
        </w:r>
        <w:r w:rsidR="00087753">
          <w:rPr>
            <w:noProof/>
            <w:webHidden/>
          </w:rPr>
        </w:r>
        <w:r w:rsidR="00087753">
          <w:rPr>
            <w:noProof/>
            <w:webHidden/>
          </w:rPr>
          <w:fldChar w:fldCharType="separate"/>
        </w:r>
        <w:r w:rsidR="004870F1">
          <w:rPr>
            <w:noProof/>
            <w:webHidden/>
          </w:rPr>
          <w:t>126</w:t>
        </w:r>
        <w:r w:rsidR="00087753">
          <w:rPr>
            <w:noProof/>
            <w:webHidden/>
          </w:rPr>
          <w:fldChar w:fldCharType="end"/>
        </w:r>
      </w:hyperlink>
    </w:p>
    <w:p w14:paraId="5657A524" w14:textId="7A929F97" w:rsidR="00087753" w:rsidRDefault="00536556">
      <w:pPr>
        <w:pStyle w:val="af7"/>
        <w:tabs>
          <w:tab w:val="right" w:leader="dot" w:pos="9344"/>
        </w:tabs>
        <w:rPr>
          <w:rFonts w:asciiTheme="minorHAnsi" w:eastAsiaTheme="minorEastAsia" w:hAnsiTheme="minorHAnsi"/>
          <w:noProof/>
          <w:sz w:val="22"/>
          <w:lang w:val="ru-RU" w:eastAsia="ru-RU"/>
        </w:rPr>
      </w:pPr>
      <w:hyperlink w:anchor="_Toc104985570" w:history="1">
        <w:r w:rsidR="00087753" w:rsidRPr="0042250A">
          <w:rPr>
            <w:rStyle w:val="a7"/>
            <w:rFonts w:cs="Times New Roman"/>
            <w:noProof/>
            <w:lang w:bidi="en-US"/>
          </w:rPr>
          <w:t>Table 2.4</w:t>
        </w:r>
        <w:r w:rsidR="00087753" w:rsidRPr="0042250A">
          <w:rPr>
            <w:rStyle w:val="a7"/>
            <w:noProof/>
          </w:rPr>
          <w:t xml:space="preserve"> </w:t>
        </w:r>
        <w:r w:rsidR="00087753" w:rsidRPr="0042250A">
          <w:rPr>
            <w:rStyle w:val="a7"/>
            <w:rFonts w:cs="Times New Roman"/>
            <w:noProof/>
            <w:lang w:bidi="en-US"/>
          </w:rPr>
          <w:t>– General dimensions of the Chardara reservoir</w:t>
        </w:r>
        <w:r w:rsidR="00087753">
          <w:rPr>
            <w:noProof/>
            <w:webHidden/>
          </w:rPr>
          <w:tab/>
        </w:r>
        <w:r w:rsidR="00087753">
          <w:rPr>
            <w:noProof/>
            <w:webHidden/>
          </w:rPr>
          <w:fldChar w:fldCharType="begin"/>
        </w:r>
        <w:r w:rsidR="00087753">
          <w:rPr>
            <w:noProof/>
            <w:webHidden/>
          </w:rPr>
          <w:instrText xml:space="preserve"> PAGEREF _Toc104985570 \h </w:instrText>
        </w:r>
        <w:r w:rsidR="00087753">
          <w:rPr>
            <w:noProof/>
            <w:webHidden/>
          </w:rPr>
        </w:r>
        <w:r w:rsidR="00087753">
          <w:rPr>
            <w:noProof/>
            <w:webHidden/>
          </w:rPr>
          <w:fldChar w:fldCharType="separate"/>
        </w:r>
        <w:r w:rsidR="004870F1">
          <w:rPr>
            <w:noProof/>
            <w:webHidden/>
          </w:rPr>
          <w:t>126</w:t>
        </w:r>
        <w:r w:rsidR="00087753">
          <w:rPr>
            <w:noProof/>
            <w:webHidden/>
          </w:rPr>
          <w:fldChar w:fldCharType="end"/>
        </w:r>
      </w:hyperlink>
    </w:p>
    <w:p w14:paraId="7B6742F2" w14:textId="5EF25EFD" w:rsidR="00087753" w:rsidRDefault="00536556">
      <w:pPr>
        <w:pStyle w:val="af7"/>
        <w:tabs>
          <w:tab w:val="right" w:leader="dot" w:pos="9344"/>
        </w:tabs>
        <w:rPr>
          <w:rFonts w:asciiTheme="minorHAnsi" w:eastAsiaTheme="minorEastAsia" w:hAnsiTheme="minorHAnsi"/>
          <w:noProof/>
          <w:sz w:val="22"/>
          <w:lang w:val="ru-RU" w:eastAsia="ru-RU"/>
        </w:rPr>
      </w:pPr>
      <w:hyperlink w:anchor="_Toc104985571" w:history="1">
        <w:r w:rsidR="00087753" w:rsidRPr="0042250A">
          <w:rPr>
            <w:rStyle w:val="a7"/>
            <w:rFonts w:cs="Times New Roman"/>
            <w:noProof/>
            <w:lang w:bidi="en-US"/>
          </w:rPr>
          <w:t>Table 3.1</w:t>
        </w:r>
        <w:r w:rsidR="00087753" w:rsidRPr="0042250A">
          <w:rPr>
            <w:rStyle w:val="a7"/>
            <w:noProof/>
          </w:rPr>
          <w:t xml:space="preserve"> </w:t>
        </w:r>
        <w:r w:rsidR="00087753" w:rsidRPr="0042250A">
          <w:rPr>
            <w:rStyle w:val="a7"/>
            <w:rFonts w:cs="Times New Roman"/>
            <w:noProof/>
            <w:lang w:bidi="en-US"/>
          </w:rPr>
          <w:t>– Flow results</w:t>
        </w:r>
        <w:r w:rsidR="00087753">
          <w:rPr>
            <w:noProof/>
            <w:webHidden/>
          </w:rPr>
          <w:tab/>
        </w:r>
        <w:r w:rsidR="00087753">
          <w:rPr>
            <w:noProof/>
            <w:webHidden/>
          </w:rPr>
          <w:fldChar w:fldCharType="begin"/>
        </w:r>
        <w:r w:rsidR="00087753">
          <w:rPr>
            <w:noProof/>
            <w:webHidden/>
          </w:rPr>
          <w:instrText xml:space="preserve"> PAGEREF _Toc104985571 \h </w:instrText>
        </w:r>
        <w:r w:rsidR="00087753">
          <w:rPr>
            <w:noProof/>
            <w:webHidden/>
          </w:rPr>
        </w:r>
        <w:r w:rsidR="00087753">
          <w:rPr>
            <w:noProof/>
            <w:webHidden/>
          </w:rPr>
          <w:fldChar w:fldCharType="separate"/>
        </w:r>
        <w:r w:rsidR="004870F1">
          <w:rPr>
            <w:noProof/>
            <w:webHidden/>
          </w:rPr>
          <w:t>136</w:t>
        </w:r>
        <w:r w:rsidR="00087753">
          <w:rPr>
            <w:noProof/>
            <w:webHidden/>
          </w:rPr>
          <w:fldChar w:fldCharType="end"/>
        </w:r>
      </w:hyperlink>
    </w:p>
    <w:p w14:paraId="43803B32" w14:textId="23525B85" w:rsidR="00087753" w:rsidRDefault="00536556">
      <w:pPr>
        <w:pStyle w:val="af7"/>
        <w:tabs>
          <w:tab w:val="right" w:leader="dot" w:pos="9344"/>
        </w:tabs>
        <w:rPr>
          <w:rFonts w:asciiTheme="minorHAnsi" w:eastAsiaTheme="minorEastAsia" w:hAnsiTheme="minorHAnsi"/>
          <w:noProof/>
          <w:sz w:val="22"/>
          <w:lang w:val="ru-RU" w:eastAsia="ru-RU"/>
        </w:rPr>
      </w:pPr>
      <w:hyperlink w:anchor="_Toc104985572" w:history="1">
        <w:r w:rsidR="00087753" w:rsidRPr="0042250A">
          <w:rPr>
            <w:rStyle w:val="a7"/>
            <w:rFonts w:cs="Times New Roman"/>
            <w:noProof/>
            <w:lang w:bidi="en-US"/>
          </w:rPr>
          <w:t>Table 3.2</w:t>
        </w:r>
        <w:r w:rsidR="00087753" w:rsidRPr="0042250A">
          <w:rPr>
            <w:rStyle w:val="a7"/>
            <w:noProof/>
          </w:rPr>
          <w:t xml:space="preserve"> </w:t>
        </w:r>
        <w:r w:rsidR="00087753" w:rsidRPr="0042250A">
          <w:rPr>
            <w:rStyle w:val="a7"/>
            <w:rFonts w:cs="Times New Roman"/>
            <w:noProof/>
            <w:lang w:bidi="en-US"/>
          </w:rPr>
          <w:t>– Depth results</w:t>
        </w:r>
        <w:r w:rsidR="00087753">
          <w:rPr>
            <w:noProof/>
            <w:webHidden/>
          </w:rPr>
          <w:tab/>
        </w:r>
        <w:r w:rsidR="00087753">
          <w:rPr>
            <w:noProof/>
            <w:webHidden/>
          </w:rPr>
          <w:fldChar w:fldCharType="begin"/>
        </w:r>
        <w:r w:rsidR="00087753">
          <w:rPr>
            <w:noProof/>
            <w:webHidden/>
          </w:rPr>
          <w:instrText xml:space="preserve"> PAGEREF _Toc104985572 \h </w:instrText>
        </w:r>
        <w:r w:rsidR="00087753">
          <w:rPr>
            <w:noProof/>
            <w:webHidden/>
          </w:rPr>
        </w:r>
        <w:r w:rsidR="00087753">
          <w:rPr>
            <w:noProof/>
            <w:webHidden/>
          </w:rPr>
          <w:fldChar w:fldCharType="separate"/>
        </w:r>
        <w:r w:rsidR="004870F1">
          <w:rPr>
            <w:noProof/>
            <w:webHidden/>
          </w:rPr>
          <w:t>136</w:t>
        </w:r>
        <w:r w:rsidR="00087753">
          <w:rPr>
            <w:noProof/>
            <w:webHidden/>
          </w:rPr>
          <w:fldChar w:fldCharType="end"/>
        </w:r>
      </w:hyperlink>
    </w:p>
    <w:p w14:paraId="296BBB9E" w14:textId="3D1FFDC5" w:rsidR="00087753" w:rsidRDefault="00536556">
      <w:pPr>
        <w:pStyle w:val="af7"/>
        <w:tabs>
          <w:tab w:val="right" w:leader="dot" w:pos="9344"/>
        </w:tabs>
        <w:rPr>
          <w:rFonts w:asciiTheme="minorHAnsi" w:eastAsiaTheme="minorEastAsia" w:hAnsiTheme="minorHAnsi"/>
          <w:noProof/>
          <w:sz w:val="22"/>
          <w:lang w:val="ru-RU" w:eastAsia="ru-RU"/>
        </w:rPr>
      </w:pPr>
      <w:hyperlink w:anchor="_Toc104985573" w:history="1">
        <w:r w:rsidR="00087753" w:rsidRPr="0042250A">
          <w:rPr>
            <w:rStyle w:val="a7"/>
            <w:noProof/>
          </w:rPr>
          <w:t>Table 3.3 – Flow characteristics</w:t>
        </w:r>
        <w:r w:rsidR="00087753">
          <w:rPr>
            <w:noProof/>
            <w:webHidden/>
          </w:rPr>
          <w:tab/>
        </w:r>
        <w:r w:rsidR="00087753">
          <w:rPr>
            <w:noProof/>
            <w:webHidden/>
          </w:rPr>
          <w:fldChar w:fldCharType="begin"/>
        </w:r>
        <w:r w:rsidR="00087753">
          <w:rPr>
            <w:noProof/>
            <w:webHidden/>
          </w:rPr>
          <w:instrText xml:space="preserve"> PAGEREF _Toc104985573 \h </w:instrText>
        </w:r>
        <w:r w:rsidR="00087753">
          <w:rPr>
            <w:noProof/>
            <w:webHidden/>
          </w:rPr>
        </w:r>
        <w:r w:rsidR="00087753">
          <w:rPr>
            <w:noProof/>
            <w:webHidden/>
          </w:rPr>
          <w:fldChar w:fldCharType="separate"/>
        </w:r>
        <w:r w:rsidR="004870F1">
          <w:rPr>
            <w:noProof/>
            <w:webHidden/>
          </w:rPr>
          <w:t>137</w:t>
        </w:r>
        <w:r w:rsidR="00087753">
          <w:rPr>
            <w:noProof/>
            <w:webHidden/>
          </w:rPr>
          <w:fldChar w:fldCharType="end"/>
        </w:r>
      </w:hyperlink>
    </w:p>
    <w:p w14:paraId="250956B2" w14:textId="2273301A" w:rsidR="00087753" w:rsidRDefault="00536556">
      <w:pPr>
        <w:pStyle w:val="af7"/>
        <w:tabs>
          <w:tab w:val="right" w:leader="dot" w:pos="9344"/>
        </w:tabs>
        <w:rPr>
          <w:rFonts w:asciiTheme="minorHAnsi" w:eastAsiaTheme="minorEastAsia" w:hAnsiTheme="minorHAnsi"/>
          <w:noProof/>
          <w:sz w:val="22"/>
          <w:lang w:val="ru-RU" w:eastAsia="ru-RU"/>
        </w:rPr>
      </w:pPr>
      <w:hyperlink w:anchor="_Toc104985574" w:history="1">
        <w:r w:rsidR="00087753" w:rsidRPr="0042250A">
          <w:rPr>
            <w:rStyle w:val="a7"/>
            <w:rFonts w:cs="Times New Roman"/>
            <w:noProof/>
            <w:lang w:bidi="en-US"/>
          </w:rPr>
          <w:t>Table 3.4</w:t>
        </w:r>
        <w:r w:rsidR="00087753" w:rsidRPr="0042250A">
          <w:rPr>
            <w:rStyle w:val="a7"/>
            <w:noProof/>
          </w:rPr>
          <w:t xml:space="preserve"> </w:t>
        </w:r>
        <w:r w:rsidR="00087753" w:rsidRPr="0042250A">
          <w:rPr>
            <w:rStyle w:val="a7"/>
            <w:rFonts w:cs="Times New Roman"/>
            <w:noProof/>
            <w:lang w:bidi="en-US"/>
          </w:rPr>
          <w:t>– Depth characteristics</w:t>
        </w:r>
        <w:r w:rsidR="00087753">
          <w:rPr>
            <w:noProof/>
            <w:webHidden/>
          </w:rPr>
          <w:tab/>
        </w:r>
        <w:r w:rsidR="00087753">
          <w:rPr>
            <w:noProof/>
            <w:webHidden/>
          </w:rPr>
          <w:fldChar w:fldCharType="begin"/>
        </w:r>
        <w:r w:rsidR="00087753">
          <w:rPr>
            <w:noProof/>
            <w:webHidden/>
          </w:rPr>
          <w:instrText xml:space="preserve"> PAGEREF _Toc104985574 \h </w:instrText>
        </w:r>
        <w:r w:rsidR="00087753">
          <w:rPr>
            <w:noProof/>
            <w:webHidden/>
          </w:rPr>
        </w:r>
        <w:r w:rsidR="00087753">
          <w:rPr>
            <w:noProof/>
            <w:webHidden/>
          </w:rPr>
          <w:fldChar w:fldCharType="separate"/>
        </w:r>
        <w:r w:rsidR="004870F1">
          <w:rPr>
            <w:noProof/>
            <w:webHidden/>
          </w:rPr>
          <w:t>137</w:t>
        </w:r>
        <w:r w:rsidR="00087753">
          <w:rPr>
            <w:noProof/>
            <w:webHidden/>
          </w:rPr>
          <w:fldChar w:fldCharType="end"/>
        </w:r>
      </w:hyperlink>
    </w:p>
    <w:p w14:paraId="724FAA47" w14:textId="50AD549E" w:rsidR="00087753" w:rsidRDefault="00536556">
      <w:pPr>
        <w:pStyle w:val="af7"/>
        <w:tabs>
          <w:tab w:val="right" w:leader="dot" w:pos="9344"/>
        </w:tabs>
        <w:rPr>
          <w:rFonts w:asciiTheme="minorHAnsi" w:eastAsiaTheme="minorEastAsia" w:hAnsiTheme="minorHAnsi"/>
          <w:noProof/>
          <w:sz w:val="22"/>
          <w:lang w:val="ru-RU" w:eastAsia="ru-RU"/>
        </w:rPr>
      </w:pPr>
      <w:hyperlink w:anchor="_Toc104985575" w:history="1">
        <w:r w:rsidR="00087753" w:rsidRPr="0042250A">
          <w:rPr>
            <w:rStyle w:val="a7"/>
            <w:noProof/>
          </w:rPr>
          <w:t>Table 4.1</w:t>
        </w:r>
        <w:r w:rsidR="00087753" w:rsidRPr="0042250A">
          <w:rPr>
            <w:rStyle w:val="a7"/>
            <w:b/>
            <w:bCs/>
            <w:noProof/>
            <w:lang w:bidi="en-US"/>
          </w:rPr>
          <w:t xml:space="preserve"> </w:t>
        </w:r>
        <w:r w:rsidR="00087753" w:rsidRPr="0042250A">
          <w:rPr>
            <w:rStyle w:val="a7"/>
            <w:noProof/>
            <w:lang w:bidi="en-US"/>
          </w:rPr>
          <w:t>– General cases of the investigation</w:t>
        </w:r>
        <w:r w:rsidR="00087753">
          <w:rPr>
            <w:noProof/>
            <w:webHidden/>
          </w:rPr>
          <w:tab/>
        </w:r>
        <w:r w:rsidR="00087753">
          <w:rPr>
            <w:noProof/>
            <w:webHidden/>
          </w:rPr>
          <w:fldChar w:fldCharType="begin"/>
        </w:r>
        <w:r w:rsidR="00087753">
          <w:rPr>
            <w:noProof/>
            <w:webHidden/>
          </w:rPr>
          <w:instrText xml:space="preserve"> PAGEREF _Toc104985575 \h </w:instrText>
        </w:r>
        <w:r w:rsidR="00087753">
          <w:rPr>
            <w:noProof/>
            <w:webHidden/>
          </w:rPr>
        </w:r>
        <w:r w:rsidR="00087753">
          <w:rPr>
            <w:noProof/>
            <w:webHidden/>
          </w:rPr>
          <w:fldChar w:fldCharType="separate"/>
        </w:r>
        <w:r w:rsidR="004870F1">
          <w:rPr>
            <w:noProof/>
            <w:webHidden/>
          </w:rPr>
          <w:t>139</w:t>
        </w:r>
        <w:r w:rsidR="00087753">
          <w:rPr>
            <w:noProof/>
            <w:webHidden/>
          </w:rPr>
          <w:fldChar w:fldCharType="end"/>
        </w:r>
      </w:hyperlink>
    </w:p>
    <w:p w14:paraId="754447CC" w14:textId="5F070EC1" w:rsidR="00087753" w:rsidRDefault="00536556">
      <w:pPr>
        <w:pStyle w:val="af7"/>
        <w:tabs>
          <w:tab w:val="right" w:leader="dot" w:pos="9344"/>
        </w:tabs>
        <w:rPr>
          <w:rFonts w:asciiTheme="minorHAnsi" w:eastAsiaTheme="minorEastAsia" w:hAnsiTheme="minorHAnsi"/>
          <w:noProof/>
          <w:sz w:val="22"/>
          <w:lang w:val="ru-RU" w:eastAsia="ru-RU"/>
        </w:rPr>
      </w:pPr>
      <w:hyperlink w:anchor="_Toc104985576" w:history="1">
        <w:r w:rsidR="00087753" w:rsidRPr="0042250A">
          <w:rPr>
            <w:rStyle w:val="a7"/>
            <w:rFonts w:cs="Times New Roman"/>
            <w:noProof/>
            <w:lang w:bidi="en-US"/>
          </w:rPr>
          <w:t>Table 4.2</w:t>
        </w:r>
        <w:r w:rsidR="00087753" w:rsidRPr="0042250A">
          <w:rPr>
            <w:rStyle w:val="a7"/>
            <w:noProof/>
          </w:rPr>
          <w:t xml:space="preserve"> </w:t>
        </w:r>
        <w:r w:rsidR="00087753" w:rsidRPr="0042250A">
          <w:rPr>
            <w:rStyle w:val="a7"/>
            <w:rFonts w:cs="Times New Roman"/>
            <w:noProof/>
            <w:lang w:bidi="en-US"/>
          </w:rPr>
          <w:t>– Soil properties</w:t>
        </w:r>
        <w:r w:rsidR="00087753">
          <w:rPr>
            <w:noProof/>
            <w:webHidden/>
          </w:rPr>
          <w:tab/>
        </w:r>
        <w:r w:rsidR="00087753">
          <w:rPr>
            <w:noProof/>
            <w:webHidden/>
          </w:rPr>
          <w:fldChar w:fldCharType="begin"/>
        </w:r>
        <w:r w:rsidR="00087753">
          <w:rPr>
            <w:noProof/>
            <w:webHidden/>
          </w:rPr>
          <w:instrText xml:space="preserve"> PAGEREF _Toc104985576 \h </w:instrText>
        </w:r>
        <w:r w:rsidR="00087753">
          <w:rPr>
            <w:noProof/>
            <w:webHidden/>
          </w:rPr>
        </w:r>
        <w:r w:rsidR="00087753">
          <w:rPr>
            <w:noProof/>
            <w:webHidden/>
          </w:rPr>
          <w:fldChar w:fldCharType="separate"/>
        </w:r>
        <w:r w:rsidR="004870F1">
          <w:rPr>
            <w:noProof/>
            <w:webHidden/>
          </w:rPr>
          <w:t>141</w:t>
        </w:r>
        <w:r w:rsidR="00087753">
          <w:rPr>
            <w:noProof/>
            <w:webHidden/>
          </w:rPr>
          <w:fldChar w:fldCharType="end"/>
        </w:r>
      </w:hyperlink>
    </w:p>
    <w:p w14:paraId="57834D6D" w14:textId="7022D552" w:rsidR="00087753" w:rsidRDefault="00536556">
      <w:pPr>
        <w:pStyle w:val="af7"/>
        <w:tabs>
          <w:tab w:val="right" w:leader="dot" w:pos="9344"/>
        </w:tabs>
        <w:rPr>
          <w:rFonts w:asciiTheme="minorHAnsi" w:eastAsiaTheme="minorEastAsia" w:hAnsiTheme="minorHAnsi"/>
          <w:noProof/>
          <w:sz w:val="22"/>
          <w:lang w:val="ru-RU" w:eastAsia="ru-RU"/>
        </w:rPr>
      </w:pPr>
      <w:hyperlink w:anchor="_Toc104985577" w:history="1">
        <w:r w:rsidR="00087753" w:rsidRPr="0042250A">
          <w:rPr>
            <w:rStyle w:val="a7"/>
            <w:rFonts w:cs="Times New Roman"/>
            <w:noProof/>
            <w:lang w:bidi="en-US"/>
          </w:rPr>
          <w:t>Table 4.3</w:t>
        </w:r>
        <w:r w:rsidR="00087753" w:rsidRPr="0042250A">
          <w:rPr>
            <w:rStyle w:val="a7"/>
            <w:noProof/>
          </w:rPr>
          <w:t xml:space="preserve"> </w:t>
        </w:r>
        <w:r w:rsidR="00087753" w:rsidRPr="0042250A">
          <w:rPr>
            <w:rStyle w:val="a7"/>
            <w:rFonts w:cs="Times New Roman"/>
            <w:noProof/>
            <w:lang w:bidi="en-US"/>
          </w:rPr>
          <w:t>– Different drawdown modes with their values of factor of safety.</w:t>
        </w:r>
        <w:r w:rsidR="00087753">
          <w:rPr>
            <w:noProof/>
            <w:webHidden/>
          </w:rPr>
          <w:tab/>
        </w:r>
        <w:r w:rsidR="00087753">
          <w:rPr>
            <w:noProof/>
            <w:webHidden/>
          </w:rPr>
          <w:fldChar w:fldCharType="begin"/>
        </w:r>
        <w:r w:rsidR="00087753">
          <w:rPr>
            <w:noProof/>
            <w:webHidden/>
          </w:rPr>
          <w:instrText xml:space="preserve"> PAGEREF _Toc104985577 \h </w:instrText>
        </w:r>
        <w:r w:rsidR="00087753">
          <w:rPr>
            <w:noProof/>
            <w:webHidden/>
          </w:rPr>
        </w:r>
        <w:r w:rsidR="00087753">
          <w:rPr>
            <w:noProof/>
            <w:webHidden/>
          </w:rPr>
          <w:fldChar w:fldCharType="separate"/>
        </w:r>
        <w:r w:rsidR="004870F1">
          <w:rPr>
            <w:noProof/>
            <w:webHidden/>
          </w:rPr>
          <w:t>152</w:t>
        </w:r>
        <w:r w:rsidR="00087753">
          <w:rPr>
            <w:noProof/>
            <w:webHidden/>
          </w:rPr>
          <w:fldChar w:fldCharType="end"/>
        </w:r>
      </w:hyperlink>
    </w:p>
    <w:p w14:paraId="633E3339" w14:textId="5DE7713A" w:rsidR="00087753" w:rsidRDefault="00536556">
      <w:pPr>
        <w:pStyle w:val="af7"/>
        <w:tabs>
          <w:tab w:val="right" w:leader="dot" w:pos="9344"/>
        </w:tabs>
        <w:rPr>
          <w:rFonts w:asciiTheme="minorHAnsi" w:eastAsiaTheme="minorEastAsia" w:hAnsiTheme="minorHAnsi"/>
          <w:noProof/>
          <w:sz w:val="22"/>
          <w:lang w:val="ru-RU" w:eastAsia="ru-RU"/>
        </w:rPr>
      </w:pPr>
      <w:hyperlink w:anchor="_Toc104985578" w:history="1">
        <w:r w:rsidR="00087753" w:rsidRPr="0042250A">
          <w:rPr>
            <w:rStyle w:val="a7"/>
            <w:rFonts w:cs="Times New Roman"/>
            <w:noProof/>
            <w:lang w:bidi="en-US"/>
          </w:rPr>
          <w:t>Table 4.4</w:t>
        </w:r>
        <w:r w:rsidR="00087753" w:rsidRPr="0042250A">
          <w:rPr>
            <w:rStyle w:val="a7"/>
            <w:noProof/>
          </w:rPr>
          <w:t xml:space="preserve"> </w:t>
        </w:r>
        <w:r w:rsidR="00087753" w:rsidRPr="0042250A">
          <w:rPr>
            <w:rStyle w:val="a7"/>
            <w:rFonts w:cs="Times New Roman"/>
            <w:noProof/>
            <w:lang w:bidi="en-US"/>
          </w:rPr>
          <w:t>– Summary of the embankment geometry parameters</w:t>
        </w:r>
        <w:r w:rsidR="00087753">
          <w:rPr>
            <w:noProof/>
            <w:webHidden/>
          </w:rPr>
          <w:tab/>
        </w:r>
        <w:r w:rsidR="00087753">
          <w:rPr>
            <w:noProof/>
            <w:webHidden/>
          </w:rPr>
          <w:fldChar w:fldCharType="begin"/>
        </w:r>
        <w:r w:rsidR="00087753">
          <w:rPr>
            <w:noProof/>
            <w:webHidden/>
          </w:rPr>
          <w:instrText xml:space="preserve"> PAGEREF _Toc104985578 \h </w:instrText>
        </w:r>
        <w:r w:rsidR="00087753">
          <w:rPr>
            <w:noProof/>
            <w:webHidden/>
          </w:rPr>
        </w:r>
        <w:r w:rsidR="00087753">
          <w:rPr>
            <w:noProof/>
            <w:webHidden/>
          </w:rPr>
          <w:fldChar w:fldCharType="separate"/>
        </w:r>
        <w:r w:rsidR="004870F1">
          <w:rPr>
            <w:noProof/>
            <w:webHidden/>
          </w:rPr>
          <w:t>153</w:t>
        </w:r>
        <w:r w:rsidR="00087753">
          <w:rPr>
            <w:noProof/>
            <w:webHidden/>
          </w:rPr>
          <w:fldChar w:fldCharType="end"/>
        </w:r>
      </w:hyperlink>
    </w:p>
    <w:p w14:paraId="64400FBC" w14:textId="117A7F95" w:rsidR="00087753" w:rsidRDefault="00536556">
      <w:pPr>
        <w:pStyle w:val="af7"/>
        <w:tabs>
          <w:tab w:val="right" w:leader="dot" w:pos="9344"/>
        </w:tabs>
        <w:rPr>
          <w:rFonts w:asciiTheme="minorHAnsi" w:eastAsiaTheme="minorEastAsia" w:hAnsiTheme="minorHAnsi"/>
          <w:noProof/>
          <w:sz w:val="22"/>
          <w:lang w:val="ru-RU" w:eastAsia="ru-RU"/>
        </w:rPr>
      </w:pPr>
      <w:hyperlink w:anchor="_Toc104985579" w:history="1">
        <w:r w:rsidR="00087753" w:rsidRPr="0042250A">
          <w:rPr>
            <w:rStyle w:val="a7"/>
            <w:noProof/>
          </w:rPr>
          <w:t>Table 4.5 – A maximum and a minimum factor of safety values from the instantaneous and 5 days drawdown rates</w:t>
        </w:r>
        <w:r w:rsidR="00087753">
          <w:rPr>
            <w:noProof/>
            <w:webHidden/>
          </w:rPr>
          <w:tab/>
        </w:r>
        <w:r w:rsidR="00087753">
          <w:rPr>
            <w:noProof/>
            <w:webHidden/>
          </w:rPr>
          <w:fldChar w:fldCharType="begin"/>
        </w:r>
        <w:r w:rsidR="00087753">
          <w:rPr>
            <w:noProof/>
            <w:webHidden/>
          </w:rPr>
          <w:instrText xml:space="preserve"> PAGEREF _Toc104985579 \h </w:instrText>
        </w:r>
        <w:r w:rsidR="00087753">
          <w:rPr>
            <w:noProof/>
            <w:webHidden/>
          </w:rPr>
        </w:r>
        <w:r w:rsidR="00087753">
          <w:rPr>
            <w:noProof/>
            <w:webHidden/>
          </w:rPr>
          <w:fldChar w:fldCharType="separate"/>
        </w:r>
        <w:r w:rsidR="004870F1">
          <w:rPr>
            <w:noProof/>
            <w:webHidden/>
          </w:rPr>
          <w:t>157</w:t>
        </w:r>
        <w:r w:rsidR="00087753">
          <w:rPr>
            <w:noProof/>
            <w:webHidden/>
          </w:rPr>
          <w:fldChar w:fldCharType="end"/>
        </w:r>
      </w:hyperlink>
    </w:p>
    <w:p w14:paraId="08A88D12" w14:textId="120F428C" w:rsidR="00087753" w:rsidRDefault="00536556">
      <w:pPr>
        <w:pStyle w:val="af7"/>
        <w:tabs>
          <w:tab w:val="right" w:leader="dot" w:pos="9344"/>
        </w:tabs>
        <w:rPr>
          <w:rFonts w:asciiTheme="minorHAnsi" w:eastAsiaTheme="minorEastAsia" w:hAnsiTheme="minorHAnsi"/>
          <w:noProof/>
          <w:sz w:val="22"/>
          <w:lang w:val="ru-RU" w:eastAsia="ru-RU"/>
        </w:rPr>
      </w:pPr>
      <w:hyperlink w:anchor="_Toc104985580" w:history="1">
        <w:r w:rsidR="00087753" w:rsidRPr="0042250A">
          <w:rPr>
            <w:rStyle w:val="a7"/>
            <w:rFonts w:cs="Times New Roman"/>
            <w:noProof/>
          </w:rPr>
          <w:t>Table 4.6</w:t>
        </w:r>
        <w:r w:rsidR="00087753" w:rsidRPr="0042250A">
          <w:rPr>
            <w:rStyle w:val="a7"/>
            <w:i/>
            <w:iCs/>
            <w:noProof/>
          </w:rPr>
          <w:t xml:space="preserve"> </w:t>
        </w:r>
        <w:r w:rsidR="00087753" w:rsidRPr="0042250A">
          <w:rPr>
            <w:rStyle w:val="a7"/>
            <w:rFonts w:cs="Times New Roman"/>
            <w:noProof/>
          </w:rPr>
          <w:t xml:space="preserve">– </w:t>
        </w:r>
        <w:r w:rsidR="00087753" w:rsidRPr="0042250A">
          <w:rPr>
            <w:rStyle w:val="a7"/>
            <w:rFonts w:cs="Times New Roman"/>
            <w:noProof/>
            <w:lang w:bidi="en-US"/>
          </w:rPr>
          <w:t>Summary of the embankment geometry parameters</w:t>
        </w:r>
        <w:r w:rsidR="00087753">
          <w:rPr>
            <w:noProof/>
            <w:webHidden/>
          </w:rPr>
          <w:tab/>
        </w:r>
        <w:r w:rsidR="00087753">
          <w:rPr>
            <w:noProof/>
            <w:webHidden/>
          </w:rPr>
          <w:fldChar w:fldCharType="begin"/>
        </w:r>
        <w:r w:rsidR="00087753">
          <w:rPr>
            <w:noProof/>
            <w:webHidden/>
          </w:rPr>
          <w:instrText xml:space="preserve"> PAGEREF _Toc104985580 \h </w:instrText>
        </w:r>
        <w:r w:rsidR="00087753">
          <w:rPr>
            <w:noProof/>
            <w:webHidden/>
          </w:rPr>
        </w:r>
        <w:r w:rsidR="00087753">
          <w:rPr>
            <w:noProof/>
            <w:webHidden/>
          </w:rPr>
          <w:fldChar w:fldCharType="separate"/>
        </w:r>
        <w:r w:rsidR="004870F1">
          <w:rPr>
            <w:noProof/>
            <w:webHidden/>
          </w:rPr>
          <w:t>158</w:t>
        </w:r>
        <w:r w:rsidR="00087753">
          <w:rPr>
            <w:noProof/>
            <w:webHidden/>
          </w:rPr>
          <w:fldChar w:fldCharType="end"/>
        </w:r>
      </w:hyperlink>
    </w:p>
    <w:p w14:paraId="4538A2FC" w14:textId="26435864" w:rsidR="00087753" w:rsidRDefault="00536556">
      <w:pPr>
        <w:pStyle w:val="af7"/>
        <w:tabs>
          <w:tab w:val="right" w:leader="dot" w:pos="9344"/>
        </w:tabs>
        <w:rPr>
          <w:rFonts w:asciiTheme="minorHAnsi" w:eastAsiaTheme="minorEastAsia" w:hAnsiTheme="minorHAnsi"/>
          <w:noProof/>
          <w:sz w:val="22"/>
          <w:lang w:val="ru-RU" w:eastAsia="ru-RU"/>
        </w:rPr>
      </w:pPr>
      <w:hyperlink w:anchor="_Toc104985581" w:history="1">
        <w:r w:rsidR="00087753" w:rsidRPr="0042250A">
          <w:rPr>
            <w:rStyle w:val="a7"/>
            <w:noProof/>
          </w:rPr>
          <w:t xml:space="preserve">Table 4.7 – Characteristics of the </w:t>
        </w:r>
        <w:r w:rsidR="00087753" w:rsidRPr="0042250A">
          <w:rPr>
            <w:rStyle w:val="a7"/>
            <w:noProof/>
            <w:lang w:bidi="en-US"/>
          </w:rPr>
          <w:t>soil properties used in the study</w:t>
        </w:r>
        <w:r w:rsidR="00087753">
          <w:rPr>
            <w:noProof/>
            <w:webHidden/>
          </w:rPr>
          <w:tab/>
        </w:r>
        <w:r w:rsidR="00087753">
          <w:rPr>
            <w:noProof/>
            <w:webHidden/>
          </w:rPr>
          <w:fldChar w:fldCharType="begin"/>
        </w:r>
        <w:r w:rsidR="00087753">
          <w:rPr>
            <w:noProof/>
            <w:webHidden/>
          </w:rPr>
          <w:instrText xml:space="preserve"> PAGEREF _Toc104985581 \h </w:instrText>
        </w:r>
        <w:r w:rsidR="00087753">
          <w:rPr>
            <w:noProof/>
            <w:webHidden/>
          </w:rPr>
        </w:r>
        <w:r w:rsidR="00087753">
          <w:rPr>
            <w:noProof/>
            <w:webHidden/>
          </w:rPr>
          <w:fldChar w:fldCharType="separate"/>
        </w:r>
        <w:r w:rsidR="004870F1">
          <w:rPr>
            <w:noProof/>
            <w:webHidden/>
          </w:rPr>
          <w:t>159</w:t>
        </w:r>
        <w:r w:rsidR="00087753">
          <w:rPr>
            <w:noProof/>
            <w:webHidden/>
          </w:rPr>
          <w:fldChar w:fldCharType="end"/>
        </w:r>
      </w:hyperlink>
    </w:p>
    <w:p w14:paraId="28D18746" w14:textId="7C5F8C3E" w:rsidR="00087753" w:rsidRDefault="00536556">
      <w:pPr>
        <w:pStyle w:val="af7"/>
        <w:tabs>
          <w:tab w:val="right" w:leader="dot" w:pos="9344"/>
        </w:tabs>
        <w:rPr>
          <w:rFonts w:asciiTheme="minorHAnsi" w:eastAsiaTheme="minorEastAsia" w:hAnsiTheme="minorHAnsi"/>
          <w:noProof/>
          <w:sz w:val="22"/>
          <w:lang w:val="ru-RU" w:eastAsia="ru-RU"/>
        </w:rPr>
      </w:pPr>
      <w:hyperlink w:anchor="_Toc104985582" w:history="1">
        <w:r w:rsidR="00087753" w:rsidRPr="0042250A">
          <w:rPr>
            <w:rStyle w:val="a7"/>
            <w:rFonts w:cs="Times New Roman"/>
            <w:noProof/>
            <w:lang w:bidi="en-US"/>
          </w:rPr>
          <w:t>Table 5.1</w:t>
        </w:r>
        <w:r w:rsidR="00087753" w:rsidRPr="0042250A">
          <w:rPr>
            <w:rStyle w:val="a7"/>
            <w:noProof/>
          </w:rPr>
          <w:t xml:space="preserve"> </w:t>
        </w:r>
        <w:r w:rsidR="00087753" w:rsidRPr="0042250A">
          <w:rPr>
            <w:rStyle w:val="a7"/>
            <w:rFonts w:cs="Times New Roman"/>
            <w:noProof/>
            <w:lang w:bidi="en-US"/>
          </w:rPr>
          <w:t>– Material properties of the embankment</w:t>
        </w:r>
        <w:r w:rsidR="00087753">
          <w:rPr>
            <w:noProof/>
            <w:webHidden/>
          </w:rPr>
          <w:tab/>
        </w:r>
        <w:r w:rsidR="00087753">
          <w:rPr>
            <w:noProof/>
            <w:webHidden/>
          </w:rPr>
          <w:fldChar w:fldCharType="begin"/>
        </w:r>
        <w:r w:rsidR="00087753">
          <w:rPr>
            <w:noProof/>
            <w:webHidden/>
          </w:rPr>
          <w:instrText xml:space="preserve"> PAGEREF _Toc104985582 \h </w:instrText>
        </w:r>
        <w:r w:rsidR="00087753">
          <w:rPr>
            <w:noProof/>
            <w:webHidden/>
          </w:rPr>
        </w:r>
        <w:r w:rsidR="00087753">
          <w:rPr>
            <w:noProof/>
            <w:webHidden/>
          </w:rPr>
          <w:fldChar w:fldCharType="separate"/>
        </w:r>
        <w:r w:rsidR="004870F1">
          <w:rPr>
            <w:noProof/>
            <w:webHidden/>
          </w:rPr>
          <w:t>170</w:t>
        </w:r>
        <w:r w:rsidR="00087753">
          <w:rPr>
            <w:noProof/>
            <w:webHidden/>
          </w:rPr>
          <w:fldChar w:fldCharType="end"/>
        </w:r>
      </w:hyperlink>
    </w:p>
    <w:p w14:paraId="093F4739" w14:textId="686A7629" w:rsidR="00087753" w:rsidRDefault="00536556">
      <w:pPr>
        <w:pStyle w:val="af7"/>
        <w:tabs>
          <w:tab w:val="right" w:leader="dot" w:pos="9344"/>
        </w:tabs>
        <w:rPr>
          <w:rFonts w:asciiTheme="minorHAnsi" w:eastAsiaTheme="minorEastAsia" w:hAnsiTheme="minorHAnsi"/>
          <w:noProof/>
          <w:sz w:val="22"/>
          <w:lang w:val="ru-RU" w:eastAsia="ru-RU"/>
        </w:rPr>
      </w:pPr>
      <w:hyperlink w:anchor="_Toc104985583" w:history="1">
        <w:r w:rsidR="00087753" w:rsidRPr="0042250A">
          <w:rPr>
            <w:rStyle w:val="a7"/>
            <w:rFonts w:cs="Times New Roman"/>
            <w:noProof/>
            <w:lang w:bidi="en-US"/>
          </w:rPr>
          <w:t>Table 5.2</w:t>
        </w:r>
        <w:r w:rsidR="00087753" w:rsidRPr="0042250A">
          <w:rPr>
            <w:rStyle w:val="a7"/>
            <w:noProof/>
          </w:rPr>
          <w:t xml:space="preserve"> </w:t>
        </w:r>
        <w:r w:rsidR="00087753" w:rsidRPr="0042250A">
          <w:rPr>
            <w:rStyle w:val="a7"/>
            <w:rFonts w:cs="Times New Roman"/>
            <w:noProof/>
            <w:lang w:bidi="en-US"/>
          </w:rPr>
          <w:t>– Material properties</w:t>
        </w:r>
        <w:r w:rsidR="00087753">
          <w:rPr>
            <w:noProof/>
            <w:webHidden/>
          </w:rPr>
          <w:tab/>
        </w:r>
        <w:r w:rsidR="00087753">
          <w:rPr>
            <w:noProof/>
            <w:webHidden/>
          </w:rPr>
          <w:fldChar w:fldCharType="begin"/>
        </w:r>
        <w:r w:rsidR="00087753">
          <w:rPr>
            <w:noProof/>
            <w:webHidden/>
          </w:rPr>
          <w:instrText xml:space="preserve"> PAGEREF _Toc104985583 \h </w:instrText>
        </w:r>
        <w:r w:rsidR="00087753">
          <w:rPr>
            <w:noProof/>
            <w:webHidden/>
          </w:rPr>
        </w:r>
        <w:r w:rsidR="00087753">
          <w:rPr>
            <w:noProof/>
            <w:webHidden/>
          </w:rPr>
          <w:fldChar w:fldCharType="separate"/>
        </w:r>
        <w:r w:rsidR="004870F1">
          <w:rPr>
            <w:noProof/>
            <w:webHidden/>
          </w:rPr>
          <w:t>178</w:t>
        </w:r>
        <w:r w:rsidR="00087753">
          <w:rPr>
            <w:noProof/>
            <w:webHidden/>
          </w:rPr>
          <w:fldChar w:fldCharType="end"/>
        </w:r>
      </w:hyperlink>
    </w:p>
    <w:p w14:paraId="5B9C116C" w14:textId="66F86A99" w:rsidR="00087753" w:rsidRDefault="00536556">
      <w:pPr>
        <w:pStyle w:val="af7"/>
        <w:tabs>
          <w:tab w:val="right" w:leader="dot" w:pos="9344"/>
        </w:tabs>
        <w:rPr>
          <w:rFonts w:asciiTheme="minorHAnsi" w:eastAsiaTheme="minorEastAsia" w:hAnsiTheme="minorHAnsi"/>
          <w:noProof/>
          <w:sz w:val="22"/>
          <w:lang w:val="ru-RU" w:eastAsia="ru-RU"/>
        </w:rPr>
      </w:pPr>
      <w:hyperlink w:anchor="_Toc104985584" w:history="1">
        <w:r w:rsidR="00087753" w:rsidRPr="0042250A">
          <w:rPr>
            <w:rStyle w:val="a7"/>
            <w:rFonts w:cs="Times New Roman"/>
            <w:noProof/>
            <w:lang w:bidi="en-US"/>
          </w:rPr>
          <w:t>Table 5.3</w:t>
        </w:r>
        <w:r w:rsidR="00087753" w:rsidRPr="0042250A">
          <w:rPr>
            <w:rStyle w:val="a7"/>
            <w:noProof/>
          </w:rPr>
          <w:t xml:space="preserve"> </w:t>
        </w:r>
        <w:r w:rsidR="00087753" w:rsidRPr="0042250A">
          <w:rPr>
            <w:rStyle w:val="a7"/>
            <w:rFonts w:cs="Times New Roman"/>
            <w:noProof/>
            <w:lang w:bidi="en-US"/>
          </w:rPr>
          <w:t>– The minimum factor of safety values are based on the saturated hydraulic conductivity values in zone 1 under 1m per day drawdown rate</w:t>
        </w:r>
        <w:r w:rsidR="00087753">
          <w:rPr>
            <w:noProof/>
            <w:webHidden/>
          </w:rPr>
          <w:tab/>
        </w:r>
        <w:r w:rsidR="00087753">
          <w:rPr>
            <w:noProof/>
            <w:webHidden/>
          </w:rPr>
          <w:fldChar w:fldCharType="begin"/>
        </w:r>
        <w:r w:rsidR="00087753">
          <w:rPr>
            <w:noProof/>
            <w:webHidden/>
          </w:rPr>
          <w:instrText xml:space="preserve"> PAGEREF _Toc104985584 \h </w:instrText>
        </w:r>
        <w:r w:rsidR="00087753">
          <w:rPr>
            <w:noProof/>
            <w:webHidden/>
          </w:rPr>
        </w:r>
        <w:r w:rsidR="00087753">
          <w:rPr>
            <w:noProof/>
            <w:webHidden/>
          </w:rPr>
          <w:fldChar w:fldCharType="separate"/>
        </w:r>
        <w:r w:rsidR="004870F1">
          <w:rPr>
            <w:noProof/>
            <w:webHidden/>
          </w:rPr>
          <w:t>189</w:t>
        </w:r>
        <w:r w:rsidR="00087753">
          <w:rPr>
            <w:noProof/>
            <w:webHidden/>
          </w:rPr>
          <w:fldChar w:fldCharType="end"/>
        </w:r>
      </w:hyperlink>
    </w:p>
    <w:p w14:paraId="0D555386" w14:textId="1DF8EEA1" w:rsidR="00087753" w:rsidRDefault="00536556">
      <w:pPr>
        <w:pStyle w:val="af7"/>
        <w:tabs>
          <w:tab w:val="right" w:leader="dot" w:pos="9344"/>
        </w:tabs>
        <w:rPr>
          <w:rFonts w:asciiTheme="minorHAnsi" w:eastAsiaTheme="minorEastAsia" w:hAnsiTheme="minorHAnsi"/>
          <w:noProof/>
          <w:sz w:val="22"/>
          <w:lang w:val="ru-RU" w:eastAsia="ru-RU"/>
        </w:rPr>
      </w:pPr>
      <w:hyperlink w:anchor="_Toc104985585" w:history="1">
        <w:r w:rsidR="00087753" w:rsidRPr="0042250A">
          <w:rPr>
            <w:rStyle w:val="a7"/>
            <w:rFonts w:cs="Times New Roman"/>
            <w:noProof/>
            <w:lang w:bidi="en-US"/>
          </w:rPr>
          <w:t>Table 5.4 ANOVA results from different hydraulic conductivity values, normal operating reservoir level, and instantaneous drawdown rate.</w:t>
        </w:r>
        <w:r w:rsidR="00087753">
          <w:rPr>
            <w:noProof/>
            <w:webHidden/>
          </w:rPr>
          <w:tab/>
        </w:r>
        <w:r w:rsidR="00087753">
          <w:rPr>
            <w:noProof/>
            <w:webHidden/>
          </w:rPr>
          <w:fldChar w:fldCharType="begin"/>
        </w:r>
        <w:r w:rsidR="00087753">
          <w:rPr>
            <w:noProof/>
            <w:webHidden/>
          </w:rPr>
          <w:instrText xml:space="preserve"> PAGEREF _Toc104985585 \h </w:instrText>
        </w:r>
        <w:r w:rsidR="00087753">
          <w:rPr>
            <w:noProof/>
            <w:webHidden/>
          </w:rPr>
        </w:r>
        <w:r w:rsidR="00087753">
          <w:rPr>
            <w:noProof/>
            <w:webHidden/>
          </w:rPr>
          <w:fldChar w:fldCharType="separate"/>
        </w:r>
        <w:r w:rsidR="004870F1">
          <w:rPr>
            <w:noProof/>
            <w:webHidden/>
          </w:rPr>
          <w:t>190</w:t>
        </w:r>
        <w:r w:rsidR="00087753">
          <w:rPr>
            <w:noProof/>
            <w:webHidden/>
          </w:rPr>
          <w:fldChar w:fldCharType="end"/>
        </w:r>
      </w:hyperlink>
    </w:p>
    <w:p w14:paraId="1D71F5C0" w14:textId="54CD6F35" w:rsidR="00087753" w:rsidRDefault="00536556">
      <w:pPr>
        <w:pStyle w:val="af7"/>
        <w:tabs>
          <w:tab w:val="right" w:leader="dot" w:pos="9344"/>
        </w:tabs>
        <w:rPr>
          <w:rFonts w:asciiTheme="minorHAnsi" w:eastAsiaTheme="minorEastAsia" w:hAnsiTheme="minorHAnsi"/>
          <w:noProof/>
          <w:sz w:val="22"/>
          <w:lang w:val="ru-RU" w:eastAsia="ru-RU"/>
        </w:rPr>
      </w:pPr>
      <w:hyperlink w:anchor="_Toc104985586" w:history="1">
        <w:r w:rsidR="00087753" w:rsidRPr="0042250A">
          <w:rPr>
            <w:rStyle w:val="a7"/>
            <w:rFonts w:cs="Times New Roman"/>
            <w:noProof/>
            <w:lang w:bidi="en-US"/>
          </w:rPr>
          <w:t>Table 5.5 ANOVA results from different hydraulic conductivity values, normal operating reservoir level, and 5 days drawdown rate.</w:t>
        </w:r>
        <w:r w:rsidR="00087753">
          <w:rPr>
            <w:noProof/>
            <w:webHidden/>
          </w:rPr>
          <w:tab/>
        </w:r>
        <w:r w:rsidR="00087753">
          <w:rPr>
            <w:noProof/>
            <w:webHidden/>
          </w:rPr>
          <w:fldChar w:fldCharType="begin"/>
        </w:r>
        <w:r w:rsidR="00087753">
          <w:rPr>
            <w:noProof/>
            <w:webHidden/>
          </w:rPr>
          <w:instrText xml:space="preserve"> PAGEREF _Toc104985586 \h </w:instrText>
        </w:r>
        <w:r w:rsidR="00087753">
          <w:rPr>
            <w:noProof/>
            <w:webHidden/>
          </w:rPr>
        </w:r>
        <w:r w:rsidR="00087753">
          <w:rPr>
            <w:noProof/>
            <w:webHidden/>
          </w:rPr>
          <w:fldChar w:fldCharType="separate"/>
        </w:r>
        <w:r w:rsidR="004870F1">
          <w:rPr>
            <w:noProof/>
            <w:webHidden/>
          </w:rPr>
          <w:t>191</w:t>
        </w:r>
        <w:r w:rsidR="00087753">
          <w:rPr>
            <w:noProof/>
            <w:webHidden/>
          </w:rPr>
          <w:fldChar w:fldCharType="end"/>
        </w:r>
      </w:hyperlink>
    </w:p>
    <w:p w14:paraId="37ED97D3" w14:textId="19A04927" w:rsidR="00087753" w:rsidRDefault="00536556">
      <w:pPr>
        <w:pStyle w:val="af7"/>
        <w:tabs>
          <w:tab w:val="right" w:leader="dot" w:pos="9344"/>
        </w:tabs>
        <w:rPr>
          <w:rFonts w:asciiTheme="minorHAnsi" w:eastAsiaTheme="minorEastAsia" w:hAnsiTheme="minorHAnsi"/>
          <w:noProof/>
          <w:sz w:val="22"/>
          <w:lang w:val="ru-RU" w:eastAsia="ru-RU"/>
        </w:rPr>
      </w:pPr>
      <w:hyperlink w:anchor="_Toc104985587" w:history="1">
        <w:r w:rsidR="00087753" w:rsidRPr="0042250A">
          <w:rPr>
            <w:rStyle w:val="a7"/>
            <w:rFonts w:cs="Times New Roman"/>
            <w:noProof/>
            <w:lang w:bidi="en-US"/>
          </w:rPr>
          <w:t>Table 5.6 ANOVA results from different hydraulic conductivity values, normal operating reservoir level, and 10 days drawdown rate</w:t>
        </w:r>
        <w:r w:rsidR="00087753">
          <w:rPr>
            <w:noProof/>
            <w:webHidden/>
          </w:rPr>
          <w:tab/>
        </w:r>
        <w:r w:rsidR="00087753">
          <w:rPr>
            <w:noProof/>
            <w:webHidden/>
          </w:rPr>
          <w:fldChar w:fldCharType="begin"/>
        </w:r>
        <w:r w:rsidR="00087753">
          <w:rPr>
            <w:noProof/>
            <w:webHidden/>
          </w:rPr>
          <w:instrText xml:space="preserve"> PAGEREF _Toc104985587 \h </w:instrText>
        </w:r>
        <w:r w:rsidR="00087753">
          <w:rPr>
            <w:noProof/>
            <w:webHidden/>
          </w:rPr>
        </w:r>
        <w:r w:rsidR="00087753">
          <w:rPr>
            <w:noProof/>
            <w:webHidden/>
          </w:rPr>
          <w:fldChar w:fldCharType="separate"/>
        </w:r>
        <w:r w:rsidR="004870F1">
          <w:rPr>
            <w:noProof/>
            <w:webHidden/>
          </w:rPr>
          <w:t>191</w:t>
        </w:r>
        <w:r w:rsidR="00087753">
          <w:rPr>
            <w:noProof/>
            <w:webHidden/>
          </w:rPr>
          <w:fldChar w:fldCharType="end"/>
        </w:r>
      </w:hyperlink>
    </w:p>
    <w:p w14:paraId="30E641A9" w14:textId="1D1A1D6D" w:rsidR="00087753" w:rsidRDefault="00536556">
      <w:pPr>
        <w:pStyle w:val="af7"/>
        <w:tabs>
          <w:tab w:val="right" w:leader="dot" w:pos="9344"/>
        </w:tabs>
        <w:rPr>
          <w:rFonts w:asciiTheme="minorHAnsi" w:eastAsiaTheme="minorEastAsia" w:hAnsiTheme="minorHAnsi"/>
          <w:noProof/>
          <w:sz w:val="22"/>
          <w:lang w:val="ru-RU" w:eastAsia="ru-RU"/>
        </w:rPr>
      </w:pPr>
      <w:hyperlink w:anchor="_Toc104985588" w:history="1">
        <w:r w:rsidR="00087753" w:rsidRPr="0042250A">
          <w:rPr>
            <w:rStyle w:val="a7"/>
            <w:rFonts w:cs="Times New Roman"/>
            <w:noProof/>
            <w:lang w:bidi="en-US"/>
          </w:rPr>
          <w:t>Table 5.7 ANOVA results from different hydraulic conductivity values, normal operating reservoir level, and 1 m per day drawdown rate</w:t>
        </w:r>
        <w:r w:rsidR="00087753">
          <w:rPr>
            <w:noProof/>
            <w:webHidden/>
          </w:rPr>
          <w:tab/>
        </w:r>
        <w:r w:rsidR="00087753">
          <w:rPr>
            <w:noProof/>
            <w:webHidden/>
          </w:rPr>
          <w:fldChar w:fldCharType="begin"/>
        </w:r>
        <w:r w:rsidR="00087753">
          <w:rPr>
            <w:noProof/>
            <w:webHidden/>
          </w:rPr>
          <w:instrText xml:space="preserve"> PAGEREF _Toc104985588 \h </w:instrText>
        </w:r>
        <w:r w:rsidR="00087753">
          <w:rPr>
            <w:noProof/>
            <w:webHidden/>
          </w:rPr>
        </w:r>
        <w:r w:rsidR="00087753">
          <w:rPr>
            <w:noProof/>
            <w:webHidden/>
          </w:rPr>
          <w:fldChar w:fldCharType="separate"/>
        </w:r>
        <w:r w:rsidR="004870F1">
          <w:rPr>
            <w:noProof/>
            <w:webHidden/>
          </w:rPr>
          <w:t>192</w:t>
        </w:r>
        <w:r w:rsidR="00087753">
          <w:rPr>
            <w:noProof/>
            <w:webHidden/>
          </w:rPr>
          <w:fldChar w:fldCharType="end"/>
        </w:r>
      </w:hyperlink>
    </w:p>
    <w:p w14:paraId="0C71B93A" w14:textId="0AB013FD" w:rsidR="00087753" w:rsidRDefault="00536556">
      <w:pPr>
        <w:pStyle w:val="af7"/>
        <w:tabs>
          <w:tab w:val="right" w:leader="dot" w:pos="9344"/>
        </w:tabs>
        <w:rPr>
          <w:rFonts w:asciiTheme="minorHAnsi" w:eastAsiaTheme="minorEastAsia" w:hAnsiTheme="minorHAnsi"/>
          <w:noProof/>
          <w:sz w:val="22"/>
          <w:lang w:val="ru-RU" w:eastAsia="ru-RU"/>
        </w:rPr>
      </w:pPr>
      <w:hyperlink w:anchor="_Toc104985589" w:history="1">
        <w:r w:rsidR="00087753" w:rsidRPr="0042250A">
          <w:rPr>
            <w:rStyle w:val="a7"/>
            <w:rFonts w:cs="Times New Roman"/>
            <w:noProof/>
            <w:lang w:bidi="en-US"/>
          </w:rPr>
          <w:t>Table 5.8 ANOVA results from different operating reservoir levels and instantaneous drawdown rate</w:t>
        </w:r>
        <w:r w:rsidR="00087753">
          <w:rPr>
            <w:noProof/>
            <w:webHidden/>
          </w:rPr>
          <w:tab/>
        </w:r>
        <w:r w:rsidR="00087753">
          <w:rPr>
            <w:noProof/>
            <w:webHidden/>
          </w:rPr>
          <w:fldChar w:fldCharType="begin"/>
        </w:r>
        <w:r w:rsidR="00087753">
          <w:rPr>
            <w:noProof/>
            <w:webHidden/>
          </w:rPr>
          <w:instrText xml:space="preserve"> PAGEREF _Toc104985589 \h </w:instrText>
        </w:r>
        <w:r w:rsidR="00087753">
          <w:rPr>
            <w:noProof/>
            <w:webHidden/>
          </w:rPr>
        </w:r>
        <w:r w:rsidR="00087753">
          <w:rPr>
            <w:noProof/>
            <w:webHidden/>
          </w:rPr>
          <w:fldChar w:fldCharType="separate"/>
        </w:r>
        <w:r w:rsidR="004870F1">
          <w:rPr>
            <w:noProof/>
            <w:webHidden/>
          </w:rPr>
          <w:t>204</w:t>
        </w:r>
        <w:r w:rsidR="00087753">
          <w:rPr>
            <w:noProof/>
            <w:webHidden/>
          </w:rPr>
          <w:fldChar w:fldCharType="end"/>
        </w:r>
      </w:hyperlink>
    </w:p>
    <w:p w14:paraId="01DBAED4" w14:textId="0E99E112" w:rsidR="00087753" w:rsidRDefault="00536556">
      <w:pPr>
        <w:pStyle w:val="af7"/>
        <w:tabs>
          <w:tab w:val="right" w:leader="dot" w:pos="9344"/>
        </w:tabs>
        <w:rPr>
          <w:rFonts w:asciiTheme="minorHAnsi" w:eastAsiaTheme="minorEastAsia" w:hAnsiTheme="minorHAnsi"/>
          <w:noProof/>
          <w:sz w:val="22"/>
          <w:lang w:val="ru-RU" w:eastAsia="ru-RU"/>
        </w:rPr>
      </w:pPr>
      <w:hyperlink w:anchor="_Toc104985590" w:history="1">
        <w:r w:rsidR="00087753" w:rsidRPr="0042250A">
          <w:rPr>
            <w:rStyle w:val="a7"/>
            <w:rFonts w:cs="Times New Roman"/>
            <w:noProof/>
            <w:lang w:bidi="en-US"/>
          </w:rPr>
          <w:t>Table 5.9 ANOVA results from different operating reservoir levels and 5 days drawdown rate</w:t>
        </w:r>
        <w:r w:rsidR="00087753">
          <w:rPr>
            <w:noProof/>
            <w:webHidden/>
          </w:rPr>
          <w:tab/>
        </w:r>
        <w:r w:rsidR="00087753">
          <w:rPr>
            <w:noProof/>
            <w:webHidden/>
          </w:rPr>
          <w:fldChar w:fldCharType="begin"/>
        </w:r>
        <w:r w:rsidR="00087753">
          <w:rPr>
            <w:noProof/>
            <w:webHidden/>
          </w:rPr>
          <w:instrText xml:space="preserve"> PAGEREF _Toc104985590 \h </w:instrText>
        </w:r>
        <w:r w:rsidR="00087753">
          <w:rPr>
            <w:noProof/>
            <w:webHidden/>
          </w:rPr>
        </w:r>
        <w:r w:rsidR="00087753">
          <w:rPr>
            <w:noProof/>
            <w:webHidden/>
          </w:rPr>
          <w:fldChar w:fldCharType="separate"/>
        </w:r>
        <w:r w:rsidR="004870F1">
          <w:rPr>
            <w:noProof/>
            <w:webHidden/>
          </w:rPr>
          <w:t>204</w:t>
        </w:r>
        <w:r w:rsidR="00087753">
          <w:rPr>
            <w:noProof/>
            <w:webHidden/>
          </w:rPr>
          <w:fldChar w:fldCharType="end"/>
        </w:r>
      </w:hyperlink>
    </w:p>
    <w:p w14:paraId="63CEBCCD" w14:textId="2C980105" w:rsidR="00087753" w:rsidRDefault="00536556">
      <w:pPr>
        <w:pStyle w:val="af7"/>
        <w:tabs>
          <w:tab w:val="right" w:leader="dot" w:pos="9344"/>
        </w:tabs>
        <w:rPr>
          <w:rFonts w:asciiTheme="minorHAnsi" w:eastAsiaTheme="minorEastAsia" w:hAnsiTheme="minorHAnsi"/>
          <w:noProof/>
          <w:sz w:val="22"/>
          <w:lang w:val="ru-RU" w:eastAsia="ru-RU"/>
        </w:rPr>
      </w:pPr>
      <w:hyperlink w:anchor="_Toc104985591" w:history="1">
        <w:r w:rsidR="00087753" w:rsidRPr="0042250A">
          <w:rPr>
            <w:rStyle w:val="a7"/>
            <w:rFonts w:cs="Times New Roman"/>
            <w:noProof/>
            <w:lang w:bidi="en-US"/>
          </w:rPr>
          <w:t>Table 5.10 ANOVA results from different operating reservoir levels and 10 days drawdown rate</w:t>
        </w:r>
        <w:r w:rsidR="00087753">
          <w:rPr>
            <w:noProof/>
            <w:webHidden/>
          </w:rPr>
          <w:tab/>
        </w:r>
        <w:r w:rsidR="00087753">
          <w:rPr>
            <w:noProof/>
            <w:webHidden/>
          </w:rPr>
          <w:fldChar w:fldCharType="begin"/>
        </w:r>
        <w:r w:rsidR="00087753">
          <w:rPr>
            <w:noProof/>
            <w:webHidden/>
          </w:rPr>
          <w:instrText xml:space="preserve"> PAGEREF _Toc104985591 \h </w:instrText>
        </w:r>
        <w:r w:rsidR="00087753">
          <w:rPr>
            <w:noProof/>
            <w:webHidden/>
          </w:rPr>
        </w:r>
        <w:r w:rsidR="00087753">
          <w:rPr>
            <w:noProof/>
            <w:webHidden/>
          </w:rPr>
          <w:fldChar w:fldCharType="separate"/>
        </w:r>
        <w:r w:rsidR="004870F1">
          <w:rPr>
            <w:noProof/>
            <w:webHidden/>
          </w:rPr>
          <w:t>205</w:t>
        </w:r>
        <w:r w:rsidR="00087753">
          <w:rPr>
            <w:noProof/>
            <w:webHidden/>
          </w:rPr>
          <w:fldChar w:fldCharType="end"/>
        </w:r>
      </w:hyperlink>
    </w:p>
    <w:p w14:paraId="0D2DF0C0" w14:textId="6BF13E96" w:rsidR="00087753" w:rsidRDefault="00536556">
      <w:pPr>
        <w:pStyle w:val="af7"/>
        <w:tabs>
          <w:tab w:val="right" w:leader="dot" w:pos="9344"/>
        </w:tabs>
        <w:rPr>
          <w:rFonts w:asciiTheme="minorHAnsi" w:eastAsiaTheme="minorEastAsia" w:hAnsiTheme="minorHAnsi"/>
          <w:noProof/>
          <w:sz w:val="22"/>
          <w:lang w:val="ru-RU" w:eastAsia="ru-RU"/>
        </w:rPr>
      </w:pPr>
      <w:hyperlink w:anchor="_Toc104985592" w:history="1">
        <w:r w:rsidR="00087753" w:rsidRPr="0042250A">
          <w:rPr>
            <w:rStyle w:val="a7"/>
            <w:rFonts w:cs="Times New Roman"/>
            <w:noProof/>
            <w:lang w:bidi="en-US"/>
          </w:rPr>
          <w:t>Table 5.11 ANOVA results from different operating reservoir levels and 1 m per day drawdown rate</w:t>
        </w:r>
        <w:r w:rsidR="00087753">
          <w:rPr>
            <w:noProof/>
            <w:webHidden/>
          </w:rPr>
          <w:tab/>
        </w:r>
        <w:r w:rsidR="00087753">
          <w:rPr>
            <w:noProof/>
            <w:webHidden/>
          </w:rPr>
          <w:fldChar w:fldCharType="begin"/>
        </w:r>
        <w:r w:rsidR="00087753">
          <w:rPr>
            <w:noProof/>
            <w:webHidden/>
          </w:rPr>
          <w:instrText xml:space="preserve"> PAGEREF _Toc104985592 \h </w:instrText>
        </w:r>
        <w:r w:rsidR="00087753">
          <w:rPr>
            <w:noProof/>
            <w:webHidden/>
          </w:rPr>
        </w:r>
        <w:r w:rsidR="00087753">
          <w:rPr>
            <w:noProof/>
            <w:webHidden/>
          </w:rPr>
          <w:fldChar w:fldCharType="separate"/>
        </w:r>
        <w:r w:rsidR="004870F1">
          <w:rPr>
            <w:noProof/>
            <w:webHidden/>
          </w:rPr>
          <w:t>205</w:t>
        </w:r>
        <w:r w:rsidR="00087753">
          <w:rPr>
            <w:noProof/>
            <w:webHidden/>
          </w:rPr>
          <w:fldChar w:fldCharType="end"/>
        </w:r>
      </w:hyperlink>
    </w:p>
    <w:p w14:paraId="3679ABED" w14:textId="535A37D5" w:rsidR="00087753" w:rsidRDefault="00536556">
      <w:pPr>
        <w:pStyle w:val="af7"/>
        <w:tabs>
          <w:tab w:val="right" w:leader="dot" w:pos="9344"/>
        </w:tabs>
        <w:rPr>
          <w:rFonts w:asciiTheme="minorHAnsi" w:eastAsiaTheme="minorEastAsia" w:hAnsiTheme="minorHAnsi"/>
          <w:noProof/>
          <w:sz w:val="22"/>
          <w:lang w:val="ru-RU" w:eastAsia="ru-RU"/>
        </w:rPr>
      </w:pPr>
      <w:hyperlink w:anchor="_Toc104985593" w:history="1">
        <w:r w:rsidR="00087753" w:rsidRPr="0042250A">
          <w:rPr>
            <w:rStyle w:val="a7"/>
            <w:noProof/>
          </w:rPr>
          <w:t>Table 5.12 – Material properties</w:t>
        </w:r>
        <w:r w:rsidR="00087753">
          <w:rPr>
            <w:noProof/>
            <w:webHidden/>
          </w:rPr>
          <w:tab/>
        </w:r>
        <w:r w:rsidR="00087753">
          <w:rPr>
            <w:noProof/>
            <w:webHidden/>
          </w:rPr>
          <w:fldChar w:fldCharType="begin"/>
        </w:r>
        <w:r w:rsidR="00087753">
          <w:rPr>
            <w:noProof/>
            <w:webHidden/>
          </w:rPr>
          <w:instrText xml:space="preserve"> PAGEREF _Toc104985593 \h </w:instrText>
        </w:r>
        <w:r w:rsidR="00087753">
          <w:rPr>
            <w:noProof/>
            <w:webHidden/>
          </w:rPr>
        </w:r>
        <w:r w:rsidR="00087753">
          <w:rPr>
            <w:noProof/>
            <w:webHidden/>
          </w:rPr>
          <w:fldChar w:fldCharType="separate"/>
        </w:r>
        <w:r w:rsidR="004870F1">
          <w:rPr>
            <w:noProof/>
            <w:webHidden/>
          </w:rPr>
          <w:t>212</w:t>
        </w:r>
        <w:r w:rsidR="00087753">
          <w:rPr>
            <w:noProof/>
            <w:webHidden/>
          </w:rPr>
          <w:fldChar w:fldCharType="end"/>
        </w:r>
      </w:hyperlink>
    </w:p>
    <w:p w14:paraId="74C56315" w14:textId="34409EF1" w:rsidR="00087753" w:rsidRDefault="00536556">
      <w:pPr>
        <w:pStyle w:val="af7"/>
        <w:tabs>
          <w:tab w:val="right" w:leader="dot" w:pos="9344"/>
        </w:tabs>
        <w:rPr>
          <w:rFonts w:asciiTheme="minorHAnsi" w:eastAsiaTheme="minorEastAsia" w:hAnsiTheme="minorHAnsi"/>
          <w:noProof/>
          <w:sz w:val="22"/>
          <w:lang w:val="ru-RU" w:eastAsia="ru-RU"/>
        </w:rPr>
      </w:pPr>
      <w:hyperlink w:anchor="_Toc104985594" w:history="1">
        <w:r w:rsidR="00087753" w:rsidRPr="0042250A">
          <w:rPr>
            <w:rStyle w:val="a7"/>
            <w:noProof/>
          </w:rPr>
          <w:t>Table 5.13 – Summary of the factor of safety values from the investigated drawdown rates</w:t>
        </w:r>
        <w:r w:rsidR="00087753">
          <w:rPr>
            <w:noProof/>
            <w:webHidden/>
          </w:rPr>
          <w:tab/>
        </w:r>
        <w:r w:rsidR="00087753">
          <w:rPr>
            <w:noProof/>
            <w:webHidden/>
          </w:rPr>
          <w:fldChar w:fldCharType="begin"/>
        </w:r>
        <w:r w:rsidR="00087753">
          <w:rPr>
            <w:noProof/>
            <w:webHidden/>
          </w:rPr>
          <w:instrText xml:space="preserve"> PAGEREF _Toc104985594 \h </w:instrText>
        </w:r>
        <w:r w:rsidR="00087753">
          <w:rPr>
            <w:noProof/>
            <w:webHidden/>
          </w:rPr>
        </w:r>
        <w:r w:rsidR="00087753">
          <w:rPr>
            <w:noProof/>
            <w:webHidden/>
          </w:rPr>
          <w:fldChar w:fldCharType="separate"/>
        </w:r>
        <w:r w:rsidR="004870F1">
          <w:rPr>
            <w:noProof/>
            <w:webHidden/>
          </w:rPr>
          <w:t>219</w:t>
        </w:r>
        <w:r w:rsidR="00087753">
          <w:rPr>
            <w:noProof/>
            <w:webHidden/>
          </w:rPr>
          <w:fldChar w:fldCharType="end"/>
        </w:r>
      </w:hyperlink>
    </w:p>
    <w:p w14:paraId="5377217A" w14:textId="5A7F1EB4" w:rsidR="00087753" w:rsidRDefault="00536556">
      <w:pPr>
        <w:pStyle w:val="af7"/>
        <w:tabs>
          <w:tab w:val="right" w:leader="dot" w:pos="9344"/>
        </w:tabs>
        <w:rPr>
          <w:rFonts w:asciiTheme="minorHAnsi" w:eastAsiaTheme="minorEastAsia" w:hAnsiTheme="minorHAnsi"/>
          <w:noProof/>
          <w:sz w:val="22"/>
          <w:lang w:val="ru-RU" w:eastAsia="ru-RU"/>
        </w:rPr>
      </w:pPr>
      <w:hyperlink w:anchor="_Toc104985595" w:history="1">
        <w:r w:rsidR="00087753" w:rsidRPr="0042250A">
          <w:rPr>
            <w:rStyle w:val="a7"/>
            <w:noProof/>
          </w:rPr>
          <w:t>Table 5.14 ANOVA results from different operating reservoir levels under instantaneous drawdown rate</w:t>
        </w:r>
        <w:r w:rsidR="00087753">
          <w:rPr>
            <w:noProof/>
            <w:webHidden/>
          </w:rPr>
          <w:tab/>
        </w:r>
        <w:r w:rsidR="00087753">
          <w:rPr>
            <w:noProof/>
            <w:webHidden/>
          </w:rPr>
          <w:fldChar w:fldCharType="begin"/>
        </w:r>
        <w:r w:rsidR="00087753">
          <w:rPr>
            <w:noProof/>
            <w:webHidden/>
          </w:rPr>
          <w:instrText xml:space="preserve"> PAGEREF _Toc104985595 \h </w:instrText>
        </w:r>
        <w:r w:rsidR="00087753">
          <w:rPr>
            <w:noProof/>
            <w:webHidden/>
          </w:rPr>
        </w:r>
        <w:r w:rsidR="00087753">
          <w:rPr>
            <w:noProof/>
            <w:webHidden/>
          </w:rPr>
          <w:fldChar w:fldCharType="separate"/>
        </w:r>
        <w:r w:rsidR="004870F1">
          <w:rPr>
            <w:noProof/>
            <w:webHidden/>
          </w:rPr>
          <w:t>224</w:t>
        </w:r>
        <w:r w:rsidR="00087753">
          <w:rPr>
            <w:noProof/>
            <w:webHidden/>
          </w:rPr>
          <w:fldChar w:fldCharType="end"/>
        </w:r>
      </w:hyperlink>
    </w:p>
    <w:p w14:paraId="1C4C211C" w14:textId="2AA3004E" w:rsidR="00087753" w:rsidRDefault="00536556">
      <w:pPr>
        <w:pStyle w:val="af7"/>
        <w:tabs>
          <w:tab w:val="right" w:leader="dot" w:pos="9344"/>
        </w:tabs>
        <w:rPr>
          <w:rFonts w:asciiTheme="minorHAnsi" w:eastAsiaTheme="minorEastAsia" w:hAnsiTheme="minorHAnsi"/>
          <w:noProof/>
          <w:sz w:val="22"/>
          <w:lang w:val="ru-RU" w:eastAsia="ru-RU"/>
        </w:rPr>
      </w:pPr>
      <w:hyperlink w:anchor="_Toc104985596" w:history="1">
        <w:r w:rsidR="00087753" w:rsidRPr="0042250A">
          <w:rPr>
            <w:rStyle w:val="a7"/>
            <w:noProof/>
          </w:rPr>
          <w:t>Table 5.15 ANOVA results from different operating reservoir levels under 5 days drawdown rate</w:t>
        </w:r>
        <w:r w:rsidR="00087753">
          <w:rPr>
            <w:noProof/>
            <w:webHidden/>
          </w:rPr>
          <w:tab/>
        </w:r>
        <w:r w:rsidR="00087753">
          <w:rPr>
            <w:noProof/>
            <w:webHidden/>
          </w:rPr>
          <w:fldChar w:fldCharType="begin"/>
        </w:r>
        <w:r w:rsidR="00087753">
          <w:rPr>
            <w:noProof/>
            <w:webHidden/>
          </w:rPr>
          <w:instrText xml:space="preserve"> PAGEREF _Toc104985596 \h </w:instrText>
        </w:r>
        <w:r w:rsidR="00087753">
          <w:rPr>
            <w:noProof/>
            <w:webHidden/>
          </w:rPr>
        </w:r>
        <w:r w:rsidR="00087753">
          <w:rPr>
            <w:noProof/>
            <w:webHidden/>
          </w:rPr>
          <w:fldChar w:fldCharType="separate"/>
        </w:r>
        <w:r w:rsidR="004870F1">
          <w:rPr>
            <w:noProof/>
            <w:webHidden/>
          </w:rPr>
          <w:t>225</w:t>
        </w:r>
        <w:r w:rsidR="00087753">
          <w:rPr>
            <w:noProof/>
            <w:webHidden/>
          </w:rPr>
          <w:fldChar w:fldCharType="end"/>
        </w:r>
      </w:hyperlink>
    </w:p>
    <w:p w14:paraId="2F9EF635" w14:textId="67639E4E" w:rsidR="00087753" w:rsidRDefault="00536556">
      <w:pPr>
        <w:pStyle w:val="af7"/>
        <w:tabs>
          <w:tab w:val="right" w:leader="dot" w:pos="9344"/>
        </w:tabs>
        <w:rPr>
          <w:rFonts w:asciiTheme="minorHAnsi" w:eastAsiaTheme="minorEastAsia" w:hAnsiTheme="minorHAnsi"/>
          <w:noProof/>
          <w:sz w:val="22"/>
          <w:lang w:val="ru-RU" w:eastAsia="ru-RU"/>
        </w:rPr>
      </w:pPr>
      <w:hyperlink w:anchor="_Toc104985597" w:history="1">
        <w:r w:rsidR="00087753" w:rsidRPr="0042250A">
          <w:rPr>
            <w:rStyle w:val="a7"/>
            <w:noProof/>
          </w:rPr>
          <w:t>Table 5.16 ANOVA results from different operating reservoir levels under 10 days drawdown rate</w:t>
        </w:r>
        <w:r w:rsidR="00087753">
          <w:rPr>
            <w:noProof/>
            <w:webHidden/>
          </w:rPr>
          <w:tab/>
        </w:r>
        <w:r w:rsidR="00087753">
          <w:rPr>
            <w:noProof/>
            <w:webHidden/>
          </w:rPr>
          <w:fldChar w:fldCharType="begin"/>
        </w:r>
        <w:r w:rsidR="00087753">
          <w:rPr>
            <w:noProof/>
            <w:webHidden/>
          </w:rPr>
          <w:instrText xml:space="preserve"> PAGEREF _Toc104985597 \h </w:instrText>
        </w:r>
        <w:r w:rsidR="00087753">
          <w:rPr>
            <w:noProof/>
            <w:webHidden/>
          </w:rPr>
        </w:r>
        <w:r w:rsidR="00087753">
          <w:rPr>
            <w:noProof/>
            <w:webHidden/>
          </w:rPr>
          <w:fldChar w:fldCharType="separate"/>
        </w:r>
        <w:r w:rsidR="004870F1">
          <w:rPr>
            <w:noProof/>
            <w:webHidden/>
          </w:rPr>
          <w:t>225</w:t>
        </w:r>
        <w:r w:rsidR="00087753">
          <w:rPr>
            <w:noProof/>
            <w:webHidden/>
          </w:rPr>
          <w:fldChar w:fldCharType="end"/>
        </w:r>
      </w:hyperlink>
    </w:p>
    <w:p w14:paraId="00580A3A" w14:textId="33735338" w:rsidR="00087753" w:rsidRDefault="00536556">
      <w:pPr>
        <w:pStyle w:val="af7"/>
        <w:tabs>
          <w:tab w:val="right" w:leader="dot" w:pos="9344"/>
        </w:tabs>
        <w:rPr>
          <w:rFonts w:asciiTheme="minorHAnsi" w:eastAsiaTheme="minorEastAsia" w:hAnsiTheme="minorHAnsi"/>
          <w:noProof/>
          <w:sz w:val="22"/>
          <w:lang w:val="ru-RU" w:eastAsia="ru-RU"/>
        </w:rPr>
      </w:pPr>
      <w:hyperlink w:anchor="_Toc104985598" w:history="1">
        <w:r w:rsidR="00087753" w:rsidRPr="0042250A">
          <w:rPr>
            <w:rStyle w:val="a7"/>
            <w:noProof/>
          </w:rPr>
          <w:t>Table 5.17 ANOVA results from different operating reservoir levels under 1 m per day drawdown rate</w:t>
        </w:r>
        <w:r w:rsidR="00087753">
          <w:rPr>
            <w:noProof/>
            <w:webHidden/>
          </w:rPr>
          <w:tab/>
        </w:r>
        <w:r w:rsidR="00087753">
          <w:rPr>
            <w:noProof/>
            <w:webHidden/>
          </w:rPr>
          <w:fldChar w:fldCharType="begin"/>
        </w:r>
        <w:r w:rsidR="00087753">
          <w:rPr>
            <w:noProof/>
            <w:webHidden/>
          </w:rPr>
          <w:instrText xml:space="preserve"> PAGEREF _Toc104985598 \h </w:instrText>
        </w:r>
        <w:r w:rsidR="00087753">
          <w:rPr>
            <w:noProof/>
            <w:webHidden/>
          </w:rPr>
        </w:r>
        <w:r w:rsidR="00087753">
          <w:rPr>
            <w:noProof/>
            <w:webHidden/>
          </w:rPr>
          <w:fldChar w:fldCharType="separate"/>
        </w:r>
        <w:r w:rsidR="004870F1">
          <w:rPr>
            <w:noProof/>
            <w:webHidden/>
          </w:rPr>
          <w:t>226</w:t>
        </w:r>
        <w:r w:rsidR="00087753">
          <w:rPr>
            <w:noProof/>
            <w:webHidden/>
          </w:rPr>
          <w:fldChar w:fldCharType="end"/>
        </w:r>
      </w:hyperlink>
    </w:p>
    <w:p w14:paraId="4C8D04AC" w14:textId="0C1DF86D" w:rsidR="00087753" w:rsidRDefault="00536556">
      <w:pPr>
        <w:pStyle w:val="af7"/>
        <w:tabs>
          <w:tab w:val="right" w:leader="dot" w:pos="9344"/>
        </w:tabs>
        <w:rPr>
          <w:rFonts w:asciiTheme="minorHAnsi" w:eastAsiaTheme="minorEastAsia" w:hAnsiTheme="minorHAnsi"/>
          <w:noProof/>
          <w:sz w:val="22"/>
          <w:lang w:val="ru-RU" w:eastAsia="ru-RU"/>
        </w:rPr>
      </w:pPr>
      <w:hyperlink w:anchor="_Toc104985599" w:history="1">
        <w:r w:rsidR="00087753" w:rsidRPr="0042250A">
          <w:rPr>
            <w:rStyle w:val="a7"/>
            <w:noProof/>
          </w:rPr>
          <w:t>Table 5.18 – General dimensions of the Chardara reservoir</w:t>
        </w:r>
        <w:r w:rsidR="00087753">
          <w:rPr>
            <w:noProof/>
            <w:webHidden/>
          </w:rPr>
          <w:tab/>
        </w:r>
        <w:r w:rsidR="00087753">
          <w:rPr>
            <w:noProof/>
            <w:webHidden/>
          </w:rPr>
          <w:fldChar w:fldCharType="begin"/>
        </w:r>
        <w:r w:rsidR="00087753">
          <w:rPr>
            <w:noProof/>
            <w:webHidden/>
          </w:rPr>
          <w:instrText xml:space="preserve"> PAGEREF _Toc104985599 \h </w:instrText>
        </w:r>
        <w:r w:rsidR="00087753">
          <w:rPr>
            <w:noProof/>
            <w:webHidden/>
          </w:rPr>
        </w:r>
        <w:r w:rsidR="00087753">
          <w:rPr>
            <w:noProof/>
            <w:webHidden/>
          </w:rPr>
          <w:fldChar w:fldCharType="separate"/>
        </w:r>
        <w:r w:rsidR="004870F1">
          <w:rPr>
            <w:noProof/>
            <w:webHidden/>
          </w:rPr>
          <w:t>227</w:t>
        </w:r>
        <w:r w:rsidR="00087753">
          <w:rPr>
            <w:noProof/>
            <w:webHidden/>
          </w:rPr>
          <w:fldChar w:fldCharType="end"/>
        </w:r>
      </w:hyperlink>
    </w:p>
    <w:p w14:paraId="58F91DC4" w14:textId="72158A9A" w:rsidR="00087753" w:rsidRDefault="00536556">
      <w:pPr>
        <w:pStyle w:val="af7"/>
        <w:tabs>
          <w:tab w:val="right" w:leader="dot" w:pos="9344"/>
        </w:tabs>
        <w:rPr>
          <w:rFonts w:asciiTheme="minorHAnsi" w:eastAsiaTheme="minorEastAsia" w:hAnsiTheme="minorHAnsi"/>
          <w:noProof/>
          <w:sz w:val="22"/>
          <w:lang w:val="ru-RU" w:eastAsia="ru-RU"/>
        </w:rPr>
      </w:pPr>
      <w:hyperlink w:anchor="_Toc104985600" w:history="1">
        <w:r w:rsidR="00087753" w:rsidRPr="0042250A">
          <w:rPr>
            <w:rStyle w:val="a7"/>
            <w:noProof/>
          </w:rPr>
          <w:t>Table 5.19 – General materials and properties</w:t>
        </w:r>
        <w:r w:rsidR="00087753">
          <w:rPr>
            <w:noProof/>
            <w:webHidden/>
          </w:rPr>
          <w:tab/>
        </w:r>
        <w:r w:rsidR="00087753">
          <w:rPr>
            <w:noProof/>
            <w:webHidden/>
          </w:rPr>
          <w:fldChar w:fldCharType="begin"/>
        </w:r>
        <w:r w:rsidR="00087753">
          <w:rPr>
            <w:noProof/>
            <w:webHidden/>
          </w:rPr>
          <w:instrText xml:space="preserve"> PAGEREF _Toc104985600 \h </w:instrText>
        </w:r>
        <w:r w:rsidR="00087753">
          <w:rPr>
            <w:noProof/>
            <w:webHidden/>
          </w:rPr>
        </w:r>
        <w:r w:rsidR="00087753">
          <w:rPr>
            <w:noProof/>
            <w:webHidden/>
          </w:rPr>
          <w:fldChar w:fldCharType="separate"/>
        </w:r>
        <w:r w:rsidR="004870F1">
          <w:rPr>
            <w:noProof/>
            <w:webHidden/>
          </w:rPr>
          <w:t>227</w:t>
        </w:r>
        <w:r w:rsidR="00087753">
          <w:rPr>
            <w:noProof/>
            <w:webHidden/>
          </w:rPr>
          <w:fldChar w:fldCharType="end"/>
        </w:r>
      </w:hyperlink>
    </w:p>
    <w:p w14:paraId="67F7C3EA" w14:textId="4189A635" w:rsidR="00087753" w:rsidRDefault="00536556">
      <w:pPr>
        <w:pStyle w:val="af7"/>
        <w:tabs>
          <w:tab w:val="right" w:leader="dot" w:pos="9344"/>
        </w:tabs>
        <w:rPr>
          <w:rFonts w:asciiTheme="minorHAnsi" w:eastAsiaTheme="minorEastAsia" w:hAnsiTheme="minorHAnsi"/>
          <w:noProof/>
          <w:sz w:val="22"/>
          <w:lang w:val="ru-RU" w:eastAsia="ru-RU"/>
        </w:rPr>
      </w:pPr>
      <w:hyperlink w:anchor="_Toc104985601" w:history="1">
        <w:r w:rsidR="00087753" w:rsidRPr="0042250A">
          <w:rPr>
            <w:rStyle w:val="a7"/>
            <w:noProof/>
          </w:rPr>
          <w:t>Table 5.20 – Cases used in the investigation process</w:t>
        </w:r>
        <w:r w:rsidR="00087753">
          <w:rPr>
            <w:noProof/>
            <w:webHidden/>
          </w:rPr>
          <w:tab/>
        </w:r>
        <w:r w:rsidR="00087753">
          <w:rPr>
            <w:noProof/>
            <w:webHidden/>
          </w:rPr>
          <w:fldChar w:fldCharType="begin"/>
        </w:r>
        <w:r w:rsidR="00087753">
          <w:rPr>
            <w:noProof/>
            <w:webHidden/>
          </w:rPr>
          <w:instrText xml:space="preserve"> PAGEREF _Toc104985601 \h </w:instrText>
        </w:r>
        <w:r w:rsidR="00087753">
          <w:rPr>
            <w:noProof/>
            <w:webHidden/>
          </w:rPr>
        </w:r>
        <w:r w:rsidR="00087753">
          <w:rPr>
            <w:noProof/>
            <w:webHidden/>
          </w:rPr>
          <w:fldChar w:fldCharType="separate"/>
        </w:r>
        <w:r w:rsidR="004870F1">
          <w:rPr>
            <w:noProof/>
            <w:webHidden/>
          </w:rPr>
          <w:t>228</w:t>
        </w:r>
        <w:r w:rsidR="00087753">
          <w:rPr>
            <w:noProof/>
            <w:webHidden/>
          </w:rPr>
          <w:fldChar w:fldCharType="end"/>
        </w:r>
      </w:hyperlink>
    </w:p>
    <w:p w14:paraId="2723CE70" w14:textId="76981CEE" w:rsidR="00087753" w:rsidRDefault="00536556">
      <w:pPr>
        <w:pStyle w:val="af7"/>
        <w:tabs>
          <w:tab w:val="right" w:leader="dot" w:pos="9344"/>
        </w:tabs>
        <w:rPr>
          <w:rFonts w:asciiTheme="minorHAnsi" w:eastAsiaTheme="minorEastAsia" w:hAnsiTheme="minorHAnsi"/>
          <w:noProof/>
          <w:sz w:val="22"/>
          <w:lang w:val="ru-RU" w:eastAsia="ru-RU"/>
        </w:rPr>
      </w:pPr>
      <w:hyperlink w:anchor="_Toc104985602" w:history="1">
        <w:r w:rsidR="00087753" w:rsidRPr="0042250A">
          <w:rPr>
            <w:rStyle w:val="a7"/>
            <w:noProof/>
          </w:rPr>
          <w:t>Table 5.21 Correlation coefficients among different slope stability factors</w:t>
        </w:r>
        <w:r w:rsidR="00087753">
          <w:rPr>
            <w:noProof/>
            <w:webHidden/>
          </w:rPr>
          <w:tab/>
        </w:r>
        <w:r w:rsidR="00087753">
          <w:rPr>
            <w:noProof/>
            <w:webHidden/>
          </w:rPr>
          <w:fldChar w:fldCharType="begin"/>
        </w:r>
        <w:r w:rsidR="00087753">
          <w:rPr>
            <w:noProof/>
            <w:webHidden/>
          </w:rPr>
          <w:instrText xml:space="preserve"> PAGEREF _Toc104985602 \h </w:instrText>
        </w:r>
        <w:r w:rsidR="00087753">
          <w:rPr>
            <w:noProof/>
            <w:webHidden/>
          </w:rPr>
        </w:r>
        <w:r w:rsidR="00087753">
          <w:rPr>
            <w:noProof/>
            <w:webHidden/>
          </w:rPr>
          <w:fldChar w:fldCharType="separate"/>
        </w:r>
        <w:r w:rsidR="004870F1">
          <w:rPr>
            <w:noProof/>
            <w:webHidden/>
          </w:rPr>
          <w:t>257</w:t>
        </w:r>
        <w:r w:rsidR="00087753">
          <w:rPr>
            <w:noProof/>
            <w:webHidden/>
          </w:rPr>
          <w:fldChar w:fldCharType="end"/>
        </w:r>
      </w:hyperlink>
    </w:p>
    <w:p w14:paraId="23B35DC7" w14:textId="02DC6CED" w:rsidR="00087753" w:rsidRDefault="00536556">
      <w:pPr>
        <w:pStyle w:val="af7"/>
        <w:tabs>
          <w:tab w:val="right" w:leader="dot" w:pos="9344"/>
        </w:tabs>
        <w:rPr>
          <w:rFonts w:asciiTheme="minorHAnsi" w:eastAsiaTheme="minorEastAsia" w:hAnsiTheme="minorHAnsi"/>
          <w:noProof/>
          <w:sz w:val="22"/>
          <w:lang w:val="ru-RU" w:eastAsia="ru-RU"/>
        </w:rPr>
      </w:pPr>
      <w:hyperlink w:anchor="_Toc104985603" w:history="1">
        <w:r w:rsidR="00087753" w:rsidRPr="0042250A">
          <w:rPr>
            <w:rStyle w:val="a7"/>
            <w:noProof/>
          </w:rPr>
          <w:t>Table 5.22 Summary of ANOVA results from instantaneous drawdown</w:t>
        </w:r>
        <w:r w:rsidR="00087753">
          <w:rPr>
            <w:noProof/>
            <w:webHidden/>
          </w:rPr>
          <w:tab/>
        </w:r>
        <w:r w:rsidR="00087753">
          <w:rPr>
            <w:noProof/>
            <w:webHidden/>
          </w:rPr>
          <w:fldChar w:fldCharType="begin"/>
        </w:r>
        <w:r w:rsidR="00087753">
          <w:rPr>
            <w:noProof/>
            <w:webHidden/>
          </w:rPr>
          <w:instrText xml:space="preserve"> PAGEREF _Toc104985603 \h </w:instrText>
        </w:r>
        <w:r w:rsidR="00087753">
          <w:rPr>
            <w:noProof/>
            <w:webHidden/>
          </w:rPr>
        </w:r>
        <w:r w:rsidR="00087753">
          <w:rPr>
            <w:noProof/>
            <w:webHidden/>
          </w:rPr>
          <w:fldChar w:fldCharType="separate"/>
        </w:r>
        <w:r w:rsidR="004870F1">
          <w:rPr>
            <w:noProof/>
            <w:webHidden/>
          </w:rPr>
          <w:t>258</w:t>
        </w:r>
        <w:r w:rsidR="00087753">
          <w:rPr>
            <w:noProof/>
            <w:webHidden/>
          </w:rPr>
          <w:fldChar w:fldCharType="end"/>
        </w:r>
      </w:hyperlink>
    </w:p>
    <w:p w14:paraId="332172E3" w14:textId="31F9C773" w:rsidR="00087753" w:rsidRDefault="00536556">
      <w:pPr>
        <w:pStyle w:val="af7"/>
        <w:tabs>
          <w:tab w:val="right" w:leader="dot" w:pos="9344"/>
        </w:tabs>
        <w:rPr>
          <w:rFonts w:asciiTheme="minorHAnsi" w:eastAsiaTheme="minorEastAsia" w:hAnsiTheme="minorHAnsi"/>
          <w:noProof/>
          <w:sz w:val="22"/>
          <w:lang w:val="ru-RU" w:eastAsia="ru-RU"/>
        </w:rPr>
      </w:pPr>
      <w:hyperlink w:anchor="_Toc104985604" w:history="1">
        <w:r w:rsidR="00087753" w:rsidRPr="0042250A">
          <w:rPr>
            <w:rStyle w:val="a7"/>
            <w:noProof/>
          </w:rPr>
          <w:t>Table 5.23 Summary of ANOVA results from 5 days drawdown</w:t>
        </w:r>
        <w:r w:rsidR="00087753">
          <w:rPr>
            <w:noProof/>
            <w:webHidden/>
          </w:rPr>
          <w:tab/>
        </w:r>
        <w:r w:rsidR="00087753">
          <w:rPr>
            <w:noProof/>
            <w:webHidden/>
          </w:rPr>
          <w:fldChar w:fldCharType="begin"/>
        </w:r>
        <w:r w:rsidR="00087753">
          <w:rPr>
            <w:noProof/>
            <w:webHidden/>
          </w:rPr>
          <w:instrText xml:space="preserve"> PAGEREF _Toc104985604 \h </w:instrText>
        </w:r>
        <w:r w:rsidR="00087753">
          <w:rPr>
            <w:noProof/>
            <w:webHidden/>
          </w:rPr>
        </w:r>
        <w:r w:rsidR="00087753">
          <w:rPr>
            <w:noProof/>
            <w:webHidden/>
          </w:rPr>
          <w:fldChar w:fldCharType="separate"/>
        </w:r>
        <w:r w:rsidR="004870F1">
          <w:rPr>
            <w:noProof/>
            <w:webHidden/>
          </w:rPr>
          <w:t>258</w:t>
        </w:r>
        <w:r w:rsidR="00087753">
          <w:rPr>
            <w:noProof/>
            <w:webHidden/>
          </w:rPr>
          <w:fldChar w:fldCharType="end"/>
        </w:r>
      </w:hyperlink>
    </w:p>
    <w:p w14:paraId="25412EE8" w14:textId="088EF237" w:rsidR="00087753" w:rsidRDefault="00536556">
      <w:pPr>
        <w:pStyle w:val="af7"/>
        <w:tabs>
          <w:tab w:val="right" w:leader="dot" w:pos="9344"/>
        </w:tabs>
        <w:rPr>
          <w:rFonts w:asciiTheme="minorHAnsi" w:eastAsiaTheme="minorEastAsia" w:hAnsiTheme="minorHAnsi"/>
          <w:noProof/>
          <w:sz w:val="22"/>
          <w:lang w:val="ru-RU" w:eastAsia="ru-RU"/>
        </w:rPr>
      </w:pPr>
      <w:hyperlink w:anchor="_Toc104985605" w:history="1">
        <w:r w:rsidR="00087753" w:rsidRPr="0042250A">
          <w:rPr>
            <w:rStyle w:val="a7"/>
            <w:noProof/>
          </w:rPr>
          <w:t>Table 5.24  Summary of ANOVA results from 10 days drawdown</w:t>
        </w:r>
        <w:r w:rsidR="00087753">
          <w:rPr>
            <w:noProof/>
            <w:webHidden/>
          </w:rPr>
          <w:tab/>
        </w:r>
        <w:r w:rsidR="00087753">
          <w:rPr>
            <w:noProof/>
            <w:webHidden/>
          </w:rPr>
          <w:fldChar w:fldCharType="begin"/>
        </w:r>
        <w:r w:rsidR="00087753">
          <w:rPr>
            <w:noProof/>
            <w:webHidden/>
          </w:rPr>
          <w:instrText xml:space="preserve"> PAGEREF _Toc104985605 \h </w:instrText>
        </w:r>
        <w:r w:rsidR="00087753">
          <w:rPr>
            <w:noProof/>
            <w:webHidden/>
          </w:rPr>
        </w:r>
        <w:r w:rsidR="00087753">
          <w:rPr>
            <w:noProof/>
            <w:webHidden/>
          </w:rPr>
          <w:fldChar w:fldCharType="separate"/>
        </w:r>
        <w:r w:rsidR="004870F1">
          <w:rPr>
            <w:noProof/>
            <w:webHidden/>
          </w:rPr>
          <w:t>259</w:t>
        </w:r>
        <w:r w:rsidR="00087753">
          <w:rPr>
            <w:noProof/>
            <w:webHidden/>
          </w:rPr>
          <w:fldChar w:fldCharType="end"/>
        </w:r>
      </w:hyperlink>
    </w:p>
    <w:p w14:paraId="50B135D9" w14:textId="5BBF30AD" w:rsidR="00087753" w:rsidRDefault="00536556">
      <w:pPr>
        <w:pStyle w:val="af7"/>
        <w:tabs>
          <w:tab w:val="right" w:leader="dot" w:pos="9344"/>
        </w:tabs>
        <w:rPr>
          <w:rFonts w:asciiTheme="minorHAnsi" w:eastAsiaTheme="minorEastAsia" w:hAnsiTheme="minorHAnsi"/>
          <w:noProof/>
          <w:sz w:val="22"/>
          <w:lang w:val="ru-RU" w:eastAsia="ru-RU"/>
        </w:rPr>
      </w:pPr>
      <w:hyperlink w:anchor="_Toc104985606" w:history="1">
        <w:r w:rsidR="00087753" w:rsidRPr="0042250A">
          <w:rPr>
            <w:rStyle w:val="a7"/>
            <w:noProof/>
          </w:rPr>
          <w:t>Table 5.25 Summary of ANOVA results from 1 m per day drawdown</w:t>
        </w:r>
        <w:r w:rsidR="00087753">
          <w:rPr>
            <w:noProof/>
            <w:webHidden/>
          </w:rPr>
          <w:tab/>
        </w:r>
        <w:r w:rsidR="00087753">
          <w:rPr>
            <w:noProof/>
            <w:webHidden/>
          </w:rPr>
          <w:fldChar w:fldCharType="begin"/>
        </w:r>
        <w:r w:rsidR="00087753">
          <w:rPr>
            <w:noProof/>
            <w:webHidden/>
          </w:rPr>
          <w:instrText xml:space="preserve"> PAGEREF _Toc104985606 \h </w:instrText>
        </w:r>
        <w:r w:rsidR="00087753">
          <w:rPr>
            <w:noProof/>
            <w:webHidden/>
          </w:rPr>
        </w:r>
        <w:r w:rsidR="00087753">
          <w:rPr>
            <w:noProof/>
            <w:webHidden/>
          </w:rPr>
          <w:fldChar w:fldCharType="separate"/>
        </w:r>
        <w:r w:rsidR="004870F1">
          <w:rPr>
            <w:noProof/>
            <w:webHidden/>
          </w:rPr>
          <w:t>259</w:t>
        </w:r>
        <w:r w:rsidR="00087753">
          <w:rPr>
            <w:noProof/>
            <w:webHidden/>
          </w:rPr>
          <w:fldChar w:fldCharType="end"/>
        </w:r>
      </w:hyperlink>
    </w:p>
    <w:p w14:paraId="396BAF2F" w14:textId="3A6FC120" w:rsidR="00087753" w:rsidRDefault="00536556">
      <w:pPr>
        <w:pStyle w:val="af7"/>
        <w:tabs>
          <w:tab w:val="right" w:leader="dot" w:pos="9344"/>
        </w:tabs>
        <w:rPr>
          <w:rFonts w:asciiTheme="minorHAnsi" w:eastAsiaTheme="minorEastAsia" w:hAnsiTheme="minorHAnsi"/>
          <w:noProof/>
          <w:sz w:val="22"/>
          <w:lang w:val="ru-RU" w:eastAsia="ru-RU"/>
        </w:rPr>
      </w:pPr>
      <w:hyperlink w:anchor="_Toc104985607" w:history="1">
        <w:r w:rsidR="00087753" w:rsidRPr="0042250A">
          <w:rPr>
            <w:rStyle w:val="a7"/>
            <w:noProof/>
          </w:rPr>
          <w:t>Table 5.26 Summary of ANOVA results from investigated operating water levels (instantaneous, 5 days, 10 days, and 1 m per day)</w:t>
        </w:r>
        <w:r w:rsidR="00087753">
          <w:rPr>
            <w:noProof/>
            <w:webHidden/>
          </w:rPr>
          <w:tab/>
        </w:r>
        <w:r w:rsidR="00087753">
          <w:rPr>
            <w:noProof/>
            <w:webHidden/>
          </w:rPr>
          <w:fldChar w:fldCharType="begin"/>
        </w:r>
        <w:r w:rsidR="00087753">
          <w:rPr>
            <w:noProof/>
            <w:webHidden/>
          </w:rPr>
          <w:instrText xml:space="preserve"> PAGEREF _Toc104985607 \h </w:instrText>
        </w:r>
        <w:r w:rsidR="00087753">
          <w:rPr>
            <w:noProof/>
            <w:webHidden/>
          </w:rPr>
        </w:r>
        <w:r w:rsidR="00087753">
          <w:rPr>
            <w:noProof/>
            <w:webHidden/>
          </w:rPr>
          <w:fldChar w:fldCharType="separate"/>
        </w:r>
        <w:r w:rsidR="004870F1">
          <w:rPr>
            <w:noProof/>
            <w:webHidden/>
          </w:rPr>
          <w:t>260</w:t>
        </w:r>
        <w:r w:rsidR="00087753">
          <w:rPr>
            <w:noProof/>
            <w:webHidden/>
          </w:rPr>
          <w:fldChar w:fldCharType="end"/>
        </w:r>
      </w:hyperlink>
    </w:p>
    <w:p w14:paraId="1E1F0944" w14:textId="732C6062" w:rsidR="00FF2B90" w:rsidRPr="00FF2B90" w:rsidRDefault="00FF2B90" w:rsidP="00FF2B90">
      <w:pPr>
        <w:ind w:firstLine="0"/>
        <w:jc w:val="center"/>
        <w:rPr>
          <w:b/>
          <w:bCs/>
          <w:lang w:val="en-US"/>
        </w:rPr>
      </w:pPr>
      <w:r>
        <w:rPr>
          <w:b/>
          <w:bCs/>
          <w:lang w:val="en-US"/>
        </w:rPr>
        <w:fldChar w:fldCharType="end"/>
      </w:r>
    </w:p>
    <w:p w14:paraId="5A970859" w14:textId="580319B1" w:rsidR="008A7DC9" w:rsidRDefault="00DB6A0A" w:rsidP="0036537D">
      <w:pPr>
        <w:pStyle w:val="1"/>
        <w:numPr>
          <w:ilvl w:val="0"/>
          <w:numId w:val="0"/>
        </w:numPr>
        <w:jc w:val="center"/>
        <w:rPr>
          <w:lang w:val="en-US"/>
        </w:rPr>
      </w:pPr>
      <w:bookmarkStart w:id="5" w:name="_Toc104985157"/>
      <w:r>
        <w:rPr>
          <w:lang w:val="en-US"/>
        </w:rPr>
        <w:lastRenderedPageBreak/>
        <w:t>NORMATIVE REFERENCES</w:t>
      </w:r>
      <w:bookmarkEnd w:id="5"/>
    </w:p>
    <w:p w14:paraId="343493F1" w14:textId="64D8D696" w:rsidR="00495A0F" w:rsidRPr="00495A0F" w:rsidRDefault="00495A0F" w:rsidP="00495A0F">
      <w:pPr>
        <w:rPr>
          <w:lang w:val="en-US"/>
        </w:rPr>
      </w:pPr>
      <w:r>
        <w:rPr>
          <w:lang w:val="en-US"/>
        </w:rPr>
        <w:t>This thesis uses references to the following standards and guidelines:</w:t>
      </w:r>
    </w:p>
    <w:p w14:paraId="5FA02A4A" w14:textId="28573F30" w:rsidR="00495A0F" w:rsidRDefault="003F3A00" w:rsidP="00495A0F">
      <w:pPr>
        <w:rPr>
          <w:lang w:val="en-US"/>
        </w:rPr>
      </w:pPr>
      <w:r w:rsidRPr="003F3A00">
        <w:rPr>
          <w:lang w:val="en-US"/>
        </w:rPr>
        <w:t>The Republic of Kazakhstan's Water Code: Republic of Kazakhstan Code No. 481, dated 9 July 2003</w:t>
      </w:r>
    </w:p>
    <w:p w14:paraId="6E8C5AE4" w14:textId="3885FBE4" w:rsidR="00B9722B" w:rsidRDefault="00665FB4" w:rsidP="00B9722B">
      <w:pPr>
        <w:rPr>
          <w:lang w:val="en-US"/>
        </w:rPr>
      </w:pPr>
      <w:r w:rsidRPr="00665FB4">
        <w:rPr>
          <w:lang w:val="en-US"/>
        </w:rPr>
        <w:t>The Russian Federation's Federal Law</w:t>
      </w:r>
      <w:r w:rsidR="003F3A00" w:rsidRPr="003F3A00">
        <w:rPr>
          <w:lang w:val="en-US"/>
        </w:rPr>
        <w:t>, No. 117-FL, on the Safety of Hydraulic Structures, was enacted on July 21, 1997</w:t>
      </w:r>
      <w:r w:rsidR="00B9722B">
        <w:rPr>
          <w:lang w:val="en-US"/>
        </w:rPr>
        <w:t>.</w:t>
      </w:r>
    </w:p>
    <w:p w14:paraId="0F9CC293" w14:textId="74EAF421" w:rsidR="00B9722B" w:rsidRDefault="003F3A00" w:rsidP="00B9722B">
      <w:pPr>
        <w:rPr>
          <w:lang w:val="en-US"/>
        </w:rPr>
      </w:pPr>
      <w:r w:rsidRPr="003F3A00">
        <w:rPr>
          <w:lang w:val="en-US"/>
        </w:rPr>
        <w:t xml:space="preserve">Materials for core construction in zonal type earthen dams </w:t>
      </w:r>
      <w:r w:rsidR="00EE6DAC">
        <w:rPr>
          <w:lang w:val="en-US"/>
        </w:rPr>
        <w:t>as</w:t>
      </w:r>
      <w:r w:rsidRPr="003F3A00">
        <w:rPr>
          <w:lang w:val="en-US"/>
        </w:rPr>
        <w:t xml:space="preserve"> recommended in Indian Standard (IS-8826-1978)</w:t>
      </w:r>
      <w:r w:rsidR="00B9722B">
        <w:rPr>
          <w:lang w:val="en-US"/>
        </w:rPr>
        <w:t>.</w:t>
      </w:r>
    </w:p>
    <w:p w14:paraId="17B9F83D" w14:textId="4E147D8E" w:rsidR="001F0033" w:rsidRDefault="003F3A00" w:rsidP="001F0033">
      <w:pPr>
        <w:rPr>
          <w:lang w:val="en-US"/>
        </w:rPr>
      </w:pPr>
      <w:r w:rsidRPr="003F3A00">
        <w:rPr>
          <w:lang w:val="en-US"/>
        </w:rPr>
        <w:t>Tanzania Dam Safety Regulations GN 237 of 2013, as amended by GN 55 of 2020, were enacted under Part X, Sections 94 (1) and 111 (1) of the Water Resources Management Act No. 11 of 2009 to guide the construction of dams for any purpose</w:t>
      </w:r>
      <w:r w:rsidR="00264B23" w:rsidRPr="00264B23">
        <w:rPr>
          <w:lang w:val="en-US"/>
        </w:rPr>
        <w:t>.</w:t>
      </w:r>
    </w:p>
    <w:p w14:paraId="392338F0" w14:textId="37301BA2" w:rsidR="001F0033" w:rsidRDefault="003F3A00" w:rsidP="001F0033">
      <w:pPr>
        <w:rPr>
          <w:lang w:val="en-US"/>
        </w:rPr>
      </w:pPr>
      <w:r w:rsidRPr="003F3A00">
        <w:rPr>
          <w:lang w:val="en-US"/>
        </w:rPr>
        <w:t>Since October 2018, the provisions of Operational Policy (OP)/Bank Procedure (BP) 4.37: Safety of Dams have been replaced by Environmental and Social Standard 4 (ESS4): Community Health and Safety and its Annex 1 on Dam Safety</w:t>
      </w:r>
      <w:r w:rsidR="001F0033" w:rsidRPr="001F0033">
        <w:rPr>
          <w:lang w:val="en-US"/>
        </w:rPr>
        <w:t>.</w:t>
      </w:r>
    </w:p>
    <w:p w14:paraId="3C6BA7A4" w14:textId="774AF0E4" w:rsidR="00057080" w:rsidRDefault="003F3A00" w:rsidP="001F0033">
      <w:pPr>
        <w:rPr>
          <w:lang w:val="en-US"/>
        </w:rPr>
      </w:pPr>
      <w:r w:rsidRPr="003F3A00">
        <w:rPr>
          <w:lang w:val="en-US"/>
        </w:rPr>
        <w:t xml:space="preserve">Order No. 216 of the Republic of Kazakhstan's Acting Minister of Ecology, Geology, and Natural Resources, dated September 11, 2020. On September 14, 2020, No. 21194 </w:t>
      </w:r>
      <w:r w:rsidR="00EE6DAC">
        <w:rPr>
          <w:lang w:val="en-US"/>
        </w:rPr>
        <w:t xml:space="preserve">was </w:t>
      </w:r>
      <w:r w:rsidRPr="003F3A00">
        <w:rPr>
          <w:lang w:val="en-US"/>
        </w:rPr>
        <w:t>registered with the Ministry of Justice of the Republic of Kazakhstan</w:t>
      </w:r>
      <w:r w:rsidR="00057080">
        <w:rPr>
          <w:lang w:val="en-US"/>
        </w:rPr>
        <w:t>.</w:t>
      </w:r>
    </w:p>
    <w:p w14:paraId="62BE9497" w14:textId="14383BD6" w:rsidR="00057080" w:rsidRDefault="003F3A00" w:rsidP="001F0033">
      <w:pPr>
        <w:rPr>
          <w:lang w:val="en-US"/>
        </w:rPr>
      </w:pPr>
      <w:r w:rsidRPr="003F3A00">
        <w:rPr>
          <w:lang w:val="en-US"/>
        </w:rPr>
        <w:t xml:space="preserve">Dam safety: Minister of Agriculture of the Republic of Kazakhstan No. 135 and </w:t>
      </w:r>
      <w:r w:rsidR="00665FB4" w:rsidRPr="00665FB4">
        <w:rPr>
          <w:lang w:val="en-US"/>
        </w:rPr>
        <w:t>No. 30 Minister of the Republic of Kazakhstan's National Economy</w:t>
      </w:r>
      <w:r w:rsidRPr="003F3A00">
        <w:rPr>
          <w:lang w:val="en-US"/>
        </w:rPr>
        <w:t xml:space="preserve"> issued a joint order on April 5, 2019. On May 2, 2019, No. 18616 </w:t>
      </w:r>
      <w:r w:rsidR="00EE6DAC">
        <w:rPr>
          <w:lang w:val="en-US"/>
        </w:rPr>
        <w:t xml:space="preserve">was </w:t>
      </w:r>
      <w:r w:rsidRPr="003F3A00">
        <w:rPr>
          <w:lang w:val="en-US"/>
        </w:rPr>
        <w:t>registered with the Ministry of Justice of the Republic of Kazakhstan</w:t>
      </w:r>
      <w:r w:rsidR="00057080">
        <w:rPr>
          <w:lang w:val="en-US"/>
        </w:rPr>
        <w:t>.</w:t>
      </w:r>
    </w:p>
    <w:p w14:paraId="4966DAD1" w14:textId="1814B239" w:rsidR="00057080" w:rsidRPr="001F0033" w:rsidRDefault="00665FB4" w:rsidP="00057080">
      <w:pPr>
        <w:rPr>
          <w:lang w:val="en-US"/>
        </w:rPr>
      </w:pPr>
      <w:r w:rsidRPr="00665FB4">
        <w:rPr>
          <w:lang w:val="en-US"/>
        </w:rPr>
        <w:t>Kazakhstan's Environmental Code</w:t>
      </w:r>
      <w:r w:rsidR="003F3A00" w:rsidRPr="003F3A00">
        <w:rPr>
          <w:lang w:val="en-US"/>
        </w:rPr>
        <w:t>: Code of the Republic of Kazakhstan No.212, dated 9 January 2007</w:t>
      </w:r>
      <w:r w:rsidR="00057080" w:rsidRPr="00057080">
        <w:rPr>
          <w:lang w:val="en-US"/>
        </w:rPr>
        <w:t>.</w:t>
      </w:r>
    </w:p>
    <w:p w14:paraId="2DDDECEE" w14:textId="174C1134" w:rsidR="00B9722B" w:rsidRDefault="00B9722B" w:rsidP="00264B23">
      <w:pPr>
        <w:rPr>
          <w:lang w:val="en-US"/>
        </w:rPr>
      </w:pPr>
    </w:p>
    <w:p w14:paraId="2D1E045A" w14:textId="77777777" w:rsidR="001F0033" w:rsidRDefault="001F0033" w:rsidP="00264B23">
      <w:pPr>
        <w:rPr>
          <w:lang w:val="en-US"/>
        </w:rPr>
      </w:pPr>
    </w:p>
    <w:p w14:paraId="7B1D78EC" w14:textId="77777777" w:rsidR="00B9722B" w:rsidRDefault="00B9722B" w:rsidP="00B9722B">
      <w:pPr>
        <w:rPr>
          <w:lang w:val="en-US"/>
        </w:rPr>
      </w:pPr>
    </w:p>
    <w:p w14:paraId="698A2609" w14:textId="77777777" w:rsidR="00FB36FD" w:rsidRPr="00240979" w:rsidRDefault="00FB36FD" w:rsidP="00FB36FD">
      <w:pPr>
        <w:rPr>
          <w:lang w:val="en-US"/>
        </w:rPr>
      </w:pPr>
    </w:p>
    <w:p w14:paraId="0664BCBC" w14:textId="4AD184EF" w:rsidR="00154BC5" w:rsidRDefault="00DB6A0A" w:rsidP="0036537D">
      <w:pPr>
        <w:pStyle w:val="1"/>
        <w:numPr>
          <w:ilvl w:val="0"/>
          <w:numId w:val="0"/>
        </w:numPr>
        <w:jc w:val="center"/>
        <w:rPr>
          <w:lang w:val="en-US"/>
        </w:rPr>
      </w:pPr>
      <w:bookmarkStart w:id="6" w:name="_Toc104985158"/>
      <w:r>
        <w:rPr>
          <w:lang w:val="en-US"/>
        </w:rPr>
        <w:lastRenderedPageBreak/>
        <w:t>DEFINITIONS</w:t>
      </w:r>
      <w:bookmarkEnd w:id="6"/>
    </w:p>
    <w:p w14:paraId="0CF4E80B" w14:textId="08314B87" w:rsidR="00340568" w:rsidRPr="00340568" w:rsidRDefault="00844CCE" w:rsidP="00340568">
      <w:pPr>
        <w:rPr>
          <w:lang w:val="en-US"/>
        </w:rPr>
      </w:pPr>
      <w:r w:rsidRPr="00844CCE">
        <w:rPr>
          <w:lang w:val="en-US"/>
        </w:rPr>
        <w:t xml:space="preserve">Land use </w:t>
      </w:r>
      <w:r w:rsidRPr="0036537D">
        <w:rPr>
          <w:lang w:val="en-US"/>
        </w:rPr>
        <w:t>–</w:t>
      </w:r>
      <w:r w:rsidR="00E335B5" w:rsidRPr="00E335B5">
        <w:rPr>
          <w:lang w:val="en-US"/>
        </w:rPr>
        <w:t xml:space="preserve"> refers to how humans use land. It depicts the economic and cultural activities (such as agricultural, residential, industrial, mining, and recreational uses) that take place in a given </w:t>
      </w:r>
      <w:r w:rsidR="00827048" w:rsidRPr="00E335B5">
        <w:rPr>
          <w:lang w:val="en-US"/>
        </w:rPr>
        <w:t>area.</w:t>
      </w:r>
      <w:r w:rsidR="00340568" w:rsidRPr="00340568">
        <w:rPr>
          <w:lang w:val="en-US"/>
        </w:rPr>
        <w:t xml:space="preserve"> </w:t>
      </w:r>
    </w:p>
    <w:p w14:paraId="2A76B10F" w14:textId="0DF55EA7" w:rsidR="00340568" w:rsidRPr="00340568" w:rsidRDefault="00844CCE" w:rsidP="00340568">
      <w:pPr>
        <w:rPr>
          <w:lang w:val="en-US"/>
        </w:rPr>
      </w:pPr>
      <w:r>
        <w:rPr>
          <w:lang w:val="en-US"/>
        </w:rPr>
        <w:t>L</w:t>
      </w:r>
      <w:r w:rsidRPr="00286EEA">
        <w:rPr>
          <w:lang w:val="en-US"/>
        </w:rPr>
        <w:t>and cover</w:t>
      </w:r>
      <w:r w:rsidRPr="00956E2B">
        <w:rPr>
          <w:lang w:val="en-US"/>
        </w:rPr>
        <w:t xml:space="preserve"> </w:t>
      </w:r>
      <w:r w:rsidRPr="0036537D">
        <w:rPr>
          <w:lang w:val="en-US"/>
        </w:rPr>
        <w:t>–</w:t>
      </w:r>
      <w:r w:rsidR="00956E2B" w:rsidRPr="00956E2B">
        <w:rPr>
          <w:lang w:val="en-US"/>
        </w:rPr>
        <w:t xml:space="preserve"> refers to the physical materials that cover the earth's surface. Examples include grass, asphalt, trees, bare ground, water, and other land </w:t>
      </w:r>
      <w:r w:rsidR="00827048" w:rsidRPr="00956E2B">
        <w:rPr>
          <w:lang w:val="en-US"/>
        </w:rPr>
        <w:t>covers.</w:t>
      </w:r>
    </w:p>
    <w:p w14:paraId="267355BB" w14:textId="59A68A1B" w:rsidR="00340568" w:rsidRDefault="00844CCE" w:rsidP="00340568">
      <w:pPr>
        <w:rPr>
          <w:lang w:val="en-US"/>
        </w:rPr>
      </w:pPr>
      <w:r>
        <w:rPr>
          <w:lang w:val="en-US"/>
        </w:rPr>
        <w:t>I</w:t>
      </w:r>
      <w:r w:rsidRPr="00286EEA">
        <w:rPr>
          <w:lang w:val="en-US"/>
        </w:rPr>
        <w:t>mpervious surface area</w:t>
      </w:r>
      <w:r>
        <w:rPr>
          <w:lang w:val="en-US"/>
        </w:rPr>
        <w:t xml:space="preserve"> </w:t>
      </w:r>
      <w:r w:rsidRPr="0036537D">
        <w:rPr>
          <w:lang w:val="en-US"/>
        </w:rPr>
        <w:t>–</w:t>
      </w:r>
      <w:r w:rsidRPr="00956E2B">
        <w:rPr>
          <w:lang w:val="en-US"/>
        </w:rPr>
        <w:t xml:space="preserve"> </w:t>
      </w:r>
      <w:r>
        <w:rPr>
          <w:lang w:val="en-US"/>
        </w:rPr>
        <w:t xml:space="preserve">Impervious surface area </w:t>
      </w:r>
      <w:r w:rsidR="00C1730C">
        <w:rPr>
          <w:lang w:val="en-US"/>
        </w:rPr>
        <w:t>refers to</w:t>
      </w:r>
      <w:r>
        <w:rPr>
          <w:lang w:val="en-US"/>
        </w:rPr>
        <w:t xml:space="preserve"> a</w:t>
      </w:r>
      <w:r w:rsidR="00956E2B" w:rsidRPr="00956E2B">
        <w:rPr>
          <w:lang w:val="en-US"/>
        </w:rPr>
        <w:t xml:space="preserve">ny </w:t>
      </w:r>
      <w:r>
        <w:rPr>
          <w:lang w:val="en-US"/>
        </w:rPr>
        <w:t>ground surface</w:t>
      </w:r>
      <w:r w:rsidRPr="00956E2B">
        <w:rPr>
          <w:lang w:val="en-US"/>
        </w:rPr>
        <w:t xml:space="preserve"> </w:t>
      </w:r>
      <w:r w:rsidR="00956E2B" w:rsidRPr="00956E2B">
        <w:rPr>
          <w:lang w:val="en-US"/>
        </w:rPr>
        <w:t>that significantly restricts or hampers natural water penetration into the soil is referred to as impervious surface area</w:t>
      </w:r>
      <w:r w:rsidR="00340568" w:rsidRPr="00340568">
        <w:rPr>
          <w:lang w:val="en-US"/>
        </w:rPr>
        <w:t>.</w:t>
      </w:r>
    </w:p>
    <w:p w14:paraId="6EFA5B5A" w14:textId="21AEF6CB" w:rsidR="00B37F5E" w:rsidRPr="00340568" w:rsidRDefault="00B37F5E" w:rsidP="00B37F5E">
      <w:pPr>
        <w:rPr>
          <w:lang w:val="en-US"/>
        </w:rPr>
      </w:pPr>
      <w:r w:rsidRPr="00B37F5E">
        <w:rPr>
          <w:lang w:val="en-US"/>
        </w:rPr>
        <w:t>R</w:t>
      </w:r>
      <w:r w:rsidRPr="00340568">
        <w:rPr>
          <w:lang w:val="en-US"/>
        </w:rPr>
        <w:t xml:space="preserve">apid urbanization </w:t>
      </w:r>
      <w:r w:rsidR="00CB6AEE" w:rsidRPr="0036537D">
        <w:rPr>
          <w:lang w:val="en-US"/>
        </w:rPr>
        <w:t>–</w:t>
      </w:r>
      <w:r w:rsidR="00CB6AEE">
        <w:rPr>
          <w:lang w:val="en-US"/>
        </w:rPr>
        <w:t xml:space="preserve"> refers to a process whereby a local area grows faster within a certain period. This process is associated with the increase in the number of people as well as changes to infrastructures and the natural landscape. </w:t>
      </w:r>
    </w:p>
    <w:p w14:paraId="31ACB323" w14:textId="6D5BA61C" w:rsidR="00340568" w:rsidRPr="00340568" w:rsidRDefault="00844CCE" w:rsidP="00340568">
      <w:pPr>
        <w:rPr>
          <w:lang w:val="en-US"/>
        </w:rPr>
      </w:pPr>
      <w:r w:rsidRPr="00340568">
        <w:rPr>
          <w:lang w:val="en-US"/>
        </w:rPr>
        <w:t>Stormwater</w:t>
      </w:r>
      <w:r w:rsidRPr="0027220E">
        <w:rPr>
          <w:lang w:val="en-US"/>
        </w:rPr>
        <w:t xml:space="preserve"> </w:t>
      </w:r>
      <w:r w:rsidRPr="0036537D">
        <w:rPr>
          <w:lang w:val="en-US"/>
        </w:rPr>
        <w:t>–</w:t>
      </w:r>
      <w:r>
        <w:rPr>
          <w:lang w:val="en-US"/>
        </w:rPr>
        <w:t xml:space="preserve"> the term s</w:t>
      </w:r>
      <w:r w:rsidR="0027220E" w:rsidRPr="0027220E">
        <w:rPr>
          <w:lang w:val="en-US"/>
        </w:rPr>
        <w:t xml:space="preserve">tormwater </w:t>
      </w:r>
      <w:r w:rsidR="00C1730C">
        <w:rPr>
          <w:lang w:val="en-US"/>
        </w:rPr>
        <w:t>refers to the</w:t>
      </w:r>
      <w:r w:rsidR="0027220E" w:rsidRPr="0027220E">
        <w:rPr>
          <w:lang w:val="en-US"/>
        </w:rPr>
        <w:t xml:space="preserve"> water that originates from intense precipitation (storm), such as heavy rain and hail, as well as snow meltwater</w:t>
      </w:r>
      <w:r w:rsidR="00340568" w:rsidRPr="00340568">
        <w:rPr>
          <w:lang w:val="en-US"/>
        </w:rPr>
        <w:t>.</w:t>
      </w:r>
    </w:p>
    <w:p w14:paraId="49611523" w14:textId="14719CF8" w:rsidR="00340568" w:rsidRPr="00340568" w:rsidRDefault="008267D5" w:rsidP="00340568">
      <w:pPr>
        <w:rPr>
          <w:lang w:val="en-US"/>
        </w:rPr>
      </w:pPr>
      <w:r>
        <w:rPr>
          <w:lang w:val="en-US"/>
        </w:rPr>
        <w:t xml:space="preserve">Catchment </w:t>
      </w:r>
      <w:r w:rsidRPr="0036537D">
        <w:rPr>
          <w:lang w:val="en-US"/>
        </w:rPr>
        <w:t>–</w:t>
      </w:r>
      <w:r w:rsidR="00286EEA">
        <w:rPr>
          <w:lang w:val="en-US"/>
        </w:rPr>
        <w:t xml:space="preserve"> </w:t>
      </w:r>
      <w:r>
        <w:rPr>
          <w:lang w:val="en-US"/>
        </w:rPr>
        <w:t>refers to</w:t>
      </w:r>
      <w:r w:rsidR="00286EEA">
        <w:rPr>
          <w:lang w:val="en-US"/>
        </w:rPr>
        <w:t xml:space="preserve"> the area from which s</w:t>
      </w:r>
      <w:r w:rsidR="00340568" w:rsidRPr="00340568">
        <w:rPr>
          <w:lang w:val="en-US"/>
        </w:rPr>
        <w:t xml:space="preserve">urface runoff is transported away by a single drainage system. </w:t>
      </w:r>
    </w:p>
    <w:p w14:paraId="2C74CE3C" w14:textId="3FB2338F" w:rsidR="00340568" w:rsidRPr="00340568" w:rsidRDefault="008267D5" w:rsidP="00340568">
      <w:pPr>
        <w:rPr>
          <w:lang w:val="en-US"/>
        </w:rPr>
      </w:pPr>
      <w:r w:rsidRPr="008267D5">
        <w:rPr>
          <w:lang w:val="en-US"/>
        </w:rPr>
        <w:t>Extreme event</w:t>
      </w:r>
      <w:r>
        <w:rPr>
          <w:lang w:val="en-US"/>
        </w:rPr>
        <w:t xml:space="preserve"> </w:t>
      </w:r>
      <w:r w:rsidRPr="0036537D">
        <w:rPr>
          <w:lang w:val="en-US"/>
        </w:rPr>
        <w:t>–</w:t>
      </w:r>
      <w:r w:rsidR="00CB6AEE">
        <w:rPr>
          <w:lang w:val="en-US"/>
        </w:rPr>
        <w:t xml:space="preserve"> </w:t>
      </w:r>
      <w:r w:rsidR="000067DD">
        <w:rPr>
          <w:lang w:val="en-US"/>
        </w:rPr>
        <w:t>refers</w:t>
      </w:r>
      <w:r w:rsidR="00286EEA">
        <w:rPr>
          <w:lang w:val="en-US"/>
        </w:rPr>
        <w:t xml:space="preserve"> </w:t>
      </w:r>
      <w:r w:rsidR="00CB6AEE">
        <w:rPr>
          <w:lang w:val="en-US"/>
        </w:rPr>
        <w:t>to</w:t>
      </w:r>
      <w:r w:rsidR="00286EEA">
        <w:rPr>
          <w:lang w:val="en-US"/>
        </w:rPr>
        <w:t xml:space="preserve"> u</w:t>
      </w:r>
      <w:r w:rsidR="00340568" w:rsidRPr="00340568">
        <w:rPr>
          <w:lang w:val="en-US"/>
        </w:rPr>
        <w:t>nexpected, uncommon</w:t>
      </w:r>
      <w:r w:rsidR="00CB6AEE">
        <w:rPr>
          <w:lang w:val="en-US"/>
        </w:rPr>
        <w:t>, e</w:t>
      </w:r>
      <w:r w:rsidR="0022755A" w:rsidRPr="0022755A">
        <w:rPr>
          <w:lang w:val="en-US"/>
        </w:rPr>
        <w:t>xtreme weather or extreme climatic occurrences</w:t>
      </w:r>
      <w:r w:rsidR="00CB6AEE">
        <w:rPr>
          <w:lang w:val="en-US"/>
        </w:rPr>
        <w:t>,</w:t>
      </w:r>
      <w:r w:rsidR="0022755A" w:rsidRPr="0022755A">
        <w:rPr>
          <w:lang w:val="en-US"/>
        </w:rPr>
        <w:t xml:space="preserve"> includ</w:t>
      </w:r>
      <w:r w:rsidR="00CB6AEE">
        <w:rPr>
          <w:lang w:val="en-US"/>
        </w:rPr>
        <w:t>ing</w:t>
      </w:r>
      <w:r w:rsidR="0022755A" w:rsidRPr="0022755A">
        <w:rPr>
          <w:lang w:val="en-US"/>
        </w:rPr>
        <w:t xml:space="preserve"> severe or unseasonal weather</w:t>
      </w:r>
      <w:r w:rsidR="00CB6AEE">
        <w:rPr>
          <w:lang w:val="en-US"/>
        </w:rPr>
        <w:t>.</w:t>
      </w:r>
    </w:p>
    <w:p w14:paraId="1818AA91" w14:textId="5CB1217E" w:rsidR="00340568" w:rsidRPr="00340568" w:rsidRDefault="008267D5" w:rsidP="00340568">
      <w:pPr>
        <w:rPr>
          <w:lang w:val="en-US"/>
        </w:rPr>
      </w:pPr>
      <w:r w:rsidRPr="00340568">
        <w:rPr>
          <w:lang w:val="en-US"/>
        </w:rPr>
        <w:t>Seepage</w:t>
      </w:r>
      <w:r>
        <w:rPr>
          <w:lang w:val="en-US"/>
        </w:rPr>
        <w:t xml:space="preserve"> </w:t>
      </w:r>
      <w:r w:rsidRPr="0036537D">
        <w:rPr>
          <w:lang w:val="en-US"/>
        </w:rPr>
        <w:t>–</w:t>
      </w:r>
      <w:r>
        <w:rPr>
          <w:lang w:val="en-US"/>
        </w:rPr>
        <w:t xml:space="preserve"> </w:t>
      </w:r>
      <w:r w:rsidR="0022755A" w:rsidRPr="0022755A">
        <w:rPr>
          <w:lang w:val="en-US"/>
        </w:rPr>
        <w:t xml:space="preserve">the term </w:t>
      </w:r>
      <w:r w:rsidR="0022755A">
        <w:rPr>
          <w:lang w:val="en-US"/>
        </w:rPr>
        <w:t>seepage</w:t>
      </w:r>
      <w:r w:rsidR="0022755A" w:rsidRPr="0022755A">
        <w:rPr>
          <w:lang w:val="en-US"/>
        </w:rPr>
        <w:t xml:space="preserve"> alludes to the descending and sidelong development of water from a source of supply, such as a store or water system canal, into soil or substrata</w:t>
      </w:r>
      <w:r w:rsidR="00340568" w:rsidRPr="00340568">
        <w:rPr>
          <w:lang w:val="en-US"/>
        </w:rPr>
        <w:t>.</w:t>
      </w:r>
    </w:p>
    <w:p w14:paraId="05543D31" w14:textId="400961A7" w:rsidR="00340568" w:rsidRPr="00340568" w:rsidRDefault="008267D5" w:rsidP="00340568">
      <w:pPr>
        <w:rPr>
          <w:lang w:val="en-US"/>
        </w:rPr>
      </w:pPr>
      <w:r>
        <w:rPr>
          <w:lang w:val="en-US"/>
        </w:rPr>
        <w:t>S</w:t>
      </w:r>
      <w:r w:rsidRPr="00AB4A49">
        <w:rPr>
          <w:lang w:val="en-US"/>
        </w:rPr>
        <w:t>lope stability</w:t>
      </w:r>
      <w:r>
        <w:rPr>
          <w:lang w:val="en-US"/>
        </w:rPr>
        <w:t xml:space="preserve"> </w:t>
      </w:r>
      <w:r w:rsidRPr="0036537D">
        <w:rPr>
          <w:lang w:val="en-US"/>
        </w:rPr>
        <w:t>–</w:t>
      </w:r>
      <w:r>
        <w:rPr>
          <w:lang w:val="en-US"/>
        </w:rPr>
        <w:t xml:space="preserve"> s</w:t>
      </w:r>
      <w:r w:rsidR="00AB4A49" w:rsidRPr="00AB4A49">
        <w:rPr>
          <w:lang w:val="en-US"/>
        </w:rPr>
        <w:t xml:space="preserve">lope stability </w:t>
      </w:r>
      <w:r w:rsidR="00AB4A49">
        <w:rPr>
          <w:lang w:val="en-US"/>
        </w:rPr>
        <w:t>is t</w:t>
      </w:r>
      <w:r w:rsidR="00340568" w:rsidRPr="00340568">
        <w:rPr>
          <w:lang w:val="en-US"/>
        </w:rPr>
        <w:t>he technique of estimating and assessing how much stress a specific slope can handle before failing. Commercial highways, dams, excavated slopes, and soft rock walks in reservoirs, forests, and parks are examples of common slopes.</w:t>
      </w:r>
    </w:p>
    <w:p w14:paraId="0BBC4357" w14:textId="3521E6F5" w:rsidR="00340568" w:rsidRPr="00340568" w:rsidRDefault="008267D5" w:rsidP="00340568">
      <w:pPr>
        <w:rPr>
          <w:lang w:val="en-US"/>
        </w:rPr>
      </w:pPr>
      <w:r>
        <w:rPr>
          <w:lang w:val="en-US"/>
        </w:rPr>
        <w:t>E</w:t>
      </w:r>
      <w:r w:rsidRPr="00340568">
        <w:rPr>
          <w:lang w:val="en-US"/>
        </w:rPr>
        <w:t xml:space="preserve">mbankment dam </w:t>
      </w:r>
      <w:r w:rsidRPr="0036537D">
        <w:rPr>
          <w:lang w:val="en-US"/>
        </w:rPr>
        <w:t>–</w:t>
      </w:r>
      <w:r>
        <w:rPr>
          <w:lang w:val="en-US"/>
        </w:rPr>
        <w:t xml:space="preserve"> a</w:t>
      </w:r>
      <w:r w:rsidR="00340568" w:rsidRPr="00340568">
        <w:rPr>
          <w:lang w:val="en-US"/>
        </w:rPr>
        <w:t xml:space="preserve">n embankment dam is a massive </w:t>
      </w:r>
      <w:r w:rsidR="00CB6AEE">
        <w:rPr>
          <w:lang w:val="en-US"/>
        </w:rPr>
        <w:t>artificial</w:t>
      </w:r>
      <w:r w:rsidR="00340568" w:rsidRPr="00340568">
        <w:rPr>
          <w:lang w:val="en-US"/>
        </w:rPr>
        <w:t xml:space="preserve"> structure</w:t>
      </w:r>
      <w:r w:rsidR="0022755A" w:rsidRPr="0022755A">
        <w:rPr>
          <w:lang w:val="en-US"/>
        </w:rPr>
        <w:t xml:space="preserve"> </w:t>
      </w:r>
      <w:r w:rsidR="00CB6AEE">
        <w:rPr>
          <w:lang w:val="en-US"/>
        </w:rPr>
        <w:t>composed of</w:t>
      </w:r>
      <w:r w:rsidR="0022755A" w:rsidRPr="0022755A">
        <w:rPr>
          <w:lang w:val="en-US"/>
        </w:rPr>
        <w:t xml:space="preserve"> </w:t>
      </w:r>
      <w:r w:rsidR="00CB6AEE">
        <w:rPr>
          <w:lang w:val="en-US"/>
        </w:rPr>
        <w:t xml:space="preserve">a </w:t>
      </w:r>
      <w:r w:rsidR="0022755A" w:rsidRPr="0022755A">
        <w:rPr>
          <w:lang w:val="en-US"/>
        </w:rPr>
        <w:t>semi-plastic mound of varied soil or rock compositions</w:t>
      </w:r>
      <w:r w:rsidR="00CB6AEE">
        <w:rPr>
          <w:lang w:val="en-US"/>
        </w:rPr>
        <w:t>. In many cases, an embankment dam</w:t>
      </w:r>
      <w:r w:rsidR="00340568" w:rsidRPr="00340568">
        <w:rPr>
          <w:lang w:val="en-US"/>
        </w:rPr>
        <w:t xml:space="preserve"> has a solid, impenetrable core and a semi-pervious waterproof natural coating for its surface.</w:t>
      </w:r>
    </w:p>
    <w:p w14:paraId="50701F78" w14:textId="295ABEFC" w:rsidR="00340568" w:rsidRPr="00340568" w:rsidRDefault="008267D5" w:rsidP="00340568">
      <w:pPr>
        <w:rPr>
          <w:lang w:val="en-US"/>
        </w:rPr>
      </w:pPr>
      <w:r>
        <w:rPr>
          <w:lang w:val="en-US"/>
        </w:rPr>
        <w:t>N</w:t>
      </w:r>
      <w:r w:rsidR="00AB4A49" w:rsidRPr="00AB4A49">
        <w:rPr>
          <w:lang w:val="en-US"/>
        </w:rPr>
        <w:t>umerical modeling</w:t>
      </w:r>
      <w:r w:rsidR="00CB6AEE">
        <w:rPr>
          <w:lang w:val="en-US"/>
        </w:rPr>
        <w:t xml:space="preserve"> </w:t>
      </w:r>
      <w:r w:rsidR="00CB6AEE" w:rsidRPr="0036537D">
        <w:rPr>
          <w:lang w:val="en-US"/>
        </w:rPr>
        <w:t>–</w:t>
      </w:r>
      <w:r w:rsidR="00CB6AEE">
        <w:rPr>
          <w:lang w:val="en-US"/>
        </w:rPr>
        <w:t xml:space="preserve"> refers to</w:t>
      </w:r>
      <w:r w:rsidR="00AB4A49">
        <w:rPr>
          <w:lang w:val="en-US"/>
        </w:rPr>
        <w:t xml:space="preserve"> a</w:t>
      </w:r>
      <w:r w:rsidR="00340568" w:rsidRPr="00340568">
        <w:rPr>
          <w:lang w:val="en-US"/>
        </w:rPr>
        <w:t xml:space="preserve"> mathematical depiction of a physical (or other) behavior based on pertinent hypotheses and simplifying assumptions.</w:t>
      </w:r>
    </w:p>
    <w:p w14:paraId="787427A4" w14:textId="648DE589" w:rsidR="00340568" w:rsidRPr="00340568" w:rsidRDefault="008267D5" w:rsidP="00340568">
      <w:pPr>
        <w:rPr>
          <w:lang w:val="en-US"/>
        </w:rPr>
      </w:pPr>
      <w:r w:rsidRPr="00340568">
        <w:rPr>
          <w:lang w:val="en-US"/>
        </w:rPr>
        <w:t xml:space="preserve">Curve Number </w:t>
      </w:r>
      <w:r w:rsidRPr="0036537D">
        <w:rPr>
          <w:lang w:val="en-US"/>
        </w:rPr>
        <w:t>–</w:t>
      </w:r>
      <w:r w:rsidR="00CB6AEE">
        <w:rPr>
          <w:lang w:val="en-US"/>
        </w:rPr>
        <w:t xml:space="preserve"> refers to</w:t>
      </w:r>
      <w:r w:rsidR="00340568" w:rsidRPr="00340568">
        <w:rPr>
          <w:lang w:val="en-US"/>
        </w:rPr>
        <w:t xml:space="preserve"> a dimensionless parameter that describes a drainage basin's runoff response. This parameter is linked to land use</w:t>
      </w:r>
      <w:r w:rsidR="00CB6AEE">
        <w:rPr>
          <w:lang w:val="en-US"/>
        </w:rPr>
        <w:t>,</w:t>
      </w:r>
      <w:r w:rsidR="00340568" w:rsidRPr="00340568">
        <w:rPr>
          <w:lang w:val="en-US"/>
        </w:rPr>
        <w:t xml:space="preserve"> hydrological condition, hydrological soil group, and antecedent soil moisture condition in the drainage basin.</w:t>
      </w:r>
    </w:p>
    <w:p w14:paraId="1B21B1BF" w14:textId="6FA4C853" w:rsidR="00340568" w:rsidRPr="00340568" w:rsidRDefault="008267D5" w:rsidP="00340568">
      <w:pPr>
        <w:rPr>
          <w:lang w:val="en-US"/>
        </w:rPr>
      </w:pPr>
      <w:r w:rsidRPr="00340568">
        <w:rPr>
          <w:lang w:val="en-US"/>
        </w:rPr>
        <w:t>Geographic Information System</w:t>
      </w:r>
      <w:r w:rsidR="000067DD">
        <w:rPr>
          <w:lang w:val="en-US"/>
        </w:rPr>
        <w:t xml:space="preserve"> (GIS)</w:t>
      </w:r>
      <w:r>
        <w:rPr>
          <w:lang w:val="en-US"/>
        </w:rPr>
        <w:t xml:space="preserve"> </w:t>
      </w:r>
      <w:r w:rsidRPr="0036537D">
        <w:rPr>
          <w:lang w:val="en-US"/>
        </w:rPr>
        <w:t>–</w:t>
      </w:r>
      <w:r>
        <w:rPr>
          <w:lang w:val="en-US"/>
        </w:rPr>
        <w:t xml:space="preserve"> a</w:t>
      </w:r>
      <w:r w:rsidR="00340568" w:rsidRPr="00340568">
        <w:rPr>
          <w:lang w:val="en-US"/>
        </w:rPr>
        <w:t xml:space="preserve"> GIS is a database that contains geographic data as well as software tools for managing, analyzing, and visualizing it.</w:t>
      </w:r>
    </w:p>
    <w:p w14:paraId="76ACA6E7" w14:textId="451255DC" w:rsidR="00340568" w:rsidRPr="00340568" w:rsidRDefault="008267D5" w:rsidP="00340568">
      <w:pPr>
        <w:rPr>
          <w:lang w:val="en-US"/>
        </w:rPr>
      </w:pPr>
      <w:r w:rsidRPr="00340568">
        <w:rPr>
          <w:lang w:val="en-US"/>
        </w:rPr>
        <w:t xml:space="preserve">Digital Elevation Model </w:t>
      </w:r>
      <w:r w:rsidRPr="0036537D">
        <w:rPr>
          <w:lang w:val="en-US"/>
        </w:rPr>
        <w:t>–</w:t>
      </w:r>
      <w:r>
        <w:rPr>
          <w:lang w:val="en-US"/>
        </w:rPr>
        <w:t xml:space="preserve"> a</w:t>
      </w:r>
      <w:r w:rsidR="00340568" w:rsidRPr="00340568">
        <w:rPr>
          <w:lang w:val="en-US"/>
        </w:rPr>
        <w:t xml:space="preserve"> </w:t>
      </w:r>
      <w:r w:rsidRPr="00340568">
        <w:rPr>
          <w:lang w:val="en-US"/>
        </w:rPr>
        <w:t>Digital Elevation Model</w:t>
      </w:r>
      <w:r w:rsidR="00340568" w:rsidRPr="00340568">
        <w:rPr>
          <w:lang w:val="en-US"/>
        </w:rPr>
        <w:t xml:space="preserve"> (DEM) is a three-dimensional computer graphics representation of elevation data used to depict topography.</w:t>
      </w:r>
    </w:p>
    <w:p w14:paraId="588BE6CD" w14:textId="02BAAD9B" w:rsidR="00340568" w:rsidRPr="00340568" w:rsidRDefault="00CB6AEE" w:rsidP="00340568">
      <w:pPr>
        <w:rPr>
          <w:lang w:val="en-US"/>
        </w:rPr>
      </w:pPr>
      <w:r>
        <w:rPr>
          <w:lang w:val="en-US"/>
        </w:rPr>
        <w:lastRenderedPageBreak/>
        <w:t>A f</w:t>
      </w:r>
      <w:r w:rsidR="008267D5" w:rsidRPr="00340568">
        <w:rPr>
          <w:lang w:val="en-US"/>
        </w:rPr>
        <w:t xml:space="preserve">actor </w:t>
      </w:r>
      <w:r w:rsidR="008267D5">
        <w:rPr>
          <w:lang w:val="en-US"/>
        </w:rPr>
        <w:t>o</w:t>
      </w:r>
      <w:r w:rsidR="008267D5" w:rsidRPr="00340568">
        <w:rPr>
          <w:lang w:val="en-US"/>
        </w:rPr>
        <w:t xml:space="preserve">f </w:t>
      </w:r>
      <w:r w:rsidR="00821353">
        <w:rPr>
          <w:lang w:val="en-US"/>
        </w:rPr>
        <w:t>s</w:t>
      </w:r>
      <w:r w:rsidR="008267D5" w:rsidRPr="00340568">
        <w:rPr>
          <w:lang w:val="en-US"/>
        </w:rPr>
        <w:t>afety</w:t>
      </w:r>
      <w:r w:rsidR="008267D5">
        <w:rPr>
          <w:lang w:val="en-US"/>
        </w:rPr>
        <w:t xml:space="preserve"> </w:t>
      </w:r>
      <w:r w:rsidR="008267D5" w:rsidRPr="0036537D">
        <w:rPr>
          <w:lang w:val="en-US"/>
        </w:rPr>
        <w:t>–</w:t>
      </w:r>
      <w:r w:rsidR="009C2501">
        <w:rPr>
          <w:lang w:val="en-US"/>
        </w:rPr>
        <w:t xml:space="preserve"> </w:t>
      </w:r>
      <w:r w:rsidR="00340568" w:rsidRPr="00340568">
        <w:rPr>
          <w:lang w:val="en-US"/>
        </w:rPr>
        <w:t>is a measure of how much stronger a system is than it needs to be for the weight it is designed to carry.</w:t>
      </w:r>
    </w:p>
    <w:p w14:paraId="0A221C1F" w14:textId="440E5826" w:rsidR="00340568" w:rsidRPr="00340568" w:rsidRDefault="008267D5" w:rsidP="00340568">
      <w:pPr>
        <w:rPr>
          <w:lang w:val="en-US"/>
        </w:rPr>
      </w:pPr>
      <w:r w:rsidRPr="00340568">
        <w:rPr>
          <w:lang w:val="en-US"/>
        </w:rPr>
        <w:t>Pore water pressure</w:t>
      </w:r>
      <w:r>
        <w:rPr>
          <w:lang w:val="en-US"/>
        </w:rPr>
        <w:t xml:space="preserve"> </w:t>
      </w:r>
      <w:r w:rsidRPr="0036537D">
        <w:rPr>
          <w:lang w:val="en-US"/>
        </w:rPr>
        <w:t>–</w:t>
      </w:r>
      <w:r w:rsidRPr="00340568">
        <w:rPr>
          <w:lang w:val="en-US"/>
        </w:rPr>
        <w:t xml:space="preserve"> </w:t>
      </w:r>
      <w:r w:rsidR="009C2501">
        <w:rPr>
          <w:lang w:val="en-US"/>
        </w:rPr>
        <w:t>is</w:t>
      </w:r>
      <w:r w:rsidR="00340568" w:rsidRPr="00340568">
        <w:rPr>
          <w:lang w:val="en-US"/>
        </w:rPr>
        <w:t xml:space="preserve"> the pressure of groundwater trapped in gaps between particles within a soil or rock. Piezometers are used to monitor pore water pressures below the groundwater's phreatic level.</w:t>
      </w:r>
    </w:p>
    <w:p w14:paraId="599D75FA" w14:textId="2B6AC346" w:rsidR="00340568" w:rsidRPr="00340568" w:rsidRDefault="00CB6AEE" w:rsidP="00340568">
      <w:pPr>
        <w:rPr>
          <w:lang w:val="en-US"/>
        </w:rPr>
      </w:pPr>
      <w:r>
        <w:rPr>
          <w:lang w:val="en-US"/>
        </w:rPr>
        <w:t>The p</w:t>
      </w:r>
      <w:r w:rsidR="008267D5" w:rsidRPr="00340568">
        <w:rPr>
          <w:lang w:val="en-US"/>
        </w:rPr>
        <w:t xml:space="preserve">hreatic line </w:t>
      </w:r>
      <w:r w:rsidR="008267D5" w:rsidRPr="0036537D">
        <w:rPr>
          <w:lang w:val="en-US"/>
        </w:rPr>
        <w:t>–</w:t>
      </w:r>
      <w:r w:rsidR="009C2501">
        <w:rPr>
          <w:lang w:val="en-US"/>
        </w:rPr>
        <w:t xml:space="preserve"> </w:t>
      </w:r>
      <w:r w:rsidR="00340568" w:rsidRPr="00340568">
        <w:rPr>
          <w:lang w:val="en-US"/>
        </w:rPr>
        <w:t>is the highest flow line of a saturated soil mass below which seepage occurs.</w:t>
      </w:r>
    </w:p>
    <w:p w14:paraId="08C3D1D0" w14:textId="1DB0355D" w:rsidR="00340568" w:rsidRPr="00340568" w:rsidRDefault="005B796E" w:rsidP="00340568">
      <w:pPr>
        <w:rPr>
          <w:lang w:val="en-US"/>
        </w:rPr>
      </w:pPr>
      <w:r>
        <w:rPr>
          <w:lang w:val="en-US"/>
        </w:rPr>
        <w:t>C</w:t>
      </w:r>
      <w:r w:rsidRPr="005B796E">
        <w:rPr>
          <w:lang w:val="en-US"/>
        </w:rPr>
        <w:t xml:space="preserve">ohesive soils </w:t>
      </w:r>
      <w:r w:rsidRPr="0036537D">
        <w:rPr>
          <w:lang w:val="en-US"/>
        </w:rPr>
        <w:t>–</w:t>
      </w:r>
      <w:r>
        <w:rPr>
          <w:lang w:val="en-US"/>
        </w:rPr>
        <w:t xml:space="preserve"> c</w:t>
      </w:r>
      <w:r w:rsidRPr="005B796E">
        <w:rPr>
          <w:lang w:val="en-US"/>
        </w:rPr>
        <w:t xml:space="preserve">ohesive soils </w:t>
      </w:r>
      <w:r>
        <w:rPr>
          <w:lang w:val="en-US"/>
        </w:rPr>
        <w:t>are defined based on the fact that p</w:t>
      </w:r>
      <w:r w:rsidR="00340568" w:rsidRPr="00340568">
        <w:rPr>
          <w:lang w:val="en-US"/>
        </w:rPr>
        <w:t xml:space="preserve">articles of the same type, origin, and nature are attracted to each other in cohesive soil. As a result, cohesive soils are soils that adhere to one another. </w:t>
      </w:r>
      <w:r w:rsidR="0022755A" w:rsidRPr="0022755A">
        <w:rPr>
          <w:lang w:val="en-US"/>
        </w:rPr>
        <w:t>Cohesive soils are fine-grained soils like silts and clays</w:t>
      </w:r>
      <w:r w:rsidR="00340568" w:rsidRPr="00340568">
        <w:rPr>
          <w:lang w:val="en-US"/>
        </w:rPr>
        <w:t>.</w:t>
      </w:r>
    </w:p>
    <w:p w14:paraId="5B54D1CE" w14:textId="07A0F2A8" w:rsidR="00340568" w:rsidRPr="00340568" w:rsidRDefault="00CB6AEE" w:rsidP="00340568">
      <w:pPr>
        <w:rPr>
          <w:lang w:val="en-US"/>
        </w:rPr>
      </w:pPr>
      <w:r>
        <w:rPr>
          <w:lang w:val="en-US"/>
        </w:rPr>
        <w:t>The a</w:t>
      </w:r>
      <w:r w:rsidR="005B796E" w:rsidRPr="005B796E">
        <w:rPr>
          <w:lang w:val="en-US"/>
        </w:rPr>
        <w:t xml:space="preserve">ngle of internal friction </w:t>
      </w:r>
      <w:r w:rsidR="005B796E" w:rsidRPr="0036537D">
        <w:rPr>
          <w:lang w:val="en-US"/>
        </w:rPr>
        <w:t>–</w:t>
      </w:r>
      <w:r w:rsidR="00B33129">
        <w:rPr>
          <w:lang w:val="en-US"/>
        </w:rPr>
        <w:t xml:space="preserve"> </w:t>
      </w:r>
      <w:r w:rsidR="005B796E">
        <w:rPr>
          <w:lang w:val="en-US"/>
        </w:rPr>
        <w:t>is defined based on the fact that t</w:t>
      </w:r>
      <w:r w:rsidR="00340568" w:rsidRPr="00340568">
        <w:rPr>
          <w:lang w:val="en-US"/>
        </w:rPr>
        <w:t xml:space="preserve">he ability of a unit of rock or soil to endure a shear force is measured by the angle of internal friction. </w:t>
      </w:r>
    </w:p>
    <w:p w14:paraId="6001C358" w14:textId="4FB319D3" w:rsidR="00340568" w:rsidRPr="00340568" w:rsidRDefault="00B37F5E" w:rsidP="00340568">
      <w:pPr>
        <w:rPr>
          <w:lang w:val="en-US"/>
        </w:rPr>
      </w:pPr>
      <w:r w:rsidRPr="00340568">
        <w:rPr>
          <w:lang w:val="en-US"/>
        </w:rPr>
        <w:t>Rapid drawdown</w:t>
      </w:r>
      <w:r w:rsidRPr="005B796E">
        <w:rPr>
          <w:lang w:val="en-US"/>
        </w:rPr>
        <w:t xml:space="preserve"> </w:t>
      </w:r>
      <w:r w:rsidR="00CB6AEE">
        <w:rPr>
          <w:lang w:val="en-US"/>
        </w:rPr>
        <w:t>is the evacuation of water from a reservoir at a much faster rate</w:t>
      </w:r>
      <w:r w:rsidR="00340568" w:rsidRPr="00340568">
        <w:rPr>
          <w:lang w:val="en-US"/>
        </w:rPr>
        <w:t xml:space="preserve"> than the rate of drainage of the materials that make up the reservoir's exposed parts.</w:t>
      </w:r>
    </w:p>
    <w:p w14:paraId="3EAFFC4F" w14:textId="326AE7B2" w:rsidR="00340568" w:rsidRPr="00340568" w:rsidRDefault="00B37F5E" w:rsidP="00340568">
      <w:pPr>
        <w:rPr>
          <w:lang w:val="en-US"/>
        </w:rPr>
      </w:pPr>
      <w:r>
        <w:rPr>
          <w:lang w:val="en-US"/>
        </w:rPr>
        <w:t>V</w:t>
      </w:r>
      <w:r w:rsidRPr="00B37F5E">
        <w:rPr>
          <w:lang w:val="en-US"/>
        </w:rPr>
        <w:t xml:space="preserve">olumetric water </w:t>
      </w:r>
      <w:r>
        <w:rPr>
          <w:lang w:val="en-US"/>
        </w:rPr>
        <w:t xml:space="preserve">content </w:t>
      </w:r>
      <w:r w:rsidRPr="0036537D">
        <w:rPr>
          <w:lang w:val="en-US"/>
        </w:rPr>
        <w:t>–</w:t>
      </w:r>
      <w:r>
        <w:rPr>
          <w:lang w:val="en-US"/>
        </w:rPr>
        <w:t xml:space="preserve"> </w:t>
      </w:r>
      <w:r w:rsidR="00D56E3A">
        <w:rPr>
          <w:lang w:val="en-US"/>
        </w:rPr>
        <w:t>refers to</w:t>
      </w:r>
      <w:r w:rsidR="00B33129">
        <w:rPr>
          <w:lang w:val="en-US"/>
        </w:rPr>
        <w:t xml:space="preserve"> </w:t>
      </w:r>
      <w:r>
        <w:rPr>
          <w:lang w:val="en-US"/>
        </w:rPr>
        <w:t>t</w:t>
      </w:r>
      <w:r w:rsidR="00340568" w:rsidRPr="00340568">
        <w:rPr>
          <w:lang w:val="en-US"/>
        </w:rPr>
        <w:t xml:space="preserve">he ratio of the volume of water to </w:t>
      </w:r>
      <w:r w:rsidR="00111703">
        <w:rPr>
          <w:lang w:val="en-US"/>
        </w:rPr>
        <w:t>that of</w:t>
      </w:r>
      <w:r w:rsidR="00340568" w:rsidRPr="00340568">
        <w:rPr>
          <w:lang w:val="en-US"/>
        </w:rPr>
        <w:t xml:space="preserve"> soil. </w:t>
      </w:r>
      <w:r w:rsidR="0022755A" w:rsidRPr="0022755A">
        <w:rPr>
          <w:lang w:val="en-US"/>
        </w:rPr>
        <w:t>For example, inches of water per foot of soil could be expressed as a ratio, a percentage, or a depth of water per depth of soil</w:t>
      </w:r>
      <w:r w:rsidR="0022755A">
        <w:rPr>
          <w:lang w:val="en-US"/>
        </w:rPr>
        <w:t>.</w:t>
      </w:r>
    </w:p>
    <w:p w14:paraId="006F276A" w14:textId="7ADB0D33" w:rsidR="00340568" w:rsidRPr="00340568" w:rsidRDefault="00B37F5E" w:rsidP="00340568">
      <w:pPr>
        <w:rPr>
          <w:lang w:val="en-US"/>
        </w:rPr>
      </w:pPr>
      <w:r w:rsidRPr="00340568">
        <w:rPr>
          <w:lang w:val="en-US"/>
        </w:rPr>
        <w:t xml:space="preserve">Hydraulic conductivity </w:t>
      </w:r>
      <w:r w:rsidRPr="0036537D">
        <w:rPr>
          <w:lang w:val="en-US"/>
        </w:rPr>
        <w:t>–</w:t>
      </w:r>
      <w:r w:rsidR="00B33129">
        <w:rPr>
          <w:lang w:val="en-US"/>
        </w:rPr>
        <w:t xml:space="preserve"> </w:t>
      </w:r>
      <w:r w:rsidR="00340568" w:rsidRPr="00340568">
        <w:rPr>
          <w:lang w:val="en-US"/>
        </w:rPr>
        <w:t>is a property of vascular plants, soils, and rocks that indicates how easily a fluid may pass through pore spaces or cracks.</w:t>
      </w:r>
    </w:p>
    <w:p w14:paraId="30425210" w14:textId="5EE7E51D" w:rsidR="00340568" w:rsidRPr="00340568" w:rsidRDefault="00B37F5E" w:rsidP="00340568">
      <w:pPr>
        <w:rPr>
          <w:lang w:val="en-US"/>
        </w:rPr>
      </w:pPr>
      <w:r>
        <w:rPr>
          <w:lang w:val="en-US"/>
        </w:rPr>
        <w:t>S</w:t>
      </w:r>
      <w:r w:rsidRPr="00340568">
        <w:rPr>
          <w:lang w:val="en-US"/>
        </w:rPr>
        <w:t xml:space="preserve">oil's unit weight </w:t>
      </w:r>
      <w:r w:rsidRPr="0036537D">
        <w:rPr>
          <w:lang w:val="en-US"/>
        </w:rPr>
        <w:t>–</w:t>
      </w:r>
      <w:r w:rsidR="00B33129">
        <w:rPr>
          <w:lang w:val="en-US"/>
        </w:rPr>
        <w:t xml:space="preserve"> </w:t>
      </w:r>
      <w:r w:rsidR="00340568" w:rsidRPr="00340568">
        <w:rPr>
          <w:lang w:val="en-US"/>
        </w:rPr>
        <w:t xml:space="preserve">refers to </w:t>
      </w:r>
      <w:r w:rsidR="0000670F">
        <w:rPr>
          <w:lang w:val="en-US"/>
        </w:rPr>
        <w:t>soil</w:t>
      </w:r>
      <w:r w:rsidR="00340568" w:rsidRPr="00340568">
        <w:rPr>
          <w:lang w:val="en-US"/>
        </w:rPr>
        <w:t xml:space="preserve"> weight per cubic met</w:t>
      </w:r>
      <w:r w:rsidR="008F5B90">
        <w:rPr>
          <w:lang w:val="en-US"/>
        </w:rPr>
        <w:t>er</w:t>
      </w:r>
      <w:r w:rsidR="00340568" w:rsidRPr="00340568">
        <w:rPr>
          <w:lang w:val="en-US"/>
        </w:rPr>
        <w:t xml:space="preserve"> and is measured in kilonewtons per cubic met</w:t>
      </w:r>
      <w:r w:rsidR="008F5B90">
        <w:rPr>
          <w:lang w:val="en-US"/>
        </w:rPr>
        <w:t>er</w:t>
      </w:r>
      <w:r w:rsidR="00340568" w:rsidRPr="00340568">
        <w:rPr>
          <w:lang w:val="en-US"/>
        </w:rPr>
        <w:t xml:space="preserve"> (kN/m</w:t>
      </w:r>
      <w:r w:rsidR="00340568" w:rsidRPr="00AB4A49">
        <w:rPr>
          <w:vertAlign w:val="superscript"/>
          <w:lang w:val="en-US"/>
        </w:rPr>
        <w:t>3</w:t>
      </w:r>
      <w:r w:rsidR="00340568" w:rsidRPr="00340568">
        <w:rPr>
          <w:lang w:val="en-US"/>
        </w:rPr>
        <w:t>).</w:t>
      </w:r>
    </w:p>
    <w:p w14:paraId="7B52EC93" w14:textId="1A92D0F0" w:rsidR="00340568" w:rsidRPr="00340568" w:rsidRDefault="00B37F5E" w:rsidP="00340568">
      <w:pPr>
        <w:rPr>
          <w:lang w:val="en-US"/>
        </w:rPr>
      </w:pPr>
      <w:r>
        <w:rPr>
          <w:lang w:val="en-US"/>
        </w:rPr>
        <w:t>C</w:t>
      </w:r>
      <w:r w:rsidRPr="00340568">
        <w:rPr>
          <w:lang w:val="en-US"/>
        </w:rPr>
        <w:t xml:space="preserve">oefficient of volume compressibility </w:t>
      </w:r>
      <w:r w:rsidRPr="0036537D">
        <w:rPr>
          <w:lang w:val="en-US"/>
        </w:rPr>
        <w:t>–</w:t>
      </w:r>
      <w:r>
        <w:rPr>
          <w:lang w:val="en-US"/>
        </w:rPr>
        <w:t xml:space="preserve"> t</w:t>
      </w:r>
      <w:r w:rsidR="00340568" w:rsidRPr="00340568">
        <w:rPr>
          <w:lang w:val="en-US"/>
        </w:rPr>
        <w:t>he ratio of unit volume change per unit increase in effective stress is known as the coefficient of volume compressibility.</w:t>
      </w:r>
    </w:p>
    <w:p w14:paraId="374ACF85" w14:textId="0D66350C" w:rsidR="00340568" w:rsidRPr="00340568" w:rsidRDefault="00B37F5E" w:rsidP="00340568">
      <w:pPr>
        <w:rPr>
          <w:lang w:val="en-US"/>
        </w:rPr>
      </w:pPr>
      <w:r>
        <w:rPr>
          <w:lang w:val="en-US"/>
        </w:rPr>
        <w:t>S</w:t>
      </w:r>
      <w:r w:rsidRPr="00340568">
        <w:rPr>
          <w:lang w:val="en-US"/>
        </w:rPr>
        <w:t xml:space="preserve">lip surface </w:t>
      </w:r>
      <w:r w:rsidRPr="0036537D">
        <w:rPr>
          <w:lang w:val="en-US"/>
        </w:rPr>
        <w:t>–</w:t>
      </w:r>
      <w:r>
        <w:rPr>
          <w:lang w:val="en-US"/>
        </w:rPr>
        <w:t xml:space="preserve"> f</w:t>
      </w:r>
      <w:r w:rsidR="00340568" w:rsidRPr="00340568">
        <w:rPr>
          <w:lang w:val="en-US"/>
        </w:rPr>
        <w:t>rom a variety of feasible surfaces, the slip surface is the place with the lowest value of factor of safety. The limit equilibrium idea with automatic critical slip surface estimation is used in a wide range of slope stability software.</w:t>
      </w:r>
    </w:p>
    <w:p w14:paraId="3927C9A6" w14:textId="2BAB8268" w:rsidR="00340568" w:rsidRPr="00340568" w:rsidRDefault="001B68BC" w:rsidP="00340568">
      <w:pPr>
        <w:rPr>
          <w:lang w:val="en-US"/>
        </w:rPr>
      </w:pPr>
      <w:r>
        <w:rPr>
          <w:lang w:val="en-US"/>
        </w:rPr>
        <w:t>S</w:t>
      </w:r>
      <w:r w:rsidRPr="00340568">
        <w:rPr>
          <w:lang w:val="en-US"/>
        </w:rPr>
        <w:t xml:space="preserve">teady-state flow condition </w:t>
      </w:r>
      <w:r w:rsidRPr="0036537D">
        <w:rPr>
          <w:lang w:val="en-US"/>
        </w:rPr>
        <w:t>–</w:t>
      </w:r>
      <w:r>
        <w:rPr>
          <w:lang w:val="en-US"/>
        </w:rPr>
        <w:t xml:space="preserve"> a</w:t>
      </w:r>
      <w:r w:rsidR="00340568" w:rsidRPr="00340568">
        <w:rPr>
          <w:lang w:val="en-US"/>
        </w:rPr>
        <w:t xml:space="preserve"> steady-state flow condition is one in which the pressure at any location in the reservoir remains constant across time.</w:t>
      </w:r>
    </w:p>
    <w:p w14:paraId="50585E07" w14:textId="21D4CCB2" w:rsidR="00FB36FD" w:rsidRPr="00FB36FD" w:rsidRDefault="001B68BC" w:rsidP="000C1F59">
      <w:pPr>
        <w:rPr>
          <w:lang w:val="en-US"/>
        </w:rPr>
      </w:pPr>
      <w:r>
        <w:rPr>
          <w:lang w:val="en-US"/>
        </w:rPr>
        <w:t>B</w:t>
      </w:r>
      <w:r w:rsidRPr="00AB4A49">
        <w:rPr>
          <w:lang w:val="en-US"/>
        </w:rPr>
        <w:t>oundary conditions</w:t>
      </w:r>
      <w:r>
        <w:rPr>
          <w:lang w:val="en-US"/>
        </w:rPr>
        <w:t xml:space="preserve"> </w:t>
      </w:r>
      <w:r w:rsidRPr="0036537D">
        <w:rPr>
          <w:lang w:val="en-US"/>
        </w:rPr>
        <w:t>–</w:t>
      </w:r>
      <w:r>
        <w:rPr>
          <w:lang w:val="en-US"/>
        </w:rPr>
        <w:t xml:space="preserve"> </w:t>
      </w:r>
      <w:r w:rsidR="0022755A">
        <w:rPr>
          <w:lang w:val="en-US"/>
        </w:rPr>
        <w:t>i</w:t>
      </w:r>
      <w:r w:rsidR="0022755A" w:rsidRPr="0022755A">
        <w:rPr>
          <w:lang w:val="en-US"/>
        </w:rPr>
        <w:t xml:space="preserve">n embankment seepage and slope stability analysis, boundary conditions relate to the </w:t>
      </w:r>
      <w:r w:rsidR="00AB2717">
        <w:rPr>
          <w:lang w:val="en-US"/>
        </w:rPr>
        <w:t xml:space="preserve">inflow and outflow </w:t>
      </w:r>
      <w:r w:rsidR="0022755A" w:rsidRPr="0022755A">
        <w:rPr>
          <w:lang w:val="en-US"/>
        </w:rPr>
        <w:t xml:space="preserve">area </w:t>
      </w:r>
      <w:r w:rsidR="00AB2717">
        <w:rPr>
          <w:lang w:val="en-US"/>
        </w:rPr>
        <w:t xml:space="preserve">of the model </w:t>
      </w:r>
      <w:r w:rsidR="0022755A" w:rsidRPr="0022755A">
        <w:rPr>
          <w:lang w:val="en-US"/>
        </w:rPr>
        <w:t>(embankment)</w:t>
      </w:r>
      <w:r w:rsidR="00340568" w:rsidRPr="00340568">
        <w:rPr>
          <w:lang w:val="en-US"/>
        </w:rPr>
        <w:t xml:space="preserve">, which reflect locations in the model where external causes </w:t>
      </w:r>
      <w:r w:rsidR="00EC08E3">
        <w:rPr>
          <w:lang w:val="en-US"/>
        </w:rPr>
        <w:t>lead</w:t>
      </w:r>
      <w:r w:rsidR="00EC08E3" w:rsidRPr="00340568">
        <w:rPr>
          <w:lang w:val="en-US"/>
        </w:rPr>
        <w:t xml:space="preserve"> </w:t>
      </w:r>
      <w:r w:rsidR="00340568" w:rsidRPr="00340568">
        <w:rPr>
          <w:lang w:val="en-US"/>
        </w:rPr>
        <w:t>water to flow into or out of the model</w:t>
      </w:r>
      <w:r w:rsidR="00EC08E3">
        <w:rPr>
          <w:lang w:val="en-US"/>
        </w:rPr>
        <w:t xml:space="preserve"> (embankment)</w:t>
      </w:r>
      <w:r w:rsidR="00340568" w:rsidRPr="00340568">
        <w:rPr>
          <w:lang w:val="en-US"/>
        </w:rPr>
        <w:t xml:space="preserve"> region.</w:t>
      </w:r>
    </w:p>
    <w:p w14:paraId="77555099" w14:textId="766E455C" w:rsidR="00154BC5" w:rsidRDefault="00DB6A0A" w:rsidP="0036537D">
      <w:pPr>
        <w:pStyle w:val="1"/>
        <w:numPr>
          <w:ilvl w:val="0"/>
          <w:numId w:val="0"/>
        </w:numPr>
        <w:jc w:val="center"/>
        <w:rPr>
          <w:lang w:val="en-US"/>
        </w:rPr>
      </w:pPr>
      <w:bookmarkStart w:id="7" w:name="_Toc104985159"/>
      <w:r w:rsidRPr="0036537D">
        <w:rPr>
          <w:lang w:val="en-US"/>
        </w:rPr>
        <w:lastRenderedPageBreak/>
        <w:t>SYMBOLS AND A</w:t>
      </w:r>
      <w:r>
        <w:rPr>
          <w:lang w:val="en-US"/>
        </w:rPr>
        <w:t>BBREVIATIONS</w:t>
      </w:r>
      <w:bookmarkEnd w:id="7"/>
    </w:p>
    <w:p w14:paraId="6E28DDCA" w14:textId="4949E1E6" w:rsidR="002515A1" w:rsidRPr="000F484D" w:rsidRDefault="002515A1" w:rsidP="00D80CA5">
      <w:pPr>
        <w:rPr>
          <w:rFonts w:cs="Times New Roman"/>
          <w:szCs w:val="24"/>
          <w:lang w:val="en-US"/>
        </w:rPr>
      </w:pPr>
      <m:oMath>
        <m:r>
          <w:rPr>
            <w:rFonts w:ascii="Cambria Math" w:hAnsi="Cambria Math" w:cs="Times New Roman"/>
            <w:szCs w:val="24"/>
          </w:rPr>
          <m:t>τ</m:t>
        </m:r>
      </m:oMath>
      <w:r w:rsidRPr="000F484D">
        <w:rPr>
          <w:rFonts w:cs="Times New Roman"/>
          <w:szCs w:val="24"/>
          <w:lang w:val="en-US"/>
        </w:rPr>
        <w:t xml:space="preserve"> </w:t>
      </w:r>
      <w:r w:rsidRPr="0036537D">
        <w:rPr>
          <w:lang w:val="en-US"/>
        </w:rPr>
        <w:t>–</w:t>
      </w:r>
      <w:r>
        <w:rPr>
          <w:lang w:val="en-US"/>
        </w:rPr>
        <w:t xml:space="preserve"> </w:t>
      </w:r>
      <w:r w:rsidR="00986DB4">
        <w:rPr>
          <w:rFonts w:cs="Times New Roman"/>
          <w:szCs w:val="24"/>
          <w:lang w:val="en-US"/>
        </w:rPr>
        <w:t>stands for</w:t>
      </w:r>
      <w:r w:rsidR="00986DB4" w:rsidRPr="000F484D">
        <w:rPr>
          <w:rFonts w:cs="Times New Roman"/>
          <w:szCs w:val="24"/>
          <w:lang w:val="en-US"/>
        </w:rPr>
        <w:t xml:space="preserve"> </w:t>
      </w:r>
      <w:r w:rsidRPr="000F484D">
        <w:rPr>
          <w:rFonts w:cs="Times New Roman"/>
          <w:szCs w:val="24"/>
          <w:lang w:val="en-US"/>
        </w:rPr>
        <w:t>the amount of shear stress that is delivered to the soil</w:t>
      </w:r>
      <w:r w:rsidR="00D80CA5">
        <w:rPr>
          <w:rFonts w:cs="Times New Roman"/>
          <w:szCs w:val="24"/>
          <w:lang w:val="en-US"/>
        </w:rPr>
        <w:t>.</w:t>
      </w:r>
    </w:p>
    <w:p w14:paraId="5034829C" w14:textId="01884FB1" w:rsidR="002515A1" w:rsidRDefault="00536556" w:rsidP="00D80CA5">
      <w:pPr>
        <w:rPr>
          <w:rFonts w:cs="Times New Roman"/>
          <w:szCs w:val="24"/>
          <w:lang w:val="en-US"/>
        </w:rPr>
      </w:pPr>
      <m:oMath>
        <m:sSub>
          <m:sSubPr>
            <m:ctrlPr>
              <w:rPr>
                <w:rFonts w:ascii="Cambria Math" w:hAnsi="Cambria Math" w:cs="Times New Roman"/>
                <w:i/>
                <w:szCs w:val="24"/>
              </w:rPr>
            </m:ctrlPr>
          </m:sSubPr>
          <m:e>
            <m:r>
              <w:rPr>
                <w:rFonts w:ascii="Cambria Math" w:hAnsi="Cambria Math" w:cs="Times New Roman"/>
                <w:szCs w:val="24"/>
              </w:rPr>
              <m:t>σ</m:t>
            </m:r>
          </m:e>
          <m:sub>
            <m:r>
              <w:rPr>
                <w:rFonts w:ascii="Cambria Math" w:hAnsi="Cambria Math" w:cs="Times New Roman"/>
                <w:szCs w:val="24"/>
              </w:rPr>
              <m:t>n</m:t>
            </m:r>
          </m:sub>
        </m:sSub>
      </m:oMath>
      <w:r w:rsidR="002515A1">
        <w:rPr>
          <w:rFonts w:cs="Times New Roman"/>
          <w:szCs w:val="24"/>
          <w:lang w:val="en-US"/>
        </w:rPr>
        <w:t xml:space="preserve"> </w:t>
      </w:r>
      <w:r w:rsidR="002515A1" w:rsidRPr="0036537D">
        <w:rPr>
          <w:lang w:val="en-US"/>
        </w:rPr>
        <w:t>–</w:t>
      </w:r>
      <w:r w:rsidR="002515A1">
        <w:rPr>
          <w:lang w:val="en-US"/>
        </w:rPr>
        <w:t xml:space="preserve"> </w:t>
      </w:r>
      <w:r w:rsidR="00986DB4">
        <w:rPr>
          <w:lang w:val="en-US"/>
        </w:rPr>
        <w:t xml:space="preserve">stands for the </w:t>
      </w:r>
      <w:r w:rsidR="002515A1" w:rsidRPr="002515A1">
        <w:rPr>
          <w:rFonts w:cs="Times New Roman"/>
          <w:szCs w:val="24"/>
          <w:lang w:val="en-US"/>
        </w:rPr>
        <w:t xml:space="preserve">normal stress </w:t>
      </w:r>
      <w:r w:rsidR="002515A1">
        <w:rPr>
          <w:rFonts w:cs="Times New Roman"/>
          <w:szCs w:val="24"/>
          <w:lang w:val="en-US"/>
        </w:rPr>
        <w:t>value</w:t>
      </w:r>
      <w:r w:rsidR="00D80CA5">
        <w:rPr>
          <w:rFonts w:cs="Times New Roman"/>
          <w:szCs w:val="24"/>
          <w:lang w:val="en-US"/>
        </w:rPr>
        <w:t>.</w:t>
      </w:r>
      <w:r w:rsidR="002515A1" w:rsidRPr="002515A1">
        <w:rPr>
          <w:rFonts w:cs="Times New Roman"/>
          <w:szCs w:val="24"/>
          <w:lang w:val="en-US"/>
        </w:rPr>
        <w:t xml:space="preserve"> </w:t>
      </w:r>
    </w:p>
    <w:p w14:paraId="7A3F6C40" w14:textId="326C0EFF" w:rsidR="002515A1" w:rsidRDefault="00536556" w:rsidP="00D80CA5">
      <w:pPr>
        <w:rPr>
          <w:rFonts w:cs="Times New Roman"/>
          <w:szCs w:val="24"/>
          <w:lang w:val="en-US"/>
        </w:rPr>
      </w:pPr>
      <m:oMath>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ff</m:t>
            </m:r>
          </m:sub>
        </m:sSub>
      </m:oMath>
      <w:r w:rsidR="002515A1">
        <w:rPr>
          <w:rFonts w:cs="Times New Roman"/>
          <w:szCs w:val="24"/>
          <w:lang w:val="en-US"/>
        </w:rPr>
        <w:t xml:space="preserve"> </w:t>
      </w:r>
      <w:r w:rsidR="002515A1" w:rsidRPr="0036537D">
        <w:rPr>
          <w:lang w:val="en-US"/>
        </w:rPr>
        <w:t>–</w:t>
      </w:r>
      <w:r w:rsidR="002515A1" w:rsidRPr="000F484D">
        <w:rPr>
          <w:rFonts w:cs="Times New Roman"/>
          <w:szCs w:val="24"/>
          <w:lang w:val="en-US"/>
        </w:rPr>
        <w:t xml:space="preserve"> </w:t>
      </w:r>
      <w:r w:rsidR="00986DB4">
        <w:rPr>
          <w:rFonts w:cs="Times New Roman"/>
          <w:szCs w:val="24"/>
          <w:lang w:val="en-US"/>
        </w:rPr>
        <w:t>stands for</w:t>
      </w:r>
      <w:r w:rsidR="00986DB4" w:rsidRPr="000F484D">
        <w:rPr>
          <w:rFonts w:cs="Times New Roman"/>
          <w:szCs w:val="24"/>
          <w:lang w:val="en-US"/>
        </w:rPr>
        <w:t xml:space="preserve"> </w:t>
      </w:r>
      <w:r w:rsidR="002515A1" w:rsidRPr="000F484D">
        <w:rPr>
          <w:rFonts w:cs="Times New Roman"/>
          <w:szCs w:val="24"/>
          <w:lang w:val="en-US"/>
        </w:rPr>
        <w:t>the maximum shear stress that a soil can withstand</w:t>
      </w:r>
      <w:r w:rsidR="00D80CA5">
        <w:rPr>
          <w:rFonts w:cs="Times New Roman"/>
          <w:szCs w:val="24"/>
          <w:lang w:val="en-US"/>
        </w:rPr>
        <w:t>.</w:t>
      </w:r>
    </w:p>
    <w:p w14:paraId="797468C1" w14:textId="31AC00D1" w:rsidR="00B2463E" w:rsidRDefault="00631072" w:rsidP="00D80CA5">
      <w:pPr>
        <w:rPr>
          <w:rFonts w:cs="Times New Roman"/>
          <w:szCs w:val="24"/>
          <w:lang w:val="en-US"/>
        </w:rPr>
      </w:pPr>
      <w:r w:rsidRPr="00B2463E">
        <w:rPr>
          <w:rFonts w:cs="Times New Roman"/>
          <w:szCs w:val="24"/>
          <w:lang w:val="en-US"/>
        </w:rPr>
        <w:t>c</w:t>
      </w:r>
      <w:r>
        <w:rPr>
          <w:rFonts w:cs="Times New Roman"/>
          <w:szCs w:val="24"/>
          <w:lang w:val="en-US"/>
        </w:rPr>
        <w:t xml:space="preserve"> – </w:t>
      </w:r>
      <w:r w:rsidR="00986DB4">
        <w:rPr>
          <w:rFonts w:cs="Times New Roman"/>
          <w:szCs w:val="24"/>
          <w:lang w:val="en-US"/>
        </w:rPr>
        <w:t xml:space="preserve">stands for </w:t>
      </w:r>
      <w:r>
        <w:rPr>
          <w:rFonts w:cs="Times New Roman"/>
          <w:szCs w:val="24"/>
          <w:lang w:val="en-US"/>
        </w:rPr>
        <w:t>c</w:t>
      </w:r>
      <w:r w:rsidRPr="00631072">
        <w:rPr>
          <w:rFonts w:cs="Times New Roman"/>
          <w:szCs w:val="24"/>
          <w:lang w:val="en-US"/>
        </w:rPr>
        <w:t>ohesion</w:t>
      </w:r>
      <w:r w:rsidR="00D80CA5">
        <w:rPr>
          <w:rFonts w:cs="Times New Roman"/>
          <w:szCs w:val="24"/>
          <w:lang w:val="en-US"/>
        </w:rPr>
        <w:t>.</w:t>
      </w:r>
    </w:p>
    <w:p w14:paraId="72FA35D3" w14:textId="53408766" w:rsidR="00631072" w:rsidRDefault="00631072" w:rsidP="00D80CA5">
      <w:pPr>
        <w:rPr>
          <w:rFonts w:cs="Times New Roman"/>
          <w:szCs w:val="24"/>
          <w:lang w:val="en-US"/>
        </w:rPr>
      </w:pPr>
      <w:r w:rsidRPr="00631072">
        <w:rPr>
          <w:rFonts w:cs="Times New Roman"/>
          <w:szCs w:val="24"/>
          <w:lang w:val="en-US"/>
        </w:rPr>
        <w:t>F</w:t>
      </w:r>
      <w:r w:rsidRPr="00631072">
        <w:rPr>
          <w:rFonts w:cs="Times New Roman"/>
          <w:szCs w:val="24"/>
          <w:vertAlign w:val="subscript"/>
          <w:lang w:val="en-US"/>
        </w:rPr>
        <w:t>c</w:t>
      </w:r>
      <w:r>
        <w:rPr>
          <w:rFonts w:cs="Times New Roman"/>
          <w:szCs w:val="24"/>
          <w:vertAlign w:val="subscript"/>
          <w:lang w:val="en-US"/>
        </w:rPr>
        <w:t xml:space="preserve"> </w:t>
      </w:r>
      <w:r>
        <w:rPr>
          <w:rFonts w:cs="Times New Roman"/>
          <w:szCs w:val="24"/>
          <w:lang w:val="en-US"/>
        </w:rPr>
        <w:t xml:space="preserve">– </w:t>
      </w:r>
      <w:r w:rsidR="00986DB4">
        <w:rPr>
          <w:rFonts w:cs="Times New Roman"/>
          <w:szCs w:val="24"/>
          <w:lang w:val="en-US"/>
        </w:rPr>
        <w:t xml:space="preserve">stands for the </w:t>
      </w:r>
      <w:r>
        <w:rPr>
          <w:rFonts w:cs="Times New Roman"/>
          <w:szCs w:val="24"/>
          <w:lang w:val="en-US"/>
        </w:rPr>
        <w:t>f</w:t>
      </w:r>
      <w:r w:rsidRPr="00631072">
        <w:rPr>
          <w:rFonts w:cs="Times New Roman"/>
          <w:szCs w:val="24"/>
          <w:lang w:val="en-US"/>
        </w:rPr>
        <w:t>actor of safety in relation to cohesion</w:t>
      </w:r>
      <w:r w:rsidR="00D80CA5">
        <w:rPr>
          <w:rFonts w:cs="Times New Roman"/>
          <w:szCs w:val="24"/>
          <w:lang w:val="en-US"/>
        </w:rPr>
        <w:t>.</w:t>
      </w:r>
    </w:p>
    <w:p w14:paraId="495592A9" w14:textId="2B8F680F" w:rsidR="00631072" w:rsidRDefault="00631072" w:rsidP="00D80CA5">
      <w:pPr>
        <w:rPr>
          <w:rFonts w:cs="Times New Roman"/>
          <w:szCs w:val="24"/>
          <w:lang w:val="en-US"/>
        </w:rPr>
      </w:pPr>
      <w:r w:rsidRPr="00631072">
        <w:rPr>
          <w:rFonts w:cs="Times New Roman"/>
          <w:szCs w:val="24"/>
          <w:lang w:val="en-US"/>
        </w:rPr>
        <w:t>F</w:t>
      </w:r>
      <w:r w:rsidRPr="00631072">
        <w:rPr>
          <w:rFonts w:cs="Times New Roman"/>
          <w:szCs w:val="24"/>
          <w:vertAlign w:val="subscript"/>
          <w:lang w:val="en-US"/>
        </w:rPr>
        <w:t>H</w:t>
      </w:r>
      <w:r>
        <w:rPr>
          <w:rFonts w:cs="Times New Roman"/>
          <w:szCs w:val="24"/>
          <w:lang w:val="en-US"/>
        </w:rPr>
        <w:t xml:space="preserve"> –</w:t>
      </w:r>
      <w:r w:rsidR="00986DB4">
        <w:rPr>
          <w:rFonts w:cs="Times New Roman"/>
          <w:szCs w:val="24"/>
          <w:lang w:val="en-US"/>
        </w:rPr>
        <w:t xml:space="preserve"> stands for the</w:t>
      </w:r>
      <w:r>
        <w:rPr>
          <w:rFonts w:cs="Times New Roman"/>
          <w:szCs w:val="24"/>
          <w:lang w:val="en-US"/>
        </w:rPr>
        <w:t xml:space="preserve"> </w:t>
      </w:r>
      <w:r w:rsidRPr="00631072">
        <w:rPr>
          <w:rFonts w:cs="Times New Roman"/>
          <w:szCs w:val="24"/>
          <w:lang w:val="en-US"/>
        </w:rPr>
        <w:t>factor of safety in relation to height</w:t>
      </w:r>
      <w:r w:rsidR="00D80CA5">
        <w:rPr>
          <w:rFonts w:cs="Times New Roman"/>
          <w:szCs w:val="24"/>
          <w:lang w:val="en-US"/>
        </w:rPr>
        <w:t>.</w:t>
      </w:r>
    </w:p>
    <w:p w14:paraId="23807099" w14:textId="67DE2CA2" w:rsidR="00631072" w:rsidRDefault="00631072" w:rsidP="00D80CA5">
      <w:pPr>
        <w:rPr>
          <w:rFonts w:cs="Times New Roman"/>
          <w:szCs w:val="24"/>
          <w:lang w:val="en-US"/>
        </w:rPr>
      </w:pPr>
      <w:r w:rsidRPr="00631072">
        <w:rPr>
          <w:rFonts w:cs="Times New Roman"/>
          <w:szCs w:val="24"/>
          <w:lang w:val="en-US"/>
        </w:rPr>
        <w:t>H</w:t>
      </w:r>
      <w:r w:rsidRPr="00631072">
        <w:rPr>
          <w:rFonts w:cs="Times New Roman"/>
          <w:szCs w:val="24"/>
          <w:vertAlign w:val="subscript"/>
          <w:lang w:val="en-US"/>
        </w:rPr>
        <w:t>max</w:t>
      </w:r>
      <w:r>
        <w:rPr>
          <w:rFonts w:cs="Times New Roman"/>
          <w:szCs w:val="24"/>
          <w:lang w:val="en-US"/>
        </w:rPr>
        <w:t xml:space="preserve"> –</w:t>
      </w:r>
      <w:r w:rsidR="00986DB4">
        <w:rPr>
          <w:rFonts w:cs="Times New Roman"/>
          <w:szCs w:val="24"/>
          <w:lang w:val="en-US"/>
        </w:rPr>
        <w:t xml:space="preserve"> stands for the</w:t>
      </w:r>
      <w:r>
        <w:rPr>
          <w:rFonts w:cs="Times New Roman"/>
          <w:szCs w:val="24"/>
          <w:lang w:val="en-US"/>
        </w:rPr>
        <w:t xml:space="preserve"> emban</w:t>
      </w:r>
      <w:r w:rsidR="00130FE2">
        <w:rPr>
          <w:rFonts w:cs="Times New Roman"/>
          <w:szCs w:val="24"/>
          <w:lang w:val="en-US"/>
        </w:rPr>
        <w:t xml:space="preserve">kment </w:t>
      </w:r>
      <w:r w:rsidRPr="00631072">
        <w:rPr>
          <w:rFonts w:cs="Times New Roman"/>
          <w:szCs w:val="24"/>
          <w:lang w:val="en-US"/>
        </w:rPr>
        <w:t>slope's maximal height</w:t>
      </w:r>
      <w:r w:rsidR="00D80CA5">
        <w:rPr>
          <w:rFonts w:cs="Times New Roman"/>
          <w:szCs w:val="24"/>
          <w:lang w:val="en-US"/>
        </w:rPr>
        <w:t>.</w:t>
      </w:r>
    </w:p>
    <w:p w14:paraId="5595C46C" w14:textId="5E4AC49F" w:rsidR="00130FE2" w:rsidRDefault="00130FE2" w:rsidP="00D80CA5">
      <w:pPr>
        <w:rPr>
          <w:rFonts w:cs="Times New Roman"/>
          <w:szCs w:val="24"/>
          <w:lang w:val="en-US"/>
        </w:rPr>
      </w:pPr>
      <w:r w:rsidRPr="00130FE2">
        <w:rPr>
          <w:rFonts w:cs="Times New Roman"/>
          <w:szCs w:val="24"/>
          <w:lang w:val="en-US"/>
        </w:rPr>
        <w:t>H</w:t>
      </w:r>
      <w:r>
        <w:rPr>
          <w:rFonts w:cs="Times New Roman"/>
          <w:szCs w:val="24"/>
          <w:lang w:val="en-US"/>
        </w:rPr>
        <w:t xml:space="preserve"> – </w:t>
      </w:r>
      <w:r w:rsidR="00986DB4">
        <w:rPr>
          <w:rFonts w:cs="Times New Roman"/>
          <w:szCs w:val="24"/>
          <w:lang w:val="en-US"/>
        </w:rPr>
        <w:t xml:space="preserve">stands for </w:t>
      </w:r>
      <w:r w:rsidR="008F5B90">
        <w:rPr>
          <w:rFonts w:cs="Times New Roman"/>
          <w:szCs w:val="24"/>
          <w:lang w:val="en-US"/>
        </w:rPr>
        <w:t xml:space="preserve">the </w:t>
      </w:r>
      <w:r w:rsidRPr="00130FE2">
        <w:rPr>
          <w:rFonts w:cs="Times New Roman"/>
          <w:szCs w:val="24"/>
          <w:lang w:val="en-US"/>
        </w:rPr>
        <w:t>actual height of the</w:t>
      </w:r>
      <w:r>
        <w:rPr>
          <w:rFonts w:cs="Times New Roman"/>
          <w:szCs w:val="24"/>
          <w:lang w:val="en-US"/>
        </w:rPr>
        <w:t xml:space="preserve"> embankment</w:t>
      </w:r>
      <w:r w:rsidRPr="00130FE2">
        <w:rPr>
          <w:rFonts w:cs="Times New Roman"/>
          <w:szCs w:val="24"/>
          <w:lang w:val="en-US"/>
        </w:rPr>
        <w:t xml:space="preserve"> slope</w:t>
      </w:r>
      <w:r w:rsidR="00D80CA5">
        <w:rPr>
          <w:rFonts w:cs="Times New Roman"/>
          <w:szCs w:val="24"/>
          <w:lang w:val="en-US"/>
        </w:rPr>
        <w:t>.</w:t>
      </w:r>
    </w:p>
    <w:p w14:paraId="7566021E" w14:textId="6107B0B8" w:rsidR="00A8519B" w:rsidRDefault="00A8519B" w:rsidP="00D80CA5">
      <w:pPr>
        <w:rPr>
          <w:rFonts w:cs="Times New Roman"/>
          <w:szCs w:val="24"/>
          <w:lang w:val="en-US"/>
        </w:rPr>
      </w:pPr>
      <w:r>
        <w:rPr>
          <w:rFonts w:cs="Times New Roman"/>
          <w:szCs w:val="24"/>
          <w:lang w:val="en-US"/>
        </w:rPr>
        <w:t>HRAF – stands for hypothetical region after failure.</w:t>
      </w:r>
    </w:p>
    <w:p w14:paraId="1E1C47C6" w14:textId="7F136991" w:rsidR="00E12018" w:rsidRPr="00E12018" w:rsidRDefault="00E12018" w:rsidP="00D80CA5">
      <w:pPr>
        <w:rPr>
          <w:rFonts w:cs="Times New Roman"/>
          <w:szCs w:val="24"/>
          <w:lang w:val="en-US"/>
        </w:rPr>
      </w:pPr>
      <w:r w:rsidRPr="00E12018">
        <w:rPr>
          <w:rFonts w:cs="Times New Roman"/>
          <w:szCs w:val="24"/>
          <w:lang w:val="en-US"/>
        </w:rPr>
        <w:t xml:space="preserve">SCS </w:t>
      </w:r>
      <w:r w:rsidR="00D96517">
        <w:rPr>
          <w:rFonts w:cs="Times New Roman"/>
          <w:szCs w:val="24"/>
          <w:lang w:val="en-US"/>
        </w:rPr>
        <w:t>–</w:t>
      </w:r>
      <w:r w:rsidR="00986DB4">
        <w:rPr>
          <w:rFonts w:cs="Times New Roman"/>
          <w:szCs w:val="24"/>
          <w:lang w:val="en-US"/>
        </w:rPr>
        <w:t xml:space="preserve"> s</w:t>
      </w:r>
      <w:r w:rsidR="00A8519B">
        <w:rPr>
          <w:rFonts w:cs="Times New Roman"/>
          <w:szCs w:val="24"/>
          <w:lang w:val="en-US"/>
        </w:rPr>
        <w:t>t</w:t>
      </w:r>
      <w:r w:rsidR="00986DB4">
        <w:rPr>
          <w:rFonts w:cs="Times New Roman"/>
          <w:szCs w:val="24"/>
          <w:lang w:val="en-US"/>
        </w:rPr>
        <w:t xml:space="preserve">ands for </w:t>
      </w:r>
      <w:r w:rsidRPr="00E12018">
        <w:rPr>
          <w:rFonts w:cs="Times New Roman"/>
          <w:szCs w:val="24"/>
          <w:lang w:val="en-US"/>
        </w:rPr>
        <w:t>Soil Conservation Service</w:t>
      </w:r>
      <w:r w:rsidR="00D80CA5">
        <w:rPr>
          <w:rFonts w:cs="Times New Roman"/>
          <w:szCs w:val="24"/>
          <w:lang w:val="en-US"/>
        </w:rPr>
        <w:t>.</w:t>
      </w:r>
    </w:p>
    <w:p w14:paraId="42A998E6" w14:textId="14C89E36" w:rsidR="00E12018" w:rsidRPr="00E12018" w:rsidRDefault="00E12018" w:rsidP="00D80CA5">
      <w:pPr>
        <w:rPr>
          <w:rFonts w:cs="Times New Roman"/>
          <w:szCs w:val="24"/>
          <w:lang w:val="en-US"/>
        </w:rPr>
      </w:pPr>
      <w:r w:rsidRPr="00E12018">
        <w:rPr>
          <w:rFonts w:cs="Times New Roman"/>
          <w:szCs w:val="24"/>
          <w:lang w:val="en-US"/>
        </w:rPr>
        <w:t xml:space="preserve">TR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Technical Release</w:t>
      </w:r>
      <w:r w:rsidR="00D80CA5">
        <w:rPr>
          <w:rFonts w:cs="Times New Roman"/>
          <w:szCs w:val="24"/>
          <w:lang w:val="en-US"/>
        </w:rPr>
        <w:t>.</w:t>
      </w:r>
      <w:r w:rsidRPr="00E12018">
        <w:rPr>
          <w:rFonts w:cs="Times New Roman"/>
          <w:szCs w:val="24"/>
          <w:lang w:val="en-US"/>
        </w:rPr>
        <w:t xml:space="preserve"> </w:t>
      </w:r>
    </w:p>
    <w:p w14:paraId="77116995" w14:textId="54F478A3" w:rsidR="00E12018" w:rsidRPr="00E12018" w:rsidRDefault="00E12018" w:rsidP="00D80CA5">
      <w:pPr>
        <w:rPr>
          <w:rFonts w:cs="Times New Roman"/>
          <w:szCs w:val="24"/>
          <w:lang w:val="en-US"/>
        </w:rPr>
      </w:pPr>
      <w:r w:rsidRPr="00E12018">
        <w:rPr>
          <w:rFonts w:cs="Times New Roman"/>
          <w:szCs w:val="24"/>
          <w:lang w:val="en-US"/>
        </w:rPr>
        <w:t xml:space="preserve">USGS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United States Geological Survey</w:t>
      </w:r>
      <w:r w:rsidR="00D80CA5">
        <w:rPr>
          <w:rFonts w:cs="Times New Roman"/>
          <w:szCs w:val="24"/>
          <w:lang w:val="en-US"/>
        </w:rPr>
        <w:t>.</w:t>
      </w:r>
    </w:p>
    <w:p w14:paraId="62EB0B62" w14:textId="07AAC105" w:rsidR="00E12018" w:rsidRPr="00E12018" w:rsidRDefault="00E12018" w:rsidP="00D80CA5">
      <w:pPr>
        <w:rPr>
          <w:rFonts w:cs="Times New Roman"/>
          <w:szCs w:val="24"/>
          <w:lang w:val="en-US"/>
        </w:rPr>
      </w:pPr>
      <w:r w:rsidRPr="00E12018">
        <w:rPr>
          <w:rFonts w:cs="Times New Roman"/>
          <w:szCs w:val="24"/>
          <w:lang w:val="en-US"/>
        </w:rPr>
        <w:t xml:space="preserve">HEC-HMS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Hydrologic Engineering Center - Hydrologic Modeling System</w:t>
      </w:r>
      <w:r w:rsidR="00D80CA5">
        <w:rPr>
          <w:rFonts w:cs="Times New Roman"/>
          <w:szCs w:val="24"/>
          <w:lang w:val="en-US"/>
        </w:rPr>
        <w:t>.</w:t>
      </w:r>
    </w:p>
    <w:p w14:paraId="6E20A01E" w14:textId="145D38AE" w:rsidR="00E12018" w:rsidRPr="00E12018" w:rsidRDefault="00E12018" w:rsidP="00D80CA5">
      <w:pPr>
        <w:rPr>
          <w:rFonts w:cs="Times New Roman"/>
          <w:szCs w:val="24"/>
          <w:lang w:val="en-US"/>
        </w:rPr>
      </w:pPr>
      <w:r w:rsidRPr="00E12018">
        <w:rPr>
          <w:rFonts w:cs="Times New Roman"/>
          <w:szCs w:val="24"/>
          <w:lang w:val="en-US"/>
        </w:rPr>
        <w:t xml:space="preserve">Q </w:t>
      </w:r>
      <w:r w:rsidR="00D96517">
        <w:rPr>
          <w:rFonts w:cs="Times New Roman"/>
          <w:szCs w:val="24"/>
          <w:lang w:val="en-US"/>
        </w:rPr>
        <w:t>–</w:t>
      </w:r>
      <w:r w:rsidR="00986DB4">
        <w:rPr>
          <w:rFonts w:cs="Times New Roman"/>
          <w:szCs w:val="24"/>
          <w:lang w:val="en-US"/>
        </w:rPr>
        <w:t xml:space="preserve"> stands for</w:t>
      </w:r>
      <w:r w:rsidRPr="00E12018">
        <w:rPr>
          <w:rFonts w:cs="Times New Roman"/>
          <w:szCs w:val="24"/>
          <w:lang w:val="en-US"/>
        </w:rPr>
        <w:t xml:space="preserve"> </w:t>
      </w:r>
      <w:r w:rsidR="0025169B">
        <w:rPr>
          <w:rFonts w:cs="Times New Roman"/>
          <w:szCs w:val="24"/>
          <w:lang w:val="en-US"/>
        </w:rPr>
        <w:t xml:space="preserve">the </w:t>
      </w:r>
      <w:r w:rsidRPr="00E12018">
        <w:rPr>
          <w:rFonts w:cs="Times New Roman"/>
          <w:szCs w:val="24"/>
          <w:lang w:val="en-US"/>
        </w:rPr>
        <w:t>peak rate of runoff</w:t>
      </w:r>
      <w:r w:rsidR="00D80CA5">
        <w:rPr>
          <w:rFonts w:cs="Times New Roman"/>
          <w:szCs w:val="24"/>
          <w:lang w:val="en-US"/>
        </w:rPr>
        <w:t>.</w:t>
      </w:r>
      <w:r w:rsidRPr="00E12018">
        <w:rPr>
          <w:rFonts w:cs="Times New Roman"/>
          <w:szCs w:val="24"/>
          <w:lang w:val="en-US"/>
        </w:rPr>
        <w:t xml:space="preserve"> </w:t>
      </w:r>
    </w:p>
    <w:p w14:paraId="74AB7FDA" w14:textId="29DCB3C4" w:rsidR="00E12018" w:rsidRPr="00E12018" w:rsidRDefault="00E12018" w:rsidP="00D80CA5">
      <w:pPr>
        <w:rPr>
          <w:rFonts w:cs="Times New Roman"/>
          <w:szCs w:val="24"/>
          <w:lang w:val="en-US"/>
        </w:rPr>
      </w:pPr>
      <w:r w:rsidRPr="00E12018">
        <w:rPr>
          <w:rFonts w:cs="Times New Roman"/>
          <w:szCs w:val="24"/>
          <w:lang w:val="en-US"/>
        </w:rPr>
        <w:t>k</w:t>
      </w:r>
      <w:r w:rsidRPr="002B266C">
        <w:rPr>
          <w:rFonts w:cs="Times New Roman"/>
          <w:szCs w:val="24"/>
          <w:vertAlign w:val="subscript"/>
          <w:lang w:val="en-US"/>
        </w:rPr>
        <w:t>i</w:t>
      </w:r>
      <w:r w:rsidRPr="00E12018">
        <w:rPr>
          <w:rFonts w:cs="Times New Roman"/>
          <w:szCs w:val="24"/>
          <w:lang w:val="en-US"/>
        </w:rPr>
        <w:t xml:space="preserve"> </w:t>
      </w:r>
      <w:r w:rsidR="00D96517">
        <w:rPr>
          <w:rFonts w:cs="Times New Roman"/>
          <w:szCs w:val="24"/>
          <w:lang w:val="en-US"/>
        </w:rPr>
        <w:t>–</w:t>
      </w:r>
      <w:r w:rsidR="00986DB4">
        <w:rPr>
          <w:rFonts w:cs="Times New Roman"/>
          <w:szCs w:val="24"/>
          <w:lang w:val="en-US"/>
        </w:rPr>
        <w:t xml:space="preserve"> stands for</w:t>
      </w:r>
      <w:r w:rsidRPr="00E12018">
        <w:rPr>
          <w:rFonts w:cs="Times New Roman"/>
          <w:szCs w:val="24"/>
          <w:lang w:val="en-US"/>
        </w:rPr>
        <w:t xml:space="preserve"> adjustment multiplier for design storm recurrence interval.</w:t>
      </w:r>
    </w:p>
    <w:p w14:paraId="7254D031" w14:textId="3E23B639" w:rsidR="00E12018" w:rsidRPr="00E12018" w:rsidRDefault="00E12018" w:rsidP="00D80CA5">
      <w:pPr>
        <w:rPr>
          <w:rFonts w:cs="Times New Roman"/>
          <w:szCs w:val="24"/>
          <w:lang w:val="en-US"/>
        </w:rPr>
      </w:pPr>
      <w:r w:rsidRPr="00E12018">
        <w:rPr>
          <w:rFonts w:cs="Times New Roman"/>
          <w:szCs w:val="24"/>
          <w:lang w:val="en-US"/>
        </w:rPr>
        <w:t xml:space="preserve">C </w:t>
      </w:r>
      <w:r w:rsidR="00D96517">
        <w:rPr>
          <w:rFonts w:cs="Times New Roman"/>
          <w:szCs w:val="24"/>
          <w:lang w:val="en-US"/>
        </w:rPr>
        <w:t>–</w:t>
      </w:r>
      <w:r w:rsidR="00986DB4">
        <w:rPr>
          <w:rFonts w:cs="Times New Roman"/>
          <w:szCs w:val="24"/>
          <w:lang w:val="en-US"/>
        </w:rPr>
        <w:t xml:space="preserve"> stands for</w:t>
      </w:r>
      <w:r w:rsidRPr="00E12018">
        <w:rPr>
          <w:rFonts w:cs="Times New Roman"/>
          <w:szCs w:val="24"/>
          <w:lang w:val="en-US"/>
        </w:rPr>
        <w:t xml:space="preserve"> runoff coefficient</w:t>
      </w:r>
      <w:r w:rsidR="00BC7A6F">
        <w:rPr>
          <w:rFonts w:cs="Times New Roman"/>
          <w:szCs w:val="24"/>
          <w:lang w:val="en-US"/>
        </w:rPr>
        <w:t>.</w:t>
      </w:r>
    </w:p>
    <w:p w14:paraId="3AC3EDB3" w14:textId="53F2CEBD" w:rsidR="00E12018" w:rsidRPr="00E12018" w:rsidRDefault="00E12018" w:rsidP="00D80CA5">
      <w:pPr>
        <w:rPr>
          <w:rFonts w:cs="Times New Roman"/>
          <w:szCs w:val="24"/>
          <w:lang w:val="en-US"/>
        </w:rPr>
      </w:pPr>
      <w:r w:rsidRPr="00E12018">
        <w:rPr>
          <w:rFonts w:cs="Times New Roman"/>
          <w:szCs w:val="24"/>
          <w:lang w:val="en-US"/>
        </w:rPr>
        <w:t xml:space="preserve">I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average rainfall intensity</w:t>
      </w:r>
      <w:r w:rsidR="00D80CA5">
        <w:rPr>
          <w:rFonts w:cs="Times New Roman"/>
          <w:szCs w:val="24"/>
          <w:lang w:val="en-US"/>
        </w:rPr>
        <w:t>.</w:t>
      </w:r>
    </w:p>
    <w:p w14:paraId="0982B649" w14:textId="2F3160D9" w:rsidR="00E12018" w:rsidRPr="00E12018" w:rsidRDefault="00E12018" w:rsidP="00D80CA5">
      <w:pPr>
        <w:rPr>
          <w:rFonts w:cs="Times New Roman"/>
          <w:szCs w:val="24"/>
          <w:lang w:val="en-US"/>
        </w:rPr>
      </w:pPr>
      <w:r w:rsidRPr="00E12018">
        <w:rPr>
          <w:rFonts w:cs="Times New Roman"/>
          <w:szCs w:val="24"/>
          <w:lang w:val="en-US"/>
        </w:rPr>
        <w:t xml:space="preserve">A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0025169B">
        <w:rPr>
          <w:rFonts w:cs="Times New Roman"/>
          <w:szCs w:val="24"/>
          <w:lang w:val="en-US"/>
        </w:rPr>
        <w:t xml:space="preserve">an </w:t>
      </w:r>
      <w:r w:rsidRPr="00E12018">
        <w:rPr>
          <w:rFonts w:cs="Times New Roman"/>
          <w:szCs w:val="24"/>
          <w:lang w:val="en-US"/>
        </w:rPr>
        <w:t>area that contributes to runoff at the point of design or the point under consideration</w:t>
      </w:r>
      <w:r w:rsidR="00D80CA5">
        <w:rPr>
          <w:rFonts w:cs="Times New Roman"/>
          <w:szCs w:val="24"/>
          <w:lang w:val="en-US"/>
        </w:rPr>
        <w:t>.</w:t>
      </w:r>
    </w:p>
    <w:p w14:paraId="7697C238" w14:textId="4F111511" w:rsidR="00E12018" w:rsidRPr="00E12018" w:rsidRDefault="00E12018" w:rsidP="00D80CA5">
      <w:pPr>
        <w:rPr>
          <w:rFonts w:cs="Times New Roman"/>
          <w:szCs w:val="24"/>
          <w:lang w:val="en-US"/>
        </w:rPr>
      </w:pPr>
      <w:r w:rsidRPr="00E12018">
        <w:rPr>
          <w:rFonts w:cs="Times New Roman"/>
          <w:szCs w:val="24"/>
          <w:lang w:val="en-US"/>
        </w:rPr>
        <w:t>t</w:t>
      </w:r>
      <w:r w:rsidRPr="00E12018">
        <w:rPr>
          <w:rFonts w:cs="Times New Roman"/>
          <w:szCs w:val="24"/>
          <w:vertAlign w:val="subscript"/>
          <w:lang w:val="en-US"/>
        </w:rPr>
        <w:t>c</w:t>
      </w:r>
      <w:r w:rsidRPr="00E12018">
        <w:rPr>
          <w:rFonts w:cs="Times New Roman"/>
          <w:szCs w:val="24"/>
          <w:lang w:val="en-US"/>
        </w:rPr>
        <w:t xml:space="preserve"> </w:t>
      </w:r>
      <w:r w:rsidR="00D96517">
        <w:rPr>
          <w:rFonts w:cs="Times New Roman"/>
          <w:szCs w:val="24"/>
          <w:lang w:val="en-US"/>
        </w:rPr>
        <w:t>–</w:t>
      </w:r>
      <w:r w:rsidR="00986DB4">
        <w:rPr>
          <w:rFonts w:cs="Times New Roman"/>
          <w:szCs w:val="24"/>
          <w:lang w:val="en-US"/>
        </w:rPr>
        <w:t xml:space="preserve"> stands for</w:t>
      </w:r>
      <w:r w:rsidRPr="00E12018">
        <w:rPr>
          <w:rFonts w:cs="Times New Roman"/>
          <w:szCs w:val="24"/>
          <w:lang w:val="en-US"/>
        </w:rPr>
        <w:t xml:space="preserve"> time of concentration</w:t>
      </w:r>
      <w:r w:rsidR="00D80CA5">
        <w:rPr>
          <w:rFonts w:cs="Times New Roman"/>
          <w:szCs w:val="24"/>
          <w:lang w:val="en-US"/>
        </w:rPr>
        <w:t>.</w:t>
      </w:r>
    </w:p>
    <w:p w14:paraId="3702C4EC" w14:textId="67AA924C" w:rsidR="00E12018" w:rsidRPr="00E12018" w:rsidRDefault="00E12018" w:rsidP="00D80CA5">
      <w:pPr>
        <w:rPr>
          <w:rFonts w:cs="Times New Roman"/>
          <w:szCs w:val="24"/>
          <w:lang w:val="en-US"/>
        </w:rPr>
      </w:pPr>
      <w:r w:rsidRPr="00E12018">
        <w:rPr>
          <w:rFonts w:cs="Times New Roman"/>
          <w:szCs w:val="24"/>
          <w:lang w:val="en-US"/>
        </w:rPr>
        <w:t>t</w:t>
      </w:r>
      <w:r w:rsidRPr="002B266C">
        <w:rPr>
          <w:rFonts w:cs="Times New Roman"/>
          <w:szCs w:val="24"/>
          <w:vertAlign w:val="subscript"/>
          <w:lang w:val="en-US"/>
        </w:rPr>
        <w:t>o</w:t>
      </w:r>
      <w:r w:rsidRPr="00E12018">
        <w:rPr>
          <w:rFonts w:cs="Times New Roman"/>
          <w:szCs w:val="24"/>
          <w:lang w:val="en-US"/>
        </w:rPr>
        <w:t xml:space="preserve">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overland flow time (minutes</w:t>
      </w:r>
      <w:r w:rsidR="00D80CA5" w:rsidRPr="00E12018">
        <w:rPr>
          <w:rFonts w:cs="Times New Roman"/>
          <w:szCs w:val="24"/>
          <w:lang w:val="en-US"/>
        </w:rPr>
        <w:t>)</w:t>
      </w:r>
      <w:r w:rsidR="00D80CA5">
        <w:rPr>
          <w:rFonts w:cs="Times New Roman"/>
          <w:szCs w:val="24"/>
          <w:lang w:val="en-US"/>
        </w:rPr>
        <w:t>.</w:t>
      </w:r>
      <w:r w:rsidR="00D80CA5" w:rsidRPr="00E12018">
        <w:rPr>
          <w:rFonts w:cs="Times New Roman"/>
          <w:szCs w:val="24"/>
          <w:lang w:val="en-US"/>
        </w:rPr>
        <w:t xml:space="preserve"> </w:t>
      </w:r>
    </w:p>
    <w:p w14:paraId="00495ED7" w14:textId="24A3E8EE" w:rsidR="00E12018" w:rsidRPr="00E12018" w:rsidRDefault="00E12018" w:rsidP="00D80CA5">
      <w:pPr>
        <w:rPr>
          <w:rFonts w:cs="Times New Roman"/>
          <w:szCs w:val="24"/>
          <w:lang w:val="en-US"/>
        </w:rPr>
      </w:pPr>
      <w:r w:rsidRPr="00E12018">
        <w:rPr>
          <w:rFonts w:cs="Times New Roman"/>
          <w:szCs w:val="24"/>
          <w:lang w:val="en-US"/>
        </w:rPr>
        <w:t>t</w:t>
      </w:r>
      <w:r w:rsidRPr="00E12018">
        <w:rPr>
          <w:rFonts w:cs="Times New Roman"/>
          <w:szCs w:val="24"/>
          <w:vertAlign w:val="subscript"/>
          <w:lang w:val="en-US"/>
        </w:rPr>
        <w:t>s</w:t>
      </w:r>
      <w:r w:rsidRPr="00E12018">
        <w:rPr>
          <w:rFonts w:cs="Times New Roman"/>
          <w:szCs w:val="24"/>
          <w:lang w:val="en-US"/>
        </w:rPr>
        <w:t xml:space="preserve">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shallow concentrated flow time</w:t>
      </w:r>
      <w:r w:rsidR="00D80CA5">
        <w:rPr>
          <w:rFonts w:cs="Times New Roman"/>
          <w:szCs w:val="24"/>
          <w:lang w:val="en-US"/>
        </w:rPr>
        <w:t>.</w:t>
      </w:r>
      <w:r w:rsidRPr="00E12018">
        <w:rPr>
          <w:rFonts w:cs="Times New Roman"/>
          <w:szCs w:val="24"/>
          <w:lang w:val="en-US"/>
        </w:rPr>
        <w:t xml:space="preserve"> </w:t>
      </w:r>
    </w:p>
    <w:p w14:paraId="19C80E10" w14:textId="01A40D46" w:rsidR="00E12018" w:rsidRPr="00E12018" w:rsidRDefault="00E12018" w:rsidP="00D80CA5">
      <w:pPr>
        <w:rPr>
          <w:rFonts w:cs="Times New Roman"/>
          <w:szCs w:val="24"/>
          <w:lang w:val="en-US"/>
        </w:rPr>
      </w:pPr>
      <w:r w:rsidRPr="00E12018">
        <w:rPr>
          <w:rFonts w:cs="Times New Roman"/>
          <w:szCs w:val="24"/>
          <w:lang w:val="en-US"/>
        </w:rPr>
        <w:t>t</w:t>
      </w:r>
      <w:r w:rsidRPr="00E12018">
        <w:rPr>
          <w:rFonts w:cs="Times New Roman"/>
          <w:szCs w:val="24"/>
          <w:vertAlign w:val="subscript"/>
          <w:lang w:val="en-US"/>
        </w:rPr>
        <w:t>t</w:t>
      </w:r>
      <w:r w:rsidRPr="00E12018">
        <w:rPr>
          <w:rFonts w:cs="Times New Roman"/>
          <w:szCs w:val="24"/>
          <w:lang w:val="en-US"/>
        </w:rPr>
        <w:t xml:space="preserve">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channelized flow time</w:t>
      </w:r>
      <w:r w:rsidR="00D80CA5">
        <w:rPr>
          <w:rFonts w:cs="Times New Roman"/>
          <w:szCs w:val="24"/>
          <w:lang w:val="en-US"/>
        </w:rPr>
        <w:t>.</w:t>
      </w:r>
      <w:r w:rsidRPr="00E12018">
        <w:rPr>
          <w:rFonts w:cs="Times New Roman"/>
          <w:szCs w:val="24"/>
          <w:lang w:val="en-US"/>
        </w:rPr>
        <w:t xml:space="preserve"> </w:t>
      </w:r>
    </w:p>
    <w:p w14:paraId="2AD038E2" w14:textId="5BDABA4C" w:rsidR="00E12018" w:rsidRPr="00E12018" w:rsidRDefault="00E12018" w:rsidP="00D80CA5">
      <w:pPr>
        <w:rPr>
          <w:rFonts w:cs="Times New Roman"/>
          <w:szCs w:val="24"/>
          <w:lang w:val="en-US"/>
        </w:rPr>
      </w:pPr>
      <w:r w:rsidRPr="00E12018">
        <w:rPr>
          <w:rFonts w:cs="Times New Roman"/>
          <w:szCs w:val="24"/>
          <w:lang w:val="en-US"/>
        </w:rPr>
        <w:t xml:space="preserve">P </w:t>
      </w:r>
      <w:r w:rsidR="004C1C71">
        <w:rPr>
          <w:rFonts w:cs="Times New Roman"/>
          <w:szCs w:val="24"/>
          <w:lang w:val="en-US"/>
        </w:rPr>
        <w:t xml:space="preserve">– </w:t>
      </w:r>
      <w:r w:rsidR="00986DB4">
        <w:rPr>
          <w:rFonts w:cs="Times New Roman"/>
          <w:szCs w:val="24"/>
          <w:lang w:val="en-US"/>
        </w:rPr>
        <w:t>stands for</w:t>
      </w:r>
      <w:r w:rsidR="00986DB4" w:rsidRPr="00E12018">
        <w:rPr>
          <w:rFonts w:cs="Times New Roman"/>
          <w:szCs w:val="24"/>
          <w:lang w:val="en-US"/>
        </w:rPr>
        <w:t xml:space="preserve"> </w:t>
      </w:r>
      <w:r w:rsidRPr="00E12018">
        <w:rPr>
          <w:rFonts w:cs="Times New Roman"/>
          <w:szCs w:val="24"/>
          <w:lang w:val="en-US"/>
        </w:rPr>
        <w:t>rainfall depth for the design storm</w:t>
      </w:r>
      <w:r w:rsidR="00C705BC">
        <w:rPr>
          <w:rFonts w:cs="Times New Roman"/>
          <w:szCs w:val="24"/>
          <w:lang w:val="en-US"/>
        </w:rPr>
        <w:t>.</w:t>
      </w:r>
      <w:r w:rsidR="00C705BC" w:rsidRPr="00E12018">
        <w:rPr>
          <w:rFonts w:cs="Times New Roman"/>
          <w:szCs w:val="24"/>
          <w:lang w:val="en-US"/>
        </w:rPr>
        <w:t xml:space="preserve"> </w:t>
      </w:r>
    </w:p>
    <w:p w14:paraId="1122F95F" w14:textId="7129ED44" w:rsidR="00E12018" w:rsidRPr="00E12018" w:rsidRDefault="00E12018" w:rsidP="00D80CA5">
      <w:pPr>
        <w:rPr>
          <w:rFonts w:cs="Times New Roman"/>
          <w:szCs w:val="24"/>
          <w:lang w:val="en-US"/>
        </w:rPr>
      </w:pPr>
      <w:r w:rsidRPr="00E12018">
        <w:rPr>
          <w:rFonts w:cs="Times New Roman"/>
          <w:szCs w:val="24"/>
          <w:lang w:val="en-US"/>
        </w:rPr>
        <w:t xml:space="preserve">S </w:t>
      </w:r>
      <w:r w:rsidR="004C1C71">
        <w:rPr>
          <w:rFonts w:cs="Times New Roman"/>
          <w:szCs w:val="24"/>
          <w:lang w:val="en-US"/>
        </w:rPr>
        <w:t xml:space="preserve">– </w:t>
      </w:r>
      <w:r w:rsidR="00986DB4">
        <w:rPr>
          <w:rFonts w:cs="Times New Roman"/>
          <w:szCs w:val="24"/>
          <w:lang w:val="en-US"/>
        </w:rPr>
        <w:t>stands for</w:t>
      </w:r>
      <w:r w:rsidR="00986DB4" w:rsidRPr="00E12018">
        <w:rPr>
          <w:rFonts w:cs="Times New Roman"/>
          <w:szCs w:val="24"/>
          <w:lang w:val="en-US"/>
        </w:rPr>
        <w:t xml:space="preserve"> </w:t>
      </w:r>
      <w:r w:rsidRPr="00E12018">
        <w:rPr>
          <w:rFonts w:cs="Times New Roman"/>
          <w:szCs w:val="24"/>
          <w:lang w:val="en-US"/>
        </w:rPr>
        <w:t>probable maximum retention after a runoff</w:t>
      </w:r>
      <w:r w:rsidR="00C705BC">
        <w:rPr>
          <w:rFonts w:cs="Times New Roman"/>
          <w:szCs w:val="24"/>
          <w:lang w:val="en-US"/>
        </w:rPr>
        <w:t>.</w:t>
      </w:r>
      <w:r w:rsidRPr="00E12018">
        <w:rPr>
          <w:rFonts w:cs="Times New Roman"/>
          <w:szCs w:val="24"/>
          <w:lang w:val="en-US"/>
        </w:rPr>
        <w:t xml:space="preserve"> </w:t>
      </w:r>
    </w:p>
    <w:p w14:paraId="05C57134" w14:textId="70804CFA" w:rsidR="00E12018" w:rsidRPr="00E12018" w:rsidRDefault="00E12018" w:rsidP="00D80CA5">
      <w:pPr>
        <w:rPr>
          <w:rFonts w:cs="Times New Roman"/>
          <w:szCs w:val="24"/>
          <w:lang w:val="en-US"/>
        </w:rPr>
      </w:pPr>
      <w:r w:rsidRPr="00E12018">
        <w:rPr>
          <w:rFonts w:cs="Times New Roman"/>
          <w:szCs w:val="24"/>
          <w:lang w:val="en-US"/>
        </w:rPr>
        <w:t>I</w:t>
      </w:r>
      <w:r w:rsidRPr="00E12018">
        <w:rPr>
          <w:rFonts w:cs="Times New Roman"/>
          <w:szCs w:val="24"/>
          <w:vertAlign w:val="subscript"/>
          <w:lang w:val="en-US"/>
        </w:rPr>
        <w:t>a</w:t>
      </w:r>
      <w:r w:rsidRPr="00E12018">
        <w:rPr>
          <w:rFonts w:cs="Times New Roman"/>
          <w:szCs w:val="24"/>
          <w:lang w:val="en-US"/>
        </w:rPr>
        <w:t xml:space="preserve"> </w:t>
      </w:r>
      <w:r w:rsidR="004C1C71">
        <w:rPr>
          <w:rFonts w:cs="Times New Roman"/>
          <w:szCs w:val="24"/>
          <w:lang w:val="en-US"/>
        </w:rPr>
        <w:t xml:space="preserve">– </w:t>
      </w:r>
      <w:r w:rsidR="00986DB4">
        <w:rPr>
          <w:rFonts w:cs="Times New Roman"/>
          <w:szCs w:val="24"/>
          <w:lang w:val="en-US"/>
        </w:rPr>
        <w:t>stands for</w:t>
      </w:r>
      <w:r w:rsidR="00986DB4" w:rsidRPr="00E12018">
        <w:rPr>
          <w:rFonts w:cs="Times New Roman"/>
          <w:szCs w:val="24"/>
          <w:lang w:val="en-US"/>
        </w:rPr>
        <w:t xml:space="preserve"> </w:t>
      </w:r>
      <w:r w:rsidR="008F5B90">
        <w:rPr>
          <w:rFonts w:cs="Times New Roman"/>
          <w:szCs w:val="24"/>
          <w:lang w:val="en-US"/>
        </w:rPr>
        <w:t xml:space="preserve">an </w:t>
      </w:r>
      <w:r w:rsidRPr="00E12018">
        <w:rPr>
          <w:rFonts w:cs="Times New Roman"/>
          <w:szCs w:val="24"/>
          <w:lang w:val="en-US"/>
        </w:rPr>
        <w:t>initial abstraction</w:t>
      </w:r>
      <w:r w:rsidR="00C705BC">
        <w:rPr>
          <w:rFonts w:cs="Times New Roman"/>
          <w:szCs w:val="24"/>
          <w:lang w:val="en-US"/>
        </w:rPr>
        <w:t>.</w:t>
      </w:r>
    </w:p>
    <w:p w14:paraId="02949A82" w14:textId="236FE3E1" w:rsidR="00E12018" w:rsidRPr="00E12018" w:rsidRDefault="00E12018" w:rsidP="00D80CA5">
      <w:pPr>
        <w:rPr>
          <w:rFonts w:cs="Times New Roman"/>
          <w:szCs w:val="24"/>
          <w:lang w:val="en-US"/>
        </w:rPr>
      </w:pPr>
      <w:r w:rsidRPr="00E12018">
        <w:rPr>
          <w:rFonts w:cs="Times New Roman"/>
          <w:szCs w:val="24"/>
          <w:lang w:val="en-US"/>
        </w:rPr>
        <w:t xml:space="preserve">CN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Curve Number</w:t>
      </w:r>
      <w:r w:rsidR="00C705BC">
        <w:rPr>
          <w:rFonts w:cs="Times New Roman"/>
          <w:szCs w:val="24"/>
          <w:lang w:val="en-US"/>
        </w:rPr>
        <w:t>.</w:t>
      </w:r>
    </w:p>
    <w:p w14:paraId="19F80CB3" w14:textId="7568FDE7" w:rsidR="00E12018" w:rsidRPr="00E12018" w:rsidRDefault="00E12018" w:rsidP="00D80CA5">
      <w:pPr>
        <w:rPr>
          <w:rFonts w:cs="Times New Roman"/>
          <w:szCs w:val="24"/>
          <w:lang w:val="en-US"/>
        </w:rPr>
      </w:pPr>
      <w:r w:rsidRPr="00E12018">
        <w:rPr>
          <w:rFonts w:cs="Times New Roman"/>
          <w:szCs w:val="24"/>
          <w:lang w:val="en-US"/>
        </w:rPr>
        <w:t xml:space="preserve">AMC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antecedent moisture condition</w:t>
      </w:r>
      <w:r w:rsidR="00C705BC">
        <w:rPr>
          <w:rFonts w:cs="Times New Roman"/>
          <w:szCs w:val="24"/>
          <w:lang w:val="en-US"/>
        </w:rPr>
        <w:t>.</w:t>
      </w:r>
      <w:r w:rsidRPr="00E12018">
        <w:rPr>
          <w:rFonts w:cs="Times New Roman"/>
          <w:szCs w:val="24"/>
          <w:lang w:val="en-US"/>
        </w:rPr>
        <w:t xml:space="preserve"> </w:t>
      </w:r>
    </w:p>
    <w:p w14:paraId="5C0BED98" w14:textId="352229B5" w:rsidR="00E12018" w:rsidRPr="00E12018" w:rsidRDefault="00E12018" w:rsidP="00D80CA5">
      <w:pPr>
        <w:rPr>
          <w:rFonts w:cs="Times New Roman"/>
          <w:szCs w:val="24"/>
          <w:lang w:val="en-US"/>
        </w:rPr>
      </w:pPr>
      <w:r w:rsidRPr="00E12018">
        <w:rPr>
          <w:rFonts w:cs="Times New Roman"/>
          <w:szCs w:val="24"/>
          <w:lang w:val="en-US"/>
        </w:rPr>
        <w:t>USDA</w:t>
      </w:r>
      <w:r w:rsidR="00D96517">
        <w:rPr>
          <w:rFonts w:cs="Times New Roman"/>
          <w:szCs w:val="24"/>
          <w:lang w:val="en-US"/>
        </w:rPr>
        <w:t>–</w:t>
      </w:r>
      <w:r w:rsidRPr="00E12018">
        <w:rPr>
          <w:rFonts w:cs="Times New Roman"/>
          <w:szCs w:val="24"/>
          <w:lang w:val="en-US"/>
        </w:rPr>
        <w:t xml:space="preserve"> </w:t>
      </w:r>
      <w:r w:rsidR="00065DE3">
        <w:rPr>
          <w:rFonts w:cs="Times New Roman"/>
          <w:szCs w:val="24"/>
          <w:lang w:val="en-US"/>
        </w:rPr>
        <w:t xml:space="preserve">stand for the </w:t>
      </w:r>
      <w:r w:rsidR="00065DE3" w:rsidRPr="00065DE3">
        <w:rPr>
          <w:rFonts w:cs="Times New Roman"/>
          <w:szCs w:val="24"/>
          <w:lang w:val="en-US"/>
        </w:rPr>
        <w:t>Department of Agriculture of the United States of America</w:t>
      </w:r>
      <w:r w:rsidR="00C705BC">
        <w:rPr>
          <w:rFonts w:cs="Times New Roman"/>
          <w:szCs w:val="24"/>
          <w:lang w:val="en-US"/>
        </w:rPr>
        <w:t>.</w:t>
      </w:r>
    </w:p>
    <w:p w14:paraId="50A6C466" w14:textId="37E12C55" w:rsidR="00E12018" w:rsidRPr="00E12018" w:rsidRDefault="00E12018" w:rsidP="00D80CA5">
      <w:pPr>
        <w:rPr>
          <w:rFonts w:cs="Times New Roman"/>
          <w:szCs w:val="24"/>
          <w:lang w:val="en-US"/>
        </w:rPr>
      </w:pPr>
      <w:r w:rsidRPr="00E12018">
        <w:rPr>
          <w:rFonts w:cs="Times New Roman"/>
          <w:szCs w:val="24"/>
          <w:lang w:val="en-US"/>
        </w:rPr>
        <w:t xml:space="preserve">NRCS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Natural Resources Conservation Service</w:t>
      </w:r>
      <w:r w:rsidR="00C705BC">
        <w:rPr>
          <w:rFonts w:cs="Times New Roman"/>
          <w:szCs w:val="24"/>
          <w:lang w:val="en-US"/>
        </w:rPr>
        <w:t>.</w:t>
      </w:r>
    </w:p>
    <w:p w14:paraId="28C95147" w14:textId="0B2B1704" w:rsidR="00E12018" w:rsidRPr="00E12018" w:rsidRDefault="00E12018" w:rsidP="00D80CA5">
      <w:pPr>
        <w:rPr>
          <w:rFonts w:cs="Times New Roman"/>
          <w:szCs w:val="24"/>
          <w:lang w:val="en-US"/>
        </w:rPr>
      </w:pPr>
      <w:r w:rsidRPr="00E12018">
        <w:rPr>
          <w:rFonts w:cs="Times New Roman"/>
          <w:szCs w:val="24"/>
          <w:lang w:val="en-US"/>
        </w:rPr>
        <w:t xml:space="preserve">HSG – </w:t>
      </w:r>
      <w:r w:rsidR="00986DB4">
        <w:rPr>
          <w:rFonts w:cs="Times New Roman"/>
          <w:szCs w:val="24"/>
          <w:lang w:val="en-US"/>
        </w:rPr>
        <w:t xml:space="preserve">stands for </w:t>
      </w:r>
      <w:r w:rsidRPr="00E12018">
        <w:rPr>
          <w:rFonts w:cs="Times New Roman"/>
          <w:szCs w:val="24"/>
          <w:lang w:val="en-US"/>
        </w:rPr>
        <w:t>Hydrologic Soil Group</w:t>
      </w:r>
      <w:r w:rsidR="00C705BC">
        <w:rPr>
          <w:rFonts w:cs="Times New Roman"/>
          <w:szCs w:val="24"/>
          <w:lang w:val="en-US"/>
        </w:rPr>
        <w:t>.</w:t>
      </w:r>
    </w:p>
    <w:p w14:paraId="4E3FCA90" w14:textId="64F3BABA" w:rsidR="00E12018" w:rsidRPr="00E12018" w:rsidRDefault="00E12018" w:rsidP="00D80CA5">
      <w:pPr>
        <w:rPr>
          <w:rFonts w:cs="Times New Roman"/>
          <w:szCs w:val="24"/>
          <w:lang w:val="en-US"/>
        </w:rPr>
      </w:pPr>
      <w:r w:rsidRPr="00E12018">
        <w:rPr>
          <w:rFonts w:cs="Times New Roman"/>
          <w:szCs w:val="24"/>
          <w:lang w:val="en-US"/>
        </w:rPr>
        <w:t xml:space="preserve">USACE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United States Army Corps of Engineers</w:t>
      </w:r>
      <w:r w:rsidR="00C705BC">
        <w:rPr>
          <w:rFonts w:cs="Times New Roman"/>
          <w:szCs w:val="24"/>
          <w:lang w:val="en-US"/>
        </w:rPr>
        <w:t>.</w:t>
      </w:r>
    </w:p>
    <w:p w14:paraId="004AD1E1" w14:textId="6CA2F43B" w:rsidR="00E12018" w:rsidRPr="00E12018" w:rsidRDefault="00E12018" w:rsidP="00D80CA5">
      <w:pPr>
        <w:rPr>
          <w:rFonts w:cs="Times New Roman"/>
          <w:szCs w:val="24"/>
          <w:lang w:val="en-US"/>
        </w:rPr>
      </w:pPr>
      <w:r w:rsidRPr="00E12018">
        <w:rPr>
          <w:rFonts w:cs="Times New Roman"/>
          <w:szCs w:val="24"/>
          <w:lang w:val="en-US"/>
        </w:rPr>
        <w:t xml:space="preserve">PVC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Polyvinyl chloride</w:t>
      </w:r>
      <w:r w:rsidR="00C705BC">
        <w:rPr>
          <w:rFonts w:cs="Times New Roman"/>
          <w:szCs w:val="24"/>
          <w:lang w:val="en-US"/>
        </w:rPr>
        <w:t>.</w:t>
      </w:r>
    </w:p>
    <w:p w14:paraId="516256DD" w14:textId="0F1BE551" w:rsidR="00E12018" w:rsidRDefault="00E12018" w:rsidP="00D80CA5">
      <w:pPr>
        <w:rPr>
          <w:rFonts w:cs="Times New Roman"/>
          <w:szCs w:val="24"/>
          <w:lang w:val="en-US"/>
        </w:rPr>
      </w:pPr>
      <w:r w:rsidRPr="00E12018">
        <w:rPr>
          <w:rFonts w:cs="Times New Roman"/>
          <w:szCs w:val="24"/>
          <w:lang w:val="en-US"/>
        </w:rPr>
        <w:t xml:space="preserve">W – </w:t>
      </w:r>
      <w:r w:rsidR="00986DB4">
        <w:rPr>
          <w:rFonts w:cs="Times New Roman"/>
          <w:szCs w:val="24"/>
          <w:lang w:val="en-US"/>
        </w:rPr>
        <w:t xml:space="preserve">stands for </w:t>
      </w:r>
      <w:r w:rsidRPr="00E12018">
        <w:rPr>
          <w:rFonts w:cs="Times New Roman"/>
          <w:szCs w:val="24"/>
          <w:lang w:val="en-US"/>
        </w:rPr>
        <w:t>embankment width</w:t>
      </w:r>
      <w:r w:rsidR="00C705BC">
        <w:rPr>
          <w:rFonts w:cs="Times New Roman"/>
          <w:szCs w:val="24"/>
          <w:lang w:val="en-US"/>
        </w:rPr>
        <w:t>.</w:t>
      </w:r>
    </w:p>
    <w:p w14:paraId="4F126177" w14:textId="77777777" w:rsidR="00EF6DDE" w:rsidRDefault="00EF6DDE" w:rsidP="00D80CA5">
      <w:pPr>
        <w:rPr>
          <w:rFonts w:cs="Times New Roman"/>
          <w:szCs w:val="24"/>
          <w:lang w:val="en-US"/>
        </w:rPr>
      </w:pPr>
      <w:r w:rsidRPr="00EF6DDE">
        <w:rPr>
          <w:rFonts w:cs="Times New Roman"/>
          <w:szCs w:val="24"/>
          <w:lang w:val="en-US"/>
        </w:rPr>
        <w:lastRenderedPageBreak/>
        <w:t xml:space="preserve">NORL </w:t>
      </w:r>
      <w:r>
        <w:rPr>
          <w:rFonts w:cs="Times New Roman"/>
          <w:szCs w:val="24"/>
          <w:lang w:val="en-US"/>
        </w:rPr>
        <w:t xml:space="preserve">– </w:t>
      </w:r>
      <w:r w:rsidRPr="00EF6DDE">
        <w:rPr>
          <w:rFonts w:cs="Times New Roman"/>
          <w:szCs w:val="24"/>
          <w:lang w:val="en-US"/>
        </w:rPr>
        <w:t>normal operating reservoir level</w:t>
      </w:r>
      <w:r>
        <w:rPr>
          <w:rFonts w:cs="Times New Roman"/>
          <w:szCs w:val="24"/>
          <w:lang w:val="en-US"/>
        </w:rPr>
        <w:t>.</w:t>
      </w:r>
    </w:p>
    <w:p w14:paraId="469EBD95" w14:textId="77777777" w:rsidR="00EF6DDE" w:rsidRDefault="00EF6DDE" w:rsidP="00D80CA5">
      <w:pPr>
        <w:rPr>
          <w:rFonts w:cs="Times New Roman"/>
          <w:szCs w:val="24"/>
          <w:lang w:val="en-US"/>
        </w:rPr>
      </w:pPr>
      <w:r w:rsidRPr="00EF6DDE">
        <w:rPr>
          <w:rFonts w:cs="Times New Roman"/>
          <w:szCs w:val="24"/>
          <w:lang w:val="en-US"/>
        </w:rPr>
        <w:t xml:space="preserve">MORL-EH </w:t>
      </w:r>
      <w:r>
        <w:rPr>
          <w:rFonts w:cs="Times New Roman"/>
          <w:szCs w:val="24"/>
          <w:lang w:val="en-US"/>
        </w:rPr>
        <w:t>–</w:t>
      </w:r>
      <w:r w:rsidRPr="00EF6DDE">
        <w:rPr>
          <w:rFonts w:cs="Times New Roman"/>
          <w:szCs w:val="24"/>
          <w:lang w:val="en-US"/>
        </w:rPr>
        <w:t xml:space="preserve"> maximum operating reservoir level at embankment height</w:t>
      </w:r>
      <w:r>
        <w:rPr>
          <w:rFonts w:cs="Times New Roman"/>
          <w:szCs w:val="24"/>
          <w:lang w:val="en-US"/>
        </w:rPr>
        <w:t>.</w:t>
      </w:r>
      <w:r w:rsidRPr="00EF6DDE">
        <w:rPr>
          <w:rFonts w:cs="Times New Roman"/>
          <w:szCs w:val="24"/>
          <w:lang w:val="en-US"/>
        </w:rPr>
        <w:t xml:space="preserve"> </w:t>
      </w:r>
    </w:p>
    <w:p w14:paraId="781516E9" w14:textId="77777777" w:rsidR="00EF6DDE" w:rsidRDefault="00EF6DDE" w:rsidP="00D80CA5">
      <w:pPr>
        <w:rPr>
          <w:rFonts w:cs="Times New Roman"/>
          <w:szCs w:val="24"/>
          <w:lang w:val="en-US"/>
        </w:rPr>
      </w:pPr>
      <w:r w:rsidRPr="00EF6DDE">
        <w:rPr>
          <w:rFonts w:cs="Times New Roman"/>
          <w:szCs w:val="24"/>
          <w:lang w:val="en-US"/>
        </w:rPr>
        <w:t>MORL-OF</w:t>
      </w:r>
      <w:r>
        <w:rPr>
          <w:rFonts w:cs="Times New Roman"/>
          <w:szCs w:val="24"/>
          <w:lang w:val="en-US"/>
        </w:rPr>
        <w:t xml:space="preserve"> –</w:t>
      </w:r>
      <w:r w:rsidRPr="00EF6DDE">
        <w:rPr>
          <w:rFonts w:cs="Times New Roman"/>
          <w:szCs w:val="24"/>
          <w:lang w:val="en-US"/>
        </w:rPr>
        <w:t xml:space="preserve"> maximum operating reservoir level at overflow level</w:t>
      </w:r>
      <w:r>
        <w:rPr>
          <w:rFonts w:cs="Times New Roman"/>
          <w:szCs w:val="24"/>
          <w:lang w:val="en-US"/>
        </w:rPr>
        <w:t>.</w:t>
      </w:r>
      <w:r w:rsidRPr="00EF6DDE">
        <w:rPr>
          <w:rFonts w:cs="Times New Roman"/>
          <w:szCs w:val="24"/>
          <w:lang w:val="en-US"/>
        </w:rPr>
        <w:t xml:space="preserve"> </w:t>
      </w:r>
    </w:p>
    <w:p w14:paraId="3C391697" w14:textId="2FFC4E28" w:rsidR="00EF6DDE" w:rsidRDefault="00EF6DDE" w:rsidP="00D80CA5">
      <w:pPr>
        <w:rPr>
          <w:rFonts w:cs="Times New Roman"/>
          <w:szCs w:val="24"/>
          <w:lang w:val="en-US"/>
        </w:rPr>
      </w:pPr>
      <w:r w:rsidRPr="00EF6DDE">
        <w:rPr>
          <w:rFonts w:cs="Times New Roman"/>
          <w:szCs w:val="24"/>
          <w:lang w:val="en-US"/>
        </w:rPr>
        <w:t xml:space="preserve">RORL </w:t>
      </w:r>
      <w:r>
        <w:rPr>
          <w:rFonts w:cs="Times New Roman"/>
          <w:szCs w:val="24"/>
          <w:lang w:val="en-US"/>
        </w:rPr>
        <w:t xml:space="preserve">– </w:t>
      </w:r>
      <w:r w:rsidRPr="00EF6DDE">
        <w:rPr>
          <w:rFonts w:cs="Times New Roman"/>
          <w:szCs w:val="24"/>
          <w:lang w:val="en-US"/>
        </w:rPr>
        <w:t>reduced operating reservoir level.</w:t>
      </w:r>
    </w:p>
    <w:p w14:paraId="7D4F1C62" w14:textId="1D5E059E" w:rsidR="00EF6DDE" w:rsidRPr="00E12018" w:rsidRDefault="00EF6DDE" w:rsidP="00D80CA5">
      <w:pPr>
        <w:rPr>
          <w:rFonts w:cs="Times New Roman"/>
          <w:szCs w:val="24"/>
          <w:lang w:val="en-US"/>
        </w:rPr>
      </w:pPr>
      <w:r>
        <w:rPr>
          <w:rFonts w:cs="Times New Roman"/>
          <w:szCs w:val="24"/>
          <w:lang w:val="en-US"/>
        </w:rPr>
        <w:t>m.a.s.l. – meters above sea level.</w:t>
      </w:r>
    </w:p>
    <w:p w14:paraId="44AB49FB" w14:textId="01531313" w:rsidR="00E12018" w:rsidRPr="00E12018" w:rsidRDefault="00E12018" w:rsidP="00D80CA5">
      <w:pPr>
        <w:rPr>
          <w:rFonts w:cs="Times New Roman"/>
          <w:szCs w:val="24"/>
          <w:lang w:val="en-US"/>
        </w:rPr>
      </w:pPr>
      <w:r w:rsidRPr="00E12018">
        <w:rPr>
          <w:rFonts w:cs="Times New Roman"/>
          <w:szCs w:val="24"/>
          <w:lang w:val="en-US"/>
        </w:rPr>
        <w:t xml:space="preserve">h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reservoir head above the ground surface</w:t>
      </w:r>
      <w:r w:rsidR="00C705BC">
        <w:rPr>
          <w:rFonts w:cs="Times New Roman"/>
          <w:szCs w:val="24"/>
          <w:lang w:val="en-US"/>
        </w:rPr>
        <w:t>.</w:t>
      </w:r>
      <w:r w:rsidR="00C705BC" w:rsidRPr="00E12018">
        <w:rPr>
          <w:rFonts w:cs="Times New Roman"/>
          <w:szCs w:val="24"/>
          <w:lang w:val="en-US"/>
        </w:rPr>
        <w:t xml:space="preserve">  </w:t>
      </w:r>
    </w:p>
    <w:p w14:paraId="7A420769" w14:textId="00804FED" w:rsidR="00E12018" w:rsidRPr="00E12018" w:rsidRDefault="00E12018" w:rsidP="00D80CA5">
      <w:pPr>
        <w:rPr>
          <w:rFonts w:cs="Times New Roman"/>
          <w:szCs w:val="24"/>
          <w:lang w:val="en-US"/>
        </w:rPr>
      </w:pPr>
      <w:r w:rsidRPr="00E12018">
        <w:rPr>
          <w:rFonts w:cs="Times New Roman"/>
          <w:szCs w:val="24"/>
          <w:lang w:val="en-US"/>
        </w:rPr>
        <w:t xml:space="preserve">d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depth of cutoff trench below ground surface</w:t>
      </w:r>
      <w:r w:rsidR="00C705BC">
        <w:rPr>
          <w:rFonts w:cs="Times New Roman"/>
          <w:szCs w:val="24"/>
          <w:lang w:val="en-US"/>
        </w:rPr>
        <w:t>.</w:t>
      </w:r>
    </w:p>
    <w:p w14:paraId="52233031" w14:textId="5B345F1E" w:rsidR="00E12018" w:rsidRPr="00E12018" w:rsidRDefault="00E12018" w:rsidP="00D80CA5">
      <w:pPr>
        <w:rPr>
          <w:rFonts w:cs="Times New Roman"/>
          <w:szCs w:val="24"/>
          <w:lang w:val="en-US"/>
        </w:rPr>
      </w:pPr>
      <w:r w:rsidRPr="00E12018">
        <w:rPr>
          <w:rFonts w:cs="Times New Roman"/>
          <w:szCs w:val="24"/>
          <w:lang w:val="en-US"/>
        </w:rPr>
        <w:t xml:space="preserve">IS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Indian Standard</w:t>
      </w:r>
      <w:r w:rsidR="00C705BC">
        <w:rPr>
          <w:rFonts w:cs="Times New Roman"/>
          <w:szCs w:val="24"/>
          <w:lang w:val="en-US"/>
        </w:rPr>
        <w:t>.</w:t>
      </w:r>
    </w:p>
    <w:p w14:paraId="2AFCBB1E" w14:textId="60648EE7" w:rsidR="00E12018" w:rsidRPr="00E12018" w:rsidRDefault="00E12018" w:rsidP="00FE2F22">
      <w:pPr>
        <w:rPr>
          <w:rFonts w:cs="Times New Roman"/>
          <w:szCs w:val="24"/>
          <w:lang w:val="en-US"/>
        </w:rPr>
      </w:pPr>
      <w:r w:rsidRPr="00E12018">
        <w:rPr>
          <w:rFonts w:cs="Times New Roman"/>
          <w:szCs w:val="24"/>
          <w:lang w:val="en-US"/>
        </w:rPr>
        <w:t>W</w:t>
      </w:r>
      <w:r w:rsidRPr="00E12018">
        <w:rPr>
          <w:rFonts w:cs="Times New Roman"/>
          <w:szCs w:val="24"/>
          <w:vertAlign w:val="subscript"/>
          <w:lang w:val="en-US"/>
        </w:rPr>
        <w:t>i</w:t>
      </w:r>
      <w:r w:rsidRPr="00E12018">
        <w:rPr>
          <w:rFonts w:cs="Times New Roman"/>
          <w:szCs w:val="24"/>
          <w:lang w:val="en-US"/>
        </w:rPr>
        <w:t xml:space="preserve"> </w:t>
      </w:r>
      <w:r w:rsidR="00D96517">
        <w:rPr>
          <w:rFonts w:cs="Times New Roman"/>
          <w:szCs w:val="24"/>
          <w:lang w:val="en-US"/>
        </w:rPr>
        <w:t>–</w:t>
      </w:r>
      <w:r w:rsidRPr="00E12018">
        <w:rPr>
          <w:rFonts w:cs="Times New Roman"/>
          <w:szCs w:val="24"/>
          <w:lang w:val="en-US"/>
        </w:rPr>
        <w:t xml:space="preserve"> </w:t>
      </w:r>
      <w:r w:rsidR="00986DB4">
        <w:rPr>
          <w:rFonts w:cs="Times New Roman"/>
          <w:szCs w:val="24"/>
          <w:lang w:val="en-US"/>
        </w:rPr>
        <w:t xml:space="preserve">stands for </w:t>
      </w:r>
      <w:r w:rsidRPr="00E12018">
        <w:rPr>
          <w:rFonts w:cs="Times New Roman"/>
          <w:szCs w:val="24"/>
          <w:lang w:val="en-US"/>
        </w:rPr>
        <w:t>which is the block weight, includes a material surcharge with the character of weight</w:t>
      </w:r>
      <w:r w:rsidR="00C705BC">
        <w:rPr>
          <w:rFonts w:cs="Times New Roman"/>
          <w:szCs w:val="24"/>
          <w:lang w:val="en-US"/>
        </w:rPr>
        <w:t>.</w:t>
      </w:r>
      <w:r w:rsidRPr="00E12018">
        <w:rPr>
          <w:rFonts w:cs="Times New Roman"/>
          <w:szCs w:val="24"/>
          <w:lang w:val="en-US"/>
        </w:rPr>
        <w:t xml:space="preserve"> </w:t>
      </w:r>
    </w:p>
    <w:p w14:paraId="3CA33648" w14:textId="33C1C0C5" w:rsidR="00E12018" w:rsidRPr="00E12018" w:rsidRDefault="00E12018" w:rsidP="00FE2F22">
      <w:pPr>
        <w:rPr>
          <w:rFonts w:cs="Times New Roman"/>
          <w:szCs w:val="24"/>
          <w:lang w:val="en-US"/>
        </w:rPr>
      </w:pPr>
      <w:r w:rsidRPr="00E12018">
        <w:rPr>
          <w:rFonts w:cs="Times New Roman"/>
          <w:szCs w:val="24"/>
          <w:lang w:val="en-US"/>
        </w:rPr>
        <w:t>K</w:t>
      </w:r>
      <w:r w:rsidRPr="00E12018">
        <w:rPr>
          <w:rFonts w:cs="Times New Roman"/>
          <w:szCs w:val="24"/>
          <w:vertAlign w:val="subscript"/>
          <w:lang w:val="en-US"/>
        </w:rPr>
        <w:t>v</w:t>
      </w:r>
      <w:r w:rsidRPr="00E12018">
        <w:rPr>
          <w:rFonts w:cs="Times New Roman"/>
          <w:szCs w:val="24"/>
          <w:lang w:val="en-US"/>
        </w:rPr>
        <w:t xml:space="preserve"> </w:t>
      </w:r>
      <w:r w:rsidR="00D96517">
        <w:rPr>
          <w:rFonts w:cs="Times New Roman"/>
          <w:szCs w:val="24"/>
          <w:lang w:val="en-US"/>
        </w:rPr>
        <w:t>–</w:t>
      </w:r>
      <w:r w:rsidR="00986DB4">
        <w:rPr>
          <w:rFonts w:cs="Times New Roman"/>
          <w:szCs w:val="24"/>
          <w:lang w:val="en-US"/>
        </w:rPr>
        <w:t xml:space="preserve"> stands for</w:t>
      </w:r>
      <w:r w:rsidRPr="00E12018">
        <w:rPr>
          <w:rFonts w:cs="Times New Roman"/>
          <w:szCs w:val="24"/>
          <w:lang w:val="en-US"/>
        </w:rPr>
        <w:t xml:space="preserve"> vertical earthquake coefficient</w:t>
      </w:r>
      <w:r w:rsidR="00C705BC">
        <w:rPr>
          <w:rFonts w:cs="Times New Roman"/>
          <w:szCs w:val="24"/>
          <w:lang w:val="en-US"/>
        </w:rPr>
        <w:t>.</w:t>
      </w:r>
    </w:p>
    <w:p w14:paraId="11BB4B0D" w14:textId="1E3E54BB" w:rsidR="00E12018" w:rsidRPr="00E12018" w:rsidRDefault="00E12018" w:rsidP="00FE2F22">
      <w:pPr>
        <w:rPr>
          <w:rFonts w:cs="Times New Roman"/>
          <w:szCs w:val="24"/>
          <w:lang w:val="en-US"/>
        </w:rPr>
      </w:pPr>
      <w:r w:rsidRPr="00E12018">
        <w:rPr>
          <w:rFonts w:cs="Times New Roman"/>
          <w:szCs w:val="24"/>
          <w:lang w:val="en-US"/>
        </w:rPr>
        <w:t>M1</w:t>
      </w:r>
      <w:r w:rsidRPr="00E12018">
        <w:rPr>
          <w:rFonts w:cs="Times New Roman"/>
          <w:szCs w:val="24"/>
          <w:vertAlign w:val="subscript"/>
          <w:lang w:val="en-US"/>
        </w:rPr>
        <w:t>i</w:t>
      </w:r>
      <w:r w:rsidRPr="00E12018">
        <w:rPr>
          <w:rFonts w:cs="Times New Roman"/>
          <w:szCs w:val="24"/>
          <w:lang w:val="en-US"/>
        </w:rPr>
        <w:t xml:space="preserve"> </w:t>
      </w:r>
      <w:r w:rsidR="00D96517" w:rsidRPr="00E12018">
        <w:rPr>
          <w:rFonts w:cs="Times New Roman"/>
          <w:szCs w:val="24"/>
          <w:lang w:val="en-US"/>
        </w:rPr>
        <w:t>–</w:t>
      </w:r>
      <w:r w:rsidR="00986DB4">
        <w:rPr>
          <w:rFonts w:cs="Times New Roman"/>
          <w:szCs w:val="24"/>
          <w:lang w:val="en-US"/>
        </w:rPr>
        <w:t xml:space="preserve"> stands for</w:t>
      </w:r>
      <w:r w:rsidR="00D96517">
        <w:rPr>
          <w:rFonts w:cs="Times New Roman"/>
          <w:szCs w:val="24"/>
          <w:lang w:val="en-US"/>
        </w:rPr>
        <w:t xml:space="preserve"> </w:t>
      </w:r>
      <w:r w:rsidRPr="00E12018">
        <w:rPr>
          <w:rFonts w:cs="Times New Roman"/>
          <w:szCs w:val="24"/>
          <w:lang w:val="en-US"/>
        </w:rPr>
        <w:t>is the moment of forces revolving around point M</w:t>
      </w:r>
      <w:r w:rsidR="005F47A5">
        <w:rPr>
          <w:rFonts w:cs="Times New Roman"/>
          <w:szCs w:val="24"/>
          <w:lang w:val="en-US"/>
        </w:rPr>
        <w:t>.</w:t>
      </w:r>
    </w:p>
    <w:p w14:paraId="593AE605" w14:textId="34B4F8AD" w:rsidR="00E12018" w:rsidRPr="00E12018" w:rsidRDefault="00E12018" w:rsidP="00FE2F22">
      <w:pPr>
        <w:rPr>
          <w:rFonts w:cs="Times New Roman"/>
          <w:szCs w:val="24"/>
          <w:lang w:val="en-US"/>
        </w:rPr>
      </w:pPr>
      <w:r w:rsidRPr="00E12018">
        <w:rPr>
          <w:rFonts w:cs="Times New Roman"/>
          <w:szCs w:val="24"/>
          <w:lang w:val="en-US"/>
        </w:rPr>
        <w:t>U</w:t>
      </w:r>
      <w:r w:rsidRPr="00E12018">
        <w:rPr>
          <w:rFonts w:cs="Times New Roman"/>
          <w:szCs w:val="24"/>
          <w:vertAlign w:val="subscript"/>
          <w:lang w:val="en-US"/>
        </w:rPr>
        <w:t>i</w:t>
      </w:r>
      <w:r w:rsidRPr="00E12018">
        <w:rPr>
          <w:rFonts w:cs="Times New Roman"/>
          <w:szCs w:val="24"/>
          <w:lang w:val="en-US"/>
        </w:rPr>
        <w:t xml:space="preserve"> </w:t>
      </w:r>
      <w:r w:rsidR="00D96517" w:rsidRPr="00E12018">
        <w:rPr>
          <w:rFonts w:cs="Times New Roman"/>
          <w:szCs w:val="24"/>
          <w:lang w:val="en-US"/>
        </w:rPr>
        <w:t>–</w:t>
      </w:r>
      <w:r w:rsidR="00986DB4">
        <w:rPr>
          <w:rFonts w:cs="Times New Roman"/>
          <w:szCs w:val="24"/>
          <w:lang w:val="en-US"/>
        </w:rPr>
        <w:t xml:space="preserve"> stands for</w:t>
      </w:r>
      <w:r w:rsidR="00D96517">
        <w:rPr>
          <w:rFonts w:cs="Times New Roman"/>
          <w:szCs w:val="24"/>
          <w:lang w:val="en-US"/>
        </w:rPr>
        <w:t xml:space="preserve"> </w:t>
      </w:r>
      <w:r w:rsidRPr="00E12018">
        <w:rPr>
          <w:rFonts w:cs="Times New Roman"/>
          <w:szCs w:val="24"/>
          <w:lang w:val="en-US"/>
        </w:rPr>
        <w:t>is the resultant pore pressure on the i</w:t>
      </w:r>
      <w:r w:rsidRPr="00E12018">
        <w:rPr>
          <w:rFonts w:cs="Times New Roman"/>
          <w:szCs w:val="24"/>
          <w:vertAlign w:val="superscript"/>
          <w:lang w:val="en-US"/>
        </w:rPr>
        <w:t>th</w:t>
      </w:r>
      <w:r w:rsidRPr="00E12018">
        <w:rPr>
          <w:rFonts w:cs="Times New Roman"/>
          <w:szCs w:val="24"/>
          <w:lang w:val="en-US"/>
        </w:rPr>
        <w:t xml:space="preserve"> section of the slip surface.</w:t>
      </w:r>
    </w:p>
    <w:p w14:paraId="439745C7" w14:textId="0515F5A8" w:rsidR="00E12018" w:rsidRPr="00E12018" w:rsidRDefault="00E12018" w:rsidP="00FE2F22">
      <w:pPr>
        <w:contextualSpacing/>
        <w:jc w:val="left"/>
        <w:rPr>
          <w:rFonts w:cs="Times New Roman"/>
          <w:szCs w:val="24"/>
          <w:lang w:val="en-US"/>
        </w:rPr>
      </w:pPr>
      <w:r w:rsidRPr="00E12018">
        <w:rPr>
          <w:rFonts w:cs="Times New Roman"/>
          <w:szCs w:val="24"/>
          <w:lang w:val="en-US"/>
        </w:rPr>
        <w:t>φ</w:t>
      </w:r>
      <w:r w:rsidRPr="00E12018">
        <w:rPr>
          <w:rFonts w:cs="Times New Roman"/>
          <w:szCs w:val="24"/>
          <w:vertAlign w:val="subscript"/>
          <w:lang w:val="en-US"/>
        </w:rPr>
        <w:t>i</w:t>
      </w:r>
      <w:r w:rsidRPr="00E12018">
        <w:rPr>
          <w:rFonts w:cs="Times New Roman"/>
          <w:szCs w:val="24"/>
          <w:lang w:val="en-US"/>
        </w:rPr>
        <w:t xml:space="preserve"> </w:t>
      </w:r>
      <w:r w:rsidR="00D96517">
        <w:rPr>
          <w:rFonts w:cs="Times New Roman"/>
          <w:szCs w:val="24"/>
          <w:lang w:val="en-US"/>
        </w:rPr>
        <w:t>–</w:t>
      </w:r>
      <w:r w:rsidR="00986DB4">
        <w:rPr>
          <w:rFonts w:cs="Times New Roman"/>
          <w:szCs w:val="24"/>
          <w:lang w:val="en-US"/>
        </w:rPr>
        <w:t xml:space="preserve"> stands for t</w:t>
      </w:r>
      <w:r w:rsidRPr="00E12018">
        <w:rPr>
          <w:rFonts w:cs="Times New Roman"/>
          <w:szCs w:val="24"/>
          <w:lang w:val="en-US"/>
        </w:rPr>
        <w:t>he angle of internal soil friction on the slip surface section</w:t>
      </w:r>
      <w:r w:rsidR="00C705BC">
        <w:rPr>
          <w:rFonts w:cs="Times New Roman"/>
          <w:szCs w:val="24"/>
          <w:lang w:val="en-US"/>
        </w:rPr>
        <w:t>.</w:t>
      </w:r>
      <w:r w:rsidRPr="00E12018">
        <w:rPr>
          <w:rFonts w:cs="Times New Roman"/>
          <w:szCs w:val="24"/>
          <w:lang w:val="en-US"/>
        </w:rPr>
        <w:t xml:space="preserve"> </w:t>
      </w:r>
    </w:p>
    <w:p w14:paraId="1D5CB5B7" w14:textId="367DD1A0" w:rsidR="00E12018" w:rsidRPr="00E12018" w:rsidRDefault="00E12018" w:rsidP="00FE2F22">
      <w:pPr>
        <w:contextualSpacing/>
        <w:jc w:val="left"/>
        <w:rPr>
          <w:rFonts w:cs="Times New Roman"/>
          <w:szCs w:val="24"/>
          <w:lang w:val="en-US"/>
        </w:rPr>
      </w:pPr>
      <w:r w:rsidRPr="00E12018">
        <w:rPr>
          <w:rFonts w:cs="Times New Roman"/>
          <w:szCs w:val="24"/>
          <w:lang w:val="en-US"/>
        </w:rPr>
        <w:t>c</w:t>
      </w:r>
      <w:r w:rsidRPr="00E12018">
        <w:rPr>
          <w:rFonts w:cs="Times New Roman"/>
          <w:szCs w:val="24"/>
          <w:vertAlign w:val="subscript"/>
          <w:lang w:val="en-US"/>
        </w:rPr>
        <w:t>i</w:t>
      </w:r>
      <w:r w:rsidRPr="00E12018">
        <w:rPr>
          <w:rFonts w:cs="Times New Roman"/>
          <w:szCs w:val="24"/>
          <w:lang w:val="en-US"/>
        </w:rPr>
        <w:t xml:space="preserve"> </w:t>
      </w:r>
      <w:r w:rsidR="00D96517">
        <w:rPr>
          <w:rFonts w:cs="Times New Roman"/>
          <w:szCs w:val="24"/>
          <w:lang w:val="en-US"/>
        </w:rPr>
        <w:t>–</w:t>
      </w:r>
      <w:r w:rsidR="00986DB4">
        <w:rPr>
          <w:rFonts w:cs="Times New Roman"/>
          <w:szCs w:val="24"/>
          <w:lang w:val="en-US"/>
        </w:rPr>
        <w:t xml:space="preserve"> stands for t</w:t>
      </w:r>
      <w:r w:rsidRPr="00E12018">
        <w:rPr>
          <w:rFonts w:cs="Times New Roman"/>
          <w:szCs w:val="24"/>
          <w:lang w:val="en-US"/>
        </w:rPr>
        <w:t>he soil cohesiveness on the slip surface segment</w:t>
      </w:r>
      <w:r w:rsidR="00C705BC">
        <w:rPr>
          <w:rFonts w:cs="Times New Roman"/>
          <w:szCs w:val="24"/>
          <w:lang w:val="en-US"/>
        </w:rPr>
        <w:t>.</w:t>
      </w:r>
      <w:r w:rsidRPr="00E12018">
        <w:rPr>
          <w:rFonts w:cs="Times New Roman"/>
          <w:szCs w:val="24"/>
          <w:lang w:val="en-US"/>
        </w:rPr>
        <w:t xml:space="preserve"> </w:t>
      </w:r>
    </w:p>
    <w:p w14:paraId="08B3FFD5" w14:textId="13DFA552" w:rsidR="00E12018" w:rsidRPr="00E12018" w:rsidRDefault="00E12018" w:rsidP="00FE2F22">
      <w:pPr>
        <w:contextualSpacing/>
        <w:jc w:val="left"/>
        <w:rPr>
          <w:rFonts w:cs="Times New Roman"/>
          <w:szCs w:val="24"/>
          <w:lang w:val="en-US"/>
        </w:rPr>
      </w:pPr>
      <w:r w:rsidRPr="00E12018">
        <w:rPr>
          <w:rFonts w:cs="Times New Roman"/>
          <w:szCs w:val="24"/>
          <w:lang w:val="en-US"/>
        </w:rPr>
        <w:t>α</w:t>
      </w:r>
      <w:r w:rsidRPr="00E12018">
        <w:rPr>
          <w:rFonts w:cs="Times New Roman"/>
          <w:szCs w:val="24"/>
          <w:vertAlign w:val="subscript"/>
          <w:lang w:val="en-US"/>
        </w:rPr>
        <w:t>i</w:t>
      </w:r>
      <w:r w:rsidRPr="00E12018">
        <w:rPr>
          <w:rFonts w:cs="Times New Roman"/>
          <w:szCs w:val="24"/>
          <w:lang w:val="en-US"/>
        </w:rPr>
        <w:t xml:space="preserve"> </w:t>
      </w:r>
      <w:r w:rsidR="00D96517">
        <w:rPr>
          <w:rFonts w:cs="Times New Roman"/>
          <w:szCs w:val="24"/>
          <w:lang w:val="en-US"/>
        </w:rPr>
        <w:t>–</w:t>
      </w:r>
      <w:r w:rsidR="008A2BA4">
        <w:rPr>
          <w:rFonts w:cs="Times New Roman"/>
          <w:szCs w:val="24"/>
          <w:lang w:val="en-US"/>
        </w:rPr>
        <w:t xml:space="preserve"> stands for</w:t>
      </w:r>
      <w:r w:rsidR="008A2BA4" w:rsidRPr="00E12018">
        <w:rPr>
          <w:rFonts w:cs="Times New Roman"/>
          <w:szCs w:val="24"/>
          <w:lang w:val="en-US"/>
        </w:rPr>
        <w:t xml:space="preserve"> </w:t>
      </w:r>
      <w:r w:rsidR="008A2BA4">
        <w:rPr>
          <w:rFonts w:cs="Times New Roman"/>
          <w:szCs w:val="24"/>
          <w:lang w:val="en-US"/>
        </w:rPr>
        <w:t>t</w:t>
      </w:r>
      <w:r w:rsidRPr="00E12018">
        <w:rPr>
          <w:rFonts w:cs="Times New Roman"/>
          <w:szCs w:val="24"/>
          <w:lang w:val="en-US"/>
        </w:rPr>
        <w:t>he inclination of the slip surface section</w:t>
      </w:r>
      <w:r w:rsidR="00C705BC">
        <w:rPr>
          <w:rFonts w:cs="Times New Roman"/>
          <w:szCs w:val="24"/>
          <w:lang w:val="en-US"/>
        </w:rPr>
        <w:t>.</w:t>
      </w:r>
      <w:r w:rsidRPr="00E12018">
        <w:rPr>
          <w:rFonts w:cs="Times New Roman"/>
          <w:szCs w:val="24"/>
          <w:lang w:val="en-US"/>
        </w:rPr>
        <w:t xml:space="preserve"> </w:t>
      </w:r>
    </w:p>
    <w:p w14:paraId="7C6A3364" w14:textId="6FC63990" w:rsidR="00E12018" w:rsidRPr="00E12018" w:rsidRDefault="00E12018" w:rsidP="00D80CA5">
      <w:pPr>
        <w:rPr>
          <w:rFonts w:cs="Times New Roman"/>
          <w:szCs w:val="24"/>
          <w:lang w:val="en-US"/>
        </w:rPr>
      </w:pPr>
      <w:r w:rsidRPr="00E12018">
        <w:rPr>
          <w:rFonts w:cs="Times New Roman"/>
          <w:szCs w:val="24"/>
          <w:lang w:val="en-US"/>
        </w:rPr>
        <w:t>m</w:t>
      </w:r>
      <w:r w:rsidRPr="00E12018">
        <w:rPr>
          <w:rFonts w:cs="Times New Roman"/>
          <w:szCs w:val="24"/>
          <w:vertAlign w:val="subscript"/>
          <w:lang w:val="en-US"/>
        </w:rPr>
        <w:t>α</w:t>
      </w:r>
      <w:r w:rsidRPr="00E12018">
        <w:rPr>
          <w:rFonts w:cs="Times New Roman"/>
          <w:szCs w:val="24"/>
          <w:lang w:val="en-US"/>
        </w:rPr>
        <w:t xml:space="preserve"> </w:t>
      </w:r>
      <w:r w:rsidR="00D96517">
        <w:rPr>
          <w:rFonts w:cs="Times New Roman"/>
          <w:szCs w:val="24"/>
          <w:lang w:val="en-US"/>
        </w:rPr>
        <w:t>–</w:t>
      </w:r>
      <w:r>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00F9037D">
        <w:rPr>
          <w:rFonts w:cs="Times New Roman"/>
          <w:szCs w:val="24"/>
          <w:lang w:val="en-US"/>
        </w:rPr>
        <w:t xml:space="preserve">the </w:t>
      </w:r>
      <w:r w:rsidR="008A2BA4">
        <w:rPr>
          <w:rFonts w:cs="Times New Roman"/>
          <w:szCs w:val="24"/>
          <w:lang w:val="en-US"/>
        </w:rPr>
        <w:t>v</w:t>
      </w:r>
      <w:r w:rsidRPr="00E12018">
        <w:rPr>
          <w:rFonts w:cs="Times New Roman"/>
          <w:szCs w:val="24"/>
          <w:lang w:val="en-US"/>
        </w:rPr>
        <w:t>erification of the parameter</w:t>
      </w:r>
      <w:r w:rsidR="00C705BC">
        <w:rPr>
          <w:rFonts w:cs="Times New Roman"/>
          <w:szCs w:val="24"/>
          <w:lang w:val="en-US"/>
        </w:rPr>
        <w:t>.</w:t>
      </w:r>
      <w:r w:rsidRPr="00E12018">
        <w:rPr>
          <w:rFonts w:cs="Times New Roman"/>
          <w:szCs w:val="24"/>
          <w:lang w:val="en-US"/>
        </w:rPr>
        <w:t xml:space="preserve"> </w:t>
      </w:r>
    </w:p>
    <w:p w14:paraId="11427932" w14:textId="699C6EB6" w:rsidR="00E12018" w:rsidRPr="00E12018" w:rsidRDefault="00E12018" w:rsidP="00D80CA5">
      <w:pPr>
        <w:rPr>
          <w:rFonts w:cs="Times New Roman"/>
          <w:szCs w:val="24"/>
          <w:lang w:val="en-US"/>
        </w:rPr>
      </w:pPr>
      <w:r w:rsidRPr="00E12018">
        <w:rPr>
          <w:rFonts w:cs="Times New Roman"/>
          <w:szCs w:val="24"/>
          <w:lang w:val="en-US"/>
        </w:rPr>
        <w:t xml:space="preserve">Π </w:t>
      </w:r>
      <w:r w:rsidR="00D96517">
        <w:rPr>
          <w:rFonts w:cs="Times New Roman"/>
          <w:szCs w:val="24"/>
          <w:lang w:val="en-US"/>
        </w:rPr>
        <w:t>–</w:t>
      </w:r>
      <w:r w:rsidR="008A2BA4">
        <w:rPr>
          <w:rFonts w:cs="Times New Roman"/>
          <w:szCs w:val="24"/>
          <w:lang w:val="en-US"/>
        </w:rPr>
        <w:t xml:space="preserve"> stands for</w:t>
      </w:r>
      <w:r>
        <w:rPr>
          <w:rFonts w:cs="Times New Roman"/>
          <w:szCs w:val="24"/>
          <w:lang w:val="en-US"/>
        </w:rPr>
        <w:t xml:space="preserve"> </w:t>
      </w:r>
      <w:r w:rsidRPr="00E12018">
        <w:rPr>
          <w:rFonts w:cs="Times New Roman"/>
          <w:szCs w:val="24"/>
          <w:lang w:val="en-US"/>
        </w:rPr>
        <w:t>pie</w:t>
      </w:r>
      <w:r w:rsidR="00C705BC">
        <w:rPr>
          <w:rFonts w:cs="Times New Roman"/>
          <w:szCs w:val="24"/>
          <w:lang w:val="en-US"/>
        </w:rPr>
        <w:t>.</w:t>
      </w:r>
      <w:r w:rsidRPr="00E12018">
        <w:rPr>
          <w:rFonts w:cs="Times New Roman"/>
          <w:szCs w:val="24"/>
          <w:lang w:val="en-US"/>
        </w:rPr>
        <w:t xml:space="preserve"> </w:t>
      </w:r>
    </w:p>
    <w:p w14:paraId="3E301C00" w14:textId="229B4F83" w:rsidR="00E12018" w:rsidRPr="00E12018" w:rsidRDefault="00E12018" w:rsidP="00D80CA5">
      <w:pPr>
        <w:rPr>
          <w:rFonts w:cs="Times New Roman"/>
          <w:szCs w:val="24"/>
          <w:lang w:val="en-US"/>
        </w:rPr>
      </w:pPr>
      <w:r w:rsidRPr="00E12018">
        <w:rPr>
          <w:rFonts w:cs="Times New Roman"/>
          <w:szCs w:val="24"/>
          <w:lang w:val="en-US"/>
        </w:rPr>
        <w:t>FS –</w:t>
      </w:r>
      <w:r w:rsidR="008A2BA4">
        <w:rPr>
          <w:rFonts w:cs="Times New Roman"/>
          <w:szCs w:val="24"/>
          <w:lang w:val="en-US"/>
        </w:rPr>
        <w:t xml:space="preserve"> stands for</w:t>
      </w:r>
      <w:r w:rsidRPr="00E12018">
        <w:rPr>
          <w:rFonts w:cs="Times New Roman"/>
          <w:szCs w:val="24"/>
          <w:lang w:val="en-US"/>
        </w:rPr>
        <w:t xml:space="preserve"> </w:t>
      </w:r>
      <w:r w:rsidR="00F9037D">
        <w:rPr>
          <w:rFonts w:cs="Times New Roman"/>
          <w:szCs w:val="24"/>
          <w:lang w:val="en-US"/>
        </w:rPr>
        <w:t xml:space="preserve">the </w:t>
      </w:r>
      <w:r w:rsidRPr="00E12018">
        <w:rPr>
          <w:rFonts w:cs="Times New Roman"/>
          <w:szCs w:val="24"/>
          <w:lang w:val="en-US"/>
        </w:rPr>
        <w:t>factor of safety</w:t>
      </w:r>
      <w:r w:rsidR="00C705BC">
        <w:rPr>
          <w:rFonts w:cs="Times New Roman"/>
          <w:szCs w:val="24"/>
          <w:lang w:val="en-US"/>
        </w:rPr>
        <w:t>.</w:t>
      </w:r>
    </w:p>
    <w:p w14:paraId="13773B2B" w14:textId="79C3C826" w:rsidR="00E12018" w:rsidRPr="00E12018" w:rsidRDefault="00E12018" w:rsidP="00FE2F22">
      <w:pPr>
        <w:rPr>
          <w:rFonts w:cs="Times New Roman"/>
          <w:szCs w:val="24"/>
          <w:lang w:val="en-US"/>
        </w:rPr>
      </w:pPr>
      <w:r w:rsidRPr="00E12018">
        <w:rPr>
          <w:rFonts w:cs="Times New Roman"/>
          <w:szCs w:val="24"/>
          <w:lang w:val="en-US"/>
        </w:rPr>
        <w:t>δ</w:t>
      </w:r>
      <w:r w:rsidRPr="00E12018">
        <w:rPr>
          <w:rFonts w:cs="Times New Roman"/>
          <w:szCs w:val="24"/>
          <w:vertAlign w:val="subscript"/>
          <w:lang w:val="en-US"/>
        </w:rPr>
        <w:t>i</w:t>
      </w:r>
      <w:r w:rsidRPr="00E12018">
        <w:rPr>
          <w:rFonts w:cs="Times New Roman"/>
          <w:szCs w:val="24"/>
          <w:lang w:val="en-US"/>
        </w:rPr>
        <w:t xml:space="preserve"> </w:t>
      </w:r>
      <w:r w:rsidR="00D96517">
        <w:rPr>
          <w:rFonts w:cs="Times New Roman"/>
          <w:szCs w:val="24"/>
          <w:lang w:val="en-US"/>
        </w:rPr>
        <w:t>–</w:t>
      </w:r>
      <w:r>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008A2BA4">
        <w:rPr>
          <w:rFonts w:cs="Times New Roman"/>
          <w:szCs w:val="24"/>
          <w:lang w:val="en-US"/>
        </w:rPr>
        <w:t>t</w:t>
      </w:r>
      <w:r w:rsidRPr="00E12018">
        <w:rPr>
          <w:rFonts w:cs="Times New Roman"/>
          <w:szCs w:val="24"/>
          <w:lang w:val="en-US"/>
        </w:rPr>
        <w:t>he inclination of force</w:t>
      </w:r>
      <w:r w:rsidR="00C705BC">
        <w:rPr>
          <w:rFonts w:cs="Times New Roman"/>
          <w:szCs w:val="24"/>
          <w:lang w:val="en-US"/>
        </w:rPr>
        <w:t>.</w:t>
      </w:r>
      <w:r w:rsidRPr="00E12018">
        <w:rPr>
          <w:rFonts w:cs="Times New Roman"/>
          <w:szCs w:val="24"/>
          <w:lang w:val="en-US"/>
        </w:rPr>
        <w:t xml:space="preserve"> </w:t>
      </w:r>
    </w:p>
    <w:p w14:paraId="6025A002" w14:textId="73CAA352" w:rsidR="00E12018" w:rsidRPr="00E12018" w:rsidRDefault="00E12018" w:rsidP="00FE2F22">
      <w:pPr>
        <w:rPr>
          <w:rFonts w:cs="Times New Roman"/>
          <w:szCs w:val="24"/>
          <w:lang w:val="en-US"/>
        </w:rPr>
      </w:pPr>
      <w:r w:rsidRPr="00E12018">
        <w:rPr>
          <w:rFonts w:cs="Times New Roman"/>
          <w:szCs w:val="24"/>
          <w:lang w:val="en-US"/>
        </w:rPr>
        <w:t>E</w:t>
      </w:r>
      <w:r w:rsidRPr="00E12018">
        <w:rPr>
          <w:rFonts w:cs="Times New Roman"/>
          <w:szCs w:val="24"/>
          <w:vertAlign w:val="subscript"/>
          <w:lang w:val="en-US"/>
        </w:rPr>
        <w:t>i</w:t>
      </w:r>
      <w:r w:rsidRPr="00E12018">
        <w:rPr>
          <w:rFonts w:cs="Times New Roman"/>
          <w:szCs w:val="24"/>
          <w:lang w:val="en-US"/>
        </w:rPr>
        <w:t xml:space="preserve"> </w:t>
      </w:r>
      <w:r w:rsidR="00D96517">
        <w:rPr>
          <w:rFonts w:cs="Times New Roman"/>
          <w:szCs w:val="24"/>
          <w:lang w:val="en-US"/>
        </w:rPr>
        <w:t>–</w:t>
      </w:r>
      <w:r w:rsidRPr="00E12018">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forces developed between blocks</w:t>
      </w:r>
      <w:r w:rsidR="00C705BC">
        <w:rPr>
          <w:rFonts w:cs="Times New Roman"/>
          <w:szCs w:val="24"/>
          <w:lang w:val="en-US"/>
        </w:rPr>
        <w:t>.</w:t>
      </w:r>
    </w:p>
    <w:p w14:paraId="1E786032" w14:textId="52BE03A5" w:rsidR="00E12018" w:rsidRPr="00E12018" w:rsidRDefault="00E12018" w:rsidP="00FE2F22">
      <w:pPr>
        <w:rPr>
          <w:rFonts w:cs="Times New Roman"/>
          <w:szCs w:val="24"/>
          <w:lang w:val="en-US"/>
        </w:rPr>
      </w:pPr>
      <w:r w:rsidRPr="00E12018">
        <w:rPr>
          <w:rFonts w:cs="Times New Roman"/>
          <w:szCs w:val="24"/>
          <w:lang w:val="en-US"/>
        </w:rPr>
        <w:t>N</w:t>
      </w:r>
      <w:r w:rsidRPr="00E12018">
        <w:rPr>
          <w:rFonts w:cs="Times New Roman"/>
          <w:szCs w:val="24"/>
          <w:vertAlign w:val="subscript"/>
          <w:lang w:val="en-US"/>
        </w:rPr>
        <w:t>i</w:t>
      </w:r>
      <w:r w:rsidRPr="00E12018">
        <w:rPr>
          <w:rFonts w:cs="Times New Roman"/>
          <w:szCs w:val="24"/>
          <w:lang w:val="en-US"/>
        </w:rPr>
        <w:t xml:space="preserve"> </w:t>
      </w:r>
      <w:r w:rsidR="00D96517">
        <w:rPr>
          <w:rFonts w:cs="Times New Roman"/>
          <w:szCs w:val="24"/>
          <w:lang w:val="en-US"/>
        </w:rPr>
        <w:t>–</w:t>
      </w:r>
      <w:r w:rsidRPr="00E12018">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normal forces acting on the slip surface</w:t>
      </w:r>
      <w:r w:rsidR="00C705BC">
        <w:rPr>
          <w:rFonts w:cs="Times New Roman"/>
          <w:szCs w:val="24"/>
          <w:lang w:val="en-US"/>
        </w:rPr>
        <w:t>.</w:t>
      </w:r>
    </w:p>
    <w:p w14:paraId="0B0F0E1F" w14:textId="57EBD94B" w:rsidR="00E12018" w:rsidRPr="00E12018" w:rsidRDefault="00E12018" w:rsidP="00FE2F22">
      <w:pPr>
        <w:rPr>
          <w:rFonts w:cs="Times New Roman"/>
          <w:szCs w:val="24"/>
          <w:lang w:val="en-US"/>
        </w:rPr>
      </w:pPr>
      <w:r w:rsidRPr="00E12018">
        <w:rPr>
          <w:rFonts w:cs="Times New Roman"/>
          <w:szCs w:val="24"/>
          <w:lang w:val="en-US"/>
        </w:rPr>
        <w:t>T</w:t>
      </w:r>
      <w:r w:rsidRPr="00E12018">
        <w:rPr>
          <w:rFonts w:cs="Times New Roman"/>
          <w:szCs w:val="24"/>
          <w:vertAlign w:val="subscript"/>
          <w:lang w:val="en-US"/>
        </w:rPr>
        <w:t>i</w:t>
      </w:r>
      <w:r w:rsidRPr="00E12018">
        <w:rPr>
          <w:rFonts w:cs="Times New Roman"/>
          <w:szCs w:val="24"/>
          <w:lang w:val="en-US"/>
        </w:rPr>
        <w:t xml:space="preserve"> </w:t>
      </w:r>
      <w:r w:rsidR="00D96517">
        <w:rPr>
          <w:rFonts w:cs="Times New Roman"/>
          <w:szCs w:val="24"/>
          <w:lang w:val="en-US"/>
        </w:rPr>
        <w:t>–</w:t>
      </w:r>
      <w:r w:rsidRPr="00E12018">
        <w:rPr>
          <w:rFonts w:cs="Times New Roman"/>
          <w:szCs w:val="24"/>
          <w:lang w:val="en-US"/>
        </w:rPr>
        <w:t xml:space="preserve"> </w:t>
      </w:r>
      <w:r w:rsidR="00B745E0" w:rsidRPr="00B745E0">
        <w:rPr>
          <w:rFonts w:cs="Times New Roman"/>
          <w:szCs w:val="24"/>
          <w:lang w:val="en-US"/>
        </w:rPr>
        <w:t>stands for the shear forces that act on the slip surface</w:t>
      </w:r>
      <w:r w:rsidR="00C705BC">
        <w:rPr>
          <w:rFonts w:cs="Times New Roman"/>
          <w:szCs w:val="24"/>
          <w:lang w:val="en-US"/>
        </w:rPr>
        <w:t>.</w:t>
      </w:r>
    </w:p>
    <w:p w14:paraId="5B9D7854" w14:textId="6FBECBD8" w:rsidR="00E12018" w:rsidRPr="00E12018" w:rsidRDefault="00E12018" w:rsidP="00FE2F22">
      <w:pPr>
        <w:rPr>
          <w:rFonts w:cs="Times New Roman"/>
          <w:szCs w:val="24"/>
          <w:lang w:val="en-US"/>
        </w:rPr>
      </w:pPr>
      <w:r w:rsidRPr="00E12018">
        <w:rPr>
          <w:rFonts w:cs="Times New Roman"/>
          <w:szCs w:val="24"/>
          <w:lang w:val="en-US"/>
        </w:rPr>
        <w:t>X</w:t>
      </w:r>
      <w:r w:rsidRPr="00E12018">
        <w:rPr>
          <w:rFonts w:cs="Times New Roman"/>
          <w:szCs w:val="24"/>
          <w:vertAlign w:val="subscript"/>
          <w:lang w:val="en-US"/>
        </w:rPr>
        <w:t>i</w:t>
      </w:r>
      <w:r w:rsidRPr="00E12018">
        <w:rPr>
          <w:rFonts w:cs="Times New Roman"/>
          <w:szCs w:val="24"/>
          <w:lang w:val="en-US"/>
        </w:rPr>
        <w:t xml:space="preserve"> </w:t>
      </w:r>
      <w:r w:rsidR="00D96517">
        <w:rPr>
          <w:rFonts w:cs="Times New Roman"/>
          <w:szCs w:val="24"/>
          <w:lang w:val="en-US"/>
        </w:rPr>
        <w:t>–</w:t>
      </w:r>
      <w:r w:rsidRPr="00E12018">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shear forces developed between blocks</w:t>
      </w:r>
      <w:r w:rsidR="00C705BC">
        <w:rPr>
          <w:rFonts w:cs="Times New Roman"/>
          <w:szCs w:val="24"/>
          <w:lang w:val="en-US"/>
        </w:rPr>
        <w:t>.</w:t>
      </w:r>
    </w:p>
    <w:p w14:paraId="431E09C7" w14:textId="43FA448A" w:rsidR="00E12018" w:rsidRPr="00E12018" w:rsidRDefault="00E12018" w:rsidP="00FE2F22">
      <w:pPr>
        <w:rPr>
          <w:rFonts w:cs="Times New Roman"/>
          <w:szCs w:val="24"/>
          <w:lang w:val="en-US"/>
        </w:rPr>
      </w:pPr>
      <w:r w:rsidRPr="00E12018">
        <w:rPr>
          <w:rFonts w:cs="Times New Roman"/>
          <w:szCs w:val="24"/>
          <w:lang w:val="en-US"/>
        </w:rPr>
        <w:t>z</w:t>
      </w:r>
      <w:r w:rsidRPr="00E12018">
        <w:rPr>
          <w:rFonts w:cs="Times New Roman"/>
          <w:szCs w:val="24"/>
          <w:vertAlign w:val="subscript"/>
          <w:lang w:val="en-US"/>
        </w:rPr>
        <w:t>i</w:t>
      </w:r>
      <w:r w:rsidRPr="00E12018">
        <w:rPr>
          <w:rFonts w:cs="Times New Roman"/>
          <w:szCs w:val="24"/>
          <w:lang w:val="en-US"/>
        </w:rPr>
        <w:t xml:space="preserve"> </w:t>
      </w:r>
      <w:r w:rsidR="00D96517">
        <w:rPr>
          <w:rFonts w:cs="Times New Roman"/>
          <w:szCs w:val="24"/>
          <w:lang w:val="en-US"/>
        </w:rPr>
        <w:t>–</w:t>
      </w:r>
      <w:r w:rsidRPr="00E12018">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locations of points of applications of forces</w:t>
      </w:r>
      <w:r w:rsidR="00C705BC">
        <w:rPr>
          <w:rFonts w:cs="Times New Roman"/>
          <w:szCs w:val="24"/>
          <w:lang w:val="en-US"/>
        </w:rPr>
        <w:t>.</w:t>
      </w:r>
    </w:p>
    <w:p w14:paraId="7269FA45" w14:textId="50542EAC" w:rsidR="00E12018" w:rsidRPr="00E12018" w:rsidRDefault="00E12018" w:rsidP="00FE2F22">
      <w:pPr>
        <w:rPr>
          <w:rFonts w:cs="Times New Roman"/>
          <w:szCs w:val="24"/>
          <w:lang w:val="en-US"/>
        </w:rPr>
      </w:pPr>
      <w:r w:rsidRPr="00E12018">
        <w:rPr>
          <w:rFonts w:cs="Times New Roman"/>
          <w:szCs w:val="24"/>
          <w:lang w:val="en-US"/>
        </w:rPr>
        <w:t>l</w:t>
      </w:r>
      <w:r w:rsidRPr="00E12018">
        <w:rPr>
          <w:rFonts w:cs="Times New Roman"/>
          <w:szCs w:val="24"/>
          <w:vertAlign w:val="subscript"/>
          <w:lang w:val="en-US"/>
        </w:rPr>
        <w:t>i</w:t>
      </w:r>
      <w:r w:rsidRPr="00E12018">
        <w:rPr>
          <w:rFonts w:cs="Times New Roman"/>
          <w:szCs w:val="24"/>
          <w:lang w:val="en-US"/>
        </w:rPr>
        <w:t xml:space="preserve"> </w:t>
      </w:r>
      <w:r w:rsidR="00D96517">
        <w:rPr>
          <w:rFonts w:cs="Times New Roman"/>
          <w:szCs w:val="24"/>
          <w:lang w:val="en-US"/>
        </w:rPr>
        <w:t>–</w:t>
      </w:r>
      <w:r w:rsidRPr="00E12018">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locations of points of applications of forces</w:t>
      </w:r>
      <w:r w:rsidR="00C705BC">
        <w:rPr>
          <w:rFonts w:cs="Times New Roman"/>
          <w:szCs w:val="24"/>
          <w:lang w:val="en-US"/>
        </w:rPr>
        <w:t>.</w:t>
      </w:r>
    </w:p>
    <w:p w14:paraId="66B3273E" w14:textId="3B46145B" w:rsidR="00E12018" w:rsidRPr="00E12018" w:rsidRDefault="00E12018" w:rsidP="00FE2F22">
      <w:pPr>
        <w:rPr>
          <w:rFonts w:cs="Times New Roman"/>
          <w:szCs w:val="24"/>
          <w:lang w:val="en-US"/>
        </w:rPr>
      </w:pPr>
      <w:r w:rsidRPr="00E12018">
        <w:rPr>
          <w:rFonts w:cs="Times New Roman"/>
          <w:szCs w:val="24"/>
          <w:lang w:val="en-US"/>
        </w:rPr>
        <w:t>K</w:t>
      </w:r>
      <w:r w:rsidRPr="00E12018">
        <w:rPr>
          <w:rFonts w:cs="Times New Roman"/>
          <w:szCs w:val="24"/>
          <w:vertAlign w:val="subscript"/>
          <w:lang w:val="en-US"/>
        </w:rPr>
        <w:t>h</w:t>
      </w:r>
      <w:r w:rsidRPr="00E12018">
        <w:rPr>
          <w:rFonts w:cs="Times New Roman"/>
          <w:szCs w:val="24"/>
          <w:lang w:val="en-US"/>
        </w:rPr>
        <w:t xml:space="preserve"> </w:t>
      </w:r>
      <w:r w:rsidR="00D96517">
        <w:rPr>
          <w:rFonts w:cs="Times New Roman"/>
          <w:szCs w:val="24"/>
          <w:lang w:val="en-US"/>
        </w:rPr>
        <w:t>–</w:t>
      </w:r>
      <w:r w:rsidRPr="00E12018">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 xml:space="preserve">a factor of </w:t>
      </w:r>
      <w:r w:rsidR="00F9037D">
        <w:rPr>
          <w:rFonts w:cs="Times New Roman"/>
          <w:szCs w:val="24"/>
          <w:lang w:val="en-US"/>
        </w:rPr>
        <w:t xml:space="preserve">the </w:t>
      </w:r>
      <w:r w:rsidRPr="00E12018">
        <w:rPr>
          <w:rFonts w:cs="Times New Roman"/>
          <w:szCs w:val="24"/>
          <w:lang w:val="en-US"/>
        </w:rPr>
        <w:t>horizontal acceleration</w:t>
      </w:r>
      <w:r w:rsidR="00C705BC">
        <w:rPr>
          <w:rFonts w:cs="Times New Roman"/>
          <w:szCs w:val="24"/>
          <w:lang w:val="en-US"/>
        </w:rPr>
        <w:t>.</w:t>
      </w:r>
    </w:p>
    <w:p w14:paraId="01F5713C" w14:textId="66E25D9A" w:rsidR="00E12018" w:rsidRPr="00E12018" w:rsidRDefault="00E12018" w:rsidP="00FE2F22">
      <w:pPr>
        <w:rPr>
          <w:rFonts w:cs="Times New Roman"/>
          <w:szCs w:val="24"/>
          <w:lang w:val="en-US"/>
        </w:rPr>
      </w:pPr>
      <w:r w:rsidRPr="00E12018">
        <w:rPr>
          <w:rFonts w:cs="Times New Roman"/>
          <w:szCs w:val="24"/>
          <w:lang w:val="en-US"/>
        </w:rPr>
        <w:t>P</w:t>
      </w:r>
      <w:r w:rsidRPr="00E12018">
        <w:rPr>
          <w:rFonts w:cs="Times New Roman"/>
          <w:szCs w:val="24"/>
          <w:vertAlign w:val="subscript"/>
          <w:lang w:val="en-US"/>
        </w:rPr>
        <w:t>yi</w:t>
      </w:r>
      <w:r w:rsidRPr="00E12018">
        <w:rPr>
          <w:rFonts w:cs="Times New Roman"/>
          <w:szCs w:val="24"/>
          <w:lang w:val="en-US"/>
        </w:rPr>
        <w:t xml:space="preserve"> </w:t>
      </w:r>
      <w:r w:rsidR="00D96517" w:rsidRPr="00E12018">
        <w:rPr>
          <w:rFonts w:cs="Times New Roman"/>
          <w:szCs w:val="24"/>
          <w:lang w:val="en-US"/>
        </w:rPr>
        <w:t>–</w:t>
      </w:r>
      <w:r w:rsidR="00D96517">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the resultant of vertical forces acting on a given block</w:t>
      </w:r>
      <w:r w:rsidR="00C705BC">
        <w:rPr>
          <w:rFonts w:cs="Times New Roman"/>
          <w:szCs w:val="24"/>
          <w:lang w:val="en-US"/>
        </w:rPr>
        <w:t>.</w:t>
      </w:r>
      <w:r w:rsidRPr="00E12018">
        <w:rPr>
          <w:rFonts w:cs="Times New Roman"/>
          <w:szCs w:val="24"/>
          <w:lang w:val="en-US"/>
        </w:rPr>
        <w:t xml:space="preserve"> </w:t>
      </w:r>
    </w:p>
    <w:p w14:paraId="4005BA01" w14:textId="152DCA45" w:rsidR="00E12018" w:rsidRPr="00E12018" w:rsidRDefault="00E12018" w:rsidP="00FE2F22">
      <w:pPr>
        <w:rPr>
          <w:rFonts w:cs="Times New Roman"/>
          <w:szCs w:val="24"/>
          <w:lang w:val="en-US"/>
        </w:rPr>
      </w:pPr>
      <w:r w:rsidRPr="00E12018">
        <w:rPr>
          <w:rFonts w:cs="Times New Roman"/>
          <w:szCs w:val="24"/>
          <w:lang w:val="en-US"/>
        </w:rPr>
        <w:t>P</w:t>
      </w:r>
      <w:r w:rsidRPr="00E12018">
        <w:rPr>
          <w:rFonts w:cs="Times New Roman"/>
          <w:szCs w:val="24"/>
          <w:vertAlign w:val="subscript"/>
          <w:lang w:val="en-US"/>
        </w:rPr>
        <w:t>xi</w:t>
      </w:r>
      <w:r w:rsidRPr="00E12018">
        <w:rPr>
          <w:rFonts w:cs="Times New Roman"/>
          <w:szCs w:val="24"/>
          <w:lang w:val="en-US"/>
        </w:rPr>
        <w:t xml:space="preserve"> </w:t>
      </w:r>
      <w:r w:rsidR="00D96517" w:rsidRPr="00E12018">
        <w:rPr>
          <w:rFonts w:cs="Times New Roman"/>
          <w:szCs w:val="24"/>
          <w:lang w:val="en-US"/>
        </w:rPr>
        <w:t>–</w:t>
      </w:r>
      <w:r w:rsidR="00D96517">
        <w:rPr>
          <w:rFonts w:cs="Times New Roman"/>
          <w:szCs w:val="24"/>
          <w:lang w:val="en-US"/>
        </w:rPr>
        <w:t xml:space="preserve"> </w:t>
      </w:r>
      <w:r w:rsidR="008A2BA4">
        <w:rPr>
          <w:rFonts w:cs="Times New Roman"/>
          <w:szCs w:val="24"/>
          <w:lang w:val="en-US"/>
        </w:rPr>
        <w:t>stands for</w:t>
      </w:r>
      <w:r w:rsidR="008A2BA4" w:rsidRPr="00E12018" w:rsidDel="008A2BA4">
        <w:rPr>
          <w:rFonts w:cs="Times New Roman"/>
          <w:szCs w:val="24"/>
          <w:lang w:val="en-US"/>
        </w:rPr>
        <w:t xml:space="preserve"> </w:t>
      </w:r>
      <w:r w:rsidRPr="00E12018">
        <w:rPr>
          <w:rFonts w:cs="Times New Roman"/>
          <w:szCs w:val="24"/>
          <w:lang w:val="en-US"/>
        </w:rPr>
        <w:t>the resultant of horizontal forces on a given block</w:t>
      </w:r>
      <w:r w:rsidR="00C705BC">
        <w:rPr>
          <w:rFonts w:cs="Times New Roman"/>
          <w:szCs w:val="24"/>
          <w:lang w:val="en-US"/>
        </w:rPr>
        <w:t>.</w:t>
      </w:r>
      <w:r w:rsidRPr="00E12018">
        <w:rPr>
          <w:rFonts w:cs="Times New Roman"/>
          <w:szCs w:val="24"/>
          <w:lang w:val="en-US"/>
        </w:rPr>
        <w:t xml:space="preserve"> </w:t>
      </w:r>
    </w:p>
    <w:p w14:paraId="36BD7C7A" w14:textId="5C0875E5" w:rsidR="00E12018" w:rsidRPr="00E12018" w:rsidRDefault="00E12018" w:rsidP="00FE2F22">
      <w:pPr>
        <w:rPr>
          <w:rFonts w:cs="Times New Roman"/>
          <w:szCs w:val="24"/>
          <w:lang w:val="en-US"/>
        </w:rPr>
      </w:pPr>
      <w:r w:rsidRPr="00E12018">
        <w:rPr>
          <w:rFonts w:cs="Times New Roman"/>
          <w:szCs w:val="24"/>
          <w:lang w:val="en-US"/>
        </w:rPr>
        <w:t>N</w:t>
      </w:r>
      <w:r w:rsidRPr="00E12018">
        <w:rPr>
          <w:rFonts w:cs="Times New Roman"/>
          <w:szCs w:val="24"/>
          <w:vertAlign w:val="subscript"/>
          <w:lang w:val="en-US"/>
        </w:rPr>
        <w:t>i</w:t>
      </w:r>
      <w:r w:rsidRPr="00E12018">
        <w:rPr>
          <w:rFonts w:cs="Times New Roman"/>
          <w:szCs w:val="24"/>
          <w:lang w:val="en-US"/>
        </w:rPr>
        <w:t xml:space="preserve"> </w:t>
      </w:r>
      <w:r w:rsidR="00D96517" w:rsidRPr="00E12018">
        <w:rPr>
          <w:rFonts w:cs="Times New Roman"/>
          <w:szCs w:val="24"/>
          <w:lang w:val="en-US"/>
        </w:rPr>
        <w:t>–</w:t>
      </w:r>
      <w:r w:rsidR="00D96517">
        <w:rPr>
          <w:rFonts w:cs="Times New Roman"/>
          <w:szCs w:val="24"/>
          <w:lang w:val="en-US"/>
        </w:rPr>
        <w:t xml:space="preserve"> </w:t>
      </w:r>
      <w:r w:rsidR="008A2BA4">
        <w:rPr>
          <w:rFonts w:cs="Times New Roman"/>
          <w:szCs w:val="24"/>
          <w:lang w:val="en-US"/>
        </w:rPr>
        <w:t>stands for</w:t>
      </w:r>
      <w:r w:rsidR="008A2BA4" w:rsidRPr="00E12018" w:rsidDel="008A2BA4">
        <w:rPr>
          <w:rFonts w:cs="Times New Roman"/>
          <w:szCs w:val="24"/>
          <w:lang w:val="en-US"/>
        </w:rPr>
        <w:t xml:space="preserve"> </w:t>
      </w:r>
      <w:r w:rsidR="005F47A5" w:rsidRPr="005F47A5">
        <w:rPr>
          <w:rFonts w:cs="Times New Roman"/>
          <w:szCs w:val="24"/>
          <w:lang w:val="en-US"/>
        </w:rPr>
        <w:t>the reaction that occurs beneath the block normal to the slip surface segment</w:t>
      </w:r>
      <w:r w:rsidR="00C705BC">
        <w:rPr>
          <w:rFonts w:cs="Times New Roman"/>
          <w:szCs w:val="24"/>
          <w:lang w:val="en-US"/>
        </w:rPr>
        <w:t>.</w:t>
      </w:r>
    </w:p>
    <w:p w14:paraId="1E5D2313" w14:textId="03260144" w:rsidR="00E12018" w:rsidRPr="00E12018" w:rsidRDefault="00E12018" w:rsidP="00FE2F22">
      <w:pPr>
        <w:rPr>
          <w:rFonts w:cs="Times New Roman"/>
          <w:szCs w:val="24"/>
          <w:lang w:val="en-US"/>
        </w:rPr>
      </w:pPr>
      <w:r w:rsidRPr="00E12018">
        <w:rPr>
          <w:rFonts w:cs="Times New Roman"/>
          <w:szCs w:val="24"/>
          <w:lang w:val="en-US"/>
        </w:rPr>
        <w:t>T</w:t>
      </w:r>
      <w:r w:rsidRPr="00E12018">
        <w:rPr>
          <w:rFonts w:cs="Times New Roman"/>
          <w:szCs w:val="24"/>
          <w:vertAlign w:val="subscript"/>
          <w:lang w:val="en-US"/>
        </w:rPr>
        <w:t>i</w:t>
      </w:r>
      <w:r w:rsidRPr="00E12018">
        <w:rPr>
          <w:rFonts w:cs="Times New Roman"/>
          <w:szCs w:val="24"/>
          <w:lang w:val="en-US"/>
        </w:rPr>
        <w:t xml:space="preserve"> </w:t>
      </w:r>
      <w:r w:rsidR="00D96517" w:rsidRPr="00E12018">
        <w:rPr>
          <w:rFonts w:cs="Times New Roman"/>
          <w:szCs w:val="24"/>
          <w:lang w:val="en-US"/>
        </w:rPr>
        <w:t>–</w:t>
      </w:r>
      <w:r w:rsidR="00D96517">
        <w:rPr>
          <w:rFonts w:cs="Times New Roman"/>
          <w:szCs w:val="24"/>
          <w:lang w:val="en-US"/>
        </w:rPr>
        <w:t xml:space="preserve"> </w:t>
      </w:r>
      <w:r w:rsidR="008A2BA4">
        <w:rPr>
          <w:rFonts w:cs="Times New Roman"/>
          <w:szCs w:val="24"/>
          <w:lang w:val="en-US"/>
        </w:rPr>
        <w:t>stands for</w:t>
      </w:r>
      <w:r w:rsidR="008A2BA4" w:rsidRPr="00E12018" w:rsidDel="008A2BA4">
        <w:rPr>
          <w:rFonts w:cs="Times New Roman"/>
          <w:szCs w:val="24"/>
          <w:lang w:val="en-US"/>
        </w:rPr>
        <w:t xml:space="preserve"> </w:t>
      </w:r>
      <w:r w:rsidRPr="00E12018">
        <w:rPr>
          <w:rFonts w:cs="Times New Roman"/>
          <w:szCs w:val="24"/>
          <w:lang w:val="en-US"/>
        </w:rPr>
        <w:t>the friction force on the slip surface segment</w:t>
      </w:r>
      <w:r w:rsidR="00C705BC">
        <w:rPr>
          <w:rFonts w:cs="Times New Roman"/>
          <w:szCs w:val="24"/>
          <w:lang w:val="en-US"/>
        </w:rPr>
        <w:t>.</w:t>
      </w:r>
    </w:p>
    <w:p w14:paraId="76173FB4" w14:textId="640B4A3E" w:rsidR="00E12018" w:rsidRPr="00E12018" w:rsidRDefault="00E12018" w:rsidP="00FE2F22">
      <w:pPr>
        <w:rPr>
          <w:rFonts w:cs="Times New Roman"/>
          <w:szCs w:val="24"/>
          <w:lang w:val="en-US"/>
        </w:rPr>
      </w:pPr>
      <w:r w:rsidRPr="00E12018">
        <w:rPr>
          <w:rFonts w:cs="Times New Roman"/>
          <w:szCs w:val="24"/>
          <w:lang w:val="en-US"/>
        </w:rPr>
        <w:t>α</w:t>
      </w:r>
      <w:r w:rsidRPr="00E12018">
        <w:rPr>
          <w:rFonts w:cs="Times New Roman"/>
          <w:szCs w:val="24"/>
          <w:vertAlign w:val="subscript"/>
          <w:lang w:val="en-US"/>
        </w:rPr>
        <w:t>i</w:t>
      </w:r>
      <w:r w:rsidRPr="00E12018">
        <w:rPr>
          <w:rFonts w:cs="Times New Roman"/>
          <w:szCs w:val="24"/>
          <w:lang w:val="en-US"/>
        </w:rPr>
        <w:t xml:space="preserve"> </w:t>
      </w:r>
      <w:r w:rsidR="00D96517" w:rsidRPr="00E12018">
        <w:rPr>
          <w:rFonts w:cs="Times New Roman"/>
          <w:szCs w:val="24"/>
          <w:lang w:val="en-US"/>
        </w:rPr>
        <w:t>–</w:t>
      </w:r>
      <w:r w:rsidR="00D96517">
        <w:rPr>
          <w:rFonts w:cs="Times New Roman"/>
          <w:szCs w:val="24"/>
          <w:lang w:val="en-US"/>
        </w:rPr>
        <w:t xml:space="preserve"> </w:t>
      </w:r>
      <w:r w:rsidR="008A2BA4">
        <w:rPr>
          <w:rFonts w:cs="Times New Roman"/>
          <w:szCs w:val="24"/>
          <w:lang w:val="en-US"/>
        </w:rPr>
        <w:t>stands for</w:t>
      </w:r>
      <w:r w:rsidR="008A2BA4" w:rsidRPr="00E12018" w:rsidDel="008A2BA4">
        <w:rPr>
          <w:rFonts w:cs="Times New Roman"/>
          <w:szCs w:val="24"/>
          <w:lang w:val="en-US"/>
        </w:rPr>
        <w:t xml:space="preserve"> </w:t>
      </w:r>
      <w:r w:rsidRPr="00E12018">
        <w:rPr>
          <w:rFonts w:cs="Times New Roman"/>
          <w:szCs w:val="24"/>
          <w:lang w:val="en-US"/>
        </w:rPr>
        <w:t>the inclination of the slip surface segment</w:t>
      </w:r>
      <w:r w:rsidR="00C705BC">
        <w:rPr>
          <w:rFonts w:cs="Times New Roman"/>
          <w:szCs w:val="24"/>
          <w:lang w:val="en-US"/>
        </w:rPr>
        <w:t>.</w:t>
      </w:r>
    </w:p>
    <w:p w14:paraId="74F3D83F" w14:textId="202C23BD" w:rsidR="00E12018" w:rsidRPr="00E12018" w:rsidRDefault="00E12018" w:rsidP="00FE2F22">
      <w:pPr>
        <w:rPr>
          <w:rFonts w:cs="Times New Roman"/>
          <w:szCs w:val="24"/>
          <w:lang w:val="en-US"/>
        </w:rPr>
      </w:pPr>
      <w:r w:rsidRPr="00E12018">
        <w:rPr>
          <w:rFonts w:cs="Times New Roman"/>
          <w:szCs w:val="24"/>
          <w:lang w:val="en-US"/>
        </w:rPr>
        <w:t>l</w:t>
      </w:r>
      <w:r w:rsidRPr="00E12018">
        <w:rPr>
          <w:rFonts w:cs="Times New Roman"/>
          <w:szCs w:val="24"/>
          <w:vertAlign w:val="subscript"/>
          <w:lang w:val="en-US"/>
        </w:rPr>
        <w:t>i</w:t>
      </w:r>
      <w:r w:rsidRPr="00E12018">
        <w:rPr>
          <w:rFonts w:cs="Times New Roman"/>
          <w:szCs w:val="24"/>
          <w:lang w:val="en-US"/>
        </w:rPr>
        <w:t xml:space="preserve"> </w:t>
      </w:r>
      <w:r w:rsidR="00D96517" w:rsidRPr="00E12018">
        <w:rPr>
          <w:rFonts w:cs="Times New Roman"/>
          <w:szCs w:val="24"/>
          <w:lang w:val="en-US"/>
        </w:rPr>
        <w:t>–</w:t>
      </w:r>
      <w:r w:rsidR="00D96517">
        <w:rPr>
          <w:rFonts w:cs="Times New Roman"/>
          <w:szCs w:val="24"/>
          <w:lang w:val="en-US"/>
        </w:rPr>
        <w:t xml:space="preserve"> </w:t>
      </w:r>
      <w:r w:rsidR="008A2BA4">
        <w:rPr>
          <w:rFonts w:cs="Times New Roman"/>
          <w:szCs w:val="24"/>
          <w:lang w:val="en-US"/>
        </w:rPr>
        <w:t>stands for</w:t>
      </w:r>
      <w:r w:rsidR="008A2BA4" w:rsidRPr="00E12018" w:rsidDel="008A2BA4">
        <w:rPr>
          <w:rFonts w:cs="Times New Roman"/>
          <w:szCs w:val="24"/>
          <w:lang w:val="en-US"/>
        </w:rPr>
        <w:t xml:space="preserve"> </w:t>
      </w:r>
      <w:r w:rsidRPr="00E12018">
        <w:rPr>
          <w:rFonts w:cs="Times New Roman"/>
          <w:szCs w:val="24"/>
          <w:lang w:val="en-US"/>
        </w:rPr>
        <w:t>the length of the slip surface segment</w:t>
      </w:r>
      <w:r w:rsidR="00C705BC">
        <w:rPr>
          <w:rFonts w:cs="Times New Roman"/>
          <w:szCs w:val="24"/>
          <w:lang w:val="en-US"/>
        </w:rPr>
        <w:t>.</w:t>
      </w:r>
    </w:p>
    <w:p w14:paraId="49BBCC77" w14:textId="5863D3C3" w:rsidR="00E12018" w:rsidRPr="00E12018" w:rsidRDefault="00E12018" w:rsidP="00FE2F22">
      <w:pPr>
        <w:rPr>
          <w:rFonts w:cs="Times New Roman"/>
          <w:szCs w:val="24"/>
          <w:lang w:val="en-US"/>
        </w:rPr>
      </w:pPr>
      <w:r w:rsidRPr="00E12018">
        <w:rPr>
          <w:rFonts w:cs="Times New Roman"/>
          <w:szCs w:val="24"/>
          <w:lang w:val="en-US"/>
        </w:rPr>
        <w:t>φ</w:t>
      </w:r>
      <w:r w:rsidRPr="00E12018">
        <w:rPr>
          <w:rFonts w:cs="Times New Roman"/>
          <w:szCs w:val="24"/>
          <w:vertAlign w:val="subscript"/>
          <w:lang w:val="en-US"/>
        </w:rPr>
        <w:t>i</w:t>
      </w:r>
      <w:r w:rsidRPr="00E12018">
        <w:rPr>
          <w:rFonts w:cs="Times New Roman"/>
          <w:szCs w:val="24"/>
          <w:lang w:val="en-US"/>
        </w:rPr>
        <w:t xml:space="preserve"> </w:t>
      </w:r>
      <w:r w:rsidR="00D96517" w:rsidRPr="00E12018">
        <w:rPr>
          <w:rFonts w:cs="Times New Roman"/>
          <w:szCs w:val="24"/>
          <w:lang w:val="en-US"/>
        </w:rPr>
        <w:t>–</w:t>
      </w:r>
      <w:r w:rsidR="00D96517">
        <w:rPr>
          <w:rFonts w:cs="Times New Roman"/>
          <w:szCs w:val="24"/>
          <w:lang w:val="en-US"/>
        </w:rPr>
        <w:t xml:space="preserve"> </w:t>
      </w:r>
      <w:r w:rsidR="008A2BA4">
        <w:rPr>
          <w:rFonts w:cs="Times New Roman"/>
          <w:szCs w:val="24"/>
          <w:lang w:val="en-US"/>
        </w:rPr>
        <w:t>stands for</w:t>
      </w:r>
      <w:r w:rsidR="008A2BA4" w:rsidRPr="00E12018" w:rsidDel="008A2BA4">
        <w:rPr>
          <w:rFonts w:cs="Times New Roman"/>
          <w:szCs w:val="24"/>
          <w:lang w:val="en-US"/>
        </w:rPr>
        <w:t xml:space="preserve"> </w:t>
      </w:r>
      <w:r w:rsidRPr="00E12018">
        <w:rPr>
          <w:rFonts w:cs="Times New Roman"/>
          <w:szCs w:val="24"/>
          <w:lang w:val="en-US"/>
        </w:rPr>
        <w:t>the angle of internal friction of soil on the slip surface segment</w:t>
      </w:r>
      <w:r w:rsidR="00C705BC">
        <w:rPr>
          <w:rFonts w:cs="Times New Roman"/>
          <w:szCs w:val="24"/>
          <w:lang w:val="en-US"/>
        </w:rPr>
        <w:t>.</w:t>
      </w:r>
    </w:p>
    <w:p w14:paraId="449FDA81" w14:textId="08BFD255" w:rsidR="00E12018" w:rsidRPr="00E12018" w:rsidRDefault="00E12018" w:rsidP="00FE2F22">
      <w:pPr>
        <w:rPr>
          <w:rFonts w:cs="Times New Roman"/>
          <w:szCs w:val="24"/>
          <w:lang w:val="en-US"/>
        </w:rPr>
      </w:pPr>
      <w:r w:rsidRPr="00E12018">
        <w:rPr>
          <w:rFonts w:cs="Times New Roman"/>
          <w:szCs w:val="24"/>
          <w:lang w:val="en-US"/>
        </w:rPr>
        <w:t>c</w:t>
      </w:r>
      <w:r w:rsidRPr="00E12018">
        <w:rPr>
          <w:rFonts w:cs="Times New Roman"/>
          <w:szCs w:val="24"/>
          <w:vertAlign w:val="subscript"/>
          <w:lang w:val="en-US"/>
        </w:rPr>
        <w:t>i</w:t>
      </w:r>
      <w:r w:rsidRPr="00E12018">
        <w:rPr>
          <w:rFonts w:cs="Times New Roman"/>
          <w:szCs w:val="24"/>
          <w:lang w:val="en-US"/>
        </w:rPr>
        <w:t xml:space="preserve"> </w:t>
      </w:r>
      <w:r w:rsidR="00D96517" w:rsidRPr="00E12018">
        <w:rPr>
          <w:rFonts w:cs="Times New Roman"/>
          <w:szCs w:val="24"/>
          <w:lang w:val="en-US"/>
        </w:rPr>
        <w:t>–</w:t>
      </w:r>
      <w:r w:rsidR="00D96517">
        <w:rPr>
          <w:rFonts w:cs="Times New Roman"/>
          <w:szCs w:val="24"/>
          <w:lang w:val="en-US"/>
        </w:rPr>
        <w:t xml:space="preserve"> </w:t>
      </w:r>
      <w:r w:rsidR="008A2BA4">
        <w:rPr>
          <w:rFonts w:cs="Times New Roman"/>
          <w:szCs w:val="24"/>
          <w:lang w:val="en-US"/>
        </w:rPr>
        <w:t>stands for</w:t>
      </w:r>
      <w:r w:rsidR="008A2BA4" w:rsidRPr="00E12018" w:rsidDel="008A2BA4">
        <w:rPr>
          <w:rFonts w:cs="Times New Roman"/>
          <w:szCs w:val="24"/>
          <w:lang w:val="en-US"/>
        </w:rPr>
        <w:t xml:space="preserve"> </w:t>
      </w:r>
      <w:r w:rsidRPr="00E12018">
        <w:rPr>
          <w:rFonts w:cs="Times New Roman"/>
          <w:szCs w:val="24"/>
          <w:lang w:val="en-US"/>
        </w:rPr>
        <w:t>the soil cohesion on the slip surface segment</w:t>
      </w:r>
      <w:r w:rsidR="00C705BC">
        <w:rPr>
          <w:rFonts w:cs="Times New Roman"/>
          <w:szCs w:val="24"/>
          <w:lang w:val="en-US"/>
        </w:rPr>
        <w:t>.</w:t>
      </w:r>
    </w:p>
    <w:p w14:paraId="438E6892" w14:textId="752A6B6E" w:rsidR="00E12018" w:rsidRPr="00E12018" w:rsidRDefault="00E12018" w:rsidP="00FE2F22">
      <w:pPr>
        <w:rPr>
          <w:rFonts w:cs="Times New Roman"/>
          <w:szCs w:val="24"/>
          <w:lang w:val="en-US"/>
        </w:rPr>
      </w:pPr>
      <w:r w:rsidRPr="00E12018">
        <w:rPr>
          <w:rFonts w:cs="Times New Roman"/>
          <w:szCs w:val="24"/>
          <w:lang w:val="en-US"/>
        </w:rPr>
        <w:lastRenderedPageBreak/>
        <w:t xml:space="preserve">ICOLD </w:t>
      </w:r>
      <w:r w:rsidR="00D96517">
        <w:rPr>
          <w:rFonts w:cs="Times New Roman"/>
          <w:szCs w:val="24"/>
          <w:lang w:val="en-US"/>
        </w:rPr>
        <w:t>–</w:t>
      </w:r>
      <w:r w:rsidRPr="00E12018">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International Commission on Large Dams</w:t>
      </w:r>
      <w:r w:rsidR="00C705BC">
        <w:rPr>
          <w:rFonts w:cs="Times New Roman"/>
          <w:szCs w:val="24"/>
          <w:lang w:val="en-US"/>
        </w:rPr>
        <w:t>.</w:t>
      </w:r>
    </w:p>
    <w:p w14:paraId="494E7D7C" w14:textId="76E34A01" w:rsidR="00E12018" w:rsidRPr="00E12018" w:rsidRDefault="00E12018" w:rsidP="00FE2F22">
      <w:pPr>
        <w:rPr>
          <w:rFonts w:cs="Times New Roman"/>
          <w:szCs w:val="24"/>
          <w:lang w:val="en-US"/>
        </w:rPr>
      </w:pPr>
      <w:r w:rsidRPr="00E12018">
        <w:rPr>
          <w:rFonts w:cs="Times New Roman"/>
          <w:szCs w:val="24"/>
          <w:lang w:val="en-US"/>
        </w:rPr>
        <w:t>DEM</w:t>
      </w:r>
      <w:r>
        <w:rPr>
          <w:rFonts w:cs="Times New Roman"/>
          <w:szCs w:val="24"/>
          <w:lang w:val="en-US"/>
        </w:rPr>
        <w:t xml:space="preserve"> </w:t>
      </w:r>
      <w:r w:rsidR="00D96517">
        <w:rPr>
          <w:rFonts w:cs="Times New Roman"/>
          <w:szCs w:val="24"/>
          <w:lang w:val="en-US"/>
        </w:rPr>
        <w:t>–</w:t>
      </w:r>
      <w:r>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Digital Elevation Model</w:t>
      </w:r>
      <w:r w:rsidR="00C705BC">
        <w:rPr>
          <w:rFonts w:cs="Times New Roman"/>
          <w:szCs w:val="24"/>
          <w:lang w:val="en-US"/>
        </w:rPr>
        <w:t>.</w:t>
      </w:r>
      <w:r w:rsidRPr="00E12018">
        <w:rPr>
          <w:rFonts w:cs="Times New Roman"/>
          <w:szCs w:val="24"/>
          <w:lang w:val="en-US"/>
        </w:rPr>
        <w:t xml:space="preserve"> </w:t>
      </w:r>
    </w:p>
    <w:p w14:paraId="6330CCB8" w14:textId="3F2E6E37" w:rsidR="00E12018" w:rsidRPr="00E12018" w:rsidRDefault="00E12018" w:rsidP="00FE2F22">
      <w:pPr>
        <w:rPr>
          <w:rFonts w:cs="Times New Roman"/>
          <w:szCs w:val="24"/>
          <w:lang w:val="en-US"/>
        </w:rPr>
      </w:pPr>
      <w:r w:rsidRPr="00E12018">
        <w:rPr>
          <w:rFonts w:cs="Times New Roman"/>
          <w:szCs w:val="24"/>
          <w:lang w:val="en-US"/>
        </w:rPr>
        <w:t xml:space="preserve">GIS –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Geographical Information System</w:t>
      </w:r>
      <w:r w:rsidR="00C705BC">
        <w:rPr>
          <w:rFonts w:cs="Times New Roman"/>
          <w:szCs w:val="24"/>
          <w:lang w:val="en-US"/>
        </w:rPr>
        <w:t>.</w:t>
      </w:r>
    </w:p>
    <w:p w14:paraId="622AA468" w14:textId="07FE220F" w:rsidR="00E12018" w:rsidRPr="00E12018" w:rsidRDefault="00E12018" w:rsidP="00FE2F22">
      <w:pPr>
        <w:rPr>
          <w:rFonts w:cs="Times New Roman"/>
          <w:szCs w:val="24"/>
          <w:lang w:val="en-US"/>
        </w:rPr>
      </w:pPr>
      <w:r w:rsidRPr="00E12018">
        <w:rPr>
          <w:rFonts w:cs="Times New Roman"/>
          <w:szCs w:val="24"/>
          <w:lang w:val="en-US"/>
        </w:rPr>
        <w:t xml:space="preserve">TMA </w:t>
      </w:r>
      <w:r w:rsidR="00D96517">
        <w:rPr>
          <w:rFonts w:cs="Times New Roman"/>
          <w:szCs w:val="24"/>
          <w:lang w:val="en-US"/>
        </w:rPr>
        <w:t>–</w:t>
      </w:r>
      <w:r w:rsidRPr="00E12018">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Tanzania Meteorological Agency</w:t>
      </w:r>
      <w:r w:rsidR="00C705BC">
        <w:rPr>
          <w:rFonts w:cs="Times New Roman"/>
          <w:szCs w:val="24"/>
          <w:lang w:val="en-US"/>
        </w:rPr>
        <w:t>.</w:t>
      </w:r>
      <w:r w:rsidRPr="00E12018">
        <w:rPr>
          <w:rFonts w:cs="Times New Roman"/>
          <w:szCs w:val="24"/>
          <w:lang w:val="en-US"/>
        </w:rPr>
        <w:t xml:space="preserve"> </w:t>
      </w:r>
    </w:p>
    <w:p w14:paraId="18F20366" w14:textId="6C8BA1FD" w:rsidR="00E12018" w:rsidRPr="00E12018" w:rsidRDefault="00E12018" w:rsidP="00FE2F22">
      <w:pPr>
        <w:rPr>
          <w:rFonts w:cs="Times New Roman"/>
          <w:szCs w:val="24"/>
          <w:lang w:val="en-US"/>
        </w:rPr>
      </w:pPr>
      <w:r w:rsidRPr="00E12018">
        <w:rPr>
          <w:rFonts w:cs="Times New Roman"/>
          <w:szCs w:val="24"/>
          <w:lang w:val="en-US"/>
        </w:rPr>
        <w:t xml:space="preserve">LULC –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land use and land cover</w:t>
      </w:r>
      <w:r w:rsidR="00C705BC">
        <w:rPr>
          <w:rFonts w:cs="Times New Roman"/>
          <w:szCs w:val="24"/>
          <w:lang w:val="en-US"/>
        </w:rPr>
        <w:t>.</w:t>
      </w:r>
    </w:p>
    <w:p w14:paraId="17791CD3" w14:textId="791E1D0A" w:rsidR="00E12018" w:rsidRPr="00E12018" w:rsidRDefault="00E12018" w:rsidP="00FE2F22">
      <w:pPr>
        <w:rPr>
          <w:rFonts w:cs="Times New Roman"/>
          <w:szCs w:val="24"/>
          <w:lang w:val="en-US"/>
        </w:rPr>
      </w:pPr>
      <w:r w:rsidRPr="00E12018">
        <w:rPr>
          <w:rFonts w:cs="Times New Roman"/>
          <w:szCs w:val="24"/>
          <w:lang w:val="en-US"/>
        </w:rPr>
        <w:t xml:space="preserve">RGB </w:t>
      </w:r>
      <w:r w:rsidR="00D96517">
        <w:rPr>
          <w:rFonts w:cs="Times New Roman"/>
          <w:szCs w:val="24"/>
          <w:lang w:val="en-US"/>
        </w:rPr>
        <w:t>–</w:t>
      </w:r>
      <w:r w:rsidRPr="00E12018">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red, green, and blue primary colors of light</w:t>
      </w:r>
      <w:r w:rsidR="00C705BC">
        <w:rPr>
          <w:rFonts w:cs="Times New Roman"/>
          <w:szCs w:val="24"/>
          <w:lang w:val="en-US"/>
        </w:rPr>
        <w:t>.</w:t>
      </w:r>
    </w:p>
    <w:p w14:paraId="1C538A0B" w14:textId="592EC566" w:rsidR="00E12018" w:rsidRPr="00E12018" w:rsidRDefault="00E12018" w:rsidP="00FE2F22">
      <w:pPr>
        <w:contextualSpacing/>
        <w:jc w:val="left"/>
        <w:rPr>
          <w:rFonts w:cs="Times New Roman"/>
          <w:szCs w:val="24"/>
          <w:lang w:val="en-US"/>
        </w:rPr>
      </w:pPr>
      <w:r w:rsidRPr="00E12018">
        <w:rPr>
          <w:rFonts w:cs="Times New Roman"/>
          <w:szCs w:val="24"/>
          <w:lang w:val="en-US"/>
        </w:rPr>
        <w:t xml:space="preserve">b </w:t>
      </w:r>
      <w:r w:rsidR="00D96517">
        <w:rPr>
          <w:rFonts w:cs="Times New Roman"/>
          <w:szCs w:val="24"/>
          <w:lang w:val="en-US"/>
        </w:rPr>
        <w:t>–</w:t>
      </w:r>
      <w:r w:rsidRPr="00E12018">
        <w:rPr>
          <w:rFonts w:cs="Times New Roman"/>
          <w:szCs w:val="24"/>
          <w:lang w:val="en-US"/>
        </w:rPr>
        <w:t xml:space="preserve">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 xml:space="preserve">the width of </w:t>
      </w:r>
      <w:r w:rsidR="00F9037D">
        <w:rPr>
          <w:rFonts w:cs="Times New Roman"/>
          <w:szCs w:val="24"/>
          <w:lang w:val="en-US"/>
        </w:rPr>
        <w:t xml:space="preserve">the </w:t>
      </w:r>
      <w:r w:rsidRPr="00E12018">
        <w:rPr>
          <w:rFonts w:cs="Times New Roman"/>
          <w:szCs w:val="24"/>
          <w:lang w:val="en-US"/>
        </w:rPr>
        <w:t>slice</w:t>
      </w:r>
      <w:r w:rsidR="00C705BC">
        <w:rPr>
          <w:rFonts w:cs="Times New Roman"/>
          <w:szCs w:val="24"/>
          <w:lang w:val="en-US"/>
        </w:rPr>
        <w:t>.</w:t>
      </w:r>
    </w:p>
    <w:p w14:paraId="4BE39519" w14:textId="7257BB3C" w:rsidR="00E12018" w:rsidRPr="00E12018" w:rsidRDefault="00E12018" w:rsidP="00FE2F22">
      <w:pPr>
        <w:contextualSpacing/>
        <w:jc w:val="left"/>
        <w:rPr>
          <w:rFonts w:cs="Times New Roman"/>
          <w:szCs w:val="24"/>
          <w:lang w:val="en-US"/>
        </w:rPr>
      </w:pPr>
      <w:r w:rsidRPr="00E12018">
        <w:rPr>
          <w:rFonts w:cs="Times New Roman"/>
          <w:szCs w:val="24"/>
          <w:lang w:val="en-US"/>
        </w:rPr>
        <w:t xml:space="preserve">h – </w:t>
      </w:r>
      <w:bookmarkStart w:id="8" w:name="_Hlk98075999"/>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 xml:space="preserve">the mean height of </w:t>
      </w:r>
      <w:r w:rsidR="00F9037D">
        <w:rPr>
          <w:rFonts w:cs="Times New Roman"/>
          <w:szCs w:val="24"/>
          <w:lang w:val="en-US"/>
        </w:rPr>
        <w:t xml:space="preserve">the </w:t>
      </w:r>
      <w:r w:rsidRPr="00E12018">
        <w:rPr>
          <w:rFonts w:cs="Times New Roman"/>
          <w:szCs w:val="24"/>
          <w:lang w:val="en-US"/>
        </w:rPr>
        <w:t>slice</w:t>
      </w:r>
      <w:bookmarkEnd w:id="8"/>
      <w:r w:rsidR="00C705BC">
        <w:rPr>
          <w:rFonts w:cs="Times New Roman"/>
          <w:szCs w:val="24"/>
          <w:lang w:val="en-US"/>
        </w:rPr>
        <w:t>.</w:t>
      </w:r>
      <w:r w:rsidRPr="00E12018">
        <w:rPr>
          <w:rFonts w:cs="Times New Roman"/>
          <w:szCs w:val="24"/>
          <w:lang w:val="en-US"/>
        </w:rPr>
        <w:t xml:space="preserve"> </w:t>
      </w:r>
    </w:p>
    <w:p w14:paraId="74DBB666" w14:textId="1290454B" w:rsidR="00E12018" w:rsidRPr="00E12018" w:rsidRDefault="00E12018" w:rsidP="00FE2F22">
      <w:pPr>
        <w:contextualSpacing/>
        <w:jc w:val="left"/>
        <w:rPr>
          <w:rFonts w:cs="Times New Roman"/>
          <w:szCs w:val="24"/>
          <w:lang w:val="en-US"/>
        </w:rPr>
      </w:pPr>
      <w:r w:rsidRPr="00E12018">
        <w:rPr>
          <w:rFonts w:cs="Times New Roman"/>
          <w:szCs w:val="24"/>
          <w:lang w:val="en-US"/>
        </w:rPr>
        <w:t xml:space="preserve">α –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 xml:space="preserve">the slope of </w:t>
      </w:r>
      <w:r w:rsidR="00F9037D">
        <w:rPr>
          <w:rFonts w:cs="Times New Roman"/>
          <w:szCs w:val="24"/>
          <w:lang w:val="en-US"/>
        </w:rPr>
        <w:t xml:space="preserve">the </w:t>
      </w:r>
      <w:r w:rsidRPr="00E12018">
        <w:rPr>
          <w:rFonts w:cs="Times New Roman"/>
          <w:szCs w:val="24"/>
          <w:lang w:val="en-US"/>
        </w:rPr>
        <w:t>base of the slice</w:t>
      </w:r>
      <w:r w:rsidR="00C705BC">
        <w:rPr>
          <w:rFonts w:cs="Times New Roman"/>
          <w:szCs w:val="24"/>
          <w:lang w:val="en-US"/>
        </w:rPr>
        <w:t>.</w:t>
      </w:r>
      <w:r w:rsidR="00C705BC" w:rsidRPr="00E12018">
        <w:rPr>
          <w:rFonts w:cs="Times New Roman"/>
          <w:szCs w:val="24"/>
          <w:lang w:val="en-US"/>
        </w:rPr>
        <w:t xml:space="preserve"> </w:t>
      </w:r>
    </w:p>
    <w:p w14:paraId="62C35262" w14:textId="2AB6DD31" w:rsidR="00E12018" w:rsidRPr="00E12018" w:rsidRDefault="00E12018" w:rsidP="00FE2F22">
      <w:pPr>
        <w:contextualSpacing/>
        <w:jc w:val="left"/>
        <w:rPr>
          <w:rFonts w:cs="Times New Roman"/>
          <w:szCs w:val="24"/>
          <w:lang w:val="en-US"/>
        </w:rPr>
      </w:pPr>
      <w:r w:rsidRPr="00E12018">
        <w:rPr>
          <w:rFonts w:cs="Times New Roman"/>
          <w:szCs w:val="24"/>
          <w:lang w:val="en-US"/>
        </w:rPr>
        <w:t xml:space="preserve">θ –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 xml:space="preserve">the slope of </w:t>
      </w:r>
      <w:r w:rsidR="00F9037D">
        <w:rPr>
          <w:rFonts w:cs="Times New Roman"/>
          <w:szCs w:val="24"/>
          <w:lang w:val="en-US"/>
        </w:rPr>
        <w:t xml:space="preserve">the </w:t>
      </w:r>
      <w:r w:rsidRPr="00E12018">
        <w:rPr>
          <w:rFonts w:cs="Times New Roman"/>
          <w:szCs w:val="24"/>
          <w:lang w:val="en-US"/>
        </w:rPr>
        <w:t>resultant pair of interslice forces</w:t>
      </w:r>
      <w:r w:rsidR="00C705BC">
        <w:rPr>
          <w:rFonts w:cs="Times New Roman"/>
          <w:szCs w:val="24"/>
          <w:lang w:val="en-US"/>
        </w:rPr>
        <w:t>.</w:t>
      </w:r>
      <w:r w:rsidR="00C705BC" w:rsidRPr="00E12018">
        <w:rPr>
          <w:rFonts w:cs="Times New Roman"/>
          <w:szCs w:val="24"/>
          <w:lang w:val="en-US"/>
        </w:rPr>
        <w:t xml:space="preserve"> </w:t>
      </w:r>
    </w:p>
    <w:p w14:paraId="7A3C638C" w14:textId="1948B087" w:rsidR="00E12018" w:rsidRPr="00E12018" w:rsidRDefault="00E12018" w:rsidP="00FE2F22">
      <w:pPr>
        <w:contextualSpacing/>
        <w:jc w:val="left"/>
        <w:rPr>
          <w:rFonts w:cs="Times New Roman"/>
          <w:szCs w:val="24"/>
          <w:lang w:val="en-US"/>
        </w:rPr>
      </w:pPr>
      <w:r w:rsidRPr="00E12018">
        <w:rPr>
          <w:rFonts w:cs="Times New Roman"/>
          <w:szCs w:val="24"/>
          <w:lang w:val="en-US"/>
        </w:rPr>
        <w:t>r</w:t>
      </w:r>
      <w:r w:rsidRPr="002B266C">
        <w:rPr>
          <w:rFonts w:cs="Times New Roman"/>
          <w:szCs w:val="24"/>
          <w:vertAlign w:val="subscript"/>
          <w:lang w:val="en-US"/>
        </w:rPr>
        <w:t>u</w:t>
      </w:r>
      <w:r w:rsidRPr="00E12018">
        <w:rPr>
          <w:rFonts w:cs="Times New Roman"/>
          <w:szCs w:val="24"/>
          <w:lang w:val="en-US"/>
        </w:rPr>
        <w:t xml:space="preserve"> –</w:t>
      </w:r>
      <w:r w:rsidR="008A2BA4">
        <w:rPr>
          <w:rFonts w:cs="Times New Roman"/>
          <w:szCs w:val="24"/>
          <w:lang w:val="en-US"/>
        </w:rPr>
        <w:t xml:space="preserve"> stands for</w:t>
      </w:r>
      <w:r w:rsidRPr="00E12018">
        <w:rPr>
          <w:rFonts w:cs="Times New Roman"/>
          <w:szCs w:val="24"/>
          <w:lang w:val="en-US"/>
        </w:rPr>
        <w:t xml:space="preserve"> the pore</w:t>
      </w:r>
      <w:r w:rsidR="00D96517">
        <w:rPr>
          <w:rFonts w:cs="Times New Roman"/>
          <w:szCs w:val="24"/>
          <w:lang w:val="en-US"/>
        </w:rPr>
        <w:t>–</w:t>
      </w:r>
      <w:r w:rsidRPr="00E12018">
        <w:rPr>
          <w:rFonts w:cs="Times New Roman"/>
          <w:szCs w:val="24"/>
          <w:lang w:val="en-US"/>
        </w:rPr>
        <w:t>pressure coefficient</w:t>
      </w:r>
      <w:r w:rsidR="00C705BC">
        <w:rPr>
          <w:rFonts w:cs="Times New Roman"/>
          <w:szCs w:val="24"/>
          <w:lang w:val="en-US"/>
        </w:rPr>
        <w:t>.</w:t>
      </w:r>
      <w:r w:rsidR="00C705BC" w:rsidRPr="00E12018">
        <w:rPr>
          <w:rFonts w:cs="Times New Roman"/>
          <w:szCs w:val="24"/>
          <w:lang w:val="en-US"/>
        </w:rPr>
        <w:t xml:space="preserve"> </w:t>
      </w:r>
    </w:p>
    <w:p w14:paraId="79C3EBEA" w14:textId="2F646F5C" w:rsidR="00E12018" w:rsidRPr="00E12018" w:rsidRDefault="00E12018" w:rsidP="00FE2F22">
      <w:pPr>
        <w:contextualSpacing/>
        <w:jc w:val="left"/>
        <w:rPr>
          <w:rFonts w:cs="Times New Roman"/>
          <w:szCs w:val="24"/>
          <w:lang w:val="en-US"/>
        </w:rPr>
      </w:pPr>
      <w:r w:rsidRPr="00E12018">
        <w:rPr>
          <w:rFonts w:cs="Times New Roman"/>
          <w:szCs w:val="24"/>
          <w:lang w:val="en-US"/>
        </w:rPr>
        <w:t xml:space="preserve">γ –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the bulk density</w:t>
      </w:r>
      <w:r w:rsidR="00C705BC">
        <w:rPr>
          <w:rFonts w:cs="Times New Roman"/>
          <w:szCs w:val="24"/>
          <w:lang w:val="en-US"/>
        </w:rPr>
        <w:t>.</w:t>
      </w:r>
      <w:r w:rsidR="00C705BC" w:rsidRPr="00E12018">
        <w:rPr>
          <w:rFonts w:cs="Times New Roman"/>
          <w:szCs w:val="24"/>
          <w:lang w:val="en-US"/>
        </w:rPr>
        <w:t xml:space="preserve"> </w:t>
      </w:r>
    </w:p>
    <w:p w14:paraId="6C3E6C29" w14:textId="43BF0D30" w:rsidR="00E12018" w:rsidRPr="00E12018" w:rsidRDefault="00E12018" w:rsidP="00FE2F22">
      <w:pPr>
        <w:contextualSpacing/>
        <w:jc w:val="left"/>
        <w:rPr>
          <w:rFonts w:cs="Times New Roman"/>
          <w:szCs w:val="24"/>
          <w:lang w:val="en-US"/>
        </w:rPr>
      </w:pPr>
      <w:r w:rsidRPr="00E12018">
        <w:rPr>
          <w:rFonts w:cs="Times New Roman"/>
          <w:szCs w:val="24"/>
          <w:lang w:val="en-US"/>
        </w:rPr>
        <w:t xml:space="preserve">H –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 xml:space="preserve">the height of </w:t>
      </w:r>
      <w:r w:rsidR="00F9037D">
        <w:rPr>
          <w:rFonts w:cs="Times New Roman"/>
          <w:szCs w:val="24"/>
          <w:lang w:val="en-US"/>
        </w:rPr>
        <w:t xml:space="preserve">the </w:t>
      </w:r>
      <w:r w:rsidRPr="00E12018">
        <w:rPr>
          <w:rFonts w:cs="Times New Roman"/>
          <w:szCs w:val="24"/>
          <w:lang w:val="en-US"/>
        </w:rPr>
        <w:t>embankment</w:t>
      </w:r>
      <w:r w:rsidR="00C705BC">
        <w:rPr>
          <w:rFonts w:cs="Times New Roman"/>
          <w:szCs w:val="24"/>
          <w:lang w:val="en-US"/>
        </w:rPr>
        <w:t>.</w:t>
      </w:r>
      <w:r w:rsidR="00C705BC" w:rsidRPr="00E12018">
        <w:rPr>
          <w:rFonts w:cs="Times New Roman"/>
          <w:szCs w:val="24"/>
          <w:lang w:val="en-US"/>
        </w:rPr>
        <w:t xml:space="preserve"> </w:t>
      </w:r>
    </w:p>
    <w:p w14:paraId="31C86059" w14:textId="02695EC4" w:rsidR="00E12018" w:rsidRPr="00E12018" w:rsidRDefault="00E12018" w:rsidP="00FE2F22">
      <w:pPr>
        <w:contextualSpacing/>
        <w:jc w:val="left"/>
        <w:rPr>
          <w:rFonts w:cs="Times New Roman"/>
          <w:szCs w:val="24"/>
          <w:lang w:val="en-US"/>
        </w:rPr>
      </w:pPr>
      <w:r w:rsidRPr="00E12018">
        <w:rPr>
          <w:rFonts w:cs="Times New Roman"/>
          <w:szCs w:val="24"/>
          <w:lang w:val="en-US"/>
        </w:rPr>
        <w:t xml:space="preserve">φ' –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the angle of shearing resistance with respect to effective stress</w:t>
      </w:r>
      <w:r w:rsidR="00C705BC">
        <w:rPr>
          <w:rFonts w:cs="Times New Roman"/>
          <w:szCs w:val="24"/>
          <w:lang w:val="en-US"/>
        </w:rPr>
        <w:t>.</w:t>
      </w:r>
      <w:r w:rsidR="00C705BC" w:rsidRPr="00E12018">
        <w:rPr>
          <w:rFonts w:cs="Times New Roman"/>
          <w:szCs w:val="24"/>
          <w:lang w:val="en-US"/>
        </w:rPr>
        <w:t xml:space="preserve"> </w:t>
      </w:r>
    </w:p>
    <w:p w14:paraId="6F250F1F" w14:textId="1369B418" w:rsidR="00E12018" w:rsidRPr="00E12018" w:rsidRDefault="00E12018" w:rsidP="00FE2F22">
      <w:pPr>
        <w:contextualSpacing/>
        <w:jc w:val="left"/>
        <w:rPr>
          <w:rFonts w:cs="Times New Roman"/>
          <w:szCs w:val="24"/>
          <w:lang w:val="en-US"/>
        </w:rPr>
      </w:pPr>
      <w:r w:rsidRPr="00E12018">
        <w:rPr>
          <w:rFonts w:cs="Times New Roman"/>
          <w:szCs w:val="24"/>
          <w:lang w:val="en-US"/>
        </w:rPr>
        <w:t xml:space="preserve">c' –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cohesion with respect to effective stress.</w:t>
      </w:r>
    </w:p>
    <w:p w14:paraId="7BC1FB77" w14:textId="53F5C6A7" w:rsidR="00E12018" w:rsidRPr="00E12018" w:rsidRDefault="00E12018" w:rsidP="00FE2F22">
      <w:pPr>
        <w:contextualSpacing/>
        <w:jc w:val="left"/>
        <w:rPr>
          <w:rFonts w:cs="Times New Roman"/>
          <w:szCs w:val="24"/>
          <w:lang w:val="en-US"/>
        </w:rPr>
      </w:pPr>
      <w:r w:rsidRPr="00E12018">
        <w:rPr>
          <w:rFonts w:cs="Times New Roman"/>
          <w:szCs w:val="24"/>
          <w:lang w:val="en-US"/>
        </w:rPr>
        <w:t xml:space="preserve">f(x) –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a function</w:t>
      </w:r>
      <w:r w:rsidR="00C705BC">
        <w:rPr>
          <w:rFonts w:cs="Times New Roman"/>
          <w:szCs w:val="24"/>
          <w:lang w:val="en-US"/>
        </w:rPr>
        <w:t>.</w:t>
      </w:r>
    </w:p>
    <w:p w14:paraId="5BD8F0F3" w14:textId="3039934C" w:rsidR="00E12018" w:rsidRPr="00E12018" w:rsidRDefault="00E12018" w:rsidP="00FE2F22">
      <w:pPr>
        <w:contextualSpacing/>
        <w:jc w:val="left"/>
        <w:rPr>
          <w:rFonts w:cs="Times New Roman"/>
          <w:szCs w:val="24"/>
          <w:lang w:val="en-US"/>
        </w:rPr>
      </w:pPr>
      <w:r w:rsidRPr="00E12018">
        <w:rPr>
          <w:rFonts w:cs="Times New Roman"/>
          <w:szCs w:val="24"/>
          <w:lang w:val="en-US"/>
        </w:rPr>
        <w:t xml:space="preserve"> </w:t>
      </w:r>
      <m:oMath>
        <m:r>
          <w:rPr>
            <w:rFonts w:ascii="Cambria Math" w:hAnsi="Cambria Math" w:cs="Times New Roman"/>
            <w:szCs w:val="24"/>
            <w:lang w:val="en-US"/>
          </w:rPr>
          <m:t>λ</m:t>
        </m:r>
      </m:oMath>
      <w:r w:rsidRPr="00E12018">
        <w:rPr>
          <w:rFonts w:cs="Times New Roman"/>
          <w:szCs w:val="24"/>
          <w:lang w:val="en-US"/>
        </w:rPr>
        <w:t xml:space="preserve"> –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percentage of the function used</w:t>
      </w:r>
      <w:r w:rsidR="00C705BC">
        <w:rPr>
          <w:rFonts w:cs="Times New Roman"/>
          <w:szCs w:val="24"/>
          <w:lang w:val="en-US"/>
        </w:rPr>
        <w:t>.</w:t>
      </w:r>
      <w:r w:rsidR="00C705BC" w:rsidRPr="00E12018">
        <w:rPr>
          <w:rFonts w:cs="Times New Roman"/>
          <w:szCs w:val="24"/>
          <w:lang w:val="en-US"/>
        </w:rPr>
        <w:t xml:space="preserve"> </w:t>
      </w:r>
    </w:p>
    <w:p w14:paraId="2CA089B2" w14:textId="11D6983C" w:rsidR="00E12018" w:rsidRPr="00E12018" w:rsidRDefault="00E12018" w:rsidP="00FE2F22">
      <w:pPr>
        <w:contextualSpacing/>
        <w:jc w:val="left"/>
        <w:rPr>
          <w:rFonts w:cs="Times New Roman"/>
          <w:szCs w:val="24"/>
          <w:lang w:val="en-US"/>
        </w:rPr>
      </w:pPr>
      <w:r w:rsidRPr="00E12018">
        <w:rPr>
          <w:rFonts w:cs="Times New Roman"/>
          <w:szCs w:val="24"/>
          <w:lang w:val="en-US"/>
        </w:rPr>
        <w:t xml:space="preserve">E –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interslice normal force</w:t>
      </w:r>
      <w:r w:rsidR="00C705BC">
        <w:rPr>
          <w:rFonts w:cs="Times New Roman"/>
          <w:szCs w:val="24"/>
          <w:lang w:val="en-US"/>
        </w:rPr>
        <w:t>.</w:t>
      </w:r>
      <w:r w:rsidR="00C705BC" w:rsidRPr="00E12018">
        <w:rPr>
          <w:rFonts w:cs="Times New Roman"/>
          <w:szCs w:val="24"/>
          <w:lang w:val="en-US"/>
        </w:rPr>
        <w:t xml:space="preserve"> </w:t>
      </w:r>
    </w:p>
    <w:p w14:paraId="25CF4F54" w14:textId="03A320B5" w:rsidR="00E12018" w:rsidRPr="00E12018" w:rsidRDefault="00E12018" w:rsidP="00FE2F22">
      <w:pPr>
        <w:contextualSpacing/>
        <w:jc w:val="left"/>
        <w:rPr>
          <w:rFonts w:cs="Times New Roman"/>
          <w:szCs w:val="24"/>
          <w:lang w:val="en-US"/>
        </w:rPr>
      </w:pPr>
      <w:r w:rsidRPr="00E12018">
        <w:rPr>
          <w:rFonts w:cs="Times New Roman"/>
          <w:szCs w:val="24"/>
          <w:lang w:val="en-US"/>
        </w:rPr>
        <w:t xml:space="preserve">X – </w:t>
      </w:r>
      <w:r w:rsidR="008A2BA4">
        <w:rPr>
          <w:rFonts w:cs="Times New Roman"/>
          <w:szCs w:val="24"/>
          <w:lang w:val="en-US"/>
        </w:rPr>
        <w:t>stands for</w:t>
      </w:r>
      <w:r w:rsidR="008A2BA4" w:rsidRPr="00E12018">
        <w:rPr>
          <w:rFonts w:cs="Times New Roman"/>
          <w:szCs w:val="24"/>
          <w:lang w:val="en-US"/>
        </w:rPr>
        <w:t xml:space="preserve"> </w:t>
      </w:r>
      <w:r w:rsidRPr="00E12018">
        <w:rPr>
          <w:rFonts w:cs="Times New Roman"/>
          <w:szCs w:val="24"/>
          <w:lang w:val="en-US"/>
        </w:rPr>
        <w:t>interslice shear force.</w:t>
      </w:r>
    </w:p>
    <w:p w14:paraId="261E467C" w14:textId="77777777" w:rsidR="00E12018" w:rsidRDefault="00E12018" w:rsidP="002515A1">
      <w:pPr>
        <w:rPr>
          <w:rFonts w:cs="Times New Roman"/>
          <w:szCs w:val="24"/>
          <w:lang w:val="en-US"/>
        </w:rPr>
      </w:pPr>
    </w:p>
    <w:p w14:paraId="0B87F036" w14:textId="77777777" w:rsidR="00130FE2" w:rsidRDefault="00130FE2" w:rsidP="002515A1">
      <w:pPr>
        <w:rPr>
          <w:rFonts w:cs="Times New Roman"/>
          <w:szCs w:val="24"/>
          <w:lang w:val="en-US"/>
        </w:rPr>
      </w:pPr>
    </w:p>
    <w:p w14:paraId="017120E0" w14:textId="77777777" w:rsidR="00631072" w:rsidRPr="00631072" w:rsidRDefault="00631072" w:rsidP="002515A1">
      <w:pPr>
        <w:rPr>
          <w:rFonts w:cs="Times New Roman"/>
          <w:szCs w:val="24"/>
          <w:lang w:val="en-US"/>
        </w:rPr>
      </w:pPr>
    </w:p>
    <w:p w14:paraId="6BE82231" w14:textId="77777777" w:rsidR="00631072" w:rsidRPr="00631072" w:rsidRDefault="00631072" w:rsidP="002515A1">
      <w:pPr>
        <w:rPr>
          <w:rFonts w:cs="Times New Roman"/>
          <w:szCs w:val="24"/>
          <w:lang w:val="en-US"/>
        </w:rPr>
      </w:pPr>
    </w:p>
    <w:p w14:paraId="056EE85D" w14:textId="77777777" w:rsidR="00B2463E" w:rsidRDefault="00B2463E" w:rsidP="002515A1">
      <w:pPr>
        <w:rPr>
          <w:rFonts w:cs="Times New Roman"/>
          <w:lang w:val="en-US"/>
        </w:rPr>
      </w:pPr>
    </w:p>
    <w:p w14:paraId="502355F0" w14:textId="5F8B2125" w:rsidR="00FB36FD" w:rsidRPr="00240979" w:rsidRDefault="00FB36FD" w:rsidP="0036537D">
      <w:pPr>
        <w:rPr>
          <w:lang w:val="en-US"/>
        </w:rPr>
      </w:pPr>
    </w:p>
    <w:p w14:paraId="47A45A98" w14:textId="77777777" w:rsidR="00FB36FD" w:rsidRPr="00240979" w:rsidRDefault="00FB36FD" w:rsidP="0036537D">
      <w:pPr>
        <w:rPr>
          <w:lang w:val="en-US"/>
        </w:rPr>
      </w:pPr>
    </w:p>
    <w:p w14:paraId="5138D8D0" w14:textId="77777777" w:rsidR="0036537D" w:rsidRPr="00240979" w:rsidRDefault="0036537D" w:rsidP="0036537D">
      <w:pPr>
        <w:rPr>
          <w:lang w:val="en-US"/>
        </w:rPr>
      </w:pPr>
    </w:p>
    <w:p w14:paraId="062E0CDA" w14:textId="39D204CF" w:rsidR="00240979" w:rsidRDefault="005C16E5" w:rsidP="005C16E5">
      <w:pPr>
        <w:pStyle w:val="1"/>
        <w:numPr>
          <w:ilvl w:val="0"/>
          <w:numId w:val="0"/>
        </w:numPr>
        <w:jc w:val="center"/>
        <w:rPr>
          <w:lang w:val="en-US"/>
        </w:rPr>
      </w:pPr>
      <w:bookmarkStart w:id="9" w:name="_Toc104985160"/>
      <w:r w:rsidRPr="003E0017">
        <w:rPr>
          <w:lang w:val="en-US"/>
        </w:rPr>
        <w:lastRenderedPageBreak/>
        <w:t>INTRODUCTION</w:t>
      </w:r>
      <w:bookmarkEnd w:id="9"/>
    </w:p>
    <w:p w14:paraId="72CE62A5" w14:textId="4CC0BEE7" w:rsidR="00240979" w:rsidRPr="003E0017" w:rsidRDefault="00240979" w:rsidP="005C16E5">
      <w:pPr>
        <w:rPr>
          <w:b/>
          <w:bCs/>
          <w:lang w:val="en-US"/>
        </w:rPr>
      </w:pPr>
      <w:bookmarkStart w:id="10" w:name="_Toc97504697"/>
      <w:r w:rsidRPr="003E0017">
        <w:rPr>
          <w:b/>
          <w:bCs/>
          <w:lang w:val="en-US"/>
        </w:rPr>
        <w:t>General overview</w:t>
      </w:r>
      <w:bookmarkEnd w:id="10"/>
    </w:p>
    <w:p w14:paraId="72AB50D8" w14:textId="16B0BC90" w:rsidR="00240979" w:rsidRPr="00240979" w:rsidRDefault="00984CCF" w:rsidP="00240979">
      <w:pPr>
        <w:rPr>
          <w:rFonts w:cs="Times New Roman"/>
          <w:szCs w:val="24"/>
          <w:lang w:val="en-US"/>
        </w:rPr>
      </w:pPr>
      <w:r>
        <w:rPr>
          <w:rFonts w:cs="Times New Roman"/>
          <w:szCs w:val="24"/>
          <w:lang w:val="en-US"/>
        </w:rPr>
        <w:t>Among the crucial</w:t>
      </w:r>
      <w:r w:rsidR="00677811" w:rsidRPr="00677811">
        <w:rPr>
          <w:rFonts w:cs="Times New Roman"/>
          <w:szCs w:val="24"/>
          <w:lang w:val="en-US"/>
        </w:rPr>
        <w:t xml:space="preserve"> factors of stormwater characteristics in catchments is </w:t>
      </w:r>
      <w:r w:rsidR="00A6682F">
        <w:rPr>
          <w:rFonts w:cs="Times New Roman"/>
          <w:szCs w:val="24"/>
          <w:lang w:val="en-US"/>
        </w:rPr>
        <w:t xml:space="preserve">a </w:t>
      </w:r>
      <w:r w:rsidR="00677811" w:rsidRPr="00677811">
        <w:rPr>
          <w:rFonts w:cs="Times New Roman"/>
          <w:szCs w:val="24"/>
          <w:lang w:val="en-US"/>
        </w:rPr>
        <w:t>land surface cover. Changes in stormwater characteristics caused by changes in land surface cover are a major source of concern in catchments with dams. When the natural landscape is altered, it can have a significant impact on how rapidly water is absorbed into the ground or flows away from the dam</w:t>
      </w:r>
      <w:r w:rsidR="00240979" w:rsidRPr="00240979">
        <w:rPr>
          <w:rFonts w:cs="Times New Roman"/>
          <w:szCs w:val="24"/>
          <w:lang w:val="en-US"/>
        </w:rPr>
        <w:t xml:space="preserve"> </w:t>
      </w:r>
      <w:r w:rsidR="00240979" w:rsidRPr="005957F0">
        <w:rPr>
          <w:rFonts w:cs="Times New Roman"/>
          <w:szCs w:val="24"/>
        </w:rPr>
        <w:fldChar w:fldCharType="begin" w:fldLock="1"/>
      </w:r>
      <w:r w:rsidR="00FA5896">
        <w:rPr>
          <w:rFonts w:cs="Times New Roman"/>
          <w:szCs w:val="24"/>
          <w:lang w:val="en-US"/>
        </w:rPr>
        <w:instrText>ADDIN CSL_CITATION {"citationItems":[{"id":"ITEM-1","itemData":{"DOI":"10.1016/j.scitotenv.2017.05.081","ISSN":"18791026","abstract":"Mitigating for the negative impacts of stormwater runoff is becoming a concern due to increased land development. Understanding how land development influences stormwater runoff is essential for sustainably managing water resources. In recent years, aggregate low impact development-best management practices (LID-BMPs) have been implemented to reduce the negative impacts of stormwater runoff on receiving water bodies. This study used an integrated approach to determine the influence of land development and assess the ecological benefits of four aggregate LID-BMPs in stormwater runoff from a mixed land use and land cover (LULC) catchment with ongoing land development. It used data from 2011 to 2015 that monitored 41 storm events and monthly LULC, and a Personalized Computer Storm Water Management Model (PCSWMM). The four aggregate LID-BMPs are: ecological (S1), utilizing pervious covers (S2), and multi-control (S3) and (S4). These LID-BMPs were designed and distributed in the study area based on catchment characteristics, cost, and effectiveness. PCSWMM was used to simulate the monitored storm events from 2014 (calibration: R2 and NSE &gt; 0.5; RMSE &lt; 11) and 2015 (validation: R2 and NSE &gt; 0.5; RMSE &lt; 12). For continuous simulation and analyzing LID-BMPs scenarios, the five-year (2011 to 2015) stormwater runoff data and LULC change patterns (only 2015 for LID-BMPs) were used. Results show that the expansion of bare land and impervious cover, soil alteration, and high amount of precipitation influenced the stormwater runoff variability during different phases of land development. The four aggregate LID-BMPs reduced runoff volume (34%–61%), peak flow (6%–19%), and pollutant concentrations (53%–83%). The results of this study, in addition to supporting local LULC planning and land development activities, also could be applied to input data for empirical modeling, and designing sustainable stormwater management guidelines and monitoring strategies.","author":[{"dropping-particle":"","family":"Paule-Mercado","given":"M. A.","non-dropping-particle":"","parse-names":false,"suffix":""},{"dropping-particle":"","family":"Lee","given":"B. Y.","non-dropping-particle":"","parse-names":false,"suffix":""},{"dropping-particle":"","family":"Memon","given":"S. A.","non-dropping-particle":"","parse-names":false,"suffix":""},{"dropping-particle":"","family":"Umer","given":"S. R.","non-dropping-particle":"","parse-names":false,"suffix":""},{"dropping-particle":"","family":"Salim","given":"I.","non-dropping-particle":"","parse-names":false,"suffix":""},{"dropping-particle":"","family":"Lee","given":"C. H.","non-dropping-particle":"","parse-names":false,"suffix":""}],"container-title":"Science of the Total Environment","id":"ITEM-1","issued":{"date-parts":[["2017"]]},"title":"Influence of land development on stormwater runoff from a mixed land use and land cover catchment","type":"article-journal"},"uris":["http://www.mendeley.com/documents/?uuid=a7cb6c13-b222-4a71-bfd5-dc5741c457fc","http://www.mendeley.com/documents/?uuid=dd1b9ab7-a070-471a-8472-69e8618ea65d","http://www.mendeley.com/documents/?uuid=b84f87fd-f6dd-4232-89f8-6f199286db2a"]}],"mendeley":{"formattedCitation":"[1]","plainTextFormattedCitation":"[1]","previouslyFormattedCitation":"[1]"},"properties":{"noteIndex":0},"schema":"https://github.com/citation-style-language/schema/raw/master/csl-citation.json"}</w:instrText>
      </w:r>
      <w:r w:rsidR="00240979" w:rsidRPr="005957F0">
        <w:rPr>
          <w:rFonts w:cs="Times New Roman"/>
          <w:szCs w:val="24"/>
        </w:rPr>
        <w:fldChar w:fldCharType="separate"/>
      </w:r>
      <w:r w:rsidR="0032684D" w:rsidRPr="0032684D">
        <w:rPr>
          <w:rFonts w:cs="Times New Roman"/>
          <w:noProof/>
          <w:szCs w:val="24"/>
          <w:lang w:val="en-US"/>
        </w:rPr>
        <w:t>[1]</w:t>
      </w:r>
      <w:r w:rsidR="00240979" w:rsidRPr="005957F0">
        <w:rPr>
          <w:rFonts w:cs="Times New Roman"/>
          <w:szCs w:val="24"/>
        </w:rPr>
        <w:fldChar w:fldCharType="end"/>
      </w:r>
      <w:r w:rsidR="002A2C76">
        <w:rPr>
          <w:rFonts w:cs="Times New Roman"/>
          <w:szCs w:val="24"/>
          <w:lang w:val="en-US"/>
        </w:rPr>
        <w:t xml:space="preserve"> </w:t>
      </w:r>
      <w:r w:rsidR="00240979" w:rsidRPr="00240979">
        <w:rPr>
          <w:rFonts w:cs="Times New Roman"/>
          <w:szCs w:val="24"/>
          <w:lang w:val="en-US"/>
        </w:rPr>
        <w:t xml:space="preserve">. </w:t>
      </w:r>
      <w:r w:rsidR="00677811" w:rsidRPr="00677811">
        <w:rPr>
          <w:rFonts w:cs="Times New Roman"/>
          <w:szCs w:val="24"/>
          <w:lang w:val="en-US"/>
        </w:rPr>
        <w:t>Impervious surfaces, primarily from artificial structures such as roads, walkways, driveways, parking lots, rooftops, and industrial zones, are fast increasing as the land surface develops. The ground's ability to absorb precipitation falling on it rapidly deteriorates, and the runoff coefficient rises</w:t>
      </w:r>
      <w:r w:rsidR="00240979" w:rsidRPr="00240979">
        <w:rPr>
          <w:rFonts w:cs="Times New Roman"/>
          <w:szCs w:val="24"/>
          <w:lang w:val="en-US"/>
        </w:rPr>
        <w:t xml:space="preserve">. Urbanized land surface usually leads to a decrease in lag time and greatly shortens the time at which the particular storm finds its way into a stream </w:t>
      </w:r>
      <w:r w:rsidR="00240979" w:rsidRPr="005957F0">
        <w:rPr>
          <w:rFonts w:cs="Times New Roman"/>
          <w:szCs w:val="24"/>
        </w:rPr>
        <w:fldChar w:fldCharType="begin" w:fldLock="1"/>
      </w:r>
      <w:r w:rsidR="00FA5896">
        <w:rPr>
          <w:rFonts w:cs="Times New Roman"/>
          <w:szCs w:val="24"/>
          <w:lang w:val="en-US"/>
        </w:rPr>
        <w:instrText>ADDIN CSL_CITATION {"citationItems":[{"id":"ITEM-1","itemData":{"DOI":"10.1016/j.catena.2006.04.015","ISSN":"03418162","abstract":"Shenzhen is one of the special economic zones in China. It has been growing rapidly from rural land to an industrial city since the mid-1980s. With the process of urbanization, flooding has become a threat to the security of the city area. In this study, Buji River basin in Shenzhen Region was selected to investigate the effect of urbanization on surface runoff and peak discharge. Land use data were obtained from LANDSAT images in 1980, 1988, 1994, and 2000, and surface runoff in the same period was simulated by SCS model. Results showed that urbanization played an important factor intensifying the flood process. Increase of urbanized land and decrease of farmland might be the main reasons for increasing runoff. At 10%, 50% and 90% rainfall probability (the rainfall probability of 10% means 10-year return period of moist year, 2-year return period of normal year and 10-year return period of dry year), the increase of runoff coefficient was 12.6%, 20.7% and 33.5% respectively under relatively dry soil moisture condition, however, and the value was 2.5%, 4.3% and 6.9% respectively under relatively wet soil moisture condition. Urbanization led to obvious increase in the maximum flood discharge and decrease in runoff confluence time. At 1%, 2% and 5% rainfall probability, the increase of the maximum flood discharge was 20.2%, 23.0% and 28.9% respectively, under relatively dry soil moisture condition. The corresponding value was 1.3%, 1.6% and 2.6% respectively under relatively wet soil moisture condition. Due to urbanization in the past 20 years, runoff coefficient increased 13.4% and the maximum flood discharge increased 12.9% on average. © 2006.","author":[{"dropping-particle":"","family":"Shi","given":"Pei-Jun","non-dropping-particle":"","parse-names":false,"suffix":""},{"dropping-particle":"","family":"Yuan","given":"Yi","non-dropping-particle":"","parse-names":false,"suffix":""},{"dropping-particle":"","family":"Zheng","given":"Jing","non-dropping-particle":"","parse-names":false,"suffix":""},{"dropping-particle":"","family":"Wang","given":"Jing-Ai","non-dropping-particle":"","parse-names":false,"suffix":""},{"dropping-particle":"","family":"Ge","given":"Yi","non-dropping-particle":"","parse-names":false,"suffix":""},{"dropping-particle":"","family":"Qiu","given":"Guo-Yu","non-dropping-particle":"","parse-names":false,"suffix":""}],"container-title":"CATENA","id":"ITEM-1","issue":"1","issued":{"date-parts":[["2007","1"]]},"page":"31-35","title":"The effect of land use/cover change on surface runoff in Shenzhen region, China","type":"article-journal","volume":"69"},"uris":["http://www.mendeley.com/documents/?uuid=5a9522d6-9554-4b60-99bc-6d0ea80817f1","http://www.mendeley.com/documents/?uuid=85d73e8f-6cbd-4353-84a3-42a0f8d1fe5e"]}],"mendeley":{"formattedCitation":"[2]","plainTextFormattedCitation":"[2]","previouslyFormattedCitation":"[2]"},"properties":{"noteIndex":0},"schema":"https://github.com/citation-style-language/schema/raw/master/csl-citation.json"}</w:instrText>
      </w:r>
      <w:r w:rsidR="00240979" w:rsidRPr="005957F0">
        <w:rPr>
          <w:rFonts w:cs="Times New Roman"/>
          <w:szCs w:val="24"/>
        </w:rPr>
        <w:fldChar w:fldCharType="separate"/>
      </w:r>
      <w:r w:rsidR="0032684D" w:rsidRPr="0032684D">
        <w:rPr>
          <w:rFonts w:cs="Times New Roman"/>
          <w:noProof/>
          <w:szCs w:val="24"/>
          <w:lang w:val="en-US"/>
        </w:rPr>
        <w:t>[2]</w:t>
      </w:r>
      <w:r w:rsidR="00240979" w:rsidRPr="005957F0">
        <w:rPr>
          <w:rFonts w:cs="Times New Roman"/>
          <w:szCs w:val="24"/>
        </w:rPr>
        <w:fldChar w:fldCharType="end"/>
      </w:r>
      <w:r w:rsidR="00240979" w:rsidRPr="00240979">
        <w:rPr>
          <w:rFonts w:cs="Times New Roman"/>
          <w:szCs w:val="24"/>
          <w:lang w:val="en-US"/>
        </w:rPr>
        <w:t xml:space="preserve"> and eventually towards a dam.</w:t>
      </w:r>
    </w:p>
    <w:p w14:paraId="314966E1" w14:textId="5A3F0486" w:rsidR="00240979" w:rsidRPr="00240979" w:rsidRDefault="00240979" w:rsidP="00240979">
      <w:pPr>
        <w:rPr>
          <w:rFonts w:cs="Times New Roman"/>
          <w:szCs w:val="24"/>
          <w:lang w:val="en-US"/>
        </w:rPr>
      </w:pPr>
      <w:r w:rsidRPr="00240979">
        <w:rPr>
          <w:rFonts w:cs="Times New Roman"/>
          <w:szCs w:val="24"/>
          <w:lang w:val="en-US"/>
        </w:rPr>
        <w:t>Preferably, dams are located in areas that are less occupied within a catchment and are characterized by natural landscapes. But, globally</w:t>
      </w:r>
      <w:r w:rsidR="00F9037D">
        <w:rPr>
          <w:rFonts w:cs="Times New Roman"/>
          <w:szCs w:val="24"/>
          <w:lang w:val="en-US"/>
        </w:rPr>
        <w:t>,</w:t>
      </w:r>
      <w:r w:rsidRPr="00240979">
        <w:rPr>
          <w:rFonts w:cs="Times New Roman"/>
          <w:szCs w:val="24"/>
          <w:lang w:val="en-US"/>
        </w:rPr>
        <w:t xml:space="preserve"> the trend of land demand has </w:t>
      </w:r>
      <w:r w:rsidR="00F9037D">
        <w:rPr>
          <w:rFonts w:cs="Times New Roman"/>
          <w:szCs w:val="24"/>
          <w:lang w:val="en-US"/>
        </w:rPr>
        <w:t>always been</w:t>
      </w:r>
      <w:r w:rsidRPr="00240979">
        <w:rPr>
          <w:rFonts w:cs="Times New Roman"/>
          <w:szCs w:val="24"/>
          <w:lang w:val="en-US"/>
        </w:rPr>
        <w:t xml:space="preserve"> increasing</w:t>
      </w:r>
      <w:r w:rsidR="00F9037D">
        <w:rPr>
          <w:rFonts w:cs="Times New Roman"/>
          <w:szCs w:val="24"/>
          <w:lang w:val="en-US"/>
        </w:rPr>
        <w:t>,</w:t>
      </w:r>
      <w:r w:rsidRPr="00240979">
        <w:rPr>
          <w:rFonts w:cs="Times New Roman"/>
          <w:szCs w:val="24"/>
          <w:lang w:val="en-US"/>
        </w:rPr>
        <w:t xml:space="preserve"> resulting from population growth and development activities</w:t>
      </w:r>
      <w:r w:rsidR="00F9037D">
        <w:rPr>
          <w:rFonts w:cs="Times New Roman"/>
          <w:szCs w:val="24"/>
          <w:lang w:val="en-US"/>
        </w:rPr>
        <w:t>,</w:t>
      </w:r>
      <w:r w:rsidRPr="00240979">
        <w:rPr>
          <w:rFonts w:cs="Times New Roman"/>
          <w:szCs w:val="24"/>
          <w:lang w:val="en-US"/>
        </w:rPr>
        <w:t xml:space="preserve"> according to Lanz et </w:t>
      </w:r>
      <w:r w:rsidRPr="00240979">
        <w:rPr>
          <w:rFonts w:cs="Times New Roman"/>
          <w:i/>
          <w:iCs/>
          <w:szCs w:val="24"/>
          <w:lang w:val="en-US"/>
        </w:rPr>
        <w:t>al.</w:t>
      </w:r>
      <w:r w:rsidRPr="00240979">
        <w:rPr>
          <w:rFonts w:cs="Times New Roman"/>
          <w:szCs w:val="24"/>
          <w:lang w:val="en-US"/>
        </w:rPr>
        <w:t xml:space="preserve"> </w:t>
      </w:r>
      <w:r w:rsidRPr="005957F0">
        <w:rPr>
          <w:rFonts w:cs="Times New Roman"/>
          <w:szCs w:val="24"/>
        </w:rPr>
        <w:fldChar w:fldCharType="begin" w:fldLock="1"/>
      </w:r>
      <w:r w:rsidR="00FA5896">
        <w:rPr>
          <w:rFonts w:cs="Times New Roman"/>
          <w:szCs w:val="24"/>
          <w:lang w:val="en-US"/>
        </w:rPr>
        <w:instrText>ADDIN CSL_CITATION {"citationItems":[{"id":"ITEM-1","itemData":{"DOI":"10.1111/iere.12242","ISSN":"00206598","abstract":"We structurally estimate a two-sector Schumpeterian growth model with endogenous population and finite land reserves to study the long-run evolution of global population, technological progress, and the demand for food. The estimated model closely replicates trajectories for world population, GDP, sectoral productivity growth, and crop land area from 1960 to 2010. Projections from 2010 onward show a slowdown of technological progress, and, because it is a key determinant of fertility costs, significant population growth. By 2100, global population reaches 12.4 billion and agricultural production doubles, but the land constraint does not bind because of capital investment and technological progress.","author":[{"dropping-particle":"","family":"Lanz","given":"Bruno","non-dropping-particle":"","parse-names":false,"suffix":""},{"dropping-particle":"","family":"Dietz","given":"Simon","non-dropping-particle":"","parse-names":false,"suffix":""},{"dropping-particle":"","family":"Swanson","given":"Timothy","non-dropping-particle":"","parse-names":false,"suffix":""}],"container-title":"International Economic Review","id":"ITEM-1","issue":"3","issued":{"date-parts":[["2017","8"]]},"page":"973-1006","title":"GLOBAL POPULATION GROWTH, TECHNOLOGY, AND MALTHUSIAN CONSTRAINTS: A QUANTITATIVE GROWTH THEORETIC PERSPECTIVE","type":"article-journal","volume":"58"},"uris":["http://www.mendeley.com/documents/?uuid=2c1db321-7e1d-4ecb-b9c5-49cff20bbcc9","http://www.mendeley.com/documents/?uuid=b7953c90-2fe0-42d9-b80d-f45cd883793c","http://www.mendeley.com/documents/?uuid=13c3844e-a34f-4891-925d-4f2709226d6f"]}],"mendeley":{"formattedCitation":"[3]","plainTextFormattedCitation":"[3]","previouslyFormattedCitation":"[3]"},"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[3]</w:t>
      </w:r>
      <w:r w:rsidRPr="005957F0">
        <w:rPr>
          <w:rFonts w:cs="Times New Roman"/>
          <w:szCs w:val="24"/>
        </w:rPr>
        <w:fldChar w:fldCharType="end"/>
      </w:r>
      <w:r w:rsidR="00677811">
        <w:rPr>
          <w:rFonts w:cs="Times New Roman"/>
          <w:szCs w:val="24"/>
          <w:lang w:val="en-US"/>
        </w:rPr>
        <w:t xml:space="preserve">. </w:t>
      </w:r>
      <w:r w:rsidR="00677811" w:rsidRPr="00677811">
        <w:rPr>
          <w:rFonts w:cs="Times New Roman"/>
          <w:szCs w:val="24"/>
          <w:lang w:val="en-US"/>
        </w:rPr>
        <w:t>The phenomena ha</w:t>
      </w:r>
      <w:r w:rsidR="00F9037D">
        <w:rPr>
          <w:rFonts w:cs="Times New Roman"/>
          <w:szCs w:val="24"/>
          <w:lang w:val="en-US"/>
        </w:rPr>
        <w:t>ve</w:t>
      </w:r>
      <w:r w:rsidR="00677811" w:rsidRPr="00677811">
        <w:rPr>
          <w:rFonts w:cs="Times New Roman"/>
          <w:szCs w:val="24"/>
          <w:lang w:val="en-US"/>
        </w:rPr>
        <w:t xml:space="preserve"> had a tremendous impact on catchment natural landscapes.</w:t>
      </w:r>
    </w:p>
    <w:p w14:paraId="67FC9BAE" w14:textId="03BE3633" w:rsidR="00240979" w:rsidRPr="00240979" w:rsidRDefault="00240979" w:rsidP="00240979">
      <w:pPr>
        <w:rPr>
          <w:rFonts w:cs="Times New Roman"/>
          <w:szCs w:val="24"/>
          <w:lang w:val="en-US"/>
        </w:rPr>
      </w:pPr>
      <w:r w:rsidRPr="00240979">
        <w:rPr>
          <w:rFonts w:cs="Times New Roman"/>
          <w:szCs w:val="24"/>
          <w:lang w:val="en-US"/>
        </w:rPr>
        <w:t xml:space="preserve">The most important and crucial factor in whether a dam will be subjected to failure is </w:t>
      </w:r>
      <w:r w:rsidR="004C75F9">
        <w:rPr>
          <w:rFonts w:cs="Times New Roman"/>
          <w:szCs w:val="24"/>
          <w:lang w:val="en-US"/>
        </w:rPr>
        <w:t xml:space="preserve">definitely determined by </w:t>
      </w:r>
      <w:r w:rsidRPr="00240979">
        <w:rPr>
          <w:rFonts w:cs="Times New Roman"/>
          <w:szCs w:val="24"/>
          <w:lang w:val="en-US"/>
        </w:rPr>
        <w:t xml:space="preserve">the amount of water that it has to retain </w:t>
      </w:r>
      <w:r w:rsidRPr="005957F0">
        <w:rPr>
          <w:rFonts w:cs="Times New Roman"/>
          <w:szCs w:val="24"/>
        </w:rPr>
        <w:fldChar w:fldCharType="begin" w:fldLock="1"/>
      </w:r>
      <w:r w:rsidR="00FA5896">
        <w:rPr>
          <w:rFonts w:cs="Times New Roman"/>
          <w:szCs w:val="24"/>
          <w:lang w:val="en-US"/>
        </w:rPr>
        <w:instrText>ADDIN CSL_CITATION {"citationItems":[{"id":"ITEM-1","itemData":{"DOI":"10.1016/j.jhydrol.2018.06.038","ISSN":"00221694","abstract":"The areas of glacial lakes in the Himalayas continue to increase alarmingly due to global warming with consequent risk of glacial lake outburst flood (GLOF). The outburst is most common for moraine-dammed lakes as a result of a failure of the dam by overtopping and erosion or piping due to seepage. In the present context, GLOF events, especially for the moraine dam failure process needs to be predicted to assess the drastic and detrimental impacts on the downstream river valley. This study focuses on validating an integrated model for simulating the failure of moraine dam by overtopping and erosion using a coupled numerical simulation model. The proposed numerical methodology is validated with the data from experiments in laboratory scale physical models. The results of the model are compared for both the erosional profiles during collapse of the dam and the resulting outflowing flood hydrograph. The primary finding is that the moraine dam height and the volume of the lake upstream of the dam are the most sensitive parameters influencing the GLOF peak. The model is also applied to the field problem of the Tangjiashan lake outburst and dam failure and shows reasonably good agreement with observations. The validated model is also run for the South Lhonak glacial lake in the Sikkim Himalayas, India to obtain the probable flood hydrograph in case of failure of the moraine dam.","author":[{"dropping-particle":"","family":"Begam","given":"Sazeda","non-dropping-particle":"","parse-names":false,"suffix":""},{"dropping-particle":"","family":"Sen","given":"Dhrubajyoti","non-dropping-particle":"","parse-names":false,"suffix":""},{"dropping-particle":"","family":"Dey","given":"Subhasish","non-dropping-particle":"","parse-names":false,"suffix":""}],"container-title":"Journal of Hydrology","id":"ITEM-1","issued":{"date-parts":[["2018","8"]]},"page":"694-710","title":"Moraine dam breach and glacial lake outburst flood generation by physical and numerical models","type":"article-journal","volume":"563"},"uris":["http://www.mendeley.com/documents/?uuid=f037a2c3-b796-4ad4-b5d6-6ec7fc6fc0eb","http://www.mendeley.com/documents/?uuid=f4efbc9b-889d-4afa-94af-92da568266f6","http://www.mendeley.com/documents/?uuid=83e975ed-d644-439b-8a86-42d742df65a0"]}],"mendeley":{"formattedCitation":"[4]","plainTextFormattedCitation":"[4]","previouslyFormattedCitation":"[4]"},"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[4]</w:t>
      </w:r>
      <w:r w:rsidRPr="005957F0">
        <w:rPr>
          <w:rFonts w:cs="Times New Roman"/>
          <w:szCs w:val="24"/>
        </w:rPr>
        <w:fldChar w:fldCharType="end"/>
      </w:r>
      <w:r w:rsidRPr="00240979">
        <w:rPr>
          <w:rFonts w:cs="Times New Roman"/>
          <w:szCs w:val="24"/>
          <w:lang w:val="en-US"/>
        </w:rPr>
        <w:t xml:space="preserve">. The current approach of dam design and construction is based on the state of the watershed at the time at which the dam has to be constructed </w:t>
      </w:r>
      <w:r w:rsidRPr="005957F0">
        <w:rPr>
          <w:rFonts w:cs="Times New Roman"/>
          <w:szCs w:val="24"/>
        </w:rPr>
        <w:fldChar w:fldCharType="begin" w:fldLock="1"/>
      </w:r>
      <w:r w:rsidR="00FA5896">
        <w:rPr>
          <w:rFonts w:cs="Times New Roman"/>
          <w:szCs w:val="24"/>
          <w:lang w:val="en-US"/>
        </w:rPr>
        <w:instrText>ADDIN CSL_CITATION {"citationItems":[{"id":"ITEM-1","itemData":{"DOI":"10.1016/B978-0-12-812906-7.00003-X","author":[{"dropping-particle":"","family":"Breeze","given":"Paul","non-dropping-particle":"","parse-names":false,"suffix":""}],"container-title":"Hydropower","id":"ITEM-1","issued":{"date-parts":[["2018"]]},"page":"23-33","publisher":"Elsevier","title":"Dams and Barrages","type":"chapter"},"uris":["http://www.mendeley.com/documents/?uuid=f4e3e29e-ffef-48bd-ad07-5d901b85f416","http://www.mendeley.com/documents/?uuid=5fb1f454-7add-4edd-b445-fabac0f9c556","http://www.mendeley.com/documents/?uuid=fa2d1267-ec75-443a-bd9e-92ed5af841be"]}],"mendeley":{"formattedCitation":"[5]","plainTextFormattedCitation":"[5]","previouslyFormattedCitation":"[5]"},"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[5]</w:t>
      </w:r>
      <w:r w:rsidRPr="005957F0">
        <w:rPr>
          <w:rFonts w:cs="Times New Roman"/>
          <w:szCs w:val="24"/>
        </w:rPr>
        <w:fldChar w:fldCharType="end"/>
      </w:r>
      <w:r w:rsidRPr="00240979">
        <w:rPr>
          <w:rFonts w:cs="Times New Roman"/>
          <w:szCs w:val="24"/>
          <w:lang w:val="en-US"/>
        </w:rPr>
        <w:t xml:space="preserve">. However, this approach ignores land surface cover as one of the crucial factors that have a high potential to determine the state of a watershed or catchment with time. Therefore, when the landscape is changed especially with the development of impervious surfaces, it can have a big impact on how quickly stormwater is either absorbed into the ground surface or runs off toward the dam located downstream. </w:t>
      </w:r>
      <w:r w:rsidR="00677811" w:rsidRPr="00677811">
        <w:rPr>
          <w:rFonts w:cs="Times New Roman"/>
          <w:szCs w:val="24"/>
          <w:lang w:val="en-US"/>
        </w:rPr>
        <w:t xml:space="preserve">The use of the SCS-CN method in conjunction with remote sensing and Geographical Information System (GIS) technology can help to solve a problem with traditional methods for </w:t>
      </w:r>
      <w:r w:rsidR="004C75F9">
        <w:rPr>
          <w:rFonts w:cs="Times New Roman"/>
          <w:szCs w:val="24"/>
          <w:lang w:val="en-US"/>
        </w:rPr>
        <w:t>computing</w:t>
      </w:r>
      <w:r w:rsidR="00677811" w:rsidRPr="00677811">
        <w:rPr>
          <w:rFonts w:cs="Times New Roman"/>
          <w:szCs w:val="24"/>
          <w:lang w:val="en-US"/>
        </w:rPr>
        <w:t xml:space="preserve"> the </w:t>
      </w:r>
      <w:r w:rsidR="00110349">
        <w:rPr>
          <w:rFonts w:cs="Times New Roman"/>
          <w:szCs w:val="24"/>
          <w:lang w:val="en-US"/>
        </w:rPr>
        <w:t>quantity</w:t>
      </w:r>
      <w:r w:rsidR="00677811" w:rsidRPr="00677811">
        <w:rPr>
          <w:rFonts w:cs="Times New Roman"/>
          <w:szCs w:val="24"/>
          <w:lang w:val="en-US"/>
        </w:rPr>
        <w:t xml:space="preserve"> of water to be held in a dam because this approach considers land surface cover characteristics such as slope, vegetation cover, and the area of the watershed</w:t>
      </w:r>
      <w:r w:rsidRPr="00240979">
        <w:rPr>
          <w:rFonts w:cs="Times New Roman"/>
          <w:szCs w:val="24"/>
          <w:lang w:val="en-US"/>
        </w:rPr>
        <w:t>.</w:t>
      </w:r>
    </w:p>
    <w:p w14:paraId="60ED4929" w14:textId="574A3957" w:rsidR="00240979" w:rsidRPr="00240979" w:rsidRDefault="00240979" w:rsidP="00240979">
      <w:pPr>
        <w:rPr>
          <w:rFonts w:cs="Times New Roman"/>
          <w:szCs w:val="24"/>
          <w:lang w:val="en-US"/>
        </w:rPr>
      </w:pPr>
      <w:r w:rsidRPr="00240979">
        <w:rPr>
          <w:rFonts w:cs="Times New Roman"/>
          <w:szCs w:val="24"/>
          <w:lang w:val="en-US"/>
        </w:rPr>
        <w:t xml:space="preserve">Rapid urbanization is a popular term describing a scenario in which less developed areas are invaded and subjected to development activities </w:t>
      </w:r>
      <w:r w:rsidRPr="005957F0">
        <w:rPr>
          <w:rFonts w:cs="Times New Roman"/>
          <w:szCs w:val="24"/>
        </w:rPr>
        <w:fldChar w:fldCharType="begin" w:fldLock="1"/>
      </w:r>
      <w:r w:rsidR="00FA5896">
        <w:rPr>
          <w:rFonts w:cs="Times New Roman"/>
          <w:szCs w:val="24"/>
          <w:lang w:val="en-US"/>
        </w:rPr>
        <w:instrText>ADDIN CSL_CITATION {"citationItems":[{"id":"ITEM-1","itemData":{"DOI":"10.1016/j.jclepro.2019.119284","ISSN":"09596526","abstract":"Exploring how rapid urbanization affects ecological functional vulnerability is a key issue in regional ecological risk assessment. This paper proposes a complex network approach to explore the response of ecological functional vulnerability to different urbanization scenarios from the perspective of stock and flow for the case study area of the Wuhan City in China. The paper aims to (1) establish a theoretical framework to explain how the urbanization process degrades ecological functions of the land system from a flow and stock perspective, (2) evaluate stock and flow changes of ecosystem service value triggered by land use change, and (3) explore the impact of different urbanization scenarios and different management costs on ecological functional vulnerability by combining two indicators, i.e., ecosystem service value change and ecological load entropy. Our results for Wuhan reveal that (1) non-ecological flows or degraded ecological flows are responsible for the increase in ecological functional vulnerability, (2) the total ecosystem service stock of the land system had slightly increased during 1990–2015, contributing to an enhanced ecological flow, (3) the critical points for maintaining the proper functioning of the land system are 80% or higher for cropland and 40% or higher for lake. These findings can provide critical references for the sustainable management of urban land system in Wuhan and other major cities in China. This study also suggest that the combination of ecosystem service value change and ecological load entropy can be used to comprehensively assess ecological functional vulnerability.","author":[{"dropping-particle":"","family":"Wang","given":"Ying","non-dropping-particle":"","parse-names":false,"suffix":""},{"dropping-particle":"","family":"Li","given":"Xiangmei","non-dropping-particle":"","parse-names":false,"suffix":""},{"dropping-particle":"","family":"Zhang","given":"Fan","non-dropping-particle":"","parse-names":false,"suffix":""},{"dropping-particle":"","family":"Wang","given":"Weiwen","non-dropping-particle":"","parse-names":false,"suffix":""},{"dropping-particle":"","family":"Xiao","given":"Renbin","non-dropping-particle":"","parse-names":false,"suffix":""}],"container-title":"Journal of Cleaner Production","id":"ITEM-1","issued":{"date-parts":[["2020","3"]]},"page":"119284","title":"Effects of rapid urbanization on ecological functional vulnerability of the land system in Wuhan, China: A flow and stock perspective","type":"article-journal","volume":"248"},"uris":["http://www.mendeley.com/documents/?uuid=66ce6e4d-2234-4efc-b58e-d7313a16e19e","http://www.mendeley.com/documents/?uuid=3f966ee8-c038-4437-8ab1-c3842405f284","http://www.mendeley.com/documents/?uuid=a82036c6-f188-4f94-bfbe-55b2a3745f48"]},{"id":"ITEM-2","itemData":{"DOI":"10.1016/j.jenvman.2021.112195","ISSN":"03014797","PMID":"33631515","abstract":"Microbial pollution is an environmental problem of growing concern for threatening human health. However, the impacts of rapid urbanization on characteristics, sources and variation of fecal coliform (FC) at watershed scale have not been fully explored. In this study, FC characteristics were monitored monthly for 2 years at 21 river sections in an urbanizing watershed, while the sources and continuously annual variation were quantified by integrating two commonly-used models. The results showed that FC varied from 103 to 106 MPN/L, indicating a great spatiotemporal variation at watershed scale. Peak FC occurred in summer and autumn among upstream and downstream areas, respectively. Besides, 65% impermeable surface was identified as the threshold of urban level, beyond which the key FC source would shift from agriculture to urban. It was also found that the changes of urban landscape patterns had poor correlation with annual variation of FC. In comparison, urbanization speed was identified as the major driver with the threshold of 30% for deteriorating FC pollution. The Low Impact Development could result in a 5.13%–97.59% reduction of FC at watershed scale.","author":[{"dropping-particle":"","family":"Zhang","given":"Xiaoyue","non-dropping-particle":"","parse-names":false,"suffix":""},{"dropping-particle":"","family":"Chen","given":"Lei","non-dropping-particle":"","parse-names":false,"suffix":""},{"dropping-particle":"","family":"Shen","given":"Zhenyao","non-dropping-particle":"","parse-names":false,"suffix":""}],"container-title":"Journal of Environmental Management","id":"ITEM-2","issued":{"date-parts":[["2021","5"]]},"page":"112195","title":"Impacts of rapid urbanization on characteristics, sources and variation of fecal coliform at watershed scale","type":"article-journal","volume":"286"},"uris":["http://www.mendeley.com/documents/?uuid=15ba6fa0-5e34-42ae-8ca8-1c11cf03f8b6","http://www.mendeley.com/documents/?uuid=4527e4f1-b4ac-4618-9bd3-c96de0de91b0","http://www.mendeley.com/documents/?uuid=dc3f84e7-9a31-402d-98ee-9fd4c1e88b25"]}],"mendeley":{"formattedCitation":"[6,7]","plainTextFormattedCitation":"[6,7]","previouslyFormattedCitation":"[6,7]"},"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[6,7]</w:t>
      </w:r>
      <w:r w:rsidRPr="005957F0">
        <w:rPr>
          <w:rFonts w:cs="Times New Roman"/>
          <w:szCs w:val="24"/>
        </w:rPr>
        <w:fldChar w:fldCharType="end"/>
      </w:r>
      <w:r w:rsidRPr="00240979">
        <w:rPr>
          <w:rFonts w:cs="Times New Roman"/>
          <w:szCs w:val="24"/>
          <w:lang w:val="en-US"/>
        </w:rPr>
        <w:t xml:space="preserve">. According to </w:t>
      </w:r>
      <w:r w:rsidRPr="002B266C">
        <w:rPr>
          <w:rFonts w:cs="Times New Roman"/>
          <w:szCs w:val="24"/>
          <w:lang w:val="en-US"/>
        </w:rPr>
        <w:t xml:space="preserve">Fiscal </w:t>
      </w:r>
      <w:r w:rsidRPr="002B266C">
        <w:rPr>
          <w:rFonts w:cs="Times New Roman"/>
          <w:i/>
          <w:iCs/>
          <w:szCs w:val="24"/>
          <w:lang w:val="en-US"/>
        </w:rPr>
        <w:t>et al.</w:t>
      </w:r>
      <w:r w:rsidRPr="00240979">
        <w:rPr>
          <w:rFonts w:cs="Times New Roman"/>
          <w:szCs w:val="24"/>
          <w:lang w:val="en-US"/>
        </w:rPr>
        <w:t xml:space="preserve"> </w:t>
      </w:r>
      <w:r w:rsidRPr="005957F0">
        <w:rPr>
          <w:rFonts w:cs="Times New Roman"/>
          <w:szCs w:val="24"/>
        </w:rPr>
        <w:fldChar w:fldCharType="begin" w:fldLock="1"/>
      </w:r>
      <w:r w:rsidR="00FA5896">
        <w:rPr>
          <w:rFonts w:cs="Times New Roman"/>
          <w:szCs w:val="24"/>
          <w:lang w:val="en-US"/>
        </w:rPr>
        <w:instrText>ADDIN CSL_CITATION {"citationItems":[{"id":"ITEM-1","itemData":{"DOI":"10.3390/en14165138","ISSN":"1996-1073","abstract":"One of the key challenges of developing countries is to tackle the mitigation of the impacts of rapid and uncontrolled urbanization. Assessing this phenomenon is crucial to lessen the consequences for the environment and society. ‘Literature has been concentrated in planning strategies for the cities’ adaptation and engagements to the principles of green development ensuring a long-term quality of life for their citizens. Hereby, smart technologies and applications consist of two of the most encouraging concepts for solutions for achieving the 2030 and 2050 horizon targets towards clean energy transition and carbon neutrality. In academia, scholars have already raised the importance of ‘smartness’ to define the adaptative patterns for the global pressures of climate change and uncontrolled urban growth. The mitigation of these phenomena is crucial to ensure the cities’ future and lessen their impacts. This study seeks a strategic and smart-driven vision to leverage smartness on the phenomenon of rapid urbanization that occurred in the case of Beijing, China. Defining and evaluating the environmental impacts in line with the RIAM approach as one of its main targets. Future works can be focused on addressing solutions in similar cases in further developing countries to not only overcome environmental, but also economic, social, and digital complications.","author":[{"dropping-particle":"","family":"Fiscal","given":"Paulina Rodríguez","non-dropping-particle":"","parse-names":false,"suffix":""},{"dropping-particle":"","family":"Taratori","given":"Rallou","non-dropping-particle":"","parse-names":false,"suffix":""},{"dropping-particle":"","family":"Pacho","given":"Marie Abigail","non-dropping-particle":"","parse-names":false,"suffix":""},{"dropping-particle":"","family":"Ioakimidis","given":"Christos S.","non-dropping-particle":"","parse-names":false,"suffix":""},{"dropping-particle":"","family":"Koutra","given":"Sesil","non-dropping-particle":"","parse-names":false,"suffix":""}],"container-title":"Energies","id":"ITEM-1","issue":"16","issued":{"date-parts":[["2021","8"]]},"page":"5138","title":"A Strategic and Smart Environmental Assessment of Rapid Urbanization in Beijing","type":"article-journal","volume":"14"},"uris":["http://www.mendeley.com/documents/?uuid=c89bb5a7-9eb3-495f-8ec6-5b422716e233","http://www.mendeley.com/documents/?uuid=f52e4202-5d2f-4a6d-b310-ded7ca2b8505","http://www.mendeley.com/documents/?uuid=9434878b-8a18-41cd-9b01-8a183c53a193"]}],"mendeley":{"formattedCitation":"[8]","plainTextFormattedCitation":"[8]","previouslyFormattedCitation":"[8]"},"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[8]</w:t>
      </w:r>
      <w:r w:rsidRPr="005957F0">
        <w:rPr>
          <w:rFonts w:cs="Times New Roman"/>
          <w:szCs w:val="24"/>
        </w:rPr>
        <w:fldChar w:fldCharType="end"/>
      </w:r>
      <w:r w:rsidRPr="00240979">
        <w:rPr>
          <w:rFonts w:cs="Times New Roman"/>
          <w:szCs w:val="24"/>
          <w:lang w:val="en-US"/>
        </w:rPr>
        <w:t xml:space="preserve">, this type of urbanization remains to be one of the crucial environmental challenges in developing countries. Therefore, with time the dam that was located within a less developed landscape finds itself within a highly developed and crowded environment. When the natural landscape is developed to structures such as parking lots, tarmac roads, rooftops as well as compacted grounds, the impervious surfaces also increase </w:t>
      </w:r>
      <w:r w:rsidRPr="005957F0">
        <w:rPr>
          <w:rFonts w:cs="Times New Roman"/>
          <w:szCs w:val="24"/>
        </w:rPr>
        <w:fldChar w:fldCharType="begin" w:fldLock="1"/>
      </w:r>
      <w:r w:rsidR="00FA5896">
        <w:rPr>
          <w:rFonts w:cs="Times New Roman"/>
          <w:szCs w:val="24"/>
          <w:lang w:val="en-US"/>
        </w:rPr>
        <w:instrText>ADDIN CSL_CITATION {"citationItems":[{"id":"ITEM-1","itemData":{"DOI":"10.3390/su11051224","ISSN":"2071-1050","abstract":"As an effective indicator of urbanization, impervious surfaces play a significant role in urban planning and ecological protection. It is, therefore, important to characterize impervious surfaces in urban geographical studies. As a key city in East China, Xuzhou has experienced rapid urbanization in recent decades and is now becoming an environmentally friendly city. To better understand the spatiotemporal heterogeneity of Xuzhou’s urban development, we extracted its impervious surfaces from Landsat images of 1995, 2003, 2010, and 2018 by a linear spectral mixture analysis. Then, a range of complementary methods including landscape indices, profile lines, median centers, standard deviational ellipses, and spatial autocorrelation were adopted to analyze the landscape pattern and expansion of impervious surfaces on both city and district scales. Results show that (1) there was a constant impervious surface expansion, originating in downtown Xuzhou; (2) promoting ecological protection in urban areas fragmented impervious surfaces with increasing heterogeneity and diversity overall; and (3) expansion directions and rates of impervious surfaces varied with district and town, and the central urban area expanded towards east and southeast, which could be related to their own resources and governmental policies. Findings from this study provide useful insights into urban planning of this economically prospective region.","author":[{"dropping-particle":"","family":"Li","given":"Han","non-dropping-particle":"","parse-names":false,"suffix":""},{"dropping-particle":"","family":"Li","given":"Long","non-dropping-particle":"","parse-names":false,"suffix":""},{"dropping-particle":"","family":"Chen","given":"Longqian","non-dropping-particle":"","parse-names":false,"suffix":""},{"dropping-particle":"","family":"Zhou","given":"Xisheng","non-dropping-particle":"","parse-names":false,"suffix":""},{"dropping-particle":"","family":"Cui","given":"Yifan","non-dropping-particle":"","parse-names":false,"suffix":""},{"dropping-particle":"","family":"Liu","given":"Yunqiang","non-dropping-particle":"","parse-names":false,"suffix":""},{"dropping-particle":"","family":"Liu","given":"Weiqiang","non-dropping-particle":"","parse-names":false,"suffix":""}],"container-title":"Sustainability","id":"ITEM-1","issue":"5","issued":{"date-parts":[["2019","2"]]},"page":"1224","title":"Mapping and Characterizing Spatiotemporal Dynamics of Impervious Surfaces Using Landsat Images: A Case Study of Xuzhou, East China from 1995 to 2018","type":"article-journal","volume":"11"},"uris":["http://www.mendeley.com/documents/?uuid=e8b75b64-caaf-454a-b7f1-4ad57f474ae7","http://www.mendeley.com/documents/?uuid=6534a17e-1358-4018-998d-6c25db192a6b","http://www.mendeley.com/documents/?uuid=bbd8f8eb-1bcd-472a-8681-c11c372047a0"]}],"mendeley":{"formattedCitation":"[9]","plainTextFormattedCitation":"[9]","previouslyFormattedCitation":"[9]"},"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[9]</w:t>
      </w:r>
      <w:r w:rsidRPr="005957F0">
        <w:rPr>
          <w:rFonts w:cs="Times New Roman"/>
          <w:szCs w:val="24"/>
        </w:rPr>
        <w:fldChar w:fldCharType="end"/>
      </w:r>
      <w:r w:rsidRPr="00240979">
        <w:rPr>
          <w:rFonts w:cs="Times New Roman"/>
          <w:szCs w:val="24"/>
          <w:lang w:val="en-US"/>
        </w:rPr>
        <w:t>. These impervious surfaces affect how the runoff is either absorbed or runs on the ground surface</w:t>
      </w:r>
      <w:r w:rsidR="00F9037D">
        <w:rPr>
          <w:rFonts w:cs="Times New Roman"/>
          <w:szCs w:val="24"/>
          <w:lang w:val="en-US"/>
        </w:rPr>
        <w:t>,</w:t>
      </w:r>
      <w:r w:rsidRPr="00240979">
        <w:rPr>
          <w:rFonts w:cs="Times New Roman"/>
          <w:szCs w:val="24"/>
          <w:lang w:val="en-US"/>
        </w:rPr>
        <w:t xml:space="preserve"> whereby it becomes difficult for the precipitation to </w:t>
      </w:r>
      <w:r w:rsidRPr="00240979">
        <w:rPr>
          <w:rFonts w:cs="Times New Roman"/>
          <w:szCs w:val="24"/>
          <w:lang w:val="en-US"/>
        </w:rPr>
        <w:lastRenderedPageBreak/>
        <w:t xml:space="preserve">infiltrate into the ground leading to more runoff </w:t>
      </w:r>
      <w:r w:rsidRPr="005957F0">
        <w:rPr>
          <w:rFonts w:cs="Times New Roman"/>
          <w:szCs w:val="24"/>
        </w:rPr>
        <w:fldChar w:fldCharType="begin" w:fldLock="1"/>
      </w:r>
      <w:r w:rsidR="00FA5896">
        <w:rPr>
          <w:rFonts w:cs="Times New Roman"/>
          <w:szCs w:val="24"/>
          <w:lang w:val="en-US"/>
        </w:rPr>
        <w:instrText>ADDIN CSL_CITATION {"citationItems":[{"id":"ITEM-1","itemData":{"DOI":"10.1016/j.scitotenv.2020.143873","ISSN":"00489697","PMID":"33348159","abstract":"Urban areas are increasing rapidly worldwide, leading to widespread changes in land surfaces over time. Urbanized land cover is heterogeneous, and is characterized by a large areal proportion of manufactured impervious surfaces which are linked to ecological degradation, habitat loss, and increase in precipitation runoff leading to pollution and safety risks. Data from the Landsat series of satellites present an opportunity to characterize urban land cover and impervious surfaces, over a large spatial and temporal scale. In this study, land cover changes from 1990 to 2015 are characterized in the large metropolitan area of Metro Vancouver, Western Canada. An ordinal regression is used to link Landsat spectral data with a detailed land classification containing classes of impervious surface used by municipal planners in the region (Spearman's Rho = 0.76). The regression is then used to classify a time series of imagery where static land classifications are not available, providing a 25-year time-series of change in impervious surface area. A trend in increasing impervious surface was detected across the municipalities in the region, with an overall areal increase of 31.96%. Precipitation events were then simulated at each time step, using precipitation rates adjusted for expected changes in climate by 2050. Both runoff depths and inundated area increased over time, with a 51% increase in area inundated by at least 5 cm. Runoff depths were evaluated for each municipality in the region, and compared to projected populations for 2050 to highlight communities that may face elevated levels of runoff risk. Results show a steady increase in impervious surfaces in the region. Impacts of future extreme precipitation events vary across the region, with flat and low-lying topographies appearing to be more severely affected, along with areas containing extensive impervious development.","author":[{"dropping-particle":"","family":"Hamilton","given":"Ben","non-dropping-particle":"","parse-names":false,"suffix":""},{"dropping-particle":"","family":"Coops","given":"Nicholas C.","non-dropping-particle":"","parse-names":false,"suffix":""},{"dropping-particle":"","family":"Lokman","given":"Kees","non-dropping-particle":"","parse-names":false,"suffix":""}],"container-title":"Science of The Total Environment","id":"ITEM-1","issued":{"date-parts":[["2021","3"]]},"page":"143873","title":"Time series monitoring of impervious surfaces and runoff impacts in Metro Vancouver","type":"article-journal","volume":"760"},"uris":["http://www.mendeley.com/documents/?uuid=b06c7839-2141-4d34-9d30-4be4b3348fd4","http://www.mendeley.com/documents/?uuid=2c272209-f245-4d85-8a2e-276685b5e359","http://www.mendeley.com/documents/?uuid=c11b3711-fd42-4996-8d12-51ea7115247e"]}],"mendeley":{"formattedCitation":"[10]","plainTextFormattedCitation":"[10]","previouslyFormattedCitation":"[10]"},"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[10]</w:t>
      </w:r>
      <w:r w:rsidRPr="005957F0">
        <w:rPr>
          <w:rFonts w:cs="Times New Roman"/>
          <w:szCs w:val="24"/>
        </w:rPr>
        <w:fldChar w:fldCharType="end"/>
      </w:r>
      <w:r w:rsidRPr="00240979">
        <w:rPr>
          <w:rFonts w:cs="Times New Roman"/>
          <w:szCs w:val="24"/>
          <w:lang w:val="en-US"/>
        </w:rPr>
        <w:t xml:space="preserve">. It becomes even more challenging when the impervious surfaces are combined with extreme events, such as extreme precipitation </w:t>
      </w:r>
      <w:r w:rsidRPr="005957F0">
        <w:rPr>
          <w:rFonts w:cs="Times New Roman"/>
          <w:szCs w:val="24"/>
        </w:rPr>
        <w:fldChar w:fldCharType="begin" w:fldLock="1"/>
      </w:r>
      <w:r w:rsidR="00FA5896">
        <w:rPr>
          <w:rFonts w:cs="Times New Roman"/>
          <w:szCs w:val="24"/>
          <w:lang w:val="en-US"/>
        </w:rPr>
        <w:instrText>ADDIN CSL_CITATION {"citationItems":[{"id":"ITEM-1","itemData":{"DOI":"10.1002/joc.2207","ISSN":"08998418","abstract":"This study describes the use of a state-of-the-art urban parameterization (the Town Energy Balance scheme, TEB) to examine how the surface runoff of the Brussels Capital Region (BCR) responded to historical urbanization (1960-1999) and how it will respond in cases of climate changes and/or future urbanization. Key for this study is that both energy and water balances are resolved and interact through the evaporative term. Historical urbanization of BCR is estimated from changes in impervious surface area using remote sensing imagery and future climate is modelled using data from two members of the European project PRUDENCE. Results show that (1) a change could be detected in the annual series of cumulative surface runoff, high flow and the frequency of flood events when imperviousness exceeds 35%. (2) Climate change has a greater impact on low flows than urbanization. (3) In terms of high flow and annual cumulative runoff, historical urbanization and the precipitation increase scenario have approximately the same increasing trend. However, during summertime when floods happen frequently in the BCR, the average contribution of urbanization is four times greater than that due to the increase in precipitation in terms of the cumulative runoff ratio. (4) The assumed 10% increase in imperviousness in the BCR is able to counteract the increase in evapotranspiration due to warmer climate predictions. (5) When combining the effect of future urbanization (+20% of imperviousness) and precipitation scenario together, the increase in high flow is exacerbated. © 2010 Royal Meteorological Society.","author":[{"dropping-particle":"","family":"Hamdi","given":"Rafiq","non-dropping-particle":"","parse-names":false,"suffix":""},{"dropping-particle":"","family":"Termonia","given":"Piet","non-dropping-particle":"","parse-names":false,"suffix":""},{"dropping-particle":"","family":"Baguis","given":"Pierre","non-dropping-particle":"","parse-names":false,"suffix":""}],"container-title":"International Journal of Climatology","id":"ITEM-1","issue":"13","issued":{"date-parts":[["2011","11"]]},"page":"1959-1974","title":"Effects of urbanization and climate change on surface runoff of the Brussels Capital Region: a case study using an urban soil-vegetation-atmosphere-transfer model","type":"article-journal","volume":"31"},"uris":["http://www.mendeley.com/documents/?uuid=492b7b7c-a41f-4325-9396-70a3b3b6b000","http://www.mendeley.com/documents/?uuid=4d9024d8-e800-4174-9611-24d8f9b29627","http://www.mendeley.com/documents/?uuid=a4ec09db-53ca-403c-9784-17f38f36e140"]}],"mendeley":{"formattedCitation":"[11]","plainTextFormattedCitation":"[11]","previouslyFormattedCitation":"[11]"},"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[11]</w:t>
      </w:r>
      <w:r w:rsidRPr="005957F0">
        <w:rPr>
          <w:rFonts w:cs="Times New Roman"/>
          <w:szCs w:val="24"/>
        </w:rPr>
        <w:fldChar w:fldCharType="end"/>
      </w:r>
      <w:r w:rsidRPr="00240979">
        <w:rPr>
          <w:rFonts w:cs="Times New Roman"/>
          <w:szCs w:val="24"/>
          <w:lang w:val="en-US"/>
        </w:rPr>
        <w:t xml:space="preserve">. With more runoff running on the ground surface, it means more water reaches the nearby stream exceeding the carrying capacity, and eventually floods </w:t>
      </w:r>
      <w:r w:rsidRPr="005957F0">
        <w:rPr>
          <w:rFonts w:cs="Times New Roman"/>
          <w:szCs w:val="24"/>
        </w:rPr>
        <w:fldChar w:fldCharType="begin" w:fldLock="1"/>
      </w:r>
      <w:r w:rsidR="00FA5896">
        <w:rPr>
          <w:rFonts w:cs="Times New Roman"/>
          <w:szCs w:val="24"/>
          <w:lang w:val="en-US"/>
        </w:rPr>
        <w:instrText>ADDIN CSL_CITATION {"citationItems":[{"id":"ITEM-1","itemData":{"DOI":"10.1016/j.watres.2019.114852","ISSN":"18792448","PMID":"31325702","abstract":"Urban flooding has become a global issue due to climate change, urbanization and limitation in the capacity of urban drainage infrastructures. To tackle the growing threats, it is crucial to understand urban surface flood resilience, i.e., how urban drainage catchments can resist against and recover from flooding. This study proposes a grid cell based resilience metric to assess urban surface flood resilience at the urban drainage catchment scale. The new metric is defined as the ratio of the number of unflooded grid cells to the total grid cell number in an urban drainage catchment. A two-dimensional Cellular Automata based model CADDIES is used to simulate urban surface flooding. This methodology is demonstrated using a case study in Dalian, China, which is divided into 31 urban drainage catchments for flood resilience analysis. Results show the high resolution resilience assessment identifies vulnerable catchments and helps develop effective adaptation strategies to enhance urban surface flood resilience. Comparison of the new metric with an existing metric reveals that new metric has the advantage of fully reflecting the changing process of system performance. Effectiveness of adaptation strategies for enhancing urban surface flood resilience is discussed for different catchments. This study provides a new way to characterize urban flood resilience and an in-depth understanding of flood resilience for urban drainage catchments of different characteristics, and thus help develop effective intervention strategies for sustainable sponge city development.","author":[{"dropping-particle":"","family":"Wang","given":"Yuntao","non-dropping-particle":"","parse-names":false,"suffix":""},{"dropping-particle":"","family":"Meng","given":"Fanlin","non-dropping-particle":"","parse-names":false,"suffix":""},{"dropping-particle":"","family":"Liu","given":"Haixing","non-dropping-particle":"","parse-names":false,"suffix":""},{"dropping-particle":"","family":"Zhang","given":"Chi","non-dropping-particle":"","parse-names":false,"suffix":""},{"dropping-particle":"","family":"Fu","given":"Guangtao","non-dropping-particle":"","parse-names":false,"suffix":""}],"container-title":"Water Research","id":"ITEM-1","issued":{"date-parts":[["2019"]]},"title":"Assessing catchment scale flood resilience of urban areas using a grid cell based metric","type":"article-journal"},"uris":["http://www.mendeley.com/documents/?uuid=61f31bfb-9fab-4646-a05e-64204d01fd2b","http://www.mendeley.com/documents/?uuid=d939807e-2ffa-4efc-833b-b844b9706e24","http://www.mendeley.com/documents/?uuid=e15706d9-80b2-4028-a842-6369079c7cd2"]}],"mendeley":{"formattedCitation":"[12]","plainTextFormattedCitation":"[12]","previouslyFormattedCitation":"[12]"},"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[12]</w:t>
      </w:r>
      <w:r w:rsidRPr="005957F0">
        <w:rPr>
          <w:rFonts w:cs="Times New Roman"/>
          <w:szCs w:val="24"/>
        </w:rPr>
        <w:fldChar w:fldCharType="end"/>
      </w:r>
      <w:r w:rsidRPr="00240979">
        <w:rPr>
          <w:rFonts w:cs="Times New Roman"/>
          <w:szCs w:val="24"/>
          <w:lang w:val="en-US"/>
        </w:rPr>
        <w:t xml:space="preserve">. This also means that more water reaches the nearby dam, which is located downstream, surpassing the flow rate employed during the design phase of the structure, putting it at risk of failure </w:t>
      </w:r>
      <w:r w:rsidRPr="005957F0">
        <w:rPr>
          <w:rFonts w:cs="Times New Roman"/>
          <w:szCs w:val="24"/>
        </w:rPr>
        <w:fldChar w:fldCharType="begin" w:fldLock="1"/>
      </w:r>
      <w:r w:rsidR="00FA5896">
        <w:rPr>
          <w:rFonts w:cs="Times New Roman"/>
          <w:szCs w:val="24"/>
          <w:lang w:val="en-US"/>
        </w:rPr>
        <w:instrText>ADDIN CSL_CITATION {"citationItems":[{"id":"ITEM-1","itemData":{"DOI":"10.1016/j.enggeo.2011.05.002","ISSN":"00137952","abstract":"Typhoon Morakot (2009) caused serious damage in southern Taiwan due to intensive rainfall with long duration. The issue of greatest concern arising from the disasters brought about by this extreme event was the burying of the entire village of Hsiaolin by a massive debris flow and landslide. Based on seismological and near-surface magnetic data, this tragic scenario arose due to a combination of events, a massive landslide, the formation of a landslide dam, and the consequent debris flow when this dam was breached. The objective of this part of the study is to investigate the spatial and temporal characteristics of the debris flow induced by the landslide breach. The US National Weather Service BREACH model and the Federal Emergency Management Agency approved FLO-2D model are integrated to facilitate the investigation of this catastrophe. A series of simulations including a 2D rainfall-runoff simulation over the Cishan River basin, landslide dam breach routing, and 2D debris flow simulation around the Hsiaolin Village were conducted. Hydraulic calculations were performed to determine the equivalent top elevation of the landslide dam based on inflows computed from the 2D rainfall-runoff simulation in association with the Digital Terrain Model (DTM) and upstream constraint of the backwater inundation areas. The hydrograph of the upstream inflow which induced overtopping failure was provided by a 2D rainfall-runoff simulation using the FLO-2D model calibrated by comparison with the downstream discharge record. The longevity of the landslide dam was less than 1h, and it took only about 8 minutes to completely breach. The peak discharge rate of this massive landslide dam breach was 70,649m3/s. The dam break hydrograph was then used for upstream inflow to drive the FLO-2D debris flow simulation. The average sediment concentration by volume was 0.362. The simulated deposited sediment depth showed a reasonable match to the differences of DTMs before and after the disaster. © 2011 Elsevier B.V.","author":[{"dropping-particle":"","family":"Li","given":"Ming-Hsu","non-dropping-particle":"","parse-names":false,"suffix":""},{"dropping-particle":"","family":"Sung","given":"Rui-Tang","non-dropping-particle":"","parse-names":false,"suffix":""},{"dropping-particle":"","family":"Dong","given":"Jia-Jyun","non-dropping-particle":"","parse-names":false,"suffix":""},{"dropping-particle":"","family":"Lee","given":"Chyi-Tyi","non-dropping-particle":"","parse-names":false,"suffix":""},{"dropping-particle":"","family":"Chen","given":"Chien-Chih","non-dropping-particle":"","parse-names":false,"suffix":""}],"container-title":"Engineering Geology","id":"ITEM-1","issue":"1-2","issued":{"date-parts":[["2011","11"]]},"page":"60-71","title":"The formation and breaching of a short-lived landslide dam at Hsiaolin Village, Taiwan — Part II: Simulation of debris flow with landslide dam breach","type":"article-journal","volume":"123"},"uris":["http://www.mendeley.com/documents/?uuid=ffa1306b-027f-46de-87c4-2dcc58818143","http://www.mendeley.com/documents/?uuid=39f4ed6b-00ea-4ef5-95f0-b0f7fc121ffe","http://www.mendeley.com/documents/?uuid=b8b8889e-9b7a-4369-8543-f75f7281a107"]},{"id":"ITEM-2","itemData":{"DOI":"10.1051/e3sconf/202017706002","ISSN":"2267-1242","abstract":"The tailing dump operation periodically leads to the failures. A number of failures that have occurred is related to the underestimation of the exposure to atmospheric precipitations (heavy rains, heavy snowmelt, etc.) on the tailings dams. The studies performed during the previous 50 years indicate the need to consider the climate change when calculating both the long-term average and storm runoff and substantiating the engineering solutions in the tailing dump design. The digital elevation models (DEMs) can be used as a basis for solving the problems of hydrological and hydrogeological modeling. Due to the diversity of such models, it is necessary to develop a methodology for its preparation, evaluate the necessary degree of the material post-processing, and determine the time frame for research.","author":[{"dropping-particle":"","family":"Rybnikov","given":"Petr","non-dropping-particle":"","parse-names":false,"suffix":""},{"dropping-particle":"","family":"Smirnov","given":"Alexander","non-dropping-particle":"","parse-names":false,"suffix":""}],"container-title":"E3S Web of Conferences","editor":[{"dropping-particle":"","family":"Apakashev","given":"R.","non-dropping-particle":"","parse-names":false,"suffix":""},{"dropping-particle":"","family":"Simisinov","given":"D.","non-dropping-particle":"","parse-names":false,"suffix":""},{"dropping-particle":"","family":"Glebov","given":"A.","non-dropping-particle":"","parse-names":false,"suffix":""}],"id":"ITEM-2","issued":{"date-parts":[["2020","7"]]},"page":"06002","title":"Quality analysis of the Earth remote sensing data in the surface runoff modeling for failure prediction at the tailing dumps","type":"article-journal","volume":"177"},"uris":["http://www.mendeley.com/documents/?uuid=2e504887-094d-48e8-806a-8a849947b6a9","http://www.mendeley.com/documents/?uuid=7238205c-f02b-488c-be09-922513d6d595","http://www.mendeley.com/documents/?uuid=2d13be0a-4e78-446b-8b1d-188b001b4c2f"]}],"mendeley":{"formattedCitation":"[13,14]","plainTextFormattedCitation":"[13,14]","previouslyFormattedCitation":"[13,14]"},"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[13,14]</w:t>
      </w:r>
      <w:r w:rsidRPr="005957F0">
        <w:rPr>
          <w:rFonts w:cs="Times New Roman"/>
          <w:szCs w:val="24"/>
        </w:rPr>
        <w:fldChar w:fldCharType="end"/>
      </w:r>
      <w:r w:rsidRPr="00240979">
        <w:rPr>
          <w:rFonts w:cs="Times New Roman"/>
          <w:szCs w:val="24"/>
          <w:lang w:val="en-US"/>
        </w:rPr>
        <w:t xml:space="preserve">. There are already many cases where dams failed due to an increase in runoff, including; </w:t>
      </w:r>
      <w:r w:rsidR="00F9037D">
        <w:rPr>
          <w:rFonts w:cs="Times New Roman"/>
          <w:szCs w:val="24"/>
          <w:lang w:val="en-US"/>
        </w:rPr>
        <w:t xml:space="preserve">the </w:t>
      </w:r>
      <w:r w:rsidRPr="00240979">
        <w:rPr>
          <w:rFonts w:cs="Times New Roman"/>
          <w:szCs w:val="24"/>
          <w:lang w:val="en-US"/>
        </w:rPr>
        <w:t xml:space="preserve">Bilberry reservoir </w:t>
      </w:r>
      <w:r w:rsidRPr="005957F0">
        <w:rPr>
          <w:rFonts w:cs="Times New Roman"/>
          <w:szCs w:val="24"/>
        </w:rPr>
        <w:fldChar w:fldCharType="begin" w:fldLock="1"/>
      </w:r>
      <w:r w:rsidR="00FA5896">
        <w:rPr>
          <w:rFonts w:cs="Times New Roman"/>
          <w:szCs w:val="24"/>
          <w:lang w:val="en-US"/>
        </w:rPr>
        <w:instrText>ADDIN CSL_CITATION {"citationItems":[{"id":"ITEM-1","itemData":{"DOI":"10.1680/riacw.31395.0039","abstract":"Popular demand for reservoir safety legislation arose in the middle of the nineteenth century as a result of two dam failures which caused major loss of life. Factors that led to the long delay in introducing legislation and significant influences on the form taken by the reservoir safety legislation enacted in 1930 and 1975 are identified. Introduction Bilberry 1852 Dale Dyke 1864 Select Committee on the Waterworks Bill 1865 Eigiau and Coedty 1925 Edward Sandeman and the Times Reservoirs (Safety Provisions) Act, 1930 Institution of Civil Engineers Report 1966 Reservoirs Act 1975 Further Developments Conclusions Acknowledgements References","author":[{"dropping-particle":"","family":"Charles","given":"J A","non-dropping-particle":"","parse-names":false,"suffix":""}],"container-title":"Reservoirs in a Changing World","id":"ITEM-1","issued":{"date-parts":[["2002","1"]]},"page":"494-509","publisher":"Thomas Telford Publishing","title":"A historical perspective on reservoir safety legislation in the United Kingdom","type":"chapter"},"uris":["http://www.mendeley.com/documents/?uuid=ea6e4cf4-b0b8-404c-a23d-d7ca3da66cea","http://www.mendeley.com/documents/?uuid=3af316d1-18fe-4206-aa09-58e04fe14493","http://www.mendeley.com/documents/?uuid=9f77abbd-a22f-40e6-8da7-1546764b97e6"]}],"mendeley":{"formattedCitation":"[15]","plainTextFormattedCitation":"[15]","previouslyFormattedCitation":"[15]"},"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[15]</w:t>
      </w:r>
      <w:r w:rsidRPr="005957F0">
        <w:rPr>
          <w:rFonts w:cs="Times New Roman"/>
          <w:szCs w:val="24"/>
        </w:rPr>
        <w:fldChar w:fldCharType="end"/>
      </w:r>
      <w:r w:rsidRPr="00240979">
        <w:rPr>
          <w:rFonts w:cs="Times New Roman"/>
          <w:szCs w:val="24"/>
          <w:lang w:val="en-US"/>
        </w:rPr>
        <w:t xml:space="preserve">, which failed in 1852 in Holme Valley, West Yorkshire, England; Hauser Dam in the United States, </w:t>
      </w:r>
      <w:r w:rsidR="00F9037D">
        <w:rPr>
          <w:rFonts w:cs="Times New Roman"/>
          <w:szCs w:val="24"/>
          <w:lang w:val="en-US"/>
        </w:rPr>
        <w:t xml:space="preserve">which </w:t>
      </w:r>
      <w:r w:rsidRPr="00240979">
        <w:rPr>
          <w:rFonts w:cs="Times New Roman"/>
          <w:szCs w:val="24"/>
          <w:lang w:val="en-US"/>
        </w:rPr>
        <w:t xml:space="preserve">failed in 1908 </w:t>
      </w:r>
      <w:r w:rsidRPr="005957F0">
        <w:rPr>
          <w:rFonts w:cs="Times New Roman"/>
          <w:szCs w:val="24"/>
        </w:rPr>
        <w:fldChar w:fldCharType="begin" w:fldLock="1"/>
      </w:r>
      <w:r w:rsidR="00FA5896">
        <w:rPr>
          <w:rFonts w:cs="Times New Roman"/>
          <w:szCs w:val="24"/>
          <w:lang w:val="en-US"/>
        </w:rPr>
        <w:instrText>ADDIN CSL_CITATION {"citationItems":[{"id":"ITEM-1","itemData":{"DOI":"10.5917/jagh1987.40.33","ISSN":"0913-4182","author":[{"dropping-particle":"","family":"TANAKA","given":"Tsutomu","non-dropping-particle":"","parse-names":false,"suffix":""},{"dropping-particle":"","family":"NAGAI","given":"Shigeru","non-dropping-particle":"","parse-names":false,"suffix":""}],"container-title":"Journal of Groundwater Hydrology","id":"ITEM-1","issue":"1","issued":{"date-parts":[["1998"]]},"page":"33-42","title":"A Case Study on Seepage Failure of Hauser Lake Dam","type":"article-journal","volume":"40"},"uris":["http://www.mendeley.com/documents/?uuid=76ce50c5-7beb-4851-b6b4-763c9983d2f5","http://www.mendeley.com/documents/?uuid=b8cf11e7-b81d-4014-9c2a-8407a52966ed","http://www.mendeley.com/documents/?uuid=17629c5a-829e-4916-a5e7-6d2ff134bc83"]}],"mendeley":{"formattedCitation":"[16]","plainTextFormattedCitation":"[16]","previouslyFormattedCitation":"[16]"},"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[16]</w:t>
      </w:r>
      <w:r w:rsidRPr="005957F0">
        <w:rPr>
          <w:rFonts w:cs="Times New Roman"/>
          <w:szCs w:val="24"/>
        </w:rPr>
        <w:fldChar w:fldCharType="end"/>
      </w:r>
      <w:r w:rsidRPr="00240979">
        <w:rPr>
          <w:rFonts w:cs="Times New Roman"/>
          <w:szCs w:val="24"/>
          <w:lang w:val="en-US"/>
        </w:rPr>
        <w:t xml:space="preserve">; Lower Otay Dam in the United States, failed in 1916 </w:t>
      </w:r>
      <w:r w:rsidRPr="005957F0">
        <w:rPr>
          <w:rFonts w:cs="Times New Roman"/>
          <w:szCs w:val="24"/>
        </w:rPr>
        <w:fldChar w:fldCharType="begin" w:fldLock="1"/>
      </w:r>
      <w:r w:rsidR="00FA5896">
        <w:rPr>
          <w:rFonts w:cs="Times New Roman"/>
          <w:szCs w:val="24"/>
          <w:lang w:val="en-US"/>
        </w:rPr>
        <w:instrText>ADDIN CSL_CITATION {"citationItems":[{"id":"ITEM-1","itemData":{"DOI":"10.1061/TACEAT.0000675","ISSN":"0066-0604","author":[{"dropping-particle":"","family":"Schuyler","given":"James D.","non-dropping-particle":"","parse-names":false,"suffix":""}],"container-title":"Transactions of the American Society of Civil Engineers","id":"ITEM-1","issue":"2","issued":{"date-parts":[["1888","1"]]},"page":"201-218","title":"The Construction of the Sweetwater Dam","type":"article-journal","volume":"19"},"uris":["http://www.mendeley.com/documents/?uuid=d2cd74b0-354c-475e-b628-f5482e29dff7","http://www.mendeley.com/documents/?uuid=11853d91-011e-4315-bbc6-3b4385e5772a","http://www.mendeley.com/documents/?uuid=2c2efd6e-0e93-4112-94bb-6e6a6736b941"]},{"id":"ITEM-2","itemData":{"DOI":"10.1061/ciegag.0000799","ISSN":"2381-0688","author":[{"dropping-particle":"","family":"Hansen","given":"Brett","non-dropping-particle":"","parse-names":false,"suffix":""}],"container-title":"Civil Engineering Magazine Archive","id":"ITEM-2","issue":"6","issued":{"date-parts":[["2007","6"]]},"page":"36-37","title":"Stemming the Flow: The Sweetwater Dam","type":"article-journal","volume":"77"},"uris":["http://www.mendeley.com/documents/?uuid=36304c36-0941-43db-8efe-1aa2faa8509d","http://www.mendeley.com/documents/?uuid=290008f0-f13d-4efc-83d1-c208b632994d","http://www.mendeley.com/documents/?uuid=506c0d7b-4ff2-4417-ae7c-7f0687218b66"]}],"mendeley":{"formattedCitation":"[17,18]","plainTextFormattedCitation":"[17,18]","previouslyFormattedCitation":"[17,18]"},"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[17,18]</w:t>
      </w:r>
      <w:r w:rsidRPr="005957F0">
        <w:rPr>
          <w:rFonts w:cs="Times New Roman"/>
          <w:szCs w:val="24"/>
        </w:rPr>
        <w:fldChar w:fldCharType="end"/>
      </w:r>
      <w:r w:rsidRPr="00240979">
        <w:rPr>
          <w:rFonts w:cs="Times New Roman"/>
          <w:szCs w:val="24"/>
          <w:lang w:val="en-US"/>
        </w:rPr>
        <w:t xml:space="preserve">; as well as the Banqiao and Shimantan Dams in China failed in 1975 </w:t>
      </w:r>
      <w:r w:rsidRPr="005957F0">
        <w:rPr>
          <w:rFonts w:cs="Times New Roman"/>
          <w:szCs w:val="24"/>
        </w:rPr>
        <w:fldChar w:fldCharType="begin" w:fldLock="1"/>
      </w:r>
      <w:r w:rsidR="00FA5896">
        <w:rPr>
          <w:rFonts w:cs="Times New Roman"/>
          <w:szCs w:val="24"/>
          <w:lang w:val="en-US"/>
        </w:rPr>
        <w:instrText>ADDIN CSL_CITATION {"citationItems":[{"id":"ITEM-1","itemData":{"DOI":"10.1061/40971(310)20","ISBN":"9780784409718","ISSN":"08950563","abstract":"During 4-8 August 1975, an extreme storm occurred in Henan Province, China. The maximum 5-day rainfall reached a record of 1,631 mm. Two large dams (Banqiao Dam and Shimandan Dam), two medium dams (Tiangang Dam and Zhugou Dam), and 58 small dams failed from overtopping in the storm event. The breach peak flow rate was as high as 78,100 m 3/s from the Banqiao reservoir and 30,000 m /s from the Shimantan reservoir. The breaching of these dams caused an inundated area of 12,000 km 2 , a death toll of over 26,000, and economic loss of more than RMB10 billion. This paper introduces 26 dam failures in a smaller region of Zhumadian, i.e., Banqiao Dam, Zhugou Dam, and 24 small dams. The catastrophic event is described in detail especially for Banqiao Dam and Zhugou Dam. The causes and mechanisms of the principal failures are discussed, as well as the influence of an upstream dam failure on the downstream dams. Lessons from the catastrophe are discussed. Copyright ASCE 2008.","author":[{"dropping-particle":"","family":"Xu","given":"Yao","non-dropping-particle":"","parse-names":false,"suffix":""},{"dropping-particle":"","family":"Zhang","given":"Limin","non-dropping-particle":"","parse-names":false,"suffix":""},{"dropping-particle":"","family":"Jia","given":"Jinsheng","non-dropping-particle":"","parse-names":false,"suffix":""}],"container-title":"GeoCongress 2008","id":"ITEM-1","issued":{"date-parts":[["2008","3"]]},"page":"162-169","publisher":"American Society of Civil Engineers","publisher-place":"Reston, VA","title":"Lessons from Catastrophic Dam Failures in August 1975 in Zhumadian, China","type":"paper-conference"},"uris":["http://www.mendeley.com/documents/?uuid=4c297424-3e24-49ac-9552-796ce9b96b83","http://www.mendeley.com/documents/?uuid=7873667a-f10d-48a4-9768-cf128ce183f6","http://www.mendeley.com/documents/?uuid=890b3c56-1af3-4afc-a1bc-84b9dcd13a5c"]}],"mendeley":{"formattedCitation":"[19]","plainTextFormattedCitation":"[19]","previouslyFormattedCitation":"[19]"},"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[19]</w:t>
      </w:r>
      <w:r w:rsidRPr="005957F0">
        <w:rPr>
          <w:rFonts w:cs="Times New Roman"/>
          <w:szCs w:val="24"/>
        </w:rPr>
        <w:fldChar w:fldCharType="end"/>
      </w:r>
      <w:r w:rsidRPr="00240979">
        <w:rPr>
          <w:rFonts w:cs="Times New Roman"/>
          <w:szCs w:val="24"/>
          <w:lang w:val="en-US"/>
        </w:rPr>
        <w:t>. In such a case, embankment dams are more prone to failure compared to concrete structures.</w:t>
      </w:r>
    </w:p>
    <w:p w14:paraId="0A1C99C4" w14:textId="388AEEB5" w:rsidR="00240979" w:rsidRPr="00240979" w:rsidRDefault="00240979" w:rsidP="00240979">
      <w:pPr>
        <w:rPr>
          <w:rFonts w:cs="Times New Roman"/>
          <w:szCs w:val="24"/>
          <w:lang w:val="en-US"/>
        </w:rPr>
      </w:pPr>
      <w:r w:rsidRPr="00240979">
        <w:rPr>
          <w:rFonts w:cs="Times New Roman"/>
          <w:szCs w:val="24"/>
          <w:lang w:val="en-US"/>
        </w:rPr>
        <w:t xml:space="preserve">However, in some circumstances, the failure does not occur right away but is subjected to a change in the long-term design maximum water level </w:t>
      </w:r>
      <w:r w:rsidRPr="005957F0">
        <w:rPr>
          <w:rFonts w:cs="Times New Roman"/>
          <w:szCs w:val="24"/>
        </w:rPr>
        <w:fldChar w:fldCharType="begin" w:fldLock="1"/>
      </w:r>
      <w:r w:rsidR="00FA5896">
        <w:rPr>
          <w:rFonts w:cs="Times New Roman"/>
          <w:szCs w:val="24"/>
          <w:lang w:val="en-US"/>
        </w:rPr>
        <w:instrText>ADDIN CSL_CITATION {"citationItems":[{"id":"ITEM-1","itemData":{"DOI":"10.1007/s10064-019-01605-z","ISSN":"1435-9529","abstract":"A loess dam is not fully compacted, so there may be a high permeability area in a loess dam. The seepage channel appears inside the dam body, and osmosis damage occurs; these events cause the dam body to be unstable and destroyed. In this paper, the loess dam in the Ansai Area, Yan’an, Shaanxi Province, China, is used as an example monitoring target, and the whole life cycle of the dam is monitored by measuring cracks, liquid level and pore pressure. The timeline regarding multiple instances of damage during the period is used as the basis for subdividing the whole life cycle, and dam damage types are distinguished according to the internal factors and external conditions. By analysing the on-site monitoring data, the dam experienced three obvious types of damage from the onset of monitoring until the dam broke. The triggering factors of the three damage types differ. One factor type is the difference in liquid levels on the two sides of the dam and the seepage channel that is then formed inside the dam. The fine-grained soil in the dam is removed from the seepage channel under the action of hydrodynamic force, the soil at the foot of the dam slope tends to be saturated under the action of osmotic water and the shear strength of the dam slope is reduced. When the soil weight of the upper soil is greater than the shear strength of the soil at the foot of the dam, the first damage type occurs; therefore, it is called “internal erosion damage”. The second type of damage is attributed to the softening of the dam feet under immersion by rainwater, resulting in the dam collapse; it is called “slumping damage”. The third type of damage is due to the infiltration of rainwater through a crack at the top of the dam. The soil at the top of the dam slides along the rainwater intrusion surface, and the width of the dam top is continuously decreased until it completely disappears; therefore, it is called “slippery damage”. On that basis, the loess dam failure modes are proposed due to the difference in hydrodynamic forces on the two sides of the dam and formation of a seepage channel. The fine-grained soil is removed from the seepage channel under the action of hydrodynamic force. The seepage channel is continuously expanded, the soil at the foot of the dam is saturated under the action of seepage water, the soil shear strength is reduced, the dam body becomes unstable and the width of the dam crest is decreased. Under the joint action of infiltration and rainfall, t…","author":[{"dropping-particle":"","family":"Xu","given":"Jiangbo","non-dropping-particle":"","parse-names":false,"suffix":""},{"dropping-particle":"","family":"Wei","given":"Wei","non-dropping-particle":"","parse-names":false,"suffix":""},{"dropping-particle":"","family":"Bao","given":"Han","non-dropping-particle":"","parse-names":false,"suffix":""},{"dropping-particle":"","family":"Zhang","given":"Keke","non-dropping-particle":"","parse-names":false,"suffix":""},{"dropping-particle":"","family":"Lan","given":"Hengxing","non-dropping-particle":"","parse-names":false,"suffix":""},{"dropping-particle":"","family":"Yan","given":"Changgen","non-dropping-particle":"","parse-names":false,"suffix":""},{"dropping-particle":"","family":"Sun","given":"Weifeng","non-dropping-particle":"","parse-names":false,"suffix":""}],"container-title":"Bulletin of Engineering Geology and the Environment","id":"ITEM-1","issue":"2","issued":{"date-parts":[["2020","3"]]},"page":"1009-1021","title":"Failure models of a loess stacked dam: a case study in the Ansai Area (China)","type":"article-journal","volume":"79"},"uris":["http://www.mendeley.com/documents/?uuid=8603b6c7-7294-471e-88aa-a82aea62886b","http://www.mendeley.com/documents/?uuid=7ea7f469-8e8d-4b3e-9404-ae8a73c56ea1","http://www.mendeley.com/documents/?uuid=8b44f2ca-1116-4265-aec0-0b1e88ca6dfe"]}],"mendeley":{"formattedCitation":"[20]","plainTextFormattedCitation":"[20]","previouslyFormattedCitation":"[20]"},"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[20]</w:t>
      </w:r>
      <w:r w:rsidRPr="005957F0">
        <w:rPr>
          <w:rFonts w:cs="Times New Roman"/>
          <w:szCs w:val="24"/>
        </w:rPr>
        <w:fldChar w:fldCharType="end"/>
      </w:r>
      <w:r w:rsidRPr="00240979">
        <w:rPr>
          <w:rFonts w:cs="Times New Roman"/>
          <w:szCs w:val="24"/>
          <w:lang w:val="en-US"/>
        </w:rPr>
        <w:t xml:space="preserve">. </w:t>
      </w:r>
      <w:r w:rsidR="00051D90" w:rsidRPr="00051D90">
        <w:rPr>
          <w:rFonts w:cs="Times New Roman"/>
          <w:szCs w:val="24"/>
          <w:lang w:val="en-US"/>
        </w:rPr>
        <w:t xml:space="preserve">It should also be noted that when the long-term maximum water level changes, the pattern of seepage within </w:t>
      </w:r>
      <w:r w:rsidR="00F9037D">
        <w:rPr>
          <w:rFonts w:cs="Times New Roman"/>
          <w:szCs w:val="24"/>
          <w:lang w:val="en-US"/>
        </w:rPr>
        <w:t xml:space="preserve">the </w:t>
      </w:r>
      <w:r w:rsidR="00051D90" w:rsidRPr="00051D90">
        <w:rPr>
          <w:rFonts w:cs="Times New Roman"/>
          <w:szCs w:val="24"/>
          <w:lang w:val="en-US"/>
        </w:rPr>
        <w:t xml:space="preserve">embankment changes, resulting in a new pattern that was not anticipated during the design process </w:t>
      </w:r>
      <w:r w:rsidRPr="005957F0">
        <w:rPr>
          <w:rFonts w:cs="Times New Roman"/>
          <w:szCs w:val="24"/>
        </w:rPr>
        <w:fldChar w:fldCharType="begin" w:fldLock="1"/>
      </w:r>
      <w:r w:rsidR="00FA5896">
        <w:rPr>
          <w:rFonts w:cs="Times New Roman"/>
          <w:szCs w:val="24"/>
          <w:lang w:val="en-US"/>
        </w:rPr>
        <w:instrText>ADDIN CSL_CITATION {"citationItems":[{"id":"ITEM-1","itemData":{"DOI":"10.3997/1873-0604.2009023","ISSN":"1569-4445","abstract":"Methods for monitoring seepage are important for the safety of embankment dams. Increased seepage may be associated with internal erosion in the dam and internal erosion is one of the main reasons for dam failures. Internal erosion progresses inside the dam and is difficult to detect by conventional methods. Therefore there is a need for new or improved methods. The resistivity method is a nondestructive method that may accomplish this task. It has been tried in an on-going research programme in Sweden. Daily resistivity measurements are carried out on permanent installations on two Swedish embankment dams. In this paper the installations on the Sädva embankment dam are described and selected parts of the results are presented. In addition, a method for evaluating the seepage from resistivity monitoring data is theoretically described and tested for four selected areas in the foundation of the Sädva dam. Seasonal resistivity variations are apparent in the reservoir as well as inside the dam. Most parts of the dam have a homogeneous resistivity distribution with consistent variations. The overall status of the dam is satisfactory. However part of the foundation demonstrates a slightly different behaviour pattern with regard to the seasonal variation. The four selected areas represent localities with low, intermediate and high variations in seasonal resistivity. The areas are compared qualitatively and thereby permeable zones within the dam may be identified. Quantitative assessment of the seepage flow is also carried out as an initial test of the described method. It is concluded that the experiences from the Sädva dam are valuable with regard to the use of the resistivity method on embankment dams. Resistivity monitoring data may be used to qualitatively assess the seepage through the dam. For quantitative assessment, the method is promising and the data from the Sädva dam constitute an interesting initial approach. However, many assumptions and simplifications are made and more work on refining the method is needed. © 2009 European Association of Geoscientists &amp; Engineers.","author":[{"dropping-particle":"","family":"Sjödahl","given":"P.","non-dropping-particle":"","parse-names":false,"suffix":""},{"dropping-particle":"","family":"Dahlin","given":"T.","non-dropping-particle":"","parse-names":false,"suffix":""},{"dropping-particle":"","family":"Johansson","given":"S.","non-dropping-particle":"","parse-names":false,"suffix":""}],"container-title":"Near Surface Geophysics","id":"ITEM-1","issue":"5-6","issued":{"date-parts":[["2009","10"]]},"page":"463-474","title":"Embankment dam seepage evaluation from resistivity monitoring data","type":"article-journal","volume":"7"},"uris":["http://www.mendeley.com/documents/?uuid=9985ad61-00f8-4f58-a40c-01be659b59d0","http://www.mendeley.com/documents/?uuid=23493607-ae88-4c67-adee-0060a417dbe1","http://www.mendeley.com/documents/?uuid=14b103a2-8196-4b11-b3ee-7f392e8add3c"]}],"mendeley":{"formattedCitation":"[21]","plainTextFormattedCitation":"[21]","previouslyFormattedCitation":"[21]"},"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[21]</w:t>
      </w:r>
      <w:r w:rsidRPr="005957F0">
        <w:rPr>
          <w:rFonts w:cs="Times New Roman"/>
          <w:szCs w:val="24"/>
        </w:rPr>
        <w:fldChar w:fldCharType="end"/>
      </w:r>
      <w:r w:rsidRPr="00240979">
        <w:rPr>
          <w:rFonts w:cs="Times New Roman"/>
          <w:szCs w:val="24"/>
          <w:lang w:val="en-US"/>
        </w:rPr>
        <w:t xml:space="preserve">. Moreover, when the hydrological pattern in the catchment changes, the dam receives a new long-term water level that was not anticipated when the dam was designed. The dam may be subjected to progressive failure as a result of the new type of loading condition. The worst-case situation is when the dam is rapidly drained while the design long-term water level has changed </w:t>
      </w:r>
      <w:r w:rsidRPr="005957F0">
        <w:rPr>
          <w:rFonts w:cs="Times New Roman"/>
          <w:szCs w:val="24"/>
        </w:rPr>
        <w:fldChar w:fldCharType="begin" w:fldLock="1"/>
      </w:r>
      <w:r w:rsidR="00FA5896">
        <w:rPr>
          <w:rFonts w:cs="Times New Roman"/>
          <w:szCs w:val="24"/>
          <w:lang w:val="en-US"/>
        </w:rPr>
        <w:instrText>ADDIN CSL_CITATION {"citationItems":[{"id":"ITEM-1","itemData":{"DOI":"10.15446/ing.investig.v40n1.80002","ISSN":"2248-8723","abstract":"The present work intends to demonstrate the advantages of considering transient flow regime in the stability analysis of the upstream slope for the rapid drawdown situation of a homogeneous earth dam. Upstream slope stability evaluations were carried out, considering pore pressure and suction from transient flow analysis while simulating rapid drawdown of the reservoir. The evaluations comprised different geometries of the upstream slope (from 1V:1.1H to 1V:2.5H) and heights varying from 10 m to 50 m, as well as several low permeability materials (SM, SM-SC, SC, ML, ML-CL, CL, MH and CH). In addition, equations relating the safety factor to such slopes or dam height were adjusted to the analysis data, in order to define the minimum slope for a certain dam height or the maximum height for a given upstream slope. The results have shown that, considering the transient flow condition, including suction, within the slope stability analysis of the rapid drawdown situation, increases the safety factor in relation to the simplified analysis that is usually adopted. This also results in much steeper slopes (for a safety factor of 1.1) than the ones recommended by the U.S. Bureau of Reclamation (USBR), suggesting the importance of performing transient flow analysis for rapid drawdown situations and considering its results instability analysis.","author":[{"dropping-particle":"","family":"Llanque Ayala","given":"Grover Romer","non-dropping-particle":"","parse-names":false,"suffix":""},{"dropping-particle":"","family":"Chagas da Silva Filho","given":"Francisco","non-dropping-particle":"","parse-names":false,"suffix":""},{"dropping-particle":"","family":"Ferreira Leme","given":"Rosiel","non-dropping-particle":"","parse-names":false,"suffix":""},{"dropping-particle":"","family":"Carmo Reis Cavalcanti","given":"Maria","non-dropping-particle":"Do","parse-names":false,"suffix":""},{"dropping-particle":"","family":"Fernando Mahler","given":"Claudio","non-dropping-particle":"","parse-names":false,"suffix":""}],"container-title":"Ingeniería e Investigación","id":"ITEM-1","issue":"1","issued":{"date-parts":[["2020","1"]]},"page":"17-26","title":"Rapid Drawdown in Homogeneous Earth Dam Considering Transient Flow and Suction","type":"article-journal","volume":"40"},"uris":["http://www.mendeley.com/documents/?uuid=5a02d55a-35a4-4e18-99c5-3b7b7279a20e"]}],"mendeley":{"formattedCitation":"[22]","plainTextFormattedCitation":"[22]","previouslyFormattedCitation":"[22]"},"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[22]</w:t>
      </w:r>
      <w:r w:rsidRPr="005957F0">
        <w:rPr>
          <w:rFonts w:cs="Times New Roman"/>
          <w:szCs w:val="24"/>
        </w:rPr>
        <w:fldChar w:fldCharType="end"/>
      </w:r>
      <w:r w:rsidRPr="00240979">
        <w:rPr>
          <w:rFonts w:cs="Times New Roman"/>
          <w:szCs w:val="24"/>
          <w:lang w:val="en-US"/>
        </w:rPr>
        <w:t xml:space="preserve">. </w:t>
      </w:r>
    </w:p>
    <w:p w14:paraId="0643AEF3" w14:textId="115D5488" w:rsidR="00240979" w:rsidRPr="00240979" w:rsidRDefault="00051D90" w:rsidP="00240979">
      <w:pPr>
        <w:rPr>
          <w:rFonts w:cs="Times New Roman"/>
          <w:szCs w:val="24"/>
          <w:lang w:val="en-US"/>
        </w:rPr>
      </w:pPr>
      <w:r w:rsidRPr="00051D90">
        <w:rPr>
          <w:rFonts w:cs="Times New Roman"/>
          <w:szCs w:val="24"/>
          <w:lang w:val="en-US"/>
        </w:rPr>
        <w:t>It's also worth noting that, after a lengthy period of keeping a reservoir at a reasonably constant water surface height, seepage conditions within the embankment are likely to have stabilized</w:t>
      </w:r>
      <w:r w:rsidR="00240979" w:rsidRPr="00240979">
        <w:rPr>
          <w:rFonts w:cs="Times New Roman"/>
          <w:szCs w:val="24"/>
          <w:lang w:val="en-US"/>
        </w:rPr>
        <w:t>. If the reservoir must be drained fast</w:t>
      </w:r>
      <w:r w:rsidR="0000261A" w:rsidRPr="0000261A">
        <w:rPr>
          <w:rFonts w:cs="Times New Roman"/>
          <w:szCs w:val="24"/>
          <w:lang w:val="en-US"/>
        </w:rPr>
        <w:t>, the embankment's pore-water pressures may stay rather high</w:t>
      </w:r>
      <w:r w:rsidR="00240979" w:rsidRPr="00240979">
        <w:rPr>
          <w:rFonts w:cs="Times New Roman"/>
          <w:szCs w:val="24"/>
          <w:lang w:val="en-US"/>
        </w:rPr>
        <w:t xml:space="preserve"> while the reservoir's weight along the upstream side of the embankment acts as a stabilizing force. This is sometimes referred to as 'rapid drawdown,' and it might result in embankment instability on the upstream face </w:t>
      </w:r>
      <w:r w:rsidR="00240979" w:rsidRPr="005957F0">
        <w:rPr>
          <w:rFonts w:cs="Times New Roman"/>
          <w:szCs w:val="24"/>
        </w:rPr>
        <w:fldChar w:fldCharType="begin" w:fldLock="1"/>
      </w:r>
      <w:r w:rsidR="00FA5896">
        <w:rPr>
          <w:rFonts w:cs="Times New Roman"/>
          <w:szCs w:val="24"/>
          <w:lang w:val="en-US"/>
        </w:rPr>
        <w:instrText>ADDIN CSL_CITATION {"citationItems":[{"id":"ITEM-1","itemData":{"author":[{"dropping-particle":"","family":"GEO-SLOPE International Ltd","given":"","non-dropping-particle":"","parse-names":false,"suffix":""}],"container-title":"GEO-SLOPE International Ltd","id":"ITEM-1","issued":{"date-parts":[["2002"]]},"number":"2018 R2","page":"1-7","publisher":"GEO-SLOPE International Ltd","publisher-place":"Calgary, AB, Canada","title":"Rapid Drawdown","type":"article"},"uris":["http://www.mendeley.com/documents/?uuid=beb3f64c-a286-4daa-a9fd-08ba826b50c3","http://www.mendeley.com/documents/?uuid=4eb15b46-b2eb-4f68-9728-e9c52b4c60be"]}],"mendeley":{"formattedCitation":"[23]","plainTextFormattedCitation":"[23]","previouslyFormattedCitation":"[23]"},"properties":{"noteIndex":0},"schema":"https://github.com/citation-style-language/schema/raw/master/csl-citation.json"}</w:instrText>
      </w:r>
      <w:r w:rsidR="00240979" w:rsidRPr="005957F0">
        <w:rPr>
          <w:rFonts w:cs="Times New Roman"/>
          <w:szCs w:val="24"/>
        </w:rPr>
        <w:fldChar w:fldCharType="separate"/>
      </w:r>
      <w:r w:rsidR="0032684D" w:rsidRPr="0032684D">
        <w:rPr>
          <w:rFonts w:cs="Times New Roman"/>
          <w:noProof/>
          <w:szCs w:val="24"/>
          <w:lang w:val="en-US"/>
        </w:rPr>
        <w:t>[23]</w:t>
      </w:r>
      <w:r w:rsidR="00240979" w:rsidRPr="005957F0">
        <w:rPr>
          <w:rFonts w:cs="Times New Roman"/>
          <w:szCs w:val="24"/>
        </w:rPr>
        <w:fldChar w:fldCharType="end"/>
      </w:r>
      <w:r w:rsidR="00240979" w:rsidRPr="00240979">
        <w:rPr>
          <w:rFonts w:cs="Times New Roman"/>
          <w:szCs w:val="24"/>
          <w:lang w:val="en-US"/>
        </w:rPr>
        <w:t>. As a result, investigating all of these variables during the design phase of an embankment dam is crucial.</w:t>
      </w:r>
    </w:p>
    <w:p w14:paraId="6D9B6356" w14:textId="47B75A35" w:rsidR="00240979" w:rsidRPr="00240979" w:rsidRDefault="00240979" w:rsidP="00240979">
      <w:pPr>
        <w:rPr>
          <w:rFonts w:cs="Times New Roman"/>
          <w:szCs w:val="24"/>
          <w:lang w:val="en-US"/>
        </w:rPr>
      </w:pPr>
      <w:r w:rsidRPr="00240979">
        <w:rPr>
          <w:rFonts w:cs="Times New Roman"/>
          <w:szCs w:val="24"/>
          <w:lang w:val="en-US"/>
        </w:rPr>
        <w:t xml:space="preserve">Unfortunately, traditional dam design methodologies have a hard time accounting for both land use changes and climatic conditions throughout the design phase. As a result, combining Geographical Information System (GIS) approaches with numerical modeling provides a more advanced approach to incorporating these aspects into embankment dam design </w:t>
      </w:r>
      <w:r w:rsidRPr="005957F0">
        <w:rPr>
          <w:rFonts w:cs="Times New Roman"/>
          <w:szCs w:val="24"/>
        </w:rPr>
        <w:fldChar w:fldCharType="begin" w:fldLock="1"/>
      </w:r>
      <w:r w:rsidR="00FA5896">
        <w:rPr>
          <w:rFonts w:cs="Times New Roman"/>
          <w:szCs w:val="24"/>
          <w:lang w:val="en-US"/>
        </w:rPr>
        <w:instrText>ADDIN CSL_CITATION {"citationItems":[{"id":"ITEM-1","itemData":{"DOI":"10.37279/2413-1873-2021-20-43-51","ISSN":"2413-1873","abstract":"The use of geographic information systems (GIS) is widespread in water resources management. One of the development stages in this area was the use of GIS information not only for matching and executing queries, but also for analyzing trends and making decisions using applications that provide spatial analysis. GIS provides the ability to process spatial information and represent it using a similar reality model that represents spatial features from a point, line, and polygon, and thematic information. Spatial analysis in GIS includes a set of procedures used to study the structure and territorial relations based on knowledge of the position and characteristics of geographical features of the corresponding variables. Subject: delineation of areas for potential location of dams with the use of geospatial algorithms for distance. The research is based on the hypothesis that from geospatial analysis of the distances between peaks extracted from the .shp layers of rivers and areas of great importance for protection, it is possible to delineate potential areas for dam construction. Materials and methods: literature sources and results of preliminary experimental studies are analyzed, experimental planning is carried out. Results: This study examines the use of algorithms for processing distances between points used in the field of service geography, in connection with the use of localization and distribution models. To do this, algorithms are compared using criteria such as processing time, the ability to create new layers, and creating tables of distances between objects belonging to different layers. Conclusions: This evaluation is performed in order to select the most appropriate algorithm for selecting suitable points that can be evaluated in future analysis of localization and dam construction.","author":[{"dropping-particle":"","family":"Rodríguez Vázquez","given":"S.","non-dropping-particle":"","parse-names":false,"suffix":""},{"dropping-particle":"V.","family":"Makrova","given":"N.","non-dropping-particle":"","parse-names":false,"suffix":""}],"container-title":"Construction and industrial safety","id":"ITEM-1","issue":"20(72)","issued":{"date-parts":[["2021"]]},"page":"43-51","title":"VECTOR-SPATIAL ANALYSIS OF GIS APPLICATION LAYERS FOR PLACING STRATEGIC POINTS IN DAM DESIGN","type":"article-journal"},"uris":["http://www.mendeley.com/documents/?uuid=15f76797-552d-48d7-995f-af329bc56ac5","http://www.mendeley.com/documents/?uuid=1d36b461-ae90-4d9a-a27a-a54002ef9ed1","http://www.mendeley.com/documents/?uuid=3533f2ce-446f-4181-9163-3a46acc7f7c7"]}],"mendeley":{"formattedCitation":"[24]","plainTextFormattedCitation":"[24]","previouslyFormattedCitation":"[24]"},"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[24]</w:t>
      </w:r>
      <w:r w:rsidRPr="005957F0">
        <w:rPr>
          <w:rFonts w:cs="Times New Roman"/>
          <w:szCs w:val="24"/>
        </w:rPr>
        <w:fldChar w:fldCharType="end"/>
      </w:r>
      <w:r w:rsidRPr="00240979">
        <w:rPr>
          <w:rFonts w:cs="Times New Roman"/>
          <w:szCs w:val="24"/>
          <w:lang w:val="en-US"/>
        </w:rPr>
        <w:t xml:space="preserve">. The SCS Curve Number </w:t>
      </w:r>
      <w:r w:rsidR="005312E2">
        <w:rPr>
          <w:rFonts w:cs="Times New Roman"/>
          <w:szCs w:val="24"/>
          <w:lang w:val="en-US"/>
        </w:rPr>
        <w:t xml:space="preserve">(CN) </w:t>
      </w:r>
      <w:r w:rsidRPr="00240979">
        <w:rPr>
          <w:rFonts w:cs="Times New Roman"/>
          <w:szCs w:val="24"/>
          <w:lang w:val="en-US"/>
        </w:rPr>
        <w:t xml:space="preserve">method is among the effective method for estimating runoff after a rainfall event in a specific location </w:t>
      </w:r>
      <w:r w:rsidRPr="005957F0">
        <w:rPr>
          <w:rFonts w:cs="Times New Roman"/>
          <w:szCs w:val="24"/>
        </w:rPr>
        <w:fldChar w:fldCharType="begin" w:fldLock="1"/>
      </w:r>
      <w:r w:rsidR="00FA5896">
        <w:rPr>
          <w:rFonts w:cs="Times New Roman"/>
          <w:szCs w:val="24"/>
          <w:lang w:val="en-US"/>
        </w:rPr>
        <w:instrText>ADDIN CSL_CITATION {"citationItems":[{"id":"ITEM-1","itemData":{"DOI":"10.3390/w13020192","ISSN":"2073-4441","abstract":"Predicting runoff in ungauged or poorly gauged watersheds is one of the key problems in applied hydrology [...]","author":[{"dropping-particle":"","family":"Soulis","given":"Konstantinos X.","non-dropping-particle":"","parse-names":false,"suffix":""}],"container-title":"Water","id":"ITEM-1","issue":"2","issued":{"date-parts":[["2021","1"]]},"page":"192","title":"Soil Conservation Service Curve Number (SCS-CN) Method: Current Applications, Remaining Challenges, and Future Perspectives","type":"article-journal","volume":"13"},"uris":["http://www.mendeley.com/documents/?uuid=7cb632c0-ffcd-4eb7-a627-2549da59c70d","http://www.mendeley.com/documents/?uuid=ba262033-e312-4db9-9814-2302d3706603","http://www.mendeley.com/documents/?uuid=dda4dfb7-b418-4824-b01e-91e9059dd78a"]}],"mendeley":{"formattedCitation":"[25]","plainTextFormattedCitation":"[25]","previouslyFormattedCitation":"[25]"},"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[25]</w:t>
      </w:r>
      <w:r w:rsidRPr="005957F0">
        <w:rPr>
          <w:rFonts w:cs="Times New Roman"/>
          <w:szCs w:val="24"/>
        </w:rPr>
        <w:fldChar w:fldCharType="end"/>
      </w:r>
      <w:r w:rsidRPr="00240979">
        <w:rPr>
          <w:rFonts w:cs="Times New Roman"/>
          <w:szCs w:val="24"/>
          <w:lang w:val="en-US"/>
        </w:rPr>
        <w:t xml:space="preserve">. The only </w:t>
      </w:r>
      <w:r w:rsidR="00A26DDC">
        <w:rPr>
          <w:rFonts w:cs="Times New Roman"/>
          <w:szCs w:val="24"/>
          <w:lang w:val="en-US"/>
        </w:rPr>
        <w:t>parameters</w:t>
      </w:r>
      <w:r w:rsidR="00A26DDC" w:rsidRPr="00240979">
        <w:rPr>
          <w:rFonts w:cs="Times New Roman"/>
          <w:szCs w:val="24"/>
          <w:lang w:val="en-US"/>
        </w:rPr>
        <w:t xml:space="preserve"> </w:t>
      </w:r>
      <w:r w:rsidRPr="00240979">
        <w:rPr>
          <w:rFonts w:cs="Times New Roman"/>
          <w:szCs w:val="24"/>
          <w:lang w:val="en-US"/>
        </w:rPr>
        <w:t xml:space="preserve">required for this procedure are rainfall and the </w:t>
      </w:r>
      <w:r w:rsidR="005312E2">
        <w:rPr>
          <w:rFonts w:cs="Times New Roman"/>
          <w:szCs w:val="24"/>
          <w:lang w:val="en-US"/>
        </w:rPr>
        <w:t>CN</w:t>
      </w:r>
      <w:r w:rsidRPr="00240979">
        <w:rPr>
          <w:rFonts w:cs="Times New Roman"/>
          <w:szCs w:val="24"/>
          <w:lang w:val="en-US"/>
        </w:rPr>
        <w:t>. In hydrology, CN is an empirical measure used to forecast direct runoff or infiltration from surplus rainfall and is determined by the hydrologic soil group</w:t>
      </w:r>
      <w:r w:rsidR="00254BBA">
        <w:rPr>
          <w:rFonts w:cs="Times New Roman"/>
          <w:szCs w:val="24"/>
          <w:lang w:val="en-US"/>
        </w:rPr>
        <w:t xml:space="preserve"> (HSG)</w:t>
      </w:r>
      <w:r w:rsidRPr="00240979">
        <w:rPr>
          <w:rFonts w:cs="Times New Roman"/>
          <w:szCs w:val="24"/>
          <w:lang w:val="en-US"/>
        </w:rPr>
        <w:t xml:space="preserve">, </w:t>
      </w:r>
      <w:r w:rsidR="00254BBA">
        <w:rPr>
          <w:rFonts w:cs="Times New Roman"/>
          <w:szCs w:val="24"/>
          <w:lang w:val="en-US"/>
        </w:rPr>
        <w:t xml:space="preserve">as well as the </w:t>
      </w:r>
      <w:r w:rsidRPr="00240979">
        <w:rPr>
          <w:rFonts w:cs="Times New Roman"/>
          <w:szCs w:val="24"/>
          <w:lang w:val="en-US"/>
        </w:rPr>
        <w:t xml:space="preserve">land use, and hydrologic state of the area </w:t>
      </w:r>
      <w:r w:rsidRPr="005957F0">
        <w:rPr>
          <w:rFonts w:cs="Times New Roman"/>
          <w:szCs w:val="24"/>
        </w:rPr>
        <w:fldChar w:fldCharType="begin" w:fldLock="1"/>
      </w:r>
      <w:r w:rsidR="00FA5896">
        <w:rPr>
          <w:rFonts w:cs="Times New Roman"/>
          <w:szCs w:val="24"/>
          <w:lang w:val="en-US"/>
        </w:rPr>
        <w:instrText>ADDIN CSL_CITATION {"citationItems":[{"id":"ITEM-1","itemData":{"DOI":"10.3390/w11010163","ISSN":"20734441","abstract":"Determining the amount of rainfall that will eventually become runoff and its pathway is a crucial process in hydrological modelling. We proposed a method to better estimate curve number by adding an additional component (AC) to better account for the effects of daily rainfall intensity on rainfall-runoff generation. This AC is determined by a regression equation developed from the relationship between the AC series derived from fine-tuned calibration processes and observed rainfall series. When incorporated into the Soil andWater Assessment Tool and tested in the Anxi Watershed, it is found, overall, the modified SWAT (SWAT-ICN) outperformed the original SWAT (SWAT-CN) in terms of stream flow, base flow, and annual extreme flow simulation. These models were further evaluated with the data sets of two adjacent watersheds. Similar results were achieved, indicating the ability of the proposed method to better estimate curve number.","author":[{"dropping-particle":"","family":"Zhang","given":"Dejian","non-dropping-particle":"","parse-names":false,"suffix":""},{"dropping-particle":"","family":"Lin","given":"Qiaoyin","non-dropping-particle":"","parse-names":false,"suffix":""},{"dropping-particle":"","family":"Chen","given":"Xingwei","non-dropping-particle":"","parse-names":false,"suffix":""},{"dropping-particle":"","family":"Chai","given":"Tian","non-dropping-particle":"","parse-names":false,"suffix":""}],"container-title":"Water (Switzerland)","id":"ITEM-1","issued":{"date-parts":[["2019"]]},"title":"Improved curve number estimation in SWAT by reflecting the effect of rainfall intensity on runoff generation","type":"article-journal"},"uris":["http://www.mendeley.com/documents/?uuid=8260b09d-b375-493d-b27b-cef4bd189e4b","http://www.mendeley.com/documents/?uuid=edbfff09-8e6a-4ed8-8cbd-efbbefcd9954","http://www.mendeley.com/documents/?uuid=540d4ca5-8b8c-4aa2-9c22-610d741ff1e5"]}],"mendeley":{"formattedCitation":"[26]","plainTextFormattedCitation":"[26]","previouslyFormattedCitation":"[26]"},"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[26]</w:t>
      </w:r>
      <w:r w:rsidRPr="005957F0">
        <w:rPr>
          <w:rFonts w:cs="Times New Roman"/>
          <w:szCs w:val="24"/>
        </w:rPr>
        <w:fldChar w:fldCharType="end"/>
      </w:r>
      <w:r w:rsidRPr="00240979">
        <w:rPr>
          <w:rFonts w:cs="Times New Roman"/>
          <w:szCs w:val="24"/>
          <w:lang w:val="en-US"/>
        </w:rPr>
        <w:t xml:space="preserve">. The SCS-CN method differs from the widely used </w:t>
      </w:r>
      <w:r w:rsidRPr="00240979">
        <w:rPr>
          <w:rFonts w:cs="Times New Roman"/>
          <w:szCs w:val="24"/>
          <w:lang w:val="en-US"/>
        </w:rPr>
        <w:lastRenderedPageBreak/>
        <w:t xml:space="preserve">Rational Method in the sense that when the drainage area is less than 50 acres, the rational method is used </w:t>
      </w:r>
      <w:r w:rsidRPr="005957F0">
        <w:rPr>
          <w:rFonts w:cs="Times New Roman"/>
          <w:szCs w:val="24"/>
        </w:rPr>
        <w:fldChar w:fldCharType="begin" w:fldLock="1"/>
      </w:r>
      <w:r w:rsidR="00FA5896">
        <w:rPr>
          <w:rFonts w:cs="Times New Roman"/>
          <w:szCs w:val="24"/>
          <w:lang w:val="en-US"/>
        </w:rPr>
        <w:instrText>ADDIN CSL_CITATION {"citationItems":[{"id":"ITEM-1","itemData":{"DOI":"10.1061/(ASCE)IR.1943-4774.0001387","ISSN":"0733-9437","abstract":"© 2019 American Society of Civil Engineers. Hydrograph methods are used to identify functional dependencies of the rational-method runoff coefficient, and nested intensity-duration-frequency (IDF) rainfall distributions are used to evaluate the assumption that a uniform rainfall intensity with duration equal to the time of concentration leads to the maximum peak runoff rate. Key findings of this study are that the runoff coefficient can have a substantial dependence on both the IDF function and the time of concentration of the catchment, the runoff coefficient can take on values greater than one, and the peak runoff rate is underestimated by assuming a constant rainfall intensity of duration equal to the time of concentration.","author":[{"dropping-particle":"","family":"Chin","given":"David A.","non-dropping-particle":"","parse-names":false,"suffix":""}],"container-title":"Journal of Irrigation and Drainage Engineering","id":"ITEM-1","issue":"6","issued":{"date-parts":[["2019","6"]]},"page":"04019006","title":"Estimating Peak Runoff Rates Using the Rational Method","type":"article-journal","volume":"145"},"uris":["http://www.mendeley.com/documents/?uuid=2fae1f1b-a6a0-4823-9cea-cab6b18728bc","http://www.mendeley.com/documents/?uuid=d2e9d9be-4b7d-4d97-8c67-3a60ff805b68","http://www.mendeley.com/documents/?uuid=0ee9a418-88c6-485c-994a-279a39b378a6"]}],"mendeley":{"formattedCitation":"[27]","plainTextFormattedCitation":"[27]","previouslyFormattedCitation":"[27]"},"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[27]</w:t>
      </w:r>
      <w:r w:rsidRPr="005957F0">
        <w:rPr>
          <w:rFonts w:cs="Times New Roman"/>
          <w:szCs w:val="24"/>
        </w:rPr>
        <w:fldChar w:fldCharType="end"/>
      </w:r>
      <w:r w:rsidRPr="00240979">
        <w:rPr>
          <w:rFonts w:cs="Times New Roman"/>
          <w:szCs w:val="24"/>
          <w:lang w:val="en-US"/>
        </w:rPr>
        <w:t xml:space="preserve">; while when the drainage area exceeds 20 acres and the </w:t>
      </w:r>
      <w:r w:rsidR="000F1966">
        <w:rPr>
          <w:rFonts w:cs="Times New Roman"/>
          <w:szCs w:val="24"/>
          <w:lang w:val="en-US"/>
        </w:rPr>
        <w:t>T</w:t>
      </w:r>
      <w:r w:rsidR="000F1966">
        <w:rPr>
          <w:rFonts w:cs="Times New Roman"/>
          <w:szCs w:val="24"/>
          <w:vertAlign w:val="subscript"/>
          <w:lang w:val="en-US"/>
        </w:rPr>
        <w:t>c</w:t>
      </w:r>
      <w:r w:rsidR="000F1966">
        <w:rPr>
          <w:rFonts w:cs="Times New Roman"/>
          <w:szCs w:val="24"/>
          <w:lang w:val="en-US"/>
        </w:rPr>
        <w:t xml:space="preserve"> (</w:t>
      </w:r>
      <w:r w:rsidR="000F1966" w:rsidRPr="000F1966">
        <w:rPr>
          <w:rFonts w:cs="Times New Roman"/>
          <w:szCs w:val="24"/>
          <w:lang w:val="en-US"/>
        </w:rPr>
        <w:t>concentration period</w:t>
      </w:r>
      <w:r w:rsidR="000F1966">
        <w:rPr>
          <w:rFonts w:cs="Times New Roman"/>
          <w:szCs w:val="24"/>
          <w:lang w:val="en-US"/>
        </w:rPr>
        <w:t>)</w:t>
      </w:r>
      <w:r w:rsidRPr="00240979">
        <w:rPr>
          <w:rFonts w:cs="Times New Roman"/>
          <w:szCs w:val="24"/>
          <w:lang w:val="en-US"/>
        </w:rPr>
        <w:t xml:space="preserve"> is greater than 0.1 hours the SCS method is preferable </w:t>
      </w:r>
      <w:r w:rsidRPr="005957F0">
        <w:rPr>
          <w:rFonts w:cs="Times New Roman"/>
          <w:szCs w:val="24"/>
        </w:rPr>
        <w:fldChar w:fldCharType="begin" w:fldLock="1"/>
      </w:r>
      <w:r w:rsidR="00FA5896">
        <w:rPr>
          <w:rFonts w:cs="Times New Roman"/>
          <w:szCs w:val="24"/>
          <w:lang w:val="en-US"/>
        </w:rPr>
        <w:instrText>ADDIN CSL_CITATION {"citationItems":[{"id":"ITEM-1","itemData":{"DOI":"10.1071/SR9890511","ISSN":"1838-675X","abstract":"The origin and evolution of the USDA SCS curve number method for estimating runoff from small ungauged rural catchments is traced, and the characteristics of the method are examined. When the method is expressed as an infiltration equation, the infiltration rate becomes dependent on both total storm rainfall and rainfall intensity. When expressed as a spatially varied saturation overland flow model, the method implies that some part of any catchment has infinite surface storage capacity. The lack of physical reality in the formulation of the method is an inherent limitation to any further development. A major weakness is the sensitivity of estimated runoff to errors in the selection of the curve number. Changes of about 15-20% in the curve number doubles or halves the total estimated runoff. The results of some Australian studies where curve numbers have been calibrated against actual runoff data are collated.","author":[{"dropping-particle":"","family":"Boughton","given":"WC","non-dropping-particle":"","parse-names":false,"suffix":""}],"container-title":"Soil Research","id":"ITEM-1","issue":"3","issued":{"date-parts":[["1989"]]},"page":"511","title":"A review of the USDA SCS curve number method","type":"article-journal","volume":"27"},"uris":["http://www.mendeley.com/documents/?uuid=a5f9c452-4feb-40a5-825c-d2f24bfa750b","http://www.mendeley.com/documents/?uuid=6aad51af-3cf7-4843-96f4-8a3a6ba33da6"]}],"mendeley":{"formattedCitation":"[28]","plainTextFormattedCitation":"[28]","previouslyFormattedCitation":"[28]"},"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[28]</w:t>
      </w:r>
      <w:r w:rsidRPr="005957F0">
        <w:rPr>
          <w:rFonts w:cs="Times New Roman"/>
          <w:szCs w:val="24"/>
        </w:rPr>
        <w:fldChar w:fldCharType="end"/>
      </w:r>
      <w:r w:rsidRPr="00240979">
        <w:rPr>
          <w:rFonts w:cs="Times New Roman"/>
          <w:szCs w:val="24"/>
          <w:lang w:val="en-US"/>
        </w:rPr>
        <w:t>.</w:t>
      </w:r>
    </w:p>
    <w:p w14:paraId="7D3EC9E2" w14:textId="3483009B" w:rsidR="00240979" w:rsidRPr="00240979" w:rsidRDefault="00240979" w:rsidP="00240979">
      <w:pPr>
        <w:rPr>
          <w:rFonts w:cs="Times New Roman"/>
          <w:szCs w:val="24"/>
          <w:lang w:val="en-US"/>
        </w:rPr>
      </w:pPr>
      <w:r w:rsidRPr="00240979">
        <w:rPr>
          <w:rFonts w:cs="Times New Roman"/>
          <w:szCs w:val="24"/>
          <w:lang w:val="en-US"/>
        </w:rPr>
        <w:t xml:space="preserve">Also, numerical modeling plays a significant role in investigating the slope stability of embankment dams under different loading conditions. Numerical modeling is a commonly used technique in geology that uses computational simulation to solve complicated geological problems </w:t>
      </w:r>
      <w:r w:rsidRPr="005957F0">
        <w:rPr>
          <w:rFonts w:cs="Times New Roman"/>
          <w:szCs w:val="24"/>
        </w:rPr>
        <w:fldChar w:fldCharType="begin" w:fldLock="1"/>
      </w:r>
      <w:r w:rsidR="00FA5896">
        <w:rPr>
          <w:rFonts w:cs="Times New Roman"/>
          <w:szCs w:val="24"/>
          <w:lang w:val="en-US"/>
        </w:rPr>
        <w:instrText>ADDIN CSL_CITATION {"citationItems":[{"id":"ITEM-1","itemData":{"DOI":"10.36487/acg_repo/2025_61","author":[{"dropping-particle":"","family":"Roache","given":"Ben","non-dropping-particle":"","parse-names":false,"suffix":""},{"dropping-particle":"","family":"Johnstone","given":"Andrew","non-dropping-particle":"","parse-names":false,"suffix":""}],"id":"ITEM-1","issued":{"date-parts":[["2020"]]},"title":"Engineering geology investigation and numerical modelling design of the Ramp 12 highwall","type":"paper-conference"},"uris":["http://www.mendeley.com/documents/?uuid=2f251e5d-375d-4408-81d4-17f03d81d8ed","http://www.mendeley.com/documents/?uuid=b9d5325a-f8cf-4951-a110-65e904a196ca","http://www.mendeley.com/documents/?uuid=e1c76a62-a8b1-4642-af98-96935cd13334"]}],"mendeley":{"formattedCitation":"[29]","plainTextFormattedCitation":"[29]","previouslyFormattedCitation":"[29]"},"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[29]</w:t>
      </w:r>
      <w:r w:rsidRPr="005957F0">
        <w:rPr>
          <w:rFonts w:cs="Times New Roman"/>
          <w:szCs w:val="24"/>
        </w:rPr>
        <w:fldChar w:fldCharType="end"/>
      </w:r>
      <w:r w:rsidRPr="00240979">
        <w:rPr>
          <w:rFonts w:cs="Times New Roman"/>
          <w:szCs w:val="24"/>
          <w:lang w:val="en-US"/>
        </w:rPr>
        <w:t xml:space="preserve">. </w:t>
      </w:r>
      <w:r w:rsidR="00051D90" w:rsidRPr="00051D90">
        <w:rPr>
          <w:rFonts w:cs="Times New Roman"/>
          <w:szCs w:val="24"/>
          <w:lang w:val="en-US"/>
        </w:rPr>
        <w:t>These mathematical models employ numbers and equations to describe the physical features of geological scenarios</w:t>
      </w:r>
      <w:r w:rsidRPr="00240979">
        <w:rPr>
          <w:rFonts w:cs="Times New Roman"/>
          <w:szCs w:val="24"/>
          <w:lang w:val="en-US"/>
        </w:rPr>
        <w:t xml:space="preserve">. For many years, this method has been used to investigate complex problems involving embankment dams </w:t>
      </w:r>
      <w:r w:rsidRPr="005957F0">
        <w:rPr>
          <w:rFonts w:cs="Times New Roman"/>
          <w:szCs w:val="24"/>
        </w:rPr>
        <w:fldChar w:fldCharType="begin" w:fldLock="1"/>
      </w:r>
      <w:r w:rsidR="00FA5896">
        <w:rPr>
          <w:rFonts w:cs="Times New Roman"/>
          <w:szCs w:val="24"/>
          <w:lang w:val="en-US"/>
        </w:rPr>
        <w:instrText>ADDIN CSL_CITATION {"citationItems":[{"id":"ITEM-1","itemData":{"DOI":"10.1061/(ASCE)GT.1943-5606.0002135","ISSN":"1090-0241","abstract":"In earthquake-prone areas, risk analyses of seismic potential failure modes for embankment dams are often required. In order to evaluate these potential failure modes, seismically induced deformations are needed. The use of numerical modeling to determine embankment dam deformations has gained wide attention in practice, especially when involving liquefiable soils. This study presents a validation assessment of a finite-difference computer program using embankment dam prototypes tested in dynamic centrifuges. Similar to the total-stress analysis methodology, undrained shear strengths were used to characterize seismic behaviors of the embankment soils. As a simplified approach, uncoupled modeling with a primitive constitutive model was adopted. Quasi-steady-state strengths were determined from the laboratory stress-strain curves for the dilative soils tested in the centrifuges. Calculated results were found to be comparable with the measured data from the centrifuge experiments, which provides some level of confidence in the predictive capability of the finite-difference computer program. In particular, a good correlation was observed between the vmax/amax ratio of the seismic input motions and the calculated settlements.","author":[{"dropping-particle":"","family":"Lee","given":"Kevin Zeh-Zon","non-dropping-particle":"","parse-names":false,"suffix":""},{"dropping-particle":"","family":"Jensen","given":"Navead","non-dropping-particle":"","parse-names":false,"suffix":""},{"dropping-particle":"","family":"Gillette","given":"David R.","non-dropping-particle":"","parse-names":false,"suffix":""},{"dropping-particle":"","family":"Wittwer","given":"Derek T.","non-dropping-particle":"","parse-names":false,"suffix":""}],"container-title":"Journal of Geotechnical and Geoenvironmental Engineering","id":"ITEM-1","issue":"10","issued":{"date-parts":[["2019","10"]]},"page":"04019076","title":"Seismic Deformation Analysis of Embankment Dams Using Simplified Total-Stress Approach","type":"article-journal","volume":"145"},"uris":["http://www.mendeley.com/documents/?uuid=1102426c-fb04-444f-ba86-278bff87a17e","http://www.mendeley.com/documents/?uuid=1dd0863d-a8f4-4652-85ad-80301917efe8","http://www.mendeley.com/documents/?uuid=1067434f-da6c-4511-8f85-75660b0d2e41"]},{"id":"ITEM-2","itemData":{"DOI":"10.1016/j.compgeo.2021.104028","ISSN":"0266352X","abstract":"Internal erosion and piping which can occur in embankment dams, levees, and their foundations is the cause of about half of large embankment dam failures. Most internal erosion and piping failures occur due to concentrated leak erosion which is commonly initiated in a transverse crack in the embankment resulting from cross valley differential settlements. This paper presents the development of suitable numerical simulation procedures for predicting the potential location of transverse cracks, crack width and depth in embankment dams during and post dam construction using a combination of conventional numerical and crack propagation modelling techniques. The crack propagation is simulated based on the Scaled Boundary Finite Element Method (SBFEM) combined with the quadtree mesh. Linear Elastic Fracture Mechanics (LEFM) is used to model the fracture behaviour of the core soil. The Maximum Circumferential Stress Theory (MCST) including the T-stress is adopted as the crack propagation criterion. The developed simulation procedures have been tested with two case studies of dams which have experienced cracking. The predicted location of cracks, crack width and depth show reasonable agreements with the field observations.","author":[{"dropping-particle":"","family":"He","given":"Ke","non-dropping-particle":"","parse-names":false,"suffix":""},{"dropping-particle":"","family":"Song","given":"Chongmin","non-dropping-particle":"","parse-names":false,"suffix":""},{"dropping-particle":"","family":"Fell","given":"Robin","non-dropping-particle":"","parse-names":false,"suffix":""}],"container-title":"Computers and Geotechnics","id":"ITEM-2","issued":{"date-parts":[["2021","4"]]},"page":"104028","title":"Numerical modelling of transverse cracking in embankment dams","type":"article-journal","volume":"132"},"uris":["http://www.mendeley.com/documents/?uuid=93f45ade-eba5-4647-9c60-4c0c8f69fa28","http://www.mendeley.com/documents/?uuid=c3d9506f-1ce0-43fb-bf97-dd2f254ab915","http://www.mendeley.com/documents/?uuid=cffcbbda-0a40-47de-afa5-b23337eebde5"]},{"id":"ITEM-3","itemData":{"DOI":"10.54355/tbus/1.3.2021.0001","ISSN":"2789-7338","abstract":"The slope stability of an embankment dam has been always a serious concern of any design team. Unfortunately, the information on the potential influence of a toe drain size on the slope stability of an embankment dam under rapid drawdown conditions is still scarce. This study investigated the potential effect of a toe drain size on the slope stability of a homogeneous embankment dam under rapid drawdown conditions. Three different sizes (5m, 10m, and 15m) of the toe drain were investigated under instantaneous (worst scenario) and 5 days (more realistic) drawdown rates with the help of numerical modeling in GeoStudio. From the results, it was observed that the pore-water pressures at the upstream face of the embankment decreased with the increase in the toe drain size, while the pore-water pressures at the downstream toe were increasing with the increase in the toe drain size. The factor of safety values were also observed to be affected by the changes in the toe drain size.","author":[{"dropping-particle":"","family":"Mkilima","given":"Timoth","non-dropping-particle":"","parse-names":false,"suffix":""}],"container-title":"Technobius","id":"ITEM-3","issue":"3","issued":{"date-parts":[["2021","9"]]},"page":"0001","title":"Toe drain size and slope stability of homogeneous embankment dam under rapid drawdown.","type":"article-journal","volume":"1"},"uris":["http://www.mendeley.com/documents/?uuid=55b3ad92-ce3e-444a-8c28-e7166158e54a"]}],"mendeley":{"formattedCitation":"[30–32]","plainTextFormattedCitation":"[30–32]","previouslyFormattedCitation":"[30–32]"},"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[30–32]</w:t>
      </w:r>
      <w:r w:rsidRPr="005957F0">
        <w:rPr>
          <w:rFonts w:cs="Times New Roman"/>
          <w:szCs w:val="24"/>
        </w:rPr>
        <w:fldChar w:fldCharType="end"/>
      </w:r>
      <w:r w:rsidRPr="00240979">
        <w:rPr>
          <w:rFonts w:cs="Times New Roman"/>
          <w:szCs w:val="24"/>
          <w:lang w:val="en-US"/>
        </w:rPr>
        <w:t>.</w:t>
      </w:r>
    </w:p>
    <w:p w14:paraId="6CD3D5D0" w14:textId="379CD0E4" w:rsidR="00240979" w:rsidRPr="00240979" w:rsidRDefault="00240979" w:rsidP="00240979">
      <w:pPr>
        <w:rPr>
          <w:rFonts w:cs="Times New Roman"/>
          <w:szCs w:val="24"/>
          <w:lang w:val="en-US"/>
        </w:rPr>
      </w:pPr>
      <w:r w:rsidRPr="00240979">
        <w:rPr>
          <w:rFonts w:cs="Times New Roman"/>
          <w:szCs w:val="24"/>
          <w:lang w:val="en-US"/>
        </w:rPr>
        <w:t>In general, investigation of how changes in land surface cover can be a significant threat to a dam located in an urbanizing catchment can help design highly sustainable dams in the future. Unfortunately, previous works have not comprehensively captured the combination of land use changes and extreme events on slope stability of embankment dams</w:t>
      </w:r>
      <w:r w:rsidR="00F9037D">
        <w:rPr>
          <w:rFonts w:cs="Times New Roman"/>
          <w:szCs w:val="24"/>
          <w:lang w:val="en-US"/>
        </w:rPr>
        <w:t>,</w:t>
      </w:r>
      <w:r w:rsidRPr="00240979">
        <w:rPr>
          <w:rFonts w:cs="Times New Roman"/>
          <w:szCs w:val="24"/>
          <w:lang w:val="en-US"/>
        </w:rPr>
        <w:t xml:space="preserve"> making it difficult to appropriately incorporate these factors during the design phase of an embankment dam.</w:t>
      </w:r>
    </w:p>
    <w:p w14:paraId="15BE905D" w14:textId="513E6C0F" w:rsidR="00240979" w:rsidRPr="00240979" w:rsidRDefault="00051D90" w:rsidP="00240979">
      <w:pPr>
        <w:rPr>
          <w:rFonts w:cs="Times New Roman"/>
          <w:szCs w:val="24"/>
          <w:lang w:val="en-US"/>
        </w:rPr>
      </w:pPr>
      <w:r w:rsidRPr="00051D90">
        <w:rPr>
          <w:rFonts w:cs="Times New Roman"/>
          <w:szCs w:val="24"/>
          <w:lang w:val="en-US"/>
        </w:rPr>
        <w:t>The impact of land use changes, extreme events, and loading conditions on the slope stability of an embankment dam is explored in this research</w:t>
      </w:r>
      <w:r w:rsidR="00240979" w:rsidRPr="00240979">
        <w:rPr>
          <w:rFonts w:cs="Times New Roman"/>
          <w:szCs w:val="24"/>
          <w:lang w:val="en-US"/>
        </w:rPr>
        <w:t xml:space="preserve">. A combination of GIS-based approaches and numerical modeling </w:t>
      </w:r>
      <w:r w:rsidR="00F9037D">
        <w:rPr>
          <w:rFonts w:cs="Times New Roman"/>
          <w:szCs w:val="24"/>
          <w:lang w:val="en-US"/>
        </w:rPr>
        <w:t>is</w:t>
      </w:r>
      <w:r w:rsidR="00240979" w:rsidRPr="00240979">
        <w:rPr>
          <w:rFonts w:cs="Times New Roman"/>
          <w:szCs w:val="24"/>
          <w:lang w:val="en-US"/>
        </w:rPr>
        <w:t xml:space="preserve"> used to investigate the problem for different case studies. The Soil Conservation Services Curve Number </w:t>
      </w:r>
      <w:r w:rsidR="008B0674">
        <w:rPr>
          <w:rFonts w:cs="Times New Roman"/>
          <w:szCs w:val="24"/>
          <w:lang w:val="en-US"/>
        </w:rPr>
        <w:t>approach</w:t>
      </w:r>
      <w:r w:rsidR="00240979" w:rsidRPr="00240979">
        <w:rPr>
          <w:rFonts w:cs="Times New Roman"/>
          <w:szCs w:val="24"/>
          <w:lang w:val="en-US"/>
        </w:rPr>
        <w:t xml:space="preserve"> is used to </w:t>
      </w:r>
      <w:r w:rsidR="008B0674">
        <w:rPr>
          <w:rFonts w:cs="Times New Roman"/>
          <w:szCs w:val="24"/>
          <w:lang w:val="en-US"/>
        </w:rPr>
        <w:t>compute</w:t>
      </w:r>
      <w:r w:rsidR="00240979" w:rsidRPr="00240979">
        <w:rPr>
          <w:rFonts w:cs="Times New Roman"/>
          <w:szCs w:val="24"/>
          <w:lang w:val="en-US"/>
        </w:rPr>
        <w:t xml:space="preserve"> flow conditions in the study catchments</w:t>
      </w:r>
      <w:r w:rsidR="00F9037D">
        <w:rPr>
          <w:rFonts w:cs="Times New Roman"/>
          <w:szCs w:val="24"/>
          <w:lang w:val="en-US"/>
        </w:rPr>
        <w:t>,</w:t>
      </w:r>
      <w:r w:rsidR="00240979" w:rsidRPr="00240979">
        <w:rPr>
          <w:rFonts w:cs="Times New Roman"/>
          <w:szCs w:val="24"/>
          <w:lang w:val="en-US"/>
        </w:rPr>
        <w:t xml:space="preserve"> while numerical modeling is used to investigate the influence of the flow conditions on the slope stability of the embankment. Catchment delineation is achieved using the 30 m resolution Digital Elevation Model (DEM) in ArcGIS software. Land use/land cover analysis is accomplished using the combination of Landsat images and a supervised approach in ArcGIS. </w:t>
      </w:r>
    </w:p>
    <w:p w14:paraId="1DD08164" w14:textId="582A62FC" w:rsidR="00240979" w:rsidRPr="005957F0" w:rsidRDefault="00240979" w:rsidP="005C16E5">
      <w:bookmarkStart w:id="11" w:name="_Toc97504699"/>
      <w:r w:rsidRPr="003E0017">
        <w:rPr>
          <w:b/>
          <w:bCs/>
        </w:rPr>
        <w:t>Main objective</w:t>
      </w:r>
      <w:bookmarkEnd w:id="11"/>
    </w:p>
    <w:p w14:paraId="63008F0D" w14:textId="77777777" w:rsidR="00240979" w:rsidRPr="00240979" w:rsidRDefault="00240979" w:rsidP="002B133D">
      <w:pPr>
        <w:pStyle w:val="a9"/>
        <w:numPr>
          <w:ilvl w:val="0"/>
          <w:numId w:val="3"/>
        </w:numPr>
        <w:tabs>
          <w:tab w:val="left" w:pos="993"/>
        </w:tabs>
        <w:ind w:left="0"/>
        <w:rPr>
          <w:rFonts w:cs="Times New Roman"/>
          <w:szCs w:val="24"/>
          <w:lang w:val="en-US"/>
        </w:rPr>
      </w:pPr>
      <w:r w:rsidRPr="00240979">
        <w:rPr>
          <w:rFonts w:cs="Times New Roman"/>
          <w:szCs w:val="24"/>
          <w:lang w:val="en-US"/>
        </w:rPr>
        <w:t>Assessment of the potential influence of loading conditions on the stability of embankment dams as influenced by land use/land cover changes and extreme climatic events.</w:t>
      </w:r>
    </w:p>
    <w:p w14:paraId="277CC8A1" w14:textId="4E816FE7" w:rsidR="00240979" w:rsidRPr="003E0017" w:rsidRDefault="00240979" w:rsidP="003E0017">
      <w:pPr>
        <w:rPr>
          <w:b/>
          <w:bCs/>
          <w:lang w:val="en-US"/>
        </w:rPr>
      </w:pPr>
      <w:bookmarkStart w:id="12" w:name="_Toc97504700"/>
      <w:r w:rsidRPr="003E0017">
        <w:rPr>
          <w:b/>
          <w:bCs/>
          <w:lang w:val="en-US"/>
        </w:rPr>
        <w:t>Specific objective</w:t>
      </w:r>
      <w:bookmarkEnd w:id="12"/>
      <w:r w:rsidR="0061254B" w:rsidRPr="003E0017">
        <w:rPr>
          <w:b/>
          <w:bCs/>
          <w:lang w:val="en-US"/>
        </w:rPr>
        <w:t>s</w:t>
      </w:r>
    </w:p>
    <w:p w14:paraId="79299955" w14:textId="4CBCF048" w:rsidR="00240979" w:rsidRPr="00240979" w:rsidRDefault="00240979" w:rsidP="002B133D">
      <w:pPr>
        <w:pStyle w:val="a9"/>
        <w:numPr>
          <w:ilvl w:val="0"/>
          <w:numId w:val="3"/>
        </w:numPr>
        <w:tabs>
          <w:tab w:val="left" w:pos="993"/>
        </w:tabs>
        <w:ind w:left="0"/>
        <w:rPr>
          <w:rFonts w:cs="Times New Roman"/>
          <w:szCs w:val="24"/>
          <w:lang w:val="en-US"/>
        </w:rPr>
      </w:pPr>
      <w:r w:rsidRPr="00240979">
        <w:rPr>
          <w:rFonts w:cs="Times New Roman"/>
          <w:szCs w:val="24"/>
          <w:lang w:val="en-US"/>
        </w:rPr>
        <w:t>To assess the potential applicability of GIS methods for dam site characterization and selection</w:t>
      </w:r>
      <w:r w:rsidR="00E36C48">
        <w:rPr>
          <w:rFonts w:cs="Times New Roman"/>
          <w:szCs w:val="24"/>
          <w:lang w:val="en-US"/>
        </w:rPr>
        <w:t>.</w:t>
      </w:r>
    </w:p>
    <w:p w14:paraId="4BEC51B5" w14:textId="4447BC4A" w:rsidR="00240979" w:rsidRPr="00240979" w:rsidRDefault="00240979" w:rsidP="002B133D">
      <w:pPr>
        <w:pStyle w:val="a9"/>
        <w:numPr>
          <w:ilvl w:val="0"/>
          <w:numId w:val="3"/>
        </w:numPr>
        <w:tabs>
          <w:tab w:val="left" w:pos="993"/>
        </w:tabs>
        <w:ind w:left="0"/>
        <w:rPr>
          <w:rFonts w:cs="Times New Roman"/>
          <w:szCs w:val="24"/>
          <w:lang w:val="en-US"/>
        </w:rPr>
      </w:pPr>
      <w:r w:rsidRPr="00240979">
        <w:rPr>
          <w:rFonts w:cs="Times New Roman"/>
          <w:szCs w:val="24"/>
          <w:lang w:val="en-US"/>
        </w:rPr>
        <w:t>To assess the rate of urbanization based on the trend of land use</w:t>
      </w:r>
      <w:r w:rsidR="00F6123A">
        <w:rPr>
          <w:rFonts w:cs="Times New Roman"/>
          <w:szCs w:val="24"/>
          <w:lang w:val="en-US"/>
        </w:rPr>
        <w:t xml:space="preserve"> coverage</w:t>
      </w:r>
      <w:r w:rsidRPr="00240979">
        <w:rPr>
          <w:rFonts w:cs="Times New Roman"/>
          <w:szCs w:val="24"/>
          <w:lang w:val="en-US"/>
        </w:rPr>
        <w:t xml:space="preserve"> changes in the study catchments.</w:t>
      </w:r>
    </w:p>
    <w:p w14:paraId="44076219" w14:textId="08D24D3D" w:rsidR="00240979" w:rsidRPr="00240979" w:rsidRDefault="00240979" w:rsidP="002B133D">
      <w:pPr>
        <w:pStyle w:val="a9"/>
        <w:numPr>
          <w:ilvl w:val="0"/>
          <w:numId w:val="3"/>
        </w:numPr>
        <w:tabs>
          <w:tab w:val="left" w:pos="993"/>
        </w:tabs>
        <w:ind w:left="0"/>
        <w:rPr>
          <w:rFonts w:cs="Times New Roman"/>
          <w:szCs w:val="24"/>
          <w:lang w:val="en-US"/>
        </w:rPr>
      </w:pPr>
      <w:r w:rsidRPr="00240979">
        <w:rPr>
          <w:rFonts w:cs="Times New Roman"/>
          <w:szCs w:val="24"/>
          <w:lang w:val="en-US"/>
        </w:rPr>
        <w:t xml:space="preserve">To estimate stormwater runoff in the study catchments </w:t>
      </w:r>
      <w:r w:rsidR="00F6123A">
        <w:rPr>
          <w:rFonts w:cs="Times New Roman"/>
          <w:szCs w:val="24"/>
          <w:lang w:val="en-US"/>
        </w:rPr>
        <w:t>by applying</w:t>
      </w:r>
      <w:r w:rsidRPr="00240979">
        <w:rPr>
          <w:rFonts w:cs="Times New Roman"/>
          <w:szCs w:val="24"/>
          <w:lang w:val="en-US"/>
        </w:rPr>
        <w:t xml:space="preserve"> the SCS </w:t>
      </w:r>
      <w:r w:rsidR="00F6123A">
        <w:rPr>
          <w:rFonts w:cs="Times New Roman"/>
          <w:szCs w:val="24"/>
          <w:lang w:val="en-US"/>
        </w:rPr>
        <w:t>CN</w:t>
      </w:r>
      <w:r w:rsidRPr="00240979">
        <w:rPr>
          <w:rFonts w:cs="Times New Roman"/>
          <w:szCs w:val="24"/>
          <w:lang w:val="en-US"/>
        </w:rPr>
        <w:t xml:space="preserve"> </w:t>
      </w:r>
      <w:r w:rsidR="00F6123A">
        <w:rPr>
          <w:rFonts w:cs="Times New Roman"/>
          <w:szCs w:val="24"/>
          <w:lang w:val="en-US"/>
        </w:rPr>
        <w:t>approach</w:t>
      </w:r>
      <w:r w:rsidRPr="00240979">
        <w:rPr>
          <w:rFonts w:cs="Times New Roman"/>
          <w:szCs w:val="24"/>
          <w:lang w:val="en-US"/>
        </w:rPr>
        <w:t xml:space="preserve"> </w:t>
      </w:r>
      <w:r w:rsidR="006568E4">
        <w:rPr>
          <w:rFonts w:cs="Times New Roman"/>
          <w:szCs w:val="24"/>
          <w:lang w:val="en-US"/>
        </w:rPr>
        <w:t>with respect to</w:t>
      </w:r>
      <w:r w:rsidRPr="00240979">
        <w:rPr>
          <w:rFonts w:cs="Times New Roman"/>
          <w:szCs w:val="24"/>
          <w:lang w:val="en-US"/>
        </w:rPr>
        <w:t xml:space="preserve"> the surface cover and extreme events.</w:t>
      </w:r>
    </w:p>
    <w:p w14:paraId="6A4B2EA6" w14:textId="77777777" w:rsidR="00240979" w:rsidRPr="00240979" w:rsidRDefault="00240979" w:rsidP="002B133D">
      <w:pPr>
        <w:pStyle w:val="a9"/>
        <w:numPr>
          <w:ilvl w:val="0"/>
          <w:numId w:val="3"/>
        </w:numPr>
        <w:tabs>
          <w:tab w:val="left" w:pos="993"/>
        </w:tabs>
        <w:ind w:left="0"/>
        <w:rPr>
          <w:rFonts w:cs="Times New Roman"/>
          <w:szCs w:val="24"/>
          <w:lang w:val="en-US"/>
        </w:rPr>
      </w:pPr>
      <w:r w:rsidRPr="00240979">
        <w:rPr>
          <w:rFonts w:cs="Times New Roman"/>
          <w:szCs w:val="24"/>
          <w:lang w:val="en-US"/>
        </w:rPr>
        <w:t>To assess the rate of runoff changes in the study catchments as influenced by the changes in land use/land cover.</w:t>
      </w:r>
    </w:p>
    <w:p w14:paraId="614980C7" w14:textId="77777777" w:rsidR="00240979" w:rsidRPr="00240979" w:rsidRDefault="00240979" w:rsidP="002B133D">
      <w:pPr>
        <w:pStyle w:val="a9"/>
        <w:numPr>
          <w:ilvl w:val="0"/>
          <w:numId w:val="3"/>
        </w:numPr>
        <w:tabs>
          <w:tab w:val="left" w:pos="993"/>
        </w:tabs>
        <w:ind w:left="0"/>
        <w:rPr>
          <w:rFonts w:cs="Times New Roman"/>
          <w:szCs w:val="24"/>
          <w:lang w:val="en-US"/>
        </w:rPr>
      </w:pPr>
      <w:r w:rsidRPr="00240979">
        <w:rPr>
          <w:rFonts w:cs="Times New Roman"/>
          <w:szCs w:val="24"/>
          <w:lang w:val="en-US"/>
        </w:rPr>
        <w:lastRenderedPageBreak/>
        <w:t>To assess the potential effects of runoff changes on the flow characteristics in the study dams.</w:t>
      </w:r>
    </w:p>
    <w:p w14:paraId="5BDE3067" w14:textId="77777777" w:rsidR="00240979" w:rsidRPr="00240979" w:rsidRDefault="00240979" w:rsidP="002B133D">
      <w:pPr>
        <w:pStyle w:val="a9"/>
        <w:numPr>
          <w:ilvl w:val="0"/>
          <w:numId w:val="3"/>
        </w:numPr>
        <w:tabs>
          <w:tab w:val="left" w:pos="993"/>
        </w:tabs>
        <w:ind w:left="0"/>
        <w:rPr>
          <w:rFonts w:cs="Times New Roman"/>
          <w:szCs w:val="24"/>
          <w:lang w:val="en-US"/>
        </w:rPr>
      </w:pPr>
      <w:r w:rsidRPr="00240979">
        <w:rPr>
          <w:rFonts w:cs="Times New Roman"/>
          <w:szCs w:val="24"/>
          <w:lang w:val="en-US"/>
        </w:rPr>
        <w:t>To assess the potential effect of the flow characteristics changes on the stability of the study embankment dams.</w:t>
      </w:r>
    </w:p>
    <w:p w14:paraId="75F3BEA6" w14:textId="08E3C656" w:rsidR="00240979" w:rsidRPr="003E0017" w:rsidRDefault="00240979" w:rsidP="003E0017">
      <w:pPr>
        <w:rPr>
          <w:b/>
          <w:bCs/>
          <w:lang w:val="en-US"/>
        </w:rPr>
      </w:pPr>
      <w:bookmarkStart w:id="13" w:name="_Toc97504701"/>
      <w:r w:rsidRPr="003E0017">
        <w:rPr>
          <w:b/>
          <w:bCs/>
          <w:lang w:val="en-US"/>
        </w:rPr>
        <w:t>Problem statement</w:t>
      </w:r>
      <w:bookmarkEnd w:id="13"/>
    </w:p>
    <w:p w14:paraId="757D5DB0" w14:textId="591152B7" w:rsidR="003E0017" w:rsidRDefault="00240979" w:rsidP="00240979">
      <w:pPr>
        <w:rPr>
          <w:rFonts w:cs="Times New Roman"/>
          <w:szCs w:val="24"/>
          <w:lang w:val="en-US"/>
        </w:rPr>
      </w:pPr>
      <w:r w:rsidRPr="00240979">
        <w:rPr>
          <w:rFonts w:cs="Times New Roman"/>
          <w:szCs w:val="24"/>
          <w:lang w:val="en-US"/>
        </w:rPr>
        <w:t xml:space="preserve">Failure of embankment dams is among the most catastrophic disasters in the world. </w:t>
      </w:r>
      <w:r w:rsidR="005012CD" w:rsidRPr="005012CD">
        <w:rPr>
          <w:rFonts w:cs="Times New Roman"/>
          <w:szCs w:val="24"/>
          <w:lang w:val="en-US"/>
        </w:rPr>
        <w:t>A dam failure could result in the death or injury of people, damage to structures and infrastructure, the loss of services, and road closures due to water damage, fallen trees, and debris</w:t>
      </w:r>
      <w:r w:rsidRPr="00240979">
        <w:rPr>
          <w:rFonts w:cs="Times New Roman"/>
          <w:szCs w:val="24"/>
          <w:lang w:val="en-US"/>
        </w:rPr>
        <w:t xml:space="preserve">. There are already many cases whereby embankment dams failed due to changes in flow characteristics in the catchments </w:t>
      </w:r>
      <w:r w:rsidRPr="005957F0">
        <w:rPr>
          <w:rFonts w:cs="Times New Roman"/>
          <w:szCs w:val="24"/>
        </w:rPr>
        <w:fldChar w:fldCharType="begin" w:fldLock="1"/>
      </w:r>
      <w:r w:rsidR="00FA5896">
        <w:rPr>
          <w:rFonts w:cs="Times New Roman"/>
          <w:szCs w:val="24"/>
          <w:lang w:val="en-US"/>
        </w:rPr>
        <w:instrText>ADDIN CSL_CITATION {"citationItems":[{"id":"ITEM-1","itemData":{"DOI":"10.1016/j.geotexmem.2013.12.004","ISSN":"02661144","abstract":"The right wing embankment of the headrace channel of a hydropower plant, failed adjacent to the concrete intake structure. The failure also caused damages of the penstocks and flooding of the powerhouse. The root-cause analysis showed that water from the reservoir entered, through an open joint in the adjacent concrete structure, the geomembrane lined homogeneous embankment dam fill. This seepage water had eroded dam material from below the geomembrane and transported it to the drainage zones located at the interface of the embankment and concrete structures. Due to continuing seepage and erosion of dam material the geomembrane ruptured and this resulted in the full reservoir head being applied to the embankment fill material. This increased the seepage through the dam fill and caused concentrated leak erosion of the fine-grained material at the contact with the concrete structure, and this lead to the failure of the embankment. © 2013 Published by Elsevier Ltd.","author":[{"dropping-particle":"","family":"Messerklinger","given":"Sophie","non-dropping-particle":"","parse-names":false,"suffix":""}],"container-title":"Geotextiles and Geomembranes","id":"ITEM-1","issue":"3","issued":{"date-parts":[["2014","6"]]},"page":"256-266","title":"Failure of a geomembrane lined embankment dam – Case study","type":"article-journal","volume":"42"},"uris":["http://www.mendeley.com/documents/?uuid=f9bfeeb4-fa3b-451d-965a-8b3f64caff4d","http://www.mendeley.com/documents/?uuid=7b8daa0d-cd91-45ff-801e-d7ff67d3d71d"]},{"id":"ITEM-2","itemData":{"DOI":"10.1016/j.earscirev.2021.103597","ISSN":"00128252","abstract":"Floods caused by breaches of embankment and landslide dams are not only a tremendous geological disaster, destroying people's lives and property, they also strongly shape the appearance of the landscape in the inundation area. This review addresses embankment and landslide dam breaches, with a particular focus on documented failure cases, laboratory and field experiments, as well as empirically and physically based models. The state of the art of physical and mathematical modeling technologies of underlying breach mechanisms and processes are also reviewed. First, the distribution, breach parameters, and failure modes of documented failure cases are analyzed. Second, based on physical model tests at different scales around the world, the breach processes of embankment and landslide dams caused by overtopping or piping/seepage are studied in depth. The breach characteristics for each type of dam are summarized. Third, typical empirically or physically based mathematical models are reviewed with a focus on artificially formed dams (i.e., earthfill, clay core rockfill, and concrete face rockfill dams) or naturally formed dams (i.e., landslide dams). Both uncertainties and limitations associated with formulations and calculating parameters of these mathematical models are also discussed. Finally, recommendations toward a better understanding of breach mechanisms and further development of mathematical models are proposed.","author":[{"dropping-particle":"","family":"Zhong","given":"Qiming","non-dropping-particle":"","parse-names":false,"suffix":""},{"dropping-particle":"","family":"Wang","given":"Lin","non-dropping-particle":"","parse-names":false,"suffix":""},{"dropping-particle":"","family":"Chen","given":"Shengshui","non-dropping-particle":"","parse-names":false,"suffix":""},{"dropping-particle":"","family":"Chen","given":"Zuyu","non-dropping-particle":"","parse-names":false,"suffix":""},{"dropping-particle":"","family":"Shan","given":"Yibo","non-dropping-particle":"","parse-names":false,"suffix":""},{"dropping-particle":"","family":"Zhang","given":"Qiang","non-dropping-particle":"","parse-names":false,"suffix":""},{"dropping-particle":"","family":"Ren","given":"Qiang","non-dropping-particle":"","parse-names":false,"suffix":""},{"dropping-particle":"","family":"Mei","given":"Shengyao","non-dropping-particle":"","parse-names":false,"suffix":""},{"dropping-particle":"","family":"Jiang","given":"Jingdong","non-dropping-particle":"","parse-names":false,"suffix":""},{"dropping-particle":"","family":"Hu","given":"Liang","non-dropping-particle":"","parse-names":false,"suffix":""},{"dropping-particle":"","family":"Liu","given":"Jiaxin","non-dropping-particle":"","parse-names":false,"suffix":""}],"container-title":"Earth-Science Reviews","id":"ITEM-2","issued":{"date-parts":[["2021","5"]]},"page":"103597","title":"Breaches of embankment and landslide dams - State of the art review","type":"article-journal","volume":"216"},"uris":["http://www.mendeley.com/documents/?uuid=77a856e3-a6dd-40d2-894b-fe11644b2250","http://www.mendeley.com/documents/?uuid=04a11806-dde5-40e1-b595-80c4ce6bb871","http://www.mendeley.com/documents/?uuid=0c081d4f-153b-4c6f-b18b-3296133c7058"]},{"id":"ITEM-3","itemData":{"abstract":"&lt;p&gt;Overtopping is known as one the most important reasons for the failure of earth dams. In some cases, it has resulted in heavy damages and losses. Therefore, enhancing the safety of earth dams against overtopping has received much attention in the past four decades. In this paper, at first, the overtopping phenomena and its destructive consequences will be introduced. Then, overtopping failure mechanism of embankments will be described. Finally, different types of protection systems for stabilization of earth dams against overtopping will be presented. These include timber cribs, riprap and gabions, reinforced earth, roller compacted concrete, and the precast concrete blocks.&lt;/p&gt;","author":[{"dropping-particle":"","family":"Pourabdollah","given":"Omid","non-dropping-particle":"","parse-names":false,"suffix":""},{"dropping-particle":"","family":"Misaghian","given":"Mohsen","non-dropping-particle":"","parse-names":false,"suffix":""}],"container-title":"World Academy of Science, Engineering and Technology International Journal of Civil and Environmental Engineering","id":"ITEM-3","issued":{"date-parts":[["2019"]]},"title":"Overtopping Protection Systems for Overflow Earth Dams","type":"article-journal"},"uris":["http://www.mendeley.com/documents/?uuid=104e5d85-a38f-48ea-8061-281b221239b9","http://www.mendeley.com/documents/?uuid=56fad2e5-04be-41fe-b075-71a9365efcdf","http://www.mendeley.com/documents/?uuid=61c8137b-fb52-431f-ace3-afdfcd3243a7"]}],"mendeley":{"formattedCitation":"[33–35]","plainTextFormattedCitation":"[33–35]","previouslyFormattedCitation":"[33–35]"},"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[33–35]</w:t>
      </w:r>
      <w:r w:rsidRPr="005957F0">
        <w:rPr>
          <w:rFonts w:cs="Times New Roman"/>
          <w:szCs w:val="24"/>
        </w:rPr>
        <w:fldChar w:fldCharType="end"/>
      </w:r>
      <w:r w:rsidRPr="00240979">
        <w:rPr>
          <w:rFonts w:cs="Times New Roman"/>
          <w:szCs w:val="24"/>
          <w:lang w:val="en-US"/>
        </w:rPr>
        <w:t xml:space="preserve">. </w:t>
      </w:r>
      <w:r w:rsidR="005012CD" w:rsidRPr="005012CD">
        <w:rPr>
          <w:rFonts w:cs="Times New Roman"/>
          <w:szCs w:val="24"/>
          <w:lang w:val="en-US"/>
        </w:rPr>
        <w:t>It's also worth noting that most dams are built in less populated and urbanized locations to reduce the chance of dam failure causing catastrophic disasters</w:t>
      </w:r>
      <w:r w:rsidRPr="00240979">
        <w:rPr>
          <w:rFonts w:cs="Times New Roman"/>
          <w:szCs w:val="24"/>
          <w:lang w:val="en-US"/>
        </w:rPr>
        <w:t xml:space="preserve"> </w:t>
      </w:r>
      <w:r w:rsidRPr="005957F0">
        <w:rPr>
          <w:rFonts w:cs="Times New Roman"/>
          <w:szCs w:val="24"/>
        </w:rPr>
        <w:fldChar w:fldCharType="begin" w:fldLock="1"/>
      </w:r>
      <w:r w:rsidR="00FA5896">
        <w:rPr>
          <w:rFonts w:cs="Times New Roman"/>
          <w:szCs w:val="24"/>
          <w:lang w:val="en-US"/>
        </w:rPr>
        <w:instrText>ADDIN CSL_CITATION {"citationItems":[{"id":"ITEM-1","itemData":{"DOI":"10.1007/s10479-019-03345-5","ISSN":"15729338","abstract":"Construction of new dams in undeveloped transboundary basins causes two serious disputes between the stakeholders: conflicts over more water interest and over the new dams’ locations. Hence, water development planning of these basins needs to be done in conjunction with the examination of stakeholders’ new water shares. This study extends the model presented in Roozbahani et al. (Water Resour Manag 31:4539–4556, 2017) to be multi-objective and applies the methodology outlined in Roozbahni et al. (Ann Oper Res 229:657–676, 2015a) to solve the model. The proposed three steps approach determines the equitable allocation of the surface water of an undeveloped transboundary basin while determining optimal number, locations and capacities of new dams. The first step utilizes a mixed-integer-multi-objective model to outline the water shares of stakeholders, as well as optimal dam locations for a given number of dams. Using a sensitivity analysis, the second step pinpoints the required number of dams. The role of third step is the exploration of the dams’ lowest possible capacities. Environmentally, our approach takes the entire watershed’s water requirements into account. We have applied the proposed approach to the Sefidrud Basin, a transboundary basin located in Iran. The results of the approach show that, to significantly improve the security of the Sefidrud Basin’s water supply, three new dams would be optimal.","author":[{"dropping-particle":"","family":"Roozbahani","given":"Reza","non-dropping-particle":"","parse-names":false,"suffix":""},{"dropping-particle":"","family":"Abbasi","given":"Babak","non-dropping-particle":"","parse-names":false,"suffix":""},{"dropping-particle":"","family":"Schreider","given":"Sergei","non-dropping-particle":"","parse-names":false,"suffix":""},{"dropping-particle":"","family":"Hosseinifard","given":"Zahra","non-dropping-particle":"","parse-names":false,"suffix":""}],"container-title":"Annals of Operations Research","id":"ITEM-1","issued":{"date-parts":[["2020"]]},"title":"A basin-wide approach for water allocation and dams location-allocation","type":"article-journal"},"uris":["http://www.mendeley.com/documents/?uuid=7af02d3c-1b87-4411-a7e0-53036d859908","http://www.mendeley.com/documents/?uuid=ac58aa94-1514-4043-8497-14dfd1adaac2","http://www.mendeley.com/documents/?uuid=cc13d7ae-168e-4e5e-be27-1cdde0f92dd0"]}],"mendeley":{"formattedCitation":"[36]","plainTextFormattedCitation":"[36]","previouslyFormattedCitation":"[36]"},"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[36]</w:t>
      </w:r>
      <w:r w:rsidRPr="005957F0">
        <w:rPr>
          <w:rFonts w:cs="Times New Roman"/>
          <w:szCs w:val="24"/>
        </w:rPr>
        <w:fldChar w:fldCharType="end"/>
      </w:r>
      <w:r w:rsidRPr="00240979">
        <w:rPr>
          <w:rFonts w:cs="Times New Roman"/>
          <w:szCs w:val="24"/>
          <w:lang w:val="en-US"/>
        </w:rPr>
        <w:t xml:space="preserve">. However, changes in flow characteristics within any catchment are mainly determined by the two factors, which are; land surface cover </w:t>
      </w:r>
      <w:r w:rsidRPr="005957F0">
        <w:rPr>
          <w:rFonts w:cs="Times New Roman"/>
          <w:szCs w:val="24"/>
        </w:rPr>
        <w:fldChar w:fldCharType="begin" w:fldLock="1"/>
      </w:r>
      <w:r w:rsidR="00FA5896">
        <w:rPr>
          <w:rFonts w:cs="Times New Roman"/>
          <w:szCs w:val="24"/>
          <w:lang w:val="en-US"/>
        </w:rPr>
        <w:instrText>ADDIN CSL_CITATION {"citationItems":[{"id":"ITEM-1","itemData":{"DOI":"10.1007/s11269-019-02320-w","ISSN":"0920-4741","abstract":"Upper-Brantas watershed in East Java, Indonesia, is a tropical watershed experiencing rapid landscape change, a phenomenon typical to developing countries. This study demonstrates the impact of Land Use Land Cover (LULC) changes on surface runoff in a tropical, urbanized, and data scarce watershed. The LULC changes were quantified between 1995 and 2015 and their impact on the hydrological processes was analyzed using the Soil and Water Assessment Tool (SWAT) model. During the study period, the watershed experienced an increase in settlement and dryland agriculture, and a decrease in the forest, rice field, and sugarcane plantation. The SWAT model results for the calibration (2003–2008) and validation (2009–2013) periods matched observed values [R2 &gt; 0.91 and NSE (Nash-Sutcliffe Efficiency) &gt;0.91]. In the long-term, the model predicted changes in runoff (+8%), water yield (+0.28%), groundwater (−1.8%), and evapotranspiration (−1.15%) due to changes in LULC. LULC changes showed a linear relationship with runoff generation, and the most significant factors affecting surface runoff were changes in the forest, agriculture, and settlements. Increasing urbanization, industrialization, and agricultural intensification will increase runoff which in turn will enhance the flow of nutrients and sediments into the water bodies.","author":[{"dropping-particle":"","family":"Astuti","given":"Ike Sari","non-dropping-particle":"","parse-names":false,"suffix":""},{"dropping-particle":"","family":"Sahoo","given":"Kamalakanta","non-dropping-particle":"","parse-names":false,"suffix":""},{"dropping-particle":"","family":"Milewski","given":"Adam","non-dropping-particle":"","parse-names":false,"suffix":""},{"dropping-particle":"","family":"Mishra","given":"Deepak R.","non-dropping-particle":"","parse-names":false,"suffix":""}],"container-title":"Water Resources Management","id":"ITEM-1","issue":"12","issued":{"date-parts":[["2019","9"]]},"page":"4087-4103","title":"Impact of Land Use Land Cover (LULC) Change on Surface Runoff in an Increasingly Urbanized Tropical Watershed","type":"article-journal","volume":"33"},"uris":["http://www.mendeley.com/documents/?uuid=84d364b5-3720-479b-853f-015d63019575","http://www.mendeley.com/documents/?uuid=f5ab21c6-f874-41c7-89e3-82ceabbbda43","http://www.mendeley.com/documents/?uuid=fb06ff96-8d0e-4b08-ad11-2d8e52dbde64"]}],"mendeley":{"formattedCitation":"[37]","plainTextFormattedCitation":"[37]","previouslyFormattedCitation":"[37]"},"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rPr>
        <w:t>[37]</w:t>
      </w:r>
      <w:r w:rsidRPr="005957F0">
        <w:rPr>
          <w:rFonts w:cs="Times New Roman"/>
          <w:szCs w:val="24"/>
        </w:rPr>
        <w:fldChar w:fldCharType="end"/>
      </w:r>
      <w:r w:rsidRPr="005957F0">
        <w:rPr>
          <w:rFonts w:cs="Times New Roman"/>
          <w:szCs w:val="24"/>
        </w:rPr>
        <w:t xml:space="preserve"> and climatic events </w:t>
      </w:r>
      <w:r w:rsidRPr="005957F0">
        <w:rPr>
          <w:rFonts w:cs="Times New Roman"/>
          <w:szCs w:val="24"/>
        </w:rPr>
        <w:fldChar w:fldCharType="begin" w:fldLock="1"/>
      </w:r>
      <w:r w:rsidR="00FA5896">
        <w:rPr>
          <w:rFonts w:cs="Times New Roman"/>
          <w:szCs w:val="24"/>
        </w:rPr>
        <w:instrText>ADDIN CSL_CITATION {"citationItems":[{"id":"ITEM-1","itemData":{"DOI":"10.1016/j.jhydrol.2016.11.037","ISSN":"00221694","abstract":"There is a need for assessment of uncertainties and hence effects on reliability of design and management of stormwater pipes due to the prevalence of urban floods trigged by modification of land cover and high precipitation intensities respectively due to increasing urbanization and changing climate. Observed annual maximum series (AMS) of extreme precipitation intensities of 17 durations (1-min to 1440-min) and runoff records of 27 years from a 21.255 ha (23% impervious, 35% built-up and 41% open areas) Risvollan catchment in Trondheim City were used. Using a balanced bootstrap resampling (BBRS) with frequency analysis, we quantified considerable uncertainty in precipitation and runoff quantiles due to the sampling variability of systematic observations (e.g., −43% to +49% relative differences from the quantile estimates for the original sample). These differences are higher than suggested increase in design rainfall and floods by many countries for climate change adjustment. The uncertainties in IDF curves and derived design storm hyetographs are found to have large effects on the reliability of sizing of stormwater pipes. The study also indicated low validity of the assumptions on extreme precipitation and runoff relationships in the return period-based method for the partially paved urban catchment: (i) maximum of only 46% of the AMS of extreme precipitation and runoff events occurred concurrently and (ii) T-year return period extreme precipitation events do not necessarily result in T-year flood events. These ind</w:instrText>
      </w:r>
      <w:r w:rsidR="00FA5896" w:rsidRPr="008908E6">
        <w:rPr>
          <w:rFonts w:cs="Times New Roman"/>
          <w:szCs w:val="24"/>
          <w:lang w:val="en-US"/>
        </w:rPr>
        <w:instrText>icate that there are effects of snowmelt seasonality, and probably catchment moisture states and interactions between the flows in subsurface media and pipes. The results substantiate the need for better understanding of relationships between precipitation and runoff extremes and urban runoff generation process, and importance of uncertainty assessment and application of reliability-based methods for design and management of water infrastructure.","author":[{"dropping-particle":"","family":"Hailegeorgis","given":"Teklu T.","non-dropping-particle":"","parse-names":false,"suffix":""},{"dropping-particle":"","family":"Alfredsen","given":"Knut","non-dropping-particle":"","parse-names":false,"suffix":""}],"container-title":"Journal of Hydrology","id":"ITEM-1","issued":{"date-parts":[["2017","1"]]},"page":"290-305","title":"Analyses of extreme precipitation and runoff events including uncertainties and reliability in design and management of urban water infrastructure","type":"article-journal","volume":"544"},"uris":["http://www.mendeley.com/documents/?uuid=1afbc869-d6ae-4f94-833c-2cedaea295c8","http://www.mendeley.com/documents/?uuid=13a2f690-0cce-485b-ab9b-c5575fb73067","http://www.mendeley.com/documents/?uuid=9b8de1c2-050d-4c54-8754-19037b9a5b04"]}],"mendeley":{"formattedCitation":"[38]","plainTextFormattedCitation":"[38]","previouslyFormattedCitation":"[38]"},"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[38]</w:t>
      </w:r>
      <w:r w:rsidRPr="005957F0">
        <w:rPr>
          <w:rFonts w:cs="Times New Roman"/>
          <w:szCs w:val="24"/>
        </w:rPr>
        <w:fldChar w:fldCharType="end"/>
      </w:r>
      <w:r w:rsidRPr="00240979">
        <w:rPr>
          <w:rFonts w:cs="Times New Roman"/>
          <w:szCs w:val="24"/>
          <w:lang w:val="en-US"/>
        </w:rPr>
        <w:t xml:space="preserve">. With the rapid population growth, many catchments in the world have </w:t>
      </w:r>
      <w:r w:rsidR="00F9037D">
        <w:rPr>
          <w:rFonts w:cs="Times New Roman"/>
          <w:szCs w:val="24"/>
          <w:lang w:val="en-US"/>
        </w:rPr>
        <w:t xml:space="preserve">been </w:t>
      </w:r>
      <w:r w:rsidRPr="00240979">
        <w:rPr>
          <w:rFonts w:cs="Times New Roman"/>
          <w:szCs w:val="24"/>
          <w:lang w:val="en-US"/>
        </w:rPr>
        <w:t>invaded as a result of an increase in land demand for settlements and other development activities.</w:t>
      </w:r>
      <w:r w:rsidR="003E0017" w:rsidRPr="003E0017">
        <w:rPr>
          <w:rFonts w:cs="Times New Roman"/>
          <w:szCs w:val="24"/>
          <w:lang w:val="en-US"/>
        </w:rPr>
        <w:t xml:space="preserve"> </w:t>
      </w:r>
    </w:p>
    <w:p w14:paraId="680283F8" w14:textId="3ECE369F" w:rsidR="00240979" w:rsidRPr="00240979" w:rsidRDefault="00240979" w:rsidP="00240979">
      <w:pPr>
        <w:rPr>
          <w:rFonts w:cs="Times New Roman"/>
          <w:szCs w:val="24"/>
          <w:lang w:val="en-US"/>
        </w:rPr>
      </w:pPr>
      <w:r w:rsidRPr="00240979">
        <w:rPr>
          <w:rFonts w:cs="Times New Roman"/>
          <w:szCs w:val="24"/>
          <w:lang w:val="en-US"/>
        </w:rPr>
        <w:t xml:space="preserve">Moreover, most dams are constructed and built based on the state of the watershed at the time. This approach tends to ignore the potential effects that can be caused by the changes in flow characteristics as a result of the changes in land surface cover. As a result, changing the terrain can have a significant impact on how rapidly water is absorbed into the ground or rushes off toward the dam. For instance, the results of a water balancing conducted in Leipzig </w:t>
      </w:r>
      <w:r w:rsidRPr="005957F0">
        <w:rPr>
          <w:rFonts w:cs="Times New Roman"/>
          <w:szCs w:val="24"/>
        </w:rPr>
        <w:fldChar w:fldCharType="begin" w:fldLock="1"/>
      </w:r>
      <w:r w:rsidR="00FA5896">
        <w:rPr>
          <w:rFonts w:cs="Times New Roman"/>
          <w:szCs w:val="24"/>
          <w:lang w:val="en-US"/>
        </w:rPr>
        <w:instrText>ADDIN CSL_CITATION {"citationItems":[{"id":"ITEM-1","itemData":{"abstract":"Over the last two decades, scanning transmission electron microscopy (STEM) has become a very popular and widespread technique, with the number of publications and presentations making use of STEM techniques increasing by about an order of magnitude. Although the strengths of the technique for providing high-resolution structural and analytical information have been known and understood for much longer than that, the key to its more recent popularity has undoubtedly been the availability of STEM modes on instruments available from the major TEM manufacturers. Gone are the days when researchers want- ing the unique capabilities of high-resolution STEM had to undertake the task of keeping a VG dedicated STEM instrument operating. Given the current interest in the technique, we felt that the time was right to review the current state of knowledge about STEM and STEM-related techniques and their application to a range of materials problems. The purpose of this volume is both to educate those who wish to deepen their understanding of STEM and to inform those who are seeking a review of the latest applications and methods associated with STEM. We are delighted that so many of our colleagues accepted our invitation to contribute to this volume, and we are indebted to them for their efforts in creating such excellent contributions. The follow- ing chapters illustrate how close STEM has brought us to the ultimate materials characterisation challenge of analysing materials atom by atom. We hope that the following chapters demonstrate the spectacular results that can be achieved when performing the relatively simple experiment of focusing a beam of electrons down to an atomic scale and measuring the scattering that results. Stephen","author":[{"dropping-particle":"","family":"Ocampo","given":"Carlos","non-dropping-particle":"","parse-names":false,"suffix":""}],"container-title":"Cooperative Research Centre for Water Sensitive Cities","id":"ITEM-1","issued":{"date-parts":[["2018"]]},"page":"51","title":"The impact of urbanisation and stormwater management practices on water balances and nutrient pathways in areas of high groundwater: a review of recent literature","type":"article-journal"},"uris":["http://www.mendeley.com/documents/?uuid=a77cf282-c399-460c-bb87-26059c888441","http://www.mendeley.com/documents/?uuid=cfe05bc9-d711-4e02-b8f6-6e29595ae133"]}],"mendeley":{"formattedCitation":"[39]","plainTextFormattedCitation":"[39]","previouslyFormattedCitation":"[39]"},"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[39]</w:t>
      </w:r>
      <w:r w:rsidRPr="005957F0">
        <w:rPr>
          <w:rFonts w:cs="Times New Roman"/>
          <w:szCs w:val="24"/>
        </w:rPr>
        <w:fldChar w:fldCharType="end"/>
      </w:r>
      <w:r w:rsidRPr="00240979">
        <w:rPr>
          <w:rFonts w:cs="Times New Roman"/>
          <w:szCs w:val="24"/>
          <w:lang w:val="en-US"/>
        </w:rPr>
        <w:t>, using empirical methods</w:t>
      </w:r>
      <w:r w:rsidR="00F9037D">
        <w:rPr>
          <w:rFonts w:cs="Times New Roman"/>
          <w:szCs w:val="24"/>
          <w:lang w:val="en-US"/>
        </w:rPr>
        <w:t>,</w:t>
      </w:r>
      <w:r w:rsidRPr="00240979">
        <w:rPr>
          <w:rFonts w:cs="Times New Roman"/>
          <w:szCs w:val="24"/>
          <w:lang w:val="en-US"/>
        </w:rPr>
        <w:t xml:space="preserve"> revealed that urbanization increased surface runoff while decreasing net recharge to groundwater due to surface sealing and lower evapotranspiration.</w:t>
      </w:r>
    </w:p>
    <w:p w14:paraId="438DB83B" w14:textId="5D4F8C00" w:rsidR="00240979" w:rsidRPr="00240979" w:rsidRDefault="00240979" w:rsidP="00240979">
      <w:pPr>
        <w:rPr>
          <w:rFonts w:cs="Times New Roman"/>
          <w:szCs w:val="24"/>
          <w:lang w:val="en-US"/>
        </w:rPr>
      </w:pPr>
      <w:r w:rsidRPr="00240979">
        <w:rPr>
          <w:rFonts w:cs="Times New Roman"/>
          <w:szCs w:val="24"/>
          <w:lang w:val="en-US"/>
        </w:rPr>
        <w:t xml:space="preserve"> </w:t>
      </w:r>
      <w:r w:rsidR="0022755A" w:rsidRPr="0022755A">
        <w:rPr>
          <w:rFonts w:cs="Times New Roman"/>
          <w:szCs w:val="24"/>
          <w:lang w:val="en-US"/>
        </w:rPr>
        <w:t>It's also worth noting that the amount of water a dam has to hold back is the most crucial aspect in determining whether it will fail or not</w:t>
      </w:r>
      <w:r w:rsidRPr="00240979">
        <w:rPr>
          <w:rFonts w:cs="Times New Roman"/>
          <w:szCs w:val="24"/>
          <w:lang w:val="en-US"/>
        </w:rPr>
        <w:t xml:space="preserve"> </w:t>
      </w:r>
      <w:r>
        <w:rPr>
          <w:rFonts w:cs="Times New Roman"/>
          <w:szCs w:val="24"/>
        </w:rPr>
        <w:fldChar w:fldCharType="begin" w:fldLock="1"/>
      </w:r>
      <w:r w:rsidR="00FA5896">
        <w:rPr>
          <w:rFonts w:cs="Times New Roman"/>
          <w:szCs w:val="24"/>
          <w:lang w:val="en-US"/>
        </w:rPr>
        <w:instrText>ADDIN CSL_CITATION {"citationItems":[{"id":"ITEM-1","itemData":{"DOI":"10.1360/N092017-00213","ISSN":"1674-7259","abstract":"As a production of natural process, the barrier dam has its own features, and is easily to fail due to overtopping. Based on the breach mechanism revealed by small-scale model tests and the draining case of Tangjiashan Barrier Lake, a numerical breach model for barrier dam due to overtopping failure is put forward. In terms of the geometrical characteristics, physical and mechanical properties of barrier dam, a unified approach is developed to model the evolution of breaches in the dam crest and downstream slope, as well as the morphological change of the barrier dam in streamwise. Furthermore, different failure modes, such as one-and two-sided erosion, incomplete and base erosion are taken into account. The draining of Tangjiashan Barrier Lake is adopted to testify the present model, and the comparison of measured and calculated results indicates the rationality of the present model with the relative errors are less than 10% for peak discharge, final breach widths, and time to peak; in addition, the calculated breach discharge hydrograph and the changing process of water level are in accord with the measured data. The sensitivity analysis shows that the residual dam height after breaching and soil erodibility affect the breach flow prediction of the barrier dam significantly, whereas the one-or two-sided breach mode is less sensitive.","author":[{"dropping-particle":"","family":"ZHONG","given":"QiMing","non-dropping-particle":"","parse-names":false,"suffix":""},{"dropping-particle":"","family":"CHEN","given":"ShengShui","non-dropping-particle":"","parse-names":false,"suffix":""},{"dropping-particle":"","family":"DENG","given":"Zhao","non-dropping-particle":"","parse-names":false,"suffix":""}],"container-title":"SCIENTIA SINICA Technologica","id":"ITEM-1","issue":"9","issued":{"date-parts":[["2018","9"]]},"page":"959-968","title":"Breach mechanism and numerical modeling of barrier dam due to overtopping failure","type":"article-journal","volume":"48"},"uris":["http://www.mendeley.com/documents/?uuid=6d043f00-5eff-4dc5-a4c1-ad53cdda279a","http://www.mendeley.com/documents/?uuid=01c33ba4-19da-4ad3-b8d6-e2f8079108dd","http://www.mendeley.com/documents/?uuid=2c8c8e2d-5a4d-4dff-9905-1186d38eced6"]},{"id":"ITEM-2","itemData":{"DOI":"10.1007/s11629-016-3907-5","ISSN":"1672-6316","abstract":"Based on the large-scale model tests, a simplified dam breach model for homogeneous cohesive dam due to overtopping failure is put forward. The model considers headcut erosion as one of the key homogeneous cohesive dam breaching mechanisms and we calculate the time-averaged headcut migration rate using an energy-based empirical formula. A numerical method is adopted to determine the initial scour position at the downstream slope in terms of the water head and dam height, and the broad-crested weir equation is utilized to simulate the breach flow. The limit equilibrium method is used to analyze the stability of breach slope during the breach process. An iterative method is developed to simulate the coupling process of soil and water at each time step. The calculated results of three dam breach cases testify the reasonability of the model, and the sensitivity studies of soil erodibility show that sensitivity is dependent on each test case’s soil conditions. In addition, three typical dam breach models, NWS BREACH, WinDAM B, and HR BREACH, are also chosen to compare with the proposed model. It is found that NWS BREACH may have large errors for cohesive dams, since it uses a noncohesive sediment transport model and does not consider headcut erosion, WinDAM B and HR BREACH consider headcut erosion as the breaching mechanism and handle well homogeneous cohesive dam overtopping failure, but overall, the proposed model has the best performance.","author":[{"dropping-particle":"","family":"Zhong","given":"Qi-ming","non-dropping-particle":"","parse-names":false,"suffix":""},{"dropping-particle":"","family":"Chen","given":"Sheng-shui","non-dropping-particle":"","parse-names":false,"suffix":""},{"dropping-particle":"","family":"Deng","given":"Zhao","non-dropping-particle":"","parse-names":false,"suffix":""}],"container-title":"Journal of Mountain Science","id":"ITEM-2","issue":"3","issued":{"date-parts":[["2017","3"]]},"page":"571-580","title":"Numerical model for homogeneous cohesive dam breaching due to overtopping failure","type":"article-journal","volume":"14"},"uris":["http://www.mendeley.com/documents/?uuid=173b2c0f-f3cb-4ba1-9271-92b615aa5b3d","http://www.mendeley.com/documents/?uuid=233816ef-fbab-4072-8665-db4a1ea91f44","http://www.mendeley.com/documents/?uuid=e5ed5c91-a2e0-4369-aef7-6345baa630fc"]},{"id":"ITEM-3","itemData":{"DOI":"10.1007/s11629-020-6177-1","ISSN":"1672-6316","abstract":"The main objective of the present study is to introduce new empirical equations for the determination of breach geometrical dimensions and peak outflow discharge (Qp). Therefore, a historic failure database of 109 embankments was collected and examined. The most important factors that affect the breach evolution, including grading size, hydraulic, and outflow characteristics are also studied. Some of the parameters used for the determination of Qp and average breach width (Bave) have a significant effect on the erosion process, but they are less reflected in the technical literature. To study the behavior of non-cohesive soils during overtopping, 15 physical tests were performed at the laboratory, and the effects of interfering parameters were investigated. The experimental output hydrograph was used to simulate the hydrographs resulting from the failure of real dams, and recent artificial intelligence techniques along with linear and nonlinear regression models were employed. The area-time analysis of the laboratory hydrographs shows that the soil particle size and the characteristics of reservoir-basin significantly affect the rate of breach formation and outflow discharge. New relationships are introduced, based on the breach characteristics, by a combination of historical and experimental data, as well as case studies conducted on the hypothetical failure of 10 operational dams. The mathematical model is also used to simulate the process of breach evaluation. Based on statistical indices, comparison of the results, and sensitivity analysis, the developed equations can better express the susceptibility of materials to erosion and their application can minimize downstream vulnerabilities.","author":[{"dropping-particle":"","family":"Kouzehgar","given":"Kamran","non-dropping-particle":"","parse-names":false,"suffix":""},{"dropping-particle":"","family":"Hassanzadeh","given":"Yousef","non-dropping-particle":"","parse-names":false,"suffix":""},{"dropping-particle":"","family":"Eslamian","given":"Saeid","non-dropping-particle":"","parse-names":false,"suffix":""},{"dropping-particle":"","family":"Yousefzadeh Fard","given":"Mikaeil","non-dropping-particle":"","parse-names":false,"suffix":""},{"dropping-particle":"","family":"Babaeian Amini","given":"Alireza","non-dropping-particle":"","parse-names":false,"suffix":""}],"container-title":"Journal of Mountain Science","id":"ITEM-3","issue":"2","issued":{"date-parts":[["2021","2"]]},"page":"462-481","title":"Physical modeling into outflow hydrographs and breach characteristics of homogeneous earthfill dams failure due to overtopping","type":"article-journal","volume":"18"},"uris":["http://www.mendeley.com/documents/?uuid=fef081c7-bf82-4194-8d92-75ec5f5d50a4","http://www.mendeley.com/documents/?uuid=be21e44a-d120-4c19-982a-00b63ef5e803","http://www.mendeley.com/documents/?uuid=314b361b-7066-4a69-bbac-22410b57c70d"]},{"id":"ITEM-4","itemData":{"DOI":"10.1007/s10230-018-0529-x","ISSN":"1025-9112","abstract":"The disastrous impact of a tailings dam failure is more far-reaching than that of a water retention dam failure. This paper analyzes the movement characteristics of mudflow during a tailings dam failure using physical models based on the Wadugou tailings impoundment. The physical models were built according to the similarity laws to investigate an overtopping dam failure under natural conditions and when additional protective measures were used. Based on the experimental results, the dam breach size, the breach flow discharge, flow velocity, downstream inundated area, and tailings deposition volume are all reduced by preferably protecting and maintaining the tailings dam embankment to mitigate the destructive effects of a potential dam failure. Finally, the time required for safe evacuation for the Wadugou tailings impoundment area is given.","author":[{"dropping-particle":"","family":"Wu","given":"Teng","non-dropping-particle":"","parse-names":false,"suffix":""},{"dropping-particle":"","family":"Qin","given":"Jie","non-dropping-particle":"","parse-names":false,"suffix":""}],"container-title":"Mine Water and the Environment","id":"ITEM-4","issue":"2","issued":{"date-parts":[["2018","6"]]},"page":"272-280","title":"Experimental Study of a Tailings Impoundment Dam Failure Due to Overtopping","type":"article-journal","volume":"37"},"uris":["http://www.mendeley.com/documents/?uuid=40020d16-fd08-4029-a6e7-918266e90ed4","http://www.mendeley.com/documents/?uuid=e2f03b70-777d-4673-affa-9e0fd5bc46fb","http://www.mendeley.com/documents/?uuid=8a9f12c4-f19b-46a3-b0f5-2e27a7add447"]}],"mendeley":{"formattedCitation":"[40–43]","plainTextFormattedCitation":"[40–43]","previouslyFormattedCitation":"[40–43]"},"properties":{"noteIndex":0},"schema":"https://github.com/citation-style-language/schema/raw/master/csl-citation.json"}</w:instrText>
      </w:r>
      <w:r>
        <w:rPr>
          <w:rFonts w:cs="Times New Roman"/>
          <w:szCs w:val="24"/>
        </w:rPr>
        <w:fldChar w:fldCharType="separate"/>
      </w:r>
      <w:r w:rsidR="0032684D" w:rsidRPr="0032684D">
        <w:rPr>
          <w:rFonts w:cs="Times New Roman"/>
          <w:noProof/>
          <w:szCs w:val="24"/>
          <w:lang w:val="en-US"/>
        </w:rPr>
        <w:t>[40–43]</w:t>
      </w:r>
      <w:r>
        <w:rPr>
          <w:rFonts w:cs="Times New Roman"/>
          <w:szCs w:val="24"/>
        </w:rPr>
        <w:fldChar w:fldCharType="end"/>
      </w:r>
      <w:r w:rsidRPr="00240979">
        <w:rPr>
          <w:rFonts w:cs="Times New Roman"/>
          <w:szCs w:val="24"/>
          <w:lang w:val="en-US"/>
        </w:rPr>
        <w:t xml:space="preserve">. Dams can also be strained by changing weather patterns, as some places get wetter while others become drier. All these facts have also been narrated by Prof. Norbert Delatte, a professor of civil engineering at Cleveland State University </w:t>
      </w:r>
      <w:r w:rsidRPr="005957F0">
        <w:rPr>
          <w:rFonts w:cs="Times New Roman"/>
          <w:szCs w:val="24"/>
        </w:rPr>
        <w:fldChar w:fldCharType="begin" w:fldLock="1"/>
      </w:r>
      <w:r w:rsidR="00FA5896">
        <w:rPr>
          <w:rFonts w:cs="Times New Roman"/>
          <w:szCs w:val="24"/>
          <w:lang w:val="en-US"/>
        </w:rPr>
        <w:instrText>ADDIN CSL_CITATION {"citationItems":[{"id":"ITEM-1","itemData":{"author":[{"dropping-particle":"","family":"National Geographic Society","given":"","non-dropping-particle":"","parse-names":false,"suffix":""}],"id":"ITEM-1","issued":{"date-parts":[["2015"]]},"title":"4 Hidden Causes of Dam Failures","type":"webpage"},"uris":["http://www.mendeley.com/documents/?uuid=2a2c3854-cda2-47cc-ad17-9f7367a378dc","http://www.mendeley.com/documents/?uuid=27ca5799-76fc-413a-aa9c-805e2f3b264c"]}],"mendeley":{"formattedCitation":"[44]","plainTextFormattedCitation":"[44]","previouslyFormattedCitation":"[44]"},"properties":{"noteIndex":0},"schema":"https://github.com/citation-style-language/schema/raw/master/csl-citation.json"}</w:instrText>
      </w:r>
      <w:r w:rsidRPr="005957F0">
        <w:rPr>
          <w:rFonts w:cs="Times New Roman"/>
          <w:szCs w:val="24"/>
        </w:rPr>
        <w:fldChar w:fldCharType="separate"/>
      </w:r>
      <w:r w:rsidR="0032684D" w:rsidRPr="0032684D">
        <w:rPr>
          <w:rFonts w:cs="Times New Roman"/>
          <w:noProof/>
          <w:szCs w:val="24"/>
          <w:lang w:val="en-US"/>
        </w:rPr>
        <w:t>[44]</w:t>
      </w:r>
      <w:r w:rsidRPr="005957F0">
        <w:rPr>
          <w:rFonts w:cs="Times New Roman"/>
          <w:szCs w:val="24"/>
        </w:rPr>
        <w:fldChar w:fldCharType="end"/>
      </w:r>
      <w:r w:rsidRPr="00240979">
        <w:rPr>
          <w:rFonts w:cs="Times New Roman"/>
          <w:szCs w:val="24"/>
          <w:lang w:val="en-US"/>
        </w:rPr>
        <w:t>. Furthermore, investigation of stability issues that may result from changes in flow characteristics in-situ during the design phase of a dam is among the difficult tasks due to a number of complex factors involved. Therefore, modeling provides a convenient approach for predicting potential problems associated with embankment dams from the design phase.</w:t>
      </w:r>
    </w:p>
    <w:p w14:paraId="2EE181EE" w14:textId="77777777" w:rsidR="00240979" w:rsidRPr="00240979" w:rsidRDefault="00240979" w:rsidP="00240979">
      <w:pPr>
        <w:rPr>
          <w:rFonts w:cs="Times New Roman"/>
          <w:szCs w:val="24"/>
          <w:lang w:val="en-US"/>
        </w:rPr>
      </w:pPr>
      <w:r w:rsidRPr="00240979">
        <w:rPr>
          <w:rFonts w:cs="Times New Roman"/>
          <w:szCs w:val="24"/>
          <w:lang w:val="en-US"/>
        </w:rPr>
        <w:t>Unfortunately, previous studies have not adequately captured the potential relationship between shifting water levels and loading conditions on embankment dam stability.</w:t>
      </w:r>
    </w:p>
    <w:p w14:paraId="1C4260C7" w14:textId="05092882" w:rsidR="00240979" w:rsidRPr="003E0017" w:rsidRDefault="00240979" w:rsidP="003E0017">
      <w:pPr>
        <w:rPr>
          <w:b/>
          <w:bCs/>
          <w:lang w:val="en-US"/>
        </w:rPr>
      </w:pPr>
      <w:bookmarkStart w:id="14" w:name="_Toc97504702"/>
      <w:r w:rsidRPr="003E0017">
        <w:rPr>
          <w:b/>
          <w:bCs/>
          <w:lang w:val="en-US"/>
        </w:rPr>
        <w:t>Significance of the study</w:t>
      </w:r>
      <w:bookmarkEnd w:id="14"/>
    </w:p>
    <w:p w14:paraId="3987798D" w14:textId="2287FB92" w:rsidR="00240979" w:rsidRPr="00240979" w:rsidRDefault="00A35FAD" w:rsidP="00240979">
      <w:pPr>
        <w:rPr>
          <w:rFonts w:cs="Times New Roman"/>
          <w:szCs w:val="24"/>
          <w:lang w:val="en-US"/>
        </w:rPr>
      </w:pPr>
      <w:r w:rsidRPr="00A35FAD">
        <w:rPr>
          <w:rFonts w:cs="Times New Roman"/>
          <w:szCs w:val="24"/>
          <w:lang w:val="en-US"/>
        </w:rPr>
        <w:t xml:space="preserve">Land </w:t>
      </w:r>
      <w:r w:rsidR="006A2187">
        <w:rPr>
          <w:rFonts w:cs="Times New Roman"/>
          <w:szCs w:val="24"/>
          <w:lang w:val="en-US"/>
        </w:rPr>
        <w:t>surface coverage</w:t>
      </w:r>
      <w:r w:rsidRPr="00A35FAD">
        <w:rPr>
          <w:rFonts w:cs="Times New Roman"/>
          <w:szCs w:val="24"/>
          <w:lang w:val="en-US"/>
        </w:rPr>
        <w:t xml:space="preserve"> </w:t>
      </w:r>
      <w:r>
        <w:rPr>
          <w:rFonts w:cs="Times New Roman"/>
          <w:szCs w:val="24"/>
          <w:lang w:val="en-US"/>
        </w:rPr>
        <w:t>c</w:t>
      </w:r>
      <w:r w:rsidRPr="00A35FAD">
        <w:rPr>
          <w:rFonts w:cs="Times New Roman"/>
          <w:szCs w:val="24"/>
          <w:lang w:val="en-US"/>
        </w:rPr>
        <w:t xml:space="preserve">hange </w:t>
      </w:r>
      <w:r>
        <w:rPr>
          <w:rFonts w:cs="Times New Roman"/>
          <w:szCs w:val="24"/>
          <w:lang w:val="en-US"/>
        </w:rPr>
        <w:t>analysis</w:t>
      </w:r>
      <w:r w:rsidRPr="00A35FAD">
        <w:rPr>
          <w:rFonts w:cs="Times New Roman"/>
          <w:szCs w:val="24"/>
          <w:lang w:val="en-US"/>
        </w:rPr>
        <w:t xml:space="preserve"> is </w:t>
      </w:r>
      <w:r w:rsidR="00F9037D">
        <w:rPr>
          <w:rFonts w:cs="Times New Roman"/>
          <w:szCs w:val="24"/>
          <w:lang w:val="en-US"/>
        </w:rPr>
        <w:t xml:space="preserve">an </w:t>
      </w:r>
      <w:r w:rsidRPr="00A35FAD">
        <w:rPr>
          <w:rFonts w:cs="Times New Roman"/>
          <w:szCs w:val="24"/>
          <w:lang w:val="en-US"/>
        </w:rPr>
        <w:t>important</w:t>
      </w:r>
      <w:r>
        <w:rPr>
          <w:rFonts w:cs="Times New Roman"/>
          <w:szCs w:val="24"/>
          <w:lang w:val="en-US"/>
        </w:rPr>
        <w:t xml:space="preserve"> aspect</w:t>
      </w:r>
      <w:r w:rsidRPr="00A35FAD">
        <w:rPr>
          <w:rFonts w:cs="Times New Roman"/>
          <w:szCs w:val="24"/>
          <w:lang w:val="en-US"/>
        </w:rPr>
        <w:t xml:space="preserve"> </w:t>
      </w:r>
      <w:r w:rsidR="00F9037D">
        <w:rPr>
          <w:rFonts w:cs="Times New Roman"/>
          <w:szCs w:val="24"/>
          <w:lang w:val="en-US"/>
        </w:rPr>
        <w:t>of</w:t>
      </w:r>
      <w:r w:rsidRPr="00A35FAD">
        <w:rPr>
          <w:rFonts w:cs="Times New Roman"/>
          <w:szCs w:val="24"/>
          <w:lang w:val="en-US"/>
        </w:rPr>
        <w:t xml:space="preserve"> conservation</w:t>
      </w:r>
      <w:r w:rsidR="006A2187">
        <w:rPr>
          <w:rFonts w:cs="Times New Roman"/>
          <w:szCs w:val="24"/>
          <w:lang w:val="en-US"/>
        </w:rPr>
        <w:t xml:space="preserve"> and </w:t>
      </w:r>
      <w:r w:rsidR="00AD776B">
        <w:rPr>
          <w:rFonts w:cs="Times New Roman"/>
          <w:szCs w:val="24"/>
          <w:lang w:val="en-US"/>
        </w:rPr>
        <w:t>management</w:t>
      </w:r>
      <w:r w:rsidR="006A2187">
        <w:rPr>
          <w:rFonts w:cs="Times New Roman"/>
          <w:szCs w:val="24"/>
          <w:lang w:val="en-US"/>
        </w:rPr>
        <w:t xml:space="preserve"> of natural res</w:t>
      </w:r>
      <w:r w:rsidR="00AD776B">
        <w:rPr>
          <w:rFonts w:cs="Times New Roman"/>
          <w:szCs w:val="24"/>
          <w:lang w:val="en-US"/>
        </w:rPr>
        <w:t>ources</w:t>
      </w:r>
      <w:r w:rsidRPr="00A35FAD">
        <w:rPr>
          <w:rFonts w:cs="Times New Roman"/>
          <w:szCs w:val="24"/>
          <w:lang w:val="en-US"/>
        </w:rPr>
        <w:t xml:space="preserve"> because it can reveal a region's pattern of human land use. Land </w:t>
      </w:r>
      <w:r w:rsidRPr="00A35FAD">
        <w:rPr>
          <w:rFonts w:cs="Times New Roman"/>
          <w:szCs w:val="24"/>
          <w:lang w:val="en-US"/>
        </w:rPr>
        <w:lastRenderedPageBreak/>
        <w:t xml:space="preserve">use patterns must be studied in order to cope with global climate change and achieve sustainable development. </w:t>
      </w:r>
      <w:r w:rsidR="0025169B">
        <w:rPr>
          <w:rFonts w:cs="Times New Roman"/>
          <w:szCs w:val="24"/>
          <w:lang w:val="en-US"/>
        </w:rPr>
        <w:t>On the other hand, stormwater system modeling</w:t>
      </w:r>
      <w:r w:rsidRPr="00A35FAD">
        <w:rPr>
          <w:rFonts w:cs="Times New Roman"/>
          <w:szCs w:val="24"/>
          <w:lang w:val="en-US"/>
        </w:rPr>
        <w:t xml:space="preserve"> is a useful approach for determining flooding susceptibility and identifying possible flood-reduction strategies. These phenomena are important in determining the flow characteristics of a watershed, as well as the stability of an embankment dam.</w:t>
      </w:r>
    </w:p>
    <w:p w14:paraId="1D4EE619" w14:textId="2511A6C2" w:rsidR="00240979" w:rsidRPr="00240979" w:rsidRDefault="00240979" w:rsidP="00240979">
      <w:pPr>
        <w:rPr>
          <w:rFonts w:cs="Times New Roman"/>
          <w:szCs w:val="24"/>
          <w:lang w:val="en-US"/>
        </w:rPr>
      </w:pPr>
      <w:r w:rsidRPr="00240979">
        <w:rPr>
          <w:rFonts w:cs="Times New Roman"/>
          <w:szCs w:val="24"/>
          <w:lang w:val="en-US"/>
        </w:rPr>
        <w:t xml:space="preserve">It's also worth noting that dam engineers' lack of awareness of land use and land cover issues has been connected to an increase in the number of embankment dam failures around the world. </w:t>
      </w:r>
      <w:r w:rsidR="00A35FAD" w:rsidRPr="00A35FAD">
        <w:rPr>
          <w:rFonts w:cs="Times New Roman"/>
          <w:szCs w:val="24"/>
          <w:lang w:val="en-US"/>
        </w:rPr>
        <w:t xml:space="preserve">Civil Engineers must understand the nature and behavior of land cover change within a catchment, </w:t>
      </w:r>
      <w:r w:rsidR="00F9037D">
        <w:rPr>
          <w:rFonts w:cs="Times New Roman"/>
          <w:szCs w:val="24"/>
          <w:lang w:val="en-US"/>
        </w:rPr>
        <w:t xml:space="preserve">flow characteristics in relation to changes in </w:t>
      </w:r>
      <w:r w:rsidR="00EE1BBF">
        <w:rPr>
          <w:rFonts w:cs="Times New Roman"/>
          <w:szCs w:val="24"/>
          <w:lang w:val="en-US"/>
        </w:rPr>
        <w:t>surface of the land as well as the</w:t>
      </w:r>
      <w:r w:rsidR="00A35FAD" w:rsidRPr="00A35FAD">
        <w:rPr>
          <w:rFonts w:cs="Times New Roman"/>
          <w:szCs w:val="24"/>
          <w:lang w:val="en-US"/>
        </w:rPr>
        <w:t xml:space="preserve"> embankment stability problems related to flow characteristic issues in order to design highly sustainable dams</w:t>
      </w:r>
      <w:r w:rsidRPr="00240979">
        <w:rPr>
          <w:rFonts w:cs="Times New Roman"/>
          <w:szCs w:val="24"/>
          <w:lang w:val="en-US"/>
        </w:rPr>
        <w:t>.</w:t>
      </w:r>
    </w:p>
    <w:p w14:paraId="76DE18AF" w14:textId="316F6891" w:rsidR="00240979" w:rsidRPr="00240979" w:rsidRDefault="00240979" w:rsidP="00240979">
      <w:pPr>
        <w:rPr>
          <w:rFonts w:cs="Times New Roman"/>
          <w:szCs w:val="24"/>
          <w:lang w:val="en-US"/>
        </w:rPr>
      </w:pPr>
      <w:r w:rsidRPr="00240979">
        <w:rPr>
          <w:rFonts w:cs="Times New Roman"/>
          <w:szCs w:val="24"/>
          <w:lang w:val="en-US"/>
        </w:rPr>
        <w:t>The results derived in this study have a significant potential to bridge the knowledge gap that has been existing for a long time</w:t>
      </w:r>
      <w:r w:rsidR="00F9037D">
        <w:rPr>
          <w:rFonts w:cs="Times New Roman"/>
          <w:szCs w:val="24"/>
          <w:lang w:val="en-US"/>
        </w:rPr>
        <w:t>,</w:t>
      </w:r>
      <w:r w:rsidRPr="00240979">
        <w:rPr>
          <w:rFonts w:cs="Times New Roman"/>
          <w:szCs w:val="24"/>
          <w:lang w:val="en-US"/>
        </w:rPr>
        <w:t xml:space="preserve"> leading to the many embankment stability issues resulting from changes in flow characteristics within a catchment as a function of land cover changes.</w:t>
      </w:r>
    </w:p>
    <w:p w14:paraId="4165D5FA" w14:textId="7294163F" w:rsidR="00240979" w:rsidRPr="003E0017" w:rsidRDefault="00240979" w:rsidP="003E0017">
      <w:pPr>
        <w:rPr>
          <w:b/>
          <w:bCs/>
          <w:lang w:val="en-US"/>
        </w:rPr>
      </w:pPr>
      <w:bookmarkStart w:id="15" w:name="_Toc97504703"/>
      <w:r w:rsidRPr="003E0017">
        <w:rPr>
          <w:b/>
          <w:bCs/>
          <w:lang w:val="en-US"/>
        </w:rPr>
        <w:t>Thesis outline</w:t>
      </w:r>
      <w:bookmarkEnd w:id="15"/>
    </w:p>
    <w:p w14:paraId="7ACEC0F1" w14:textId="227346C6" w:rsidR="00240979" w:rsidRPr="00240979" w:rsidRDefault="00240979" w:rsidP="00240979">
      <w:pPr>
        <w:rPr>
          <w:rFonts w:cs="Times New Roman"/>
          <w:szCs w:val="24"/>
          <w:lang w:val="en-US"/>
        </w:rPr>
      </w:pPr>
      <w:r w:rsidRPr="00240979">
        <w:rPr>
          <w:rFonts w:cs="Times New Roman"/>
          <w:szCs w:val="24"/>
          <w:lang w:val="en-US"/>
        </w:rPr>
        <w:t xml:space="preserve">Essentially, the framework of this thesis is based on that of the L.N. Gumilyov Eurasian National University's doctoral thesis. The study then goes on to outline the wide concept of </w:t>
      </w:r>
      <w:r w:rsidR="003E0017">
        <w:rPr>
          <w:rFonts w:cs="Times New Roman"/>
          <w:szCs w:val="24"/>
          <w:lang w:val="en-US"/>
        </w:rPr>
        <w:t>slope stability analysis</w:t>
      </w:r>
      <w:r w:rsidRPr="00240979">
        <w:rPr>
          <w:rFonts w:cs="Times New Roman"/>
          <w:szCs w:val="24"/>
          <w:lang w:val="en-US"/>
        </w:rPr>
        <w:t xml:space="preserve"> that leads to the research issue's focus. This problem definition is based on a conceptual framework that is supported by theory and literature, and it is empirically and conceptually validated. This session covers the thesis'</w:t>
      </w:r>
      <w:r w:rsidR="00F9037D">
        <w:rPr>
          <w:rFonts w:cs="Times New Roman"/>
          <w:szCs w:val="24"/>
          <w:lang w:val="en-US"/>
        </w:rPr>
        <w:t>s basic outline and</w:t>
      </w:r>
      <w:r w:rsidRPr="00240979">
        <w:rPr>
          <w:rFonts w:cs="Times New Roman"/>
          <w:szCs w:val="24"/>
          <w:lang w:val="en-US"/>
        </w:rPr>
        <w:t xml:space="preserve"> its organizational structure. </w:t>
      </w:r>
      <w:r w:rsidR="009D4198" w:rsidRPr="009D4198">
        <w:rPr>
          <w:rFonts w:cs="Times New Roman"/>
          <w:szCs w:val="24"/>
          <w:lang w:val="en-US"/>
        </w:rPr>
        <w:t xml:space="preserve">The thesis is divided into </w:t>
      </w:r>
      <w:r w:rsidR="003E0017">
        <w:rPr>
          <w:rFonts w:cs="Times New Roman"/>
          <w:szCs w:val="24"/>
          <w:lang w:val="en-US"/>
        </w:rPr>
        <w:t>the Introduction, five</w:t>
      </w:r>
      <w:r w:rsidR="009D4198" w:rsidRPr="009D4198">
        <w:rPr>
          <w:rFonts w:cs="Times New Roman"/>
          <w:szCs w:val="24"/>
          <w:lang w:val="en-US"/>
        </w:rPr>
        <w:t xml:space="preserve"> chapters</w:t>
      </w:r>
      <w:r w:rsidR="003E0017">
        <w:rPr>
          <w:rFonts w:cs="Times New Roman"/>
          <w:szCs w:val="24"/>
          <w:lang w:val="en-US"/>
        </w:rPr>
        <w:t>, Conclusions and References</w:t>
      </w:r>
      <w:r w:rsidR="009D4198">
        <w:rPr>
          <w:rFonts w:cs="Times New Roman"/>
          <w:szCs w:val="24"/>
          <w:lang w:val="en-US"/>
        </w:rPr>
        <w:t>; whereby, the content of each chapter is briefly highlighted as follows:</w:t>
      </w:r>
      <w:r w:rsidR="009D4198" w:rsidRPr="009D4198">
        <w:rPr>
          <w:rFonts w:cs="Times New Roman"/>
          <w:szCs w:val="24"/>
          <w:lang w:val="en-US"/>
        </w:rPr>
        <w:t xml:space="preserve"> </w:t>
      </w:r>
    </w:p>
    <w:p w14:paraId="68CCD7AF" w14:textId="2491630B" w:rsidR="00240979" w:rsidRPr="00240979" w:rsidRDefault="00240979" w:rsidP="00240979">
      <w:pPr>
        <w:rPr>
          <w:rFonts w:cs="Times New Roman"/>
          <w:b/>
          <w:bCs/>
          <w:szCs w:val="24"/>
          <w:lang w:val="en-US"/>
        </w:rPr>
      </w:pPr>
      <w:r w:rsidRPr="00240979">
        <w:rPr>
          <w:rFonts w:cs="Times New Roman"/>
          <w:b/>
          <w:bCs/>
          <w:szCs w:val="24"/>
          <w:lang w:val="en-US"/>
        </w:rPr>
        <w:t>Introduction:</w:t>
      </w:r>
      <w:r w:rsidRPr="00240979">
        <w:rPr>
          <w:rFonts w:cs="Times New Roman"/>
          <w:szCs w:val="24"/>
          <w:lang w:val="en-US"/>
        </w:rPr>
        <w:t xml:space="preserve"> It provides the </w:t>
      </w:r>
      <w:r w:rsidR="00F9037D">
        <w:rPr>
          <w:rFonts w:cs="Times New Roman"/>
          <w:szCs w:val="24"/>
          <w:lang w:val="en-US"/>
        </w:rPr>
        <w:t>research context</w:t>
      </w:r>
      <w:r w:rsidRPr="00240979">
        <w:rPr>
          <w:rFonts w:cs="Times New Roman"/>
          <w:szCs w:val="24"/>
          <w:lang w:val="en-US"/>
        </w:rPr>
        <w:t xml:space="preserve">, introduces the topic </w:t>
      </w:r>
      <w:r w:rsidR="00F9037D">
        <w:rPr>
          <w:rFonts w:cs="Times New Roman"/>
          <w:szCs w:val="24"/>
          <w:lang w:val="en-US"/>
        </w:rPr>
        <w:t xml:space="preserve">and </w:t>
      </w:r>
      <w:r w:rsidRPr="00240979">
        <w:rPr>
          <w:rFonts w:cs="Times New Roman"/>
          <w:szCs w:val="24"/>
          <w:lang w:val="en-US"/>
        </w:rPr>
        <w:t>objectives, and provides an outline of the research project.</w:t>
      </w:r>
    </w:p>
    <w:p w14:paraId="157B316A" w14:textId="1E7B443C" w:rsidR="00240979" w:rsidRPr="00240979" w:rsidRDefault="00240979" w:rsidP="00240979">
      <w:pPr>
        <w:rPr>
          <w:rFonts w:cs="Times New Roman"/>
          <w:color w:val="FF0000"/>
          <w:szCs w:val="24"/>
          <w:lang w:val="en-US"/>
        </w:rPr>
      </w:pPr>
      <w:r w:rsidRPr="00240979">
        <w:rPr>
          <w:rFonts w:cs="Times New Roman"/>
          <w:b/>
          <w:bCs/>
          <w:szCs w:val="24"/>
          <w:lang w:val="en-US"/>
        </w:rPr>
        <w:t xml:space="preserve">Chapter </w:t>
      </w:r>
      <w:r w:rsidR="003E0017">
        <w:rPr>
          <w:rFonts w:cs="Times New Roman"/>
          <w:b/>
          <w:bCs/>
          <w:szCs w:val="24"/>
          <w:lang w:val="en-US"/>
        </w:rPr>
        <w:t>one</w:t>
      </w:r>
      <w:r w:rsidRPr="00240979">
        <w:rPr>
          <w:rFonts w:cs="Times New Roman"/>
          <w:b/>
          <w:bCs/>
          <w:szCs w:val="24"/>
          <w:lang w:val="en-US"/>
        </w:rPr>
        <w:t xml:space="preserve"> (Literature review): </w:t>
      </w:r>
      <w:r w:rsidRPr="00240979">
        <w:rPr>
          <w:rFonts w:cs="Times New Roman"/>
          <w:szCs w:val="24"/>
          <w:lang w:val="en-US"/>
        </w:rPr>
        <w:t>This chapter attempts to incorporate the perspectives of various literature sources on key points of the investigation, particularly the theories behind the software and models used in this study, as well as the major aspects considered in land use and land cover analysis, hydrological modeling, and slope stability analysis.</w:t>
      </w:r>
    </w:p>
    <w:p w14:paraId="32236502" w14:textId="2C5724FD" w:rsidR="00240979" w:rsidRPr="00240979" w:rsidRDefault="00240979" w:rsidP="00240979">
      <w:pPr>
        <w:rPr>
          <w:rFonts w:cs="Times New Roman"/>
          <w:szCs w:val="24"/>
          <w:lang w:val="en-US"/>
        </w:rPr>
      </w:pPr>
      <w:r w:rsidRPr="00240979">
        <w:rPr>
          <w:rFonts w:cs="Times New Roman"/>
          <w:b/>
          <w:bCs/>
          <w:szCs w:val="24"/>
          <w:lang w:val="en-US"/>
        </w:rPr>
        <w:t xml:space="preserve">Chapter </w:t>
      </w:r>
      <w:r w:rsidR="003E0017">
        <w:rPr>
          <w:rFonts w:cs="Times New Roman"/>
          <w:b/>
          <w:bCs/>
          <w:szCs w:val="24"/>
          <w:lang w:val="en-US"/>
        </w:rPr>
        <w:t>two</w:t>
      </w:r>
      <w:r w:rsidRPr="00240979">
        <w:rPr>
          <w:rFonts w:cs="Times New Roman"/>
          <w:b/>
          <w:bCs/>
          <w:szCs w:val="24"/>
          <w:lang w:val="en-US"/>
        </w:rPr>
        <w:t xml:space="preserve"> (</w:t>
      </w:r>
      <w:r w:rsidR="003E0017">
        <w:rPr>
          <w:rFonts w:cs="Times New Roman"/>
          <w:b/>
          <w:bCs/>
          <w:szCs w:val="24"/>
          <w:lang w:val="en-US"/>
        </w:rPr>
        <w:t>L</w:t>
      </w:r>
      <w:r w:rsidRPr="00240979">
        <w:rPr>
          <w:rFonts w:cs="Times New Roman"/>
          <w:b/>
          <w:bCs/>
          <w:szCs w:val="24"/>
          <w:lang w:val="en-US"/>
        </w:rPr>
        <w:t>and use and land cover analysis):</w:t>
      </w:r>
      <w:r w:rsidRPr="00240979">
        <w:rPr>
          <w:rFonts w:cs="Times New Roman"/>
          <w:szCs w:val="24"/>
          <w:lang w:val="en-US"/>
        </w:rPr>
        <w:t xml:space="preserve"> This chapter works on </w:t>
      </w:r>
      <w:r w:rsidR="00F9037D">
        <w:rPr>
          <w:rFonts w:cs="Times New Roman"/>
          <w:szCs w:val="24"/>
          <w:lang w:val="en-US"/>
        </w:rPr>
        <w:t>categorizing or classifying</w:t>
      </w:r>
      <w:r w:rsidRPr="00240979">
        <w:rPr>
          <w:rFonts w:cs="Times New Roman"/>
          <w:szCs w:val="24"/>
          <w:lang w:val="en-US"/>
        </w:rPr>
        <w:t xml:space="preserve"> human activities and natural features on the landscape across time using established scientific and statistical methods.</w:t>
      </w:r>
    </w:p>
    <w:p w14:paraId="12E6CBBB" w14:textId="7D2DB243" w:rsidR="00240979" w:rsidRPr="00240979" w:rsidRDefault="00240979" w:rsidP="00240979">
      <w:pPr>
        <w:rPr>
          <w:rFonts w:cs="Times New Roman"/>
          <w:szCs w:val="24"/>
          <w:lang w:val="en-US"/>
        </w:rPr>
      </w:pPr>
      <w:r w:rsidRPr="00240979">
        <w:rPr>
          <w:rFonts w:cs="Times New Roman"/>
          <w:b/>
          <w:bCs/>
          <w:szCs w:val="24"/>
          <w:lang w:val="en-US"/>
        </w:rPr>
        <w:t xml:space="preserve">Chapter </w:t>
      </w:r>
      <w:r w:rsidR="003E0017">
        <w:rPr>
          <w:rFonts w:cs="Times New Roman"/>
          <w:b/>
          <w:bCs/>
          <w:szCs w:val="24"/>
          <w:lang w:val="en-US"/>
        </w:rPr>
        <w:t>three</w:t>
      </w:r>
      <w:r w:rsidRPr="00240979">
        <w:rPr>
          <w:rFonts w:cs="Times New Roman"/>
          <w:b/>
          <w:bCs/>
          <w:szCs w:val="24"/>
          <w:lang w:val="en-US"/>
        </w:rPr>
        <w:t xml:space="preserve"> (</w:t>
      </w:r>
      <w:r w:rsidR="003E0017">
        <w:rPr>
          <w:rFonts w:cs="Times New Roman"/>
          <w:b/>
          <w:bCs/>
          <w:szCs w:val="24"/>
          <w:lang w:val="en-US"/>
        </w:rPr>
        <w:t>S</w:t>
      </w:r>
      <w:r w:rsidRPr="00240979">
        <w:rPr>
          <w:rFonts w:cs="Times New Roman"/>
          <w:b/>
          <w:bCs/>
          <w:szCs w:val="24"/>
          <w:lang w:val="en-US"/>
        </w:rPr>
        <w:t>tormwater modeling):</w:t>
      </w:r>
      <w:r w:rsidRPr="00240979">
        <w:rPr>
          <w:rFonts w:cs="Times New Roman"/>
          <w:szCs w:val="24"/>
          <w:lang w:val="en-US"/>
        </w:rPr>
        <w:t xml:space="preserve"> In this chapter, a dynamic rainfall-runoff simulation is conducted based on single extreme events within the study catchments and land use data extracted from Chapter three. </w:t>
      </w:r>
    </w:p>
    <w:p w14:paraId="3B227BC8" w14:textId="3956D8A3" w:rsidR="00240979" w:rsidRPr="00240979" w:rsidRDefault="00240979" w:rsidP="00240979">
      <w:pPr>
        <w:rPr>
          <w:rFonts w:cs="Times New Roman"/>
          <w:szCs w:val="24"/>
          <w:lang w:val="en-US"/>
        </w:rPr>
      </w:pPr>
      <w:r w:rsidRPr="00240979">
        <w:rPr>
          <w:rFonts w:cs="Times New Roman"/>
          <w:b/>
          <w:bCs/>
          <w:szCs w:val="24"/>
          <w:lang w:val="en-US"/>
        </w:rPr>
        <w:lastRenderedPageBreak/>
        <w:t xml:space="preserve">Chapter </w:t>
      </w:r>
      <w:r w:rsidR="003E0017">
        <w:rPr>
          <w:rFonts w:cs="Times New Roman"/>
          <w:b/>
          <w:bCs/>
          <w:szCs w:val="24"/>
          <w:lang w:val="en-US"/>
        </w:rPr>
        <w:t>four</w:t>
      </w:r>
      <w:r w:rsidRPr="00240979">
        <w:rPr>
          <w:rFonts w:cs="Times New Roman"/>
          <w:b/>
          <w:bCs/>
          <w:szCs w:val="24"/>
          <w:lang w:val="en-US"/>
        </w:rPr>
        <w:t xml:space="preserve"> (</w:t>
      </w:r>
      <w:r w:rsidR="005409FB" w:rsidRPr="005409FB">
        <w:rPr>
          <w:rFonts w:cs="Times New Roman"/>
          <w:b/>
          <w:bCs/>
          <w:szCs w:val="24"/>
          <w:lang w:val="en-US"/>
        </w:rPr>
        <w:t>Seepage and slope stability analysis based on virtual models</w:t>
      </w:r>
      <w:r w:rsidRPr="00240979">
        <w:rPr>
          <w:rFonts w:cs="Times New Roman"/>
          <w:b/>
          <w:bCs/>
          <w:szCs w:val="24"/>
          <w:lang w:val="en-US"/>
        </w:rPr>
        <w:t xml:space="preserve">): </w:t>
      </w:r>
      <w:r w:rsidRPr="00240979">
        <w:rPr>
          <w:rFonts w:cs="Times New Roman"/>
          <w:szCs w:val="24"/>
          <w:lang w:val="en-US"/>
        </w:rPr>
        <w:t>In this chapter, the study of probable failure mechanisms and their sensitivity to various triggering events such as changes in long-term steady-states and loading conditions is executed.</w:t>
      </w:r>
    </w:p>
    <w:p w14:paraId="7E88E48B" w14:textId="10F7C93F" w:rsidR="005409FB" w:rsidRDefault="005409FB" w:rsidP="005409FB">
      <w:pPr>
        <w:rPr>
          <w:rFonts w:cs="Times New Roman"/>
          <w:szCs w:val="24"/>
          <w:lang w:val="en-US"/>
        </w:rPr>
      </w:pPr>
      <w:r w:rsidRPr="00240979">
        <w:rPr>
          <w:rFonts w:cs="Times New Roman"/>
          <w:b/>
          <w:bCs/>
          <w:szCs w:val="24"/>
          <w:lang w:val="en-US"/>
        </w:rPr>
        <w:t xml:space="preserve">Chapter </w:t>
      </w:r>
      <w:r w:rsidR="003E0017">
        <w:rPr>
          <w:rFonts w:cs="Times New Roman"/>
          <w:b/>
          <w:bCs/>
          <w:szCs w:val="24"/>
          <w:lang w:val="en-US"/>
        </w:rPr>
        <w:t>five</w:t>
      </w:r>
      <w:r w:rsidRPr="00240979">
        <w:rPr>
          <w:rFonts w:cs="Times New Roman"/>
          <w:b/>
          <w:bCs/>
          <w:szCs w:val="24"/>
          <w:lang w:val="en-US"/>
        </w:rPr>
        <w:t xml:space="preserve"> (</w:t>
      </w:r>
      <w:r w:rsidRPr="005409FB">
        <w:rPr>
          <w:rFonts w:cs="Times New Roman"/>
          <w:b/>
          <w:bCs/>
          <w:szCs w:val="24"/>
          <w:lang w:val="en-US"/>
        </w:rPr>
        <w:t xml:space="preserve">Seepage and slope stability analysis based on </w:t>
      </w:r>
      <w:r>
        <w:rPr>
          <w:rFonts w:cs="Times New Roman"/>
          <w:b/>
          <w:bCs/>
          <w:szCs w:val="24"/>
          <w:lang w:val="en-US"/>
        </w:rPr>
        <w:t>real case studies</w:t>
      </w:r>
      <w:r w:rsidRPr="00240979">
        <w:rPr>
          <w:rFonts w:cs="Times New Roman"/>
          <w:b/>
          <w:bCs/>
          <w:szCs w:val="24"/>
          <w:lang w:val="en-US"/>
        </w:rPr>
        <w:t xml:space="preserve">): </w:t>
      </w:r>
      <w:r w:rsidRPr="00240979">
        <w:rPr>
          <w:rFonts w:cs="Times New Roman"/>
          <w:szCs w:val="24"/>
          <w:lang w:val="en-US"/>
        </w:rPr>
        <w:t>In this chapter, the study of probable failure mechanisms and their sensitivity to various triggering events such as changes in long-term steady-states and loading conditions is executed.</w:t>
      </w:r>
    </w:p>
    <w:p w14:paraId="0FF05C98" w14:textId="2E1C7429" w:rsidR="007E7386" w:rsidRPr="00E10C66" w:rsidRDefault="001054FB" w:rsidP="005409FB">
      <w:pPr>
        <w:rPr>
          <w:rFonts w:cs="Times New Roman"/>
          <w:szCs w:val="24"/>
          <w:lang w:val="en-US"/>
        </w:rPr>
      </w:pPr>
      <w:r>
        <w:rPr>
          <w:rFonts w:cs="Times New Roman"/>
          <w:b/>
          <w:bCs/>
          <w:szCs w:val="24"/>
          <w:lang w:val="en-US"/>
        </w:rPr>
        <w:t xml:space="preserve">General conclusions and recommendations: </w:t>
      </w:r>
      <w:r w:rsidR="00E10C66" w:rsidRPr="00E10C66">
        <w:rPr>
          <w:rFonts w:cs="Times New Roman"/>
          <w:szCs w:val="24"/>
          <w:lang w:val="en-US"/>
        </w:rPr>
        <w:t xml:space="preserve">In this chapter, the summary of the report's main ideas as well as suggestions </w:t>
      </w:r>
      <w:r w:rsidR="00C9152B">
        <w:rPr>
          <w:rFonts w:cs="Times New Roman"/>
          <w:szCs w:val="24"/>
          <w:lang w:val="en-US"/>
        </w:rPr>
        <w:t>for</w:t>
      </w:r>
      <w:r w:rsidR="00E10C66" w:rsidRPr="00E10C66">
        <w:rPr>
          <w:rFonts w:cs="Times New Roman"/>
          <w:szCs w:val="24"/>
          <w:lang w:val="en-US"/>
        </w:rPr>
        <w:t xml:space="preserve"> actions to be taken in response to the study findings is provided.</w:t>
      </w:r>
    </w:p>
    <w:p w14:paraId="737645DD" w14:textId="4E6D46EB" w:rsidR="002A09FB" w:rsidRPr="003E0017" w:rsidRDefault="002A09FB" w:rsidP="003E0017">
      <w:pPr>
        <w:rPr>
          <w:b/>
          <w:bCs/>
          <w:lang w:val="en-US"/>
        </w:rPr>
      </w:pPr>
      <w:r w:rsidRPr="003E0017">
        <w:rPr>
          <w:b/>
          <w:bCs/>
          <w:lang w:val="en-US"/>
        </w:rPr>
        <w:t>Published papers</w:t>
      </w:r>
    </w:p>
    <w:p w14:paraId="3BC99CA3" w14:textId="14D34E1B" w:rsidR="003E0017" w:rsidRPr="003E0017" w:rsidRDefault="003E0017" w:rsidP="003E0017">
      <w:pPr>
        <w:rPr>
          <w:lang w:val="en-US"/>
        </w:rPr>
      </w:pPr>
      <w:r w:rsidRPr="003E0017">
        <w:rPr>
          <w:i/>
          <w:iCs/>
          <w:lang w:val="en-US"/>
        </w:rPr>
        <w:t>Articles in peer-reviewed scientific journals recommended by the Committee for Quality Assurance in the Sphere of Education and Science of the MES RK</w:t>
      </w:r>
      <w:r w:rsidRPr="003E0017">
        <w:rPr>
          <w:lang w:val="en-US"/>
        </w:rPr>
        <w:t>:</w:t>
      </w:r>
    </w:p>
    <w:p w14:paraId="408AEDA9" w14:textId="77777777" w:rsidR="003E0017" w:rsidRPr="003E0017" w:rsidRDefault="003E0017" w:rsidP="003E0017">
      <w:pPr>
        <w:tabs>
          <w:tab w:val="left" w:pos="993"/>
        </w:tabs>
        <w:rPr>
          <w:lang w:val="en-US"/>
        </w:rPr>
      </w:pPr>
      <w:r w:rsidRPr="003E0017">
        <w:rPr>
          <w:lang w:val="en-US"/>
        </w:rPr>
        <w:t>1.</w:t>
      </w:r>
      <w:r w:rsidRPr="003E0017">
        <w:rPr>
          <w:lang w:val="en-US"/>
        </w:rPr>
        <w:tab/>
        <w:t>The potential effects caused by long-term water level changes on embankment slope stability under rapid drawdown / A.K. Aldungarova, Ye.B. Utepov, T. Mkilima, A.S. Tulebekova, Sh.Zh. Zharassov // Bulletin of Kazakh Leading Academy of Architecture and Construction. — 2022. — Vol. 83, No. 1. — P. 107–119. https://doi.org/10.51488/1680-080X/2022.1-01.</w:t>
      </w:r>
    </w:p>
    <w:p w14:paraId="2CCC3B12" w14:textId="77777777" w:rsidR="003E0017" w:rsidRPr="003E0017" w:rsidRDefault="003E0017" w:rsidP="003E0017">
      <w:pPr>
        <w:tabs>
          <w:tab w:val="left" w:pos="993"/>
        </w:tabs>
        <w:rPr>
          <w:lang w:val="en-US"/>
        </w:rPr>
      </w:pPr>
      <w:r w:rsidRPr="003E0017">
        <w:rPr>
          <w:lang w:val="en-US"/>
        </w:rPr>
        <w:t>2.</w:t>
      </w:r>
      <w:r w:rsidRPr="003E0017">
        <w:rPr>
          <w:lang w:val="en-US"/>
        </w:rPr>
        <w:tab/>
        <w:t>The influence of land use and land cover change on stormwater runoff in a highly urbanizing catchment. A case of Msimbazi catchment in Dar es Salaam city, Tanzania / T. Mkilima // Journal of Geography and Environmental Management. — 2021. — Vol. 63, No. 4. https://doi.org/10.26577/JGEM.2021.v63.i4.03</w:t>
      </w:r>
    </w:p>
    <w:p w14:paraId="3202F0BD" w14:textId="77777777" w:rsidR="003E0017" w:rsidRPr="003E0017" w:rsidRDefault="003E0017" w:rsidP="003E0017">
      <w:pPr>
        <w:tabs>
          <w:tab w:val="left" w:pos="993"/>
        </w:tabs>
        <w:rPr>
          <w:lang w:val="en-US"/>
        </w:rPr>
      </w:pPr>
      <w:r w:rsidRPr="003E0017">
        <w:rPr>
          <w:lang w:val="en-US"/>
        </w:rPr>
        <w:t>3.</w:t>
      </w:r>
      <w:r w:rsidRPr="003E0017">
        <w:rPr>
          <w:lang w:val="en-US"/>
        </w:rPr>
        <w:tab/>
        <w:t>Defining the boundaries and area of the Samarkand Reservoir catchment based on digital elevation models / A. Aldungarova, Y. Utepov, T. Mkilima, A. Tulebekova, Sh. Zharassov, A. Abisheva // Journal of Geography and Environmental Management. — 2021. — Vol. 62, No. 3. https://doi.org/10.26577/JGEM.2021.v62.i3.03.</w:t>
      </w:r>
    </w:p>
    <w:p w14:paraId="35DA5C46" w14:textId="77777777" w:rsidR="003E0017" w:rsidRPr="003E0017" w:rsidRDefault="003E0017" w:rsidP="003E0017">
      <w:pPr>
        <w:tabs>
          <w:tab w:val="left" w:pos="993"/>
        </w:tabs>
        <w:rPr>
          <w:lang w:val="en-US"/>
        </w:rPr>
      </w:pPr>
      <w:r w:rsidRPr="003E0017">
        <w:rPr>
          <w:lang w:val="en-US"/>
        </w:rPr>
        <w:t>4.</w:t>
      </w:r>
      <w:r w:rsidRPr="003E0017">
        <w:rPr>
          <w:lang w:val="en-US"/>
        </w:rPr>
        <w:tab/>
        <w:t>Linear interpolation effectiveness on Terzaghi’s bearing capacity factors for shallow foundations / Ye.B. Utepov, T. Mkilima, A.S. Tulebekova, A.B. Kazkeyev // VESTNIK KazNRTU. Ser. Technical Sciences. — 2020. — Vol. 141, No. 5. — P. 515–520.</w:t>
      </w:r>
    </w:p>
    <w:p w14:paraId="1512CC90" w14:textId="77777777" w:rsidR="003E0017" w:rsidRPr="003E0017" w:rsidRDefault="003E0017" w:rsidP="003E0017">
      <w:pPr>
        <w:tabs>
          <w:tab w:val="left" w:pos="993"/>
        </w:tabs>
        <w:rPr>
          <w:lang w:val="en-US"/>
        </w:rPr>
      </w:pPr>
      <w:r w:rsidRPr="003E0017">
        <w:rPr>
          <w:lang w:val="en-US"/>
        </w:rPr>
        <w:t>5.</w:t>
      </w:r>
      <w:r w:rsidRPr="003E0017">
        <w:rPr>
          <w:lang w:val="en-US"/>
        </w:rPr>
        <w:tab/>
        <w:t>Combination of GIS and remote sensing as a tool in civil engineering. A case of Maibalyk reservoir, Kazakhstan / T. Mkilima, Ye.B. Utepov // News of Kazakhstan Science. — 2020. — Vol. 147, No. 4. — P. 31–40.</w:t>
      </w:r>
    </w:p>
    <w:p w14:paraId="0D3E6FB5" w14:textId="72C5069D" w:rsidR="003E0017" w:rsidRPr="003E0017" w:rsidRDefault="003E0017" w:rsidP="003E0017">
      <w:pPr>
        <w:rPr>
          <w:lang w:val="en-US"/>
        </w:rPr>
      </w:pPr>
      <w:r w:rsidRPr="003E0017">
        <w:rPr>
          <w:i/>
          <w:iCs/>
          <w:lang w:val="en-US"/>
        </w:rPr>
        <w:t>Articles in the proceedings of international and national conferences held in Kazakhstan and abroad</w:t>
      </w:r>
      <w:r w:rsidRPr="003E0017">
        <w:rPr>
          <w:lang w:val="en-US"/>
        </w:rPr>
        <w:t>:</w:t>
      </w:r>
    </w:p>
    <w:p w14:paraId="2F50197E" w14:textId="77777777" w:rsidR="003E0017" w:rsidRPr="003E0017" w:rsidRDefault="003E0017" w:rsidP="003E0017">
      <w:pPr>
        <w:tabs>
          <w:tab w:val="left" w:pos="993"/>
        </w:tabs>
        <w:rPr>
          <w:lang w:val="en-US"/>
        </w:rPr>
      </w:pPr>
      <w:r w:rsidRPr="003E0017">
        <w:rPr>
          <w:lang w:val="en-US"/>
        </w:rPr>
        <w:t>6.</w:t>
      </w:r>
      <w:r w:rsidRPr="003E0017">
        <w:rPr>
          <w:lang w:val="en-US"/>
        </w:rPr>
        <w:tab/>
        <w:t xml:space="preserve">Development of GIS-based workflow on Dam design and analysis under changing land surface and climatic conditions / A.S. Tulebekova, T. Mkilima, Ye.B. Utepov // Proceedings of International Scientific and Methodological Conference MODERN TRENDS IN </w:t>
      </w:r>
      <w:r w:rsidRPr="003E0017">
        <w:rPr>
          <w:lang w:val="en-US"/>
        </w:rPr>
        <w:lastRenderedPageBreak/>
        <w:t>ARCHITECTURE AND CONSTRUCTION: ENERGY EFFICIENCY, ENERGY SAVING, BIM TECHNOLOGIES, PROBLEMS OF THE URBAN ENVIRONMENT. — Almaty, Kazakhstan: International Education Corporation, 2020. — P. 240–246.</w:t>
      </w:r>
    </w:p>
    <w:p w14:paraId="2EEECD18" w14:textId="77777777" w:rsidR="003E0017" w:rsidRPr="003E0017" w:rsidRDefault="003E0017" w:rsidP="003E0017">
      <w:pPr>
        <w:tabs>
          <w:tab w:val="left" w:pos="993"/>
        </w:tabs>
        <w:rPr>
          <w:lang w:val="en-US"/>
        </w:rPr>
      </w:pPr>
      <w:r w:rsidRPr="003E0017">
        <w:rPr>
          <w:lang w:val="en-US"/>
        </w:rPr>
        <w:t>7.</w:t>
      </w:r>
      <w:r w:rsidRPr="003E0017">
        <w:rPr>
          <w:lang w:val="en-US"/>
        </w:rPr>
        <w:tab/>
        <w:t>Potential dam site characterization using geographical information system / T. Mkilima // Proceedings of 2. INTERNATIONAL TURKIC WORLD CONGRESS on SCIENCE and ENGINEERING. — Nur-Sultan, Kazakhstan: L.N. Gumilyov Eurasian National University, 2020. — P. 380–387.</w:t>
      </w:r>
    </w:p>
    <w:p w14:paraId="1A3ECECA" w14:textId="77777777" w:rsidR="003E0017" w:rsidRPr="003E0017" w:rsidRDefault="003E0017" w:rsidP="003E0017">
      <w:pPr>
        <w:tabs>
          <w:tab w:val="left" w:pos="993"/>
        </w:tabs>
        <w:rPr>
          <w:lang w:val="en-US"/>
        </w:rPr>
      </w:pPr>
      <w:r w:rsidRPr="003E0017">
        <w:rPr>
          <w:lang w:val="en-US"/>
        </w:rPr>
        <w:t>8.</w:t>
      </w:r>
      <w:r w:rsidRPr="003E0017">
        <w:rPr>
          <w:lang w:val="en-US"/>
        </w:rPr>
        <w:tab/>
        <w:t>Reservoir routing for a peak flow reduction in a floods-impacted catchment / T. Mkilima, Ye.B. Utepov // Proceedings of the XX Annual Republican Scientific Student Conference STUDENT AND SCIENCE: A LOOK INTO THE FUTURE: Vol. 2. — Almaty, Kazakhstan: Kazakh State Academy of Architecture and Civil Engineering, 2020. — P. 294–299.</w:t>
      </w:r>
    </w:p>
    <w:p w14:paraId="768FD047" w14:textId="5277A1E0" w:rsidR="003E0017" w:rsidRPr="003E0017" w:rsidRDefault="003E0017" w:rsidP="003E0017">
      <w:pPr>
        <w:rPr>
          <w:lang w:val="en-US"/>
        </w:rPr>
      </w:pPr>
      <w:r w:rsidRPr="003E0017">
        <w:rPr>
          <w:i/>
          <w:iCs/>
          <w:lang w:val="en-US"/>
        </w:rPr>
        <w:t>Articles in international peer-reviewed scientific journals with a percentile by CiteScore of at least 25 (twenty-five) in the Scopus database</w:t>
      </w:r>
      <w:r w:rsidRPr="003E0017">
        <w:rPr>
          <w:lang w:val="en-US"/>
        </w:rPr>
        <w:t>:</w:t>
      </w:r>
    </w:p>
    <w:p w14:paraId="06363D24" w14:textId="77777777" w:rsidR="003E0017" w:rsidRPr="003E0017" w:rsidRDefault="003E0017" w:rsidP="003E0017">
      <w:pPr>
        <w:tabs>
          <w:tab w:val="left" w:pos="993"/>
        </w:tabs>
        <w:rPr>
          <w:lang w:val="en-US"/>
        </w:rPr>
      </w:pPr>
      <w:r w:rsidRPr="003E0017">
        <w:rPr>
          <w:lang w:val="en-US"/>
        </w:rPr>
        <w:t>9.</w:t>
      </w:r>
      <w:r w:rsidRPr="003E0017">
        <w:rPr>
          <w:lang w:val="en-US"/>
        </w:rPr>
        <w:tab/>
        <w:t>Dynamics of Embankment Slope Stability under Combination of Operating Water Levels and Drawdown Conditions / Ye.B. Utepov, A.K. Aldungarova, T. Mkilima, I.M. Pidal, A.S. Tulebekova, Sh.Zh. Zharassov, A. Abisheva // Infrastructures. — 2022. — Vol. 7, No. 5. — P. 65. https://doi.org/10.3390/infrastructures7050065. CiteScore: 2.5, процентиль:  58%.</w:t>
      </w:r>
    </w:p>
    <w:p w14:paraId="69D43F9A" w14:textId="77777777" w:rsidR="003E0017" w:rsidRPr="003E0017" w:rsidRDefault="003E0017" w:rsidP="003E0017">
      <w:pPr>
        <w:tabs>
          <w:tab w:val="left" w:pos="1134"/>
        </w:tabs>
        <w:rPr>
          <w:lang w:val="en-US"/>
        </w:rPr>
      </w:pPr>
      <w:r w:rsidRPr="003E0017">
        <w:rPr>
          <w:lang w:val="en-US"/>
        </w:rPr>
        <w:t>10.</w:t>
      </w:r>
      <w:r w:rsidRPr="003E0017">
        <w:rPr>
          <w:lang w:val="en-US"/>
        </w:rPr>
        <w:tab/>
        <w:t>The influence of material characteristics on dam stability under rapid drawdown conditions / Y. Utepov, Z. Lechowicz, A. Zhussupbekov, Z. Skutnik, A. Aldungarova, T. Mkilima // Archives of Civil Engineering. — 2022. — Vol. LXVIII, No. 1. — P. 539–553. https://doi.org/10.24425/ACE.2022.140184. CiteScore: 1.0, процентиль:  25%.</w:t>
      </w:r>
    </w:p>
    <w:p w14:paraId="5FB6B67C" w14:textId="0E98F9A0" w:rsidR="00391CD1" w:rsidRPr="00C46B21" w:rsidRDefault="003E0017" w:rsidP="003E0017">
      <w:pPr>
        <w:tabs>
          <w:tab w:val="left" w:pos="1134"/>
        </w:tabs>
        <w:rPr>
          <w:lang w:val="en-US"/>
        </w:rPr>
      </w:pPr>
      <w:r w:rsidRPr="003E0017">
        <w:rPr>
          <w:lang w:val="en-US"/>
        </w:rPr>
        <w:t>11.</w:t>
      </w:r>
      <w:r w:rsidRPr="003E0017">
        <w:rPr>
          <w:lang w:val="en-US"/>
        </w:rPr>
        <w:tab/>
        <w:t>Potential Impact of Land-Use Changes on River Basin Hydraulic Parameters Subjected to Rapid Urbanization / Ye.B. Utepov, A. Aniskin, T. Mkilima, Zh.A. Shakhmov, G. Kozina // Tehnicki vjesnik - Technical Gazette. — 2021. — Vol. 28, No. 5. — P. 1519–1525. https://doi.org/10.17559/TV-20200808134641. CiteScore: 1.5, процентиль:  51%.</w:t>
      </w:r>
    </w:p>
    <w:p w14:paraId="24FFEDA2" w14:textId="77777777" w:rsidR="00C46B21" w:rsidRPr="007E1D78" w:rsidRDefault="00C46B21" w:rsidP="007E1D78">
      <w:pPr>
        <w:rPr>
          <w:lang w:val="en-US"/>
        </w:rPr>
      </w:pPr>
    </w:p>
    <w:p w14:paraId="271701E2" w14:textId="57B095D2" w:rsidR="00051297" w:rsidRPr="00051297" w:rsidRDefault="00051297" w:rsidP="00F97DFC">
      <w:pPr>
        <w:pStyle w:val="1"/>
        <w:rPr>
          <w:lang w:val="en-US"/>
        </w:rPr>
      </w:pPr>
      <w:bookmarkStart w:id="16" w:name="_Toc103543837"/>
      <w:bookmarkStart w:id="17" w:name="_Toc104985161"/>
      <w:r w:rsidRPr="00051297">
        <w:rPr>
          <w:lang w:val="en-US"/>
        </w:rPr>
        <w:lastRenderedPageBreak/>
        <w:t>Literature review</w:t>
      </w:r>
      <w:bookmarkEnd w:id="16"/>
      <w:bookmarkEnd w:id="17"/>
    </w:p>
    <w:p w14:paraId="38B013BE" w14:textId="110DB4B9" w:rsidR="00051297" w:rsidRPr="00051297" w:rsidRDefault="00051297" w:rsidP="00F97DFC">
      <w:pPr>
        <w:pStyle w:val="2"/>
        <w:rPr>
          <w:lang w:val="en-US"/>
        </w:rPr>
      </w:pPr>
      <w:bookmarkStart w:id="18" w:name="_Toc97504706"/>
      <w:bookmarkStart w:id="19" w:name="_Toc103543838"/>
      <w:bookmarkStart w:id="20" w:name="_Toc104985162"/>
      <w:r w:rsidRPr="00051297">
        <w:rPr>
          <w:lang w:val="en-US"/>
        </w:rPr>
        <w:t>Land use and land cover changes impacts on stormwater</w:t>
      </w:r>
      <w:bookmarkEnd w:id="18"/>
      <w:bookmarkEnd w:id="19"/>
      <w:bookmarkEnd w:id="20"/>
    </w:p>
    <w:p w14:paraId="55F2354A" w14:textId="502D3E0A" w:rsidR="00051297" w:rsidRPr="00051297" w:rsidRDefault="00051297" w:rsidP="00051297">
      <w:pPr>
        <w:rPr>
          <w:rFonts w:cs="Times New Roman"/>
          <w:szCs w:val="24"/>
          <w:lang w:val="en-US"/>
        </w:rPr>
      </w:pPr>
      <w:r w:rsidRPr="00051297">
        <w:rPr>
          <w:rFonts w:cs="Times New Roman"/>
          <w:szCs w:val="24"/>
          <w:lang w:val="en-US"/>
        </w:rPr>
        <w:t xml:space="preserve">Land-use change </w:t>
      </w:r>
      <w:r w:rsidR="00713062">
        <w:rPr>
          <w:rFonts w:cs="Times New Roman"/>
          <w:szCs w:val="24"/>
          <w:lang w:val="en-US"/>
        </w:rPr>
        <w:t>is termed</w:t>
      </w:r>
      <w:r w:rsidRPr="00051297">
        <w:rPr>
          <w:rFonts w:cs="Times New Roman"/>
          <w:szCs w:val="24"/>
          <w:lang w:val="en-US"/>
        </w:rPr>
        <w:t xml:space="preserve"> as the process by which humans alter the natural landscape. Some of these changes, such as urban growth, result in lasting destruction. High-resolution satellite images or large-scale statistical surveys are the most common methods for measuring land usage </w:t>
      </w:r>
      <w:r w:rsidRPr="00051297">
        <w:rPr>
          <w:rFonts w:cs="Times New Roman"/>
          <w:szCs w:val="24"/>
        </w:rPr>
        <w:fldChar w:fldCharType="begin" w:fldLock="1"/>
      </w:r>
      <w:r w:rsidR="00FA5896">
        <w:rPr>
          <w:rFonts w:cs="Times New Roman"/>
          <w:szCs w:val="24"/>
          <w:lang w:val="en-US"/>
        </w:rPr>
        <w:instrText>ADDIN CSL_CITATION {"citationItems":[{"id":"ITEM-1","itemData":{"DOI":"10.1080/22797254.2017.1274572","ISSN":"2279-7254","abstract":"The combination of elevation data together with multispectral high-resolution images is a new methodology for obtaining land use/land cover classification. It represents a step forward for both the accuracy and automation of LULC applications and allows users to setup thematic assignments through rules based on feature attributes and human expert interpretation of land usage. The synergy between different types of information means that LiDAR can give new hints at both the segmentation and hybrid classification steps, leading to a joint use of multispectral, spatial and elevation data. The output is a thematic map characterized by a custom-designed legend that is able to discriminate between land cover classes with similar spectral characteristics (level 3 of the CLC legend). Experimental results from a hilly farmland area with some urban structures (Musone river basin, Ancona, Italy) are used to highlight how the proposed methodology enhances land cover classification in heterogeneous environments.","author":[{"dropping-particle":"","family":"Sturari","given":"Mirco","non-dropping-particle":"","parse-names":false,"suffix":""},{"dropping-particle":"","family":"Frontoni","given":"Emanuele","non-dropping-particle":"","parse-names":false,"suffix":""},{"dropping-particle":"","family":"Pierdicca","given":"Roberto","non-dropping-particle":"","parse-names":false,"suffix":""},{"dropping-particle":"","family":"Mancini","given":"Adriano","non-dropping-particle":"","parse-names":false,"suffix":""},{"dropping-particle":"","family":"Malinverni","given":"Eva Savina","non-dropping-particle":"","parse-names":false,"suffix":""},{"dropping-particle":"","family":"Tassetti","given":"Anna Nora","non-dropping-particle":"","parse-names":false,"suffix":""},{"dropping-particle":"","family":"Zingaretti","given":"Primo","non-dropping-particle":"","parse-names":false,"suffix":""}],"container-title":"European Journal of Remote Sensing","id":"ITEM-1","issue":"1","issued":{"date-parts":[["2017","1"]]},"page":"1-17","title":"Integrating elevation data and multispectral high-resolution images for an improved hybrid Land Use/Land Cover mapping","type":"article-journal","volume":"50"},"uris":["http://www.mendeley.com/documents/?uuid=f71d5d6a-13c3-43fa-a4dd-d0f1b5597d97","http://www.mendeley.com/documents/?uuid=d99401e7-9212-4802-8d48-5d9617b55876","http://www.mendeley.com/documents/?uuid=7fd73917-9085-46e2-af4f-5552e35495d5"]}],"mendeley":{"formattedCitation":"[45]","plainTextFormattedCitation":"[45]","previouslyFormattedCitation":"[45]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[45]</w:t>
      </w:r>
      <w:r w:rsidRPr="00051297">
        <w:rPr>
          <w:rFonts w:cs="Times New Roman"/>
          <w:szCs w:val="24"/>
        </w:rPr>
        <w:fldChar w:fldCharType="end"/>
      </w:r>
      <w:r w:rsidRPr="00051297">
        <w:rPr>
          <w:rFonts w:cs="Times New Roman"/>
          <w:szCs w:val="24"/>
          <w:lang w:val="en-US"/>
        </w:rPr>
        <w:t xml:space="preserve">. When it comes to studying land-use change, however, each of these techniques has its own set of drawbacks. Satellites may capture a lot of information about land use, but their archives are only a few decades old. Satellite-based estimates often overlook important aspects of land use, such as the distinction between uncontrolled grasslands and grazing regions </w:t>
      </w:r>
      <w:r w:rsidRPr="00051297">
        <w:rPr>
          <w:rFonts w:cs="Times New Roman"/>
          <w:szCs w:val="24"/>
        </w:rPr>
        <w:fldChar w:fldCharType="begin" w:fldLock="1"/>
      </w:r>
      <w:r w:rsidR="00FA5896">
        <w:rPr>
          <w:rFonts w:cs="Times New Roman"/>
          <w:szCs w:val="24"/>
          <w:lang w:val="en-US"/>
        </w:rPr>
        <w:instrText>ADDIN CSL_CITATION {"citationItems":[{"id":"ITEM-1","itemData":{"DOI":"10.3390/ijgi8040189","ISSN":"2220-9964","abstract":"The study investigates land use/cover classification and change detection of urban areas from very high resolution (VHR) remote sensing images using deep learning-based methods. Firstly, we introduce a fully Atrous convolutional neural network (FACNN) to learn the land cover classification. In the FACNN an encoder, consisting of full Atrous convolution layers, is proposed for extracting scale robust features from VHR images. Then, a pixel-based change map is produced based on the classification map of current images and an outdated land cover geographical information system (GIS) map. Both polygon-based and object-based change detection accuracy is investigated, where a polygon is the unit of the GIS map and an object consists of those adjacent changed pixels on the pixel-based change map. The test data covers a rapidly developing city of Wuhan (8000 km2), China, consisting of 0.5 m ground resolution aerial images acquired in 2014, and 1 m ground resolution Beijing-2 satellite images in 2017, and their land cover GIS maps. Testing results showed that our FACNN greatly exceeded several recent convolutional neural networks in land cover classification. Second, the object-based change detection could achieve much better results than a pixel-based method, and provide accurate change maps to facilitate manual urban land cover updating.","author":[{"dropping-particle":"","family":"Zhang","given":"Chi","non-dropping-particle":"","parse-names":false,"suffix":""},{"dropping-particle":"","family":"Wei","given":"Shiqing","non-dropping-particle":"","parse-names":false,"suffix":""},{"dropping-particle":"","family":"Ji","given":"Shunping","non-dropping-particle":"","parse-names":false,"suffix":""},{"dropping-particle":"","family":"Lu","given":"Meng","non-dropping-particle":"","parse-names":false,"suffix":""}],"container-title":"ISPRS International Journal of Geo-Information","id":"ITEM-1","issue":"4","issued":{"date-parts":[["2019","4"]]},"page":"189","title":"Detecting Large-Scale Urban Land Cover Changes from Very High Resolution Remote Sensing Images Using CNN-Based Classification","type":"article-journal","volume":"8"},"uris":["http://www.mendeley.com/documents/?uuid=4cbbc94f-4509-4fc2-bb7a-285e42d743c9","http://www.mendeley.com/documents/?uuid=10a80ecc-4f83-4436-9190-63bad9abd229","http://www.mendeley.com/documents/?uuid=645d4ba2-42a6-49e2-8776-47124fd4c3d8"]}],"mendeley":{"formattedCitation":"[46]","plainTextFormattedCitation":"[46]","previouslyFormattedCitation":"[46]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[46]</w:t>
      </w:r>
      <w:r w:rsidRPr="00051297">
        <w:rPr>
          <w:rFonts w:cs="Times New Roman"/>
          <w:szCs w:val="24"/>
        </w:rPr>
        <w:fldChar w:fldCharType="end"/>
      </w:r>
      <w:r w:rsidRPr="00051297">
        <w:rPr>
          <w:rFonts w:cs="Times New Roman"/>
          <w:szCs w:val="24"/>
          <w:lang w:val="en-US"/>
        </w:rPr>
        <w:t xml:space="preserve">. </w:t>
      </w:r>
    </w:p>
    <w:p w14:paraId="47F34CD9" w14:textId="59DFC533" w:rsidR="00051297" w:rsidRPr="00051297" w:rsidRDefault="00051297" w:rsidP="00051297">
      <w:pPr>
        <w:rPr>
          <w:rFonts w:cs="Times New Roman"/>
          <w:szCs w:val="24"/>
          <w:lang w:val="en-US"/>
        </w:rPr>
      </w:pPr>
      <w:r w:rsidRPr="00051297">
        <w:rPr>
          <w:rFonts w:cs="Times New Roman"/>
          <w:szCs w:val="24"/>
          <w:lang w:val="en-US"/>
        </w:rPr>
        <w:t xml:space="preserve">Land use/land cover study is significant in general because the surface cover influences the water quality, hydrology, and ecology of the water bodies within a watershed. Runoff from agriculture and the developed environment (urban, suburban) can degrade water quality due to non-point source pollution such as sediments and fertilizers, but plant cover has a positive impact by reducing flooding and filtering pollutants. When vegetation is destroyed from the landscape during development, the watershed's ability to absorb nutrients and trap sediments is impaired, and more fertilizers, car emissions, industrial and sanitary wastes, and debris are washed into the surface and groundwater via stormwater runoff </w:t>
      </w:r>
      <w:r w:rsidRPr="00051297">
        <w:rPr>
          <w:rFonts w:cs="Times New Roman"/>
          <w:szCs w:val="24"/>
        </w:rPr>
        <w:fldChar w:fldCharType="begin" w:fldLock="1"/>
      </w:r>
      <w:r w:rsidR="00FA5896">
        <w:rPr>
          <w:rFonts w:cs="Times New Roman"/>
          <w:szCs w:val="24"/>
          <w:lang w:val="en-US"/>
        </w:rPr>
        <w:instrText>ADDIN CSL_CITATION {"citationItems":[{"id":"ITEM-1","itemData":{"DOI":"10.1007/s10661-019-8020-0","ISSN":"0167-6369","PMID":"31872291","abstract":"Changes to land use generate imbalances in the natural dynamics of aquatic ecosystems. These changes can vary according to the specific characteristics of each environment and due to seasonal factors, reinforcing the importance of studies in this area in different regions of the globe. Thus, the aim of this study was to analyze the effects of land use change on the rivers and streams of the Cachoeira River Basin in the Northeast of Brazil. Samples were collected bi-monthly at 16 points along the basin over 1 year and analyzed for physical and chemical parameters (temperature, pH, conductivity, and percentage saturation of dissolved oxygen), inorganic nutrients (NO3−, NO2−, NH4+/NH3, PO43−, SiO4) and dissolved major ions (Ca2+, K+, Mg2+, Na+, HCO3−). The highest concentrations of NO3−, NO2−, NH4+/NH3, and PO43− occurred at the points with the highest percentage of urban areas and population density. The major ions Ca2+, K+, Mg2+, Na+, and HCO3− were positively correlated with the percentage of pasture coverage; however, the high concentrations of these ions and the strong correlation between them revealed that other factors besides land use, such as soil cover, geological formation, and water deficit, may be jointly contributing to increases in their concentrations. Thus, the results show that urbanization represents the type of land use with the greatest negative effect on water quality since it alters the concentrations of inorganic nutrients dissolved in the Cachoeira River Basin.","author":[{"dropping-particle":"","family":"Cerqueira","given":"Thais Carvalho","non-dropping-particle":"","parse-names":false,"suffix":""},{"dropping-particle":"","family":"Mendonça","given":"Roberto Lemos","non-dropping-particle":"","parse-names":false,"suffix":""},{"dropping-particle":"","family":"Gomes","given":"Ronaldo Lima","non-dropping-particle":"","parse-names":false,"suffix":""},{"dropping-particle":"","family":"Jesus","given":"Raildo Mota","non-dropping-particle":"de","parse-names":false,"suffix":""},{"dropping-particle":"","family":"Silva","given":"Daniela Mariano Lopes","non-dropping-particle":"da","parse-names":false,"suffix":""}],"container-title":"Environmental Monitoring and Assessment","id":"ITEM-1","issue":"1","issued":{"date-parts":[["2020","1"]]},"page":"65","title":"Effects of urbanization on water quality in a watershed in northeastern Brazil","type":"article-journal","volume":"192"},"uris":["http://www.mendeley.com/documents/?uuid=c9bea184-a2d0-4edb-9f39-12edaab42a44","http://www.mendeley.com/documents/?uuid=0fe60700-6db2-40e8-a269-8deac3aac152","http://www.mendeley.com/documents/?uuid=cdbbb0d6-3c7e-4b25-8d95-40240d507aa1"]}],"mendeley":{"formattedCitation":"[47]","plainTextFormattedCitation":"[47]","previouslyFormattedCitation":"[47]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[47]</w:t>
      </w:r>
      <w:r w:rsidRPr="00051297">
        <w:rPr>
          <w:rFonts w:cs="Times New Roman"/>
          <w:szCs w:val="24"/>
        </w:rPr>
        <w:fldChar w:fldCharType="end"/>
      </w:r>
      <w:r w:rsidRPr="00051297">
        <w:rPr>
          <w:rFonts w:cs="Times New Roman"/>
          <w:szCs w:val="24"/>
          <w:lang w:val="en-US"/>
        </w:rPr>
        <w:t xml:space="preserve">. </w:t>
      </w:r>
    </w:p>
    <w:p w14:paraId="5BD7E910" w14:textId="51A5E9B0" w:rsidR="00051297" w:rsidRPr="00051297" w:rsidRDefault="00051297" w:rsidP="00051297">
      <w:pPr>
        <w:rPr>
          <w:rFonts w:cs="Times New Roman"/>
          <w:szCs w:val="24"/>
          <w:lang w:val="en-US"/>
        </w:rPr>
      </w:pPr>
      <w:r w:rsidRPr="00051297">
        <w:rPr>
          <w:rFonts w:cs="Times New Roman"/>
          <w:szCs w:val="24"/>
          <w:lang w:val="en-US"/>
        </w:rPr>
        <w:t xml:space="preserve">Parks and lawns, for example, soak up the majority of the rain that falls on them because they are undeveloped or grassy (pervious). As a result, locations with a lot of impermeable or non-porous surfaces have a lot more polluted stormwater runoff </w:t>
      </w:r>
      <w:r w:rsidRPr="00051297">
        <w:rPr>
          <w:rFonts w:cs="Times New Roman"/>
          <w:szCs w:val="24"/>
        </w:rPr>
        <w:fldChar w:fldCharType="begin" w:fldLock="1"/>
      </w:r>
      <w:r w:rsidR="00FA5896">
        <w:rPr>
          <w:rFonts w:cs="Times New Roman"/>
          <w:szCs w:val="24"/>
          <w:lang w:val="en-US"/>
        </w:rPr>
        <w:instrText>ADDIN CSL_CITATION {"citationItems":[{"id":"ITEM-1","itemData":{"DOI":"10.1002/wer.1173","ISSN":"1061-4303","PMID":"31243836","abstract":"This review summarizes over 250 studies published in 2018 related to the characterization, control, and management of urban stormwater runoff. The review covers three broad themes: (a) quantity and quality characterization of stormwater, (b) control and treatment of stormwater runoff, and (c) implementation and assessment of watershed-scale green stormwater infrastructure (GSI). Each section provides an overview of the 2018 literature, common themes, and future work. Several themes emerged from the 2018 literature including exploration of contaminants of emerging concern within stormwater systems, characterization and incorporation of vegetation-driven dynamics in stormwater control measures, and the need for interdisciplinary perspectives on the implementation and assessment of GSI. Practitioner points: Over 250 studies were published in 2018 related to the characterization, control, and treatment of stormwater. Studies cover general stormwater characteristics, control and treatment systems, and watershed-scale assessments. Trends in 2018 include treatment trains, vegetation dynamics, and interdisciplinary perspectives.","author":[{"dropping-particle":"","family":"Rodak","given":"Carolyn M.","non-dropping-particle":"","parse-names":false,"suffix":""},{"dropping-particle":"","family":"Moore","given":"Trisha L.","non-dropping-particle":"","parse-names":false,"suffix":""},{"dropping-particle":"","family":"David","given":"Ray","non-dropping-particle":"","parse-names":false,"suffix":""},{"dropping-particle":"","family":"Jayakaran","given":"Anand D.","non-dropping-particle":"","parse-names":false,"suffix":""},{"dropping-particle":"","family":"Vogel","given":"Jason R.","non-dropping-particle":"","parse-names":false,"suffix":""}],"container-title":"Water Environment Research","id":"ITEM-1","issue":"10","issued":{"date-parts":[["2019","10"]]},"page":"1034-1060","title":"Urban stormwater characterization, control, and treatment","type":"article-journal","volume":"91"},"uris":["http://www.mendeley.com/documents/?uuid=bdb0c160-265b-45b8-9d08-120331bb34f2","http://www.mendeley.com/documents/?uuid=0d2353b2-6bf4-4be2-85c5-cafaf9331a5a","http://www.mendeley.com/documents/?uuid=413fd5ae-d69f-419b-a774-c726d167580e"]}],"mendeley":{"formattedCitation":"[48]","plainTextFormattedCitation":"[48]","previouslyFormattedCitation":"[48]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[48]</w:t>
      </w:r>
      <w:r w:rsidRPr="00051297">
        <w:rPr>
          <w:rFonts w:cs="Times New Roman"/>
          <w:szCs w:val="24"/>
        </w:rPr>
        <w:fldChar w:fldCharType="end"/>
      </w:r>
      <w:r w:rsidRPr="00051297">
        <w:rPr>
          <w:rFonts w:cs="Times New Roman"/>
          <w:szCs w:val="24"/>
          <w:lang w:val="en-US"/>
        </w:rPr>
        <w:t xml:space="preserve">. Stormwater runoff that is not regulated has a number of negative consequences for persons and the environment, including </w:t>
      </w:r>
      <w:r w:rsidRPr="00051297">
        <w:rPr>
          <w:rFonts w:cs="Times New Roman"/>
          <w:szCs w:val="24"/>
        </w:rPr>
        <w:fldChar w:fldCharType="begin" w:fldLock="1"/>
      </w:r>
      <w:r w:rsidR="00FA5896">
        <w:rPr>
          <w:rFonts w:cs="Times New Roman"/>
          <w:szCs w:val="24"/>
          <w:lang w:val="en-US"/>
        </w:rPr>
        <w:instrText>ADDIN CSL_CITATION {"citationItems":[{"id":"ITEM-1","itemData":{"DOI":"10.1002/wer.1173","ISSN":"1061-4303","PMID":"31243836","abstract":"This review summarizes over 250 studies published in 2018 related to the characterization, control, and management of urban stormwater runoff. The review covers three broad themes: (a) quantity and quality characterization of stormwater, (b) control and treatment of stormwater runoff, and (c) implementation and assessment of watershed-scale green stormwater infrastructure (GSI). Each section provides an overview of the 2018 literature, common themes, and future work. Several themes emerged from the 2018 literature including exploration of contaminants of emerging concern within stormwater systems, characterization and incorporation of vegetation-driven dynamics in stormwater control measures, and the need for interdisciplinary perspectives on the implementation and assessment of GSI. Practitioner points: Over 250 studies were published in 2018 related to the characterization, control, and treatment of stormwater. Studies cover general stormwater characteristics, control and treatment systems, and watershed-scale assessments. Trends in 2018 include treatment trains, vegetation dynamics, and interdisciplinary perspectives.","author":[{"dropping-particle":"","family":"Rodak","given":"Carolyn M.","non-dropping-particle":"","parse-names":false,"suffix":""},{"dropping-particle":"","family":"Moore","given":"Trisha L.","non-dropping-particle":"","parse-names":false,"suffix":""},{"dropping-particle":"","family":"David","given":"Ray","non-dropping-particle":"","parse-names":false,"suffix":""},{"dropping-particle":"","family":"Jayakaran","given":"Anand D.","non-dropping-particle":"","parse-names":false,"suffix":""},{"dropping-particle":"","family":"Vogel","given":"Jason R.","non-dropping-particle":"","parse-names":false,"suffix":""}],"container-title":"Water Environment Research","id":"ITEM-1","issue":"10","issued":{"date-parts":[["2019","10"]]},"page":"1034-1060","title":"Urban stormwater characterization, control, and treatment","type":"article-journal","volume":"91"},"uris":["http://www.mendeley.com/documents/?uuid=413fd5ae-d69f-419b-a774-c726d167580e","http://www.mendeley.com/documents/?uuid=bdb0c160-265b-45b8-9d08-120331bb34f2","http://www.mendeley.com/documents/?uuid=0d2353b2-6bf4-4be2-85c5-cafaf9331a5a"]}],"mendeley":{"formattedCitation":"[48]","plainTextFormattedCitation":"[48]","previouslyFormattedCitation":"[48]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[48]</w:t>
      </w:r>
      <w:r w:rsidRPr="00051297">
        <w:rPr>
          <w:rFonts w:cs="Times New Roman"/>
          <w:szCs w:val="24"/>
        </w:rPr>
        <w:fldChar w:fldCharType="end"/>
      </w:r>
      <w:r w:rsidRPr="00051297">
        <w:rPr>
          <w:rFonts w:cs="Times New Roman"/>
          <w:szCs w:val="24"/>
          <w:lang w:val="en-US"/>
        </w:rPr>
        <w:t>:</w:t>
      </w:r>
    </w:p>
    <w:p w14:paraId="0514E88D" w14:textId="77777777" w:rsidR="00051297" w:rsidRPr="00051297" w:rsidRDefault="00051297" w:rsidP="00051297">
      <w:pPr>
        <w:numPr>
          <w:ilvl w:val="0"/>
          <w:numId w:val="9"/>
        </w:numPr>
        <w:rPr>
          <w:rFonts w:cs="Times New Roman"/>
          <w:szCs w:val="24"/>
          <w:lang w:val="en-US"/>
        </w:rPr>
      </w:pPr>
      <w:r w:rsidRPr="00051297">
        <w:rPr>
          <w:rFonts w:cs="Times New Roman"/>
          <w:szCs w:val="24"/>
          <w:lang w:val="en-US"/>
        </w:rPr>
        <w:t xml:space="preserve">Flooding - public and private property damage. </w:t>
      </w:r>
    </w:p>
    <w:p w14:paraId="0E2A259E" w14:textId="77777777" w:rsidR="00051297" w:rsidRPr="00051297" w:rsidRDefault="00051297" w:rsidP="00051297">
      <w:pPr>
        <w:numPr>
          <w:ilvl w:val="0"/>
          <w:numId w:val="9"/>
        </w:numPr>
        <w:rPr>
          <w:rFonts w:cs="Times New Roman"/>
          <w:szCs w:val="24"/>
          <w:lang w:val="en-US"/>
        </w:rPr>
      </w:pPr>
      <w:r w:rsidRPr="00051297">
        <w:rPr>
          <w:rFonts w:cs="Times New Roman"/>
          <w:szCs w:val="24"/>
          <w:lang w:val="en-US"/>
        </w:rPr>
        <w:t xml:space="preserve">Streambanks that have been eroded - Sediment clogs waterways, fills lakes and reservoirs, and kills fish and other aquatic species. </w:t>
      </w:r>
    </w:p>
    <w:p w14:paraId="01F1E150" w14:textId="77777777" w:rsidR="00051297" w:rsidRPr="00051297" w:rsidRDefault="00051297" w:rsidP="00051297">
      <w:pPr>
        <w:numPr>
          <w:ilvl w:val="0"/>
          <w:numId w:val="9"/>
        </w:numPr>
        <w:rPr>
          <w:rFonts w:cs="Times New Roman"/>
          <w:szCs w:val="24"/>
          <w:lang w:val="en-US"/>
        </w:rPr>
      </w:pPr>
      <w:r w:rsidRPr="00051297">
        <w:rPr>
          <w:rFonts w:cs="Times New Roman"/>
          <w:szCs w:val="24"/>
          <w:lang w:val="en-US"/>
        </w:rPr>
        <w:t xml:space="preserve">Loss of valuable property due to widened stream channels. </w:t>
      </w:r>
    </w:p>
    <w:p w14:paraId="375D7568" w14:textId="77777777" w:rsidR="00051297" w:rsidRPr="00051297" w:rsidRDefault="00051297" w:rsidP="00051297">
      <w:pPr>
        <w:numPr>
          <w:ilvl w:val="0"/>
          <w:numId w:val="9"/>
        </w:numPr>
        <w:rPr>
          <w:rFonts w:cs="Times New Roman"/>
          <w:szCs w:val="24"/>
          <w:lang w:val="en-US"/>
        </w:rPr>
      </w:pPr>
      <w:r w:rsidRPr="00051297">
        <w:rPr>
          <w:rFonts w:cs="Times New Roman"/>
          <w:szCs w:val="24"/>
          <w:lang w:val="en-US"/>
        </w:rPr>
        <w:t xml:space="preserve">Aesthetics - unpleasant scents, filthy water, rubbish, and waste. </w:t>
      </w:r>
    </w:p>
    <w:p w14:paraId="176DEB3B" w14:textId="77777777" w:rsidR="00051297" w:rsidRPr="00051297" w:rsidRDefault="00051297" w:rsidP="00051297">
      <w:pPr>
        <w:numPr>
          <w:ilvl w:val="0"/>
          <w:numId w:val="9"/>
        </w:numPr>
        <w:rPr>
          <w:rFonts w:cs="Times New Roman"/>
          <w:szCs w:val="24"/>
          <w:lang w:val="en-US"/>
        </w:rPr>
      </w:pPr>
      <w:r w:rsidRPr="00051297">
        <w:rPr>
          <w:rFonts w:cs="Times New Roman"/>
          <w:szCs w:val="24"/>
          <w:lang w:val="en-US"/>
        </w:rPr>
        <w:t xml:space="preserve">Fish and aquatic life have been harmed or eliminated. </w:t>
      </w:r>
    </w:p>
    <w:p w14:paraId="6EE5F5BF" w14:textId="77777777" w:rsidR="00051297" w:rsidRPr="00051297" w:rsidRDefault="00051297" w:rsidP="00051297">
      <w:pPr>
        <w:numPr>
          <w:ilvl w:val="0"/>
          <w:numId w:val="9"/>
        </w:numPr>
        <w:rPr>
          <w:rFonts w:cs="Times New Roman"/>
          <w:szCs w:val="24"/>
          <w:lang w:val="en-US"/>
        </w:rPr>
      </w:pPr>
      <w:r w:rsidRPr="00051297">
        <w:rPr>
          <w:rFonts w:cs="Times New Roman"/>
          <w:szCs w:val="24"/>
          <w:lang w:val="en-US"/>
        </w:rPr>
        <w:t xml:space="preserve">Impaired Swimming, fishing, and boating are examples of recreational activities. </w:t>
      </w:r>
    </w:p>
    <w:p w14:paraId="07118CE3" w14:textId="77777777" w:rsidR="00051297" w:rsidRPr="00051297" w:rsidRDefault="00051297" w:rsidP="00051297">
      <w:pPr>
        <w:numPr>
          <w:ilvl w:val="0"/>
          <w:numId w:val="9"/>
        </w:numPr>
        <w:rPr>
          <w:rFonts w:cs="Times New Roman"/>
          <w:szCs w:val="24"/>
          <w:lang w:val="en-US"/>
        </w:rPr>
      </w:pPr>
      <w:r w:rsidRPr="00051297">
        <w:rPr>
          <w:rFonts w:cs="Times New Roman"/>
          <w:szCs w:val="24"/>
          <w:lang w:val="en-US"/>
        </w:rPr>
        <w:t xml:space="preserve">Threatens Contamination of drinking water, fish/shellfish, and public health. </w:t>
      </w:r>
    </w:p>
    <w:p w14:paraId="4756948A" w14:textId="77777777" w:rsidR="00051297" w:rsidRPr="00051297" w:rsidRDefault="00051297" w:rsidP="00051297">
      <w:pPr>
        <w:numPr>
          <w:ilvl w:val="0"/>
          <w:numId w:val="9"/>
        </w:numPr>
        <w:rPr>
          <w:rFonts w:cs="Times New Roman"/>
          <w:szCs w:val="24"/>
          <w:lang w:val="en-US"/>
        </w:rPr>
      </w:pPr>
      <w:r w:rsidRPr="00051297">
        <w:rPr>
          <w:rFonts w:cs="Times New Roman"/>
          <w:szCs w:val="24"/>
          <w:lang w:val="en-US"/>
        </w:rPr>
        <w:t xml:space="preserve">Threatens Drownings occur in floodwaters, which is a public safety concern. </w:t>
      </w:r>
    </w:p>
    <w:p w14:paraId="5F8D5530" w14:textId="77777777" w:rsidR="00051297" w:rsidRPr="00051297" w:rsidRDefault="00051297" w:rsidP="00051297">
      <w:pPr>
        <w:numPr>
          <w:ilvl w:val="0"/>
          <w:numId w:val="9"/>
        </w:numPr>
        <w:rPr>
          <w:rFonts w:cs="Times New Roman"/>
          <w:szCs w:val="24"/>
          <w:lang w:val="en-US"/>
        </w:rPr>
      </w:pPr>
      <w:r w:rsidRPr="00051297">
        <w:rPr>
          <w:rFonts w:cs="Times New Roman"/>
          <w:szCs w:val="24"/>
          <w:lang w:val="en-US"/>
        </w:rPr>
        <w:t xml:space="preserve">Economic Consequences — Fisheries, shellfish, tourists, and recreation-related companies will be harmed. </w:t>
      </w:r>
    </w:p>
    <w:p w14:paraId="4C09F139" w14:textId="77777777" w:rsidR="00051297" w:rsidRPr="00051297" w:rsidRDefault="00051297" w:rsidP="00051297">
      <w:pPr>
        <w:numPr>
          <w:ilvl w:val="0"/>
          <w:numId w:val="9"/>
        </w:numPr>
        <w:rPr>
          <w:rFonts w:cs="Times New Roman"/>
          <w:szCs w:val="24"/>
          <w:lang w:val="en-US"/>
        </w:rPr>
      </w:pPr>
      <w:r w:rsidRPr="00051297">
        <w:rPr>
          <w:rFonts w:cs="Times New Roman"/>
          <w:szCs w:val="24"/>
          <w:lang w:val="en-US"/>
        </w:rPr>
        <w:t xml:space="preserve">Increased Water and Wastewater Treatment Costs - Stormwater pollution raises the cost of raw water treatment and lowers the capacity of water bodies to absorb nutrients. </w:t>
      </w:r>
    </w:p>
    <w:p w14:paraId="3477E8EE" w14:textId="77777777" w:rsidR="00051297" w:rsidRPr="00051297" w:rsidRDefault="00051297" w:rsidP="00051297">
      <w:pPr>
        <w:numPr>
          <w:ilvl w:val="0"/>
          <w:numId w:val="9"/>
        </w:numPr>
        <w:spacing w:after="160"/>
        <w:rPr>
          <w:rFonts w:cs="Times New Roman"/>
          <w:szCs w:val="24"/>
          <w:lang w:val="en-US"/>
        </w:rPr>
      </w:pPr>
      <w:r w:rsidRPr="00051297">
        <w:rPr>
          <w:rFonts w:cs="Times New Roman"/>
          <w:szCs w:val="24"/>
          <w:lang w:val="en-US"/>
        </w:rPr>
        <w:lastRenderedPageBreak/>
        <w:t>Stormwater runoff creates flooding and damage that is difficult and expensive to repair.</w:t>
      </w:r>
    </w:p>
    <w:p w14:paraId="772FC867" w14:textId="76690304" w:rsidR="00051297" w:rsidRPr="00051297" w:rsidRDefault="00051297" w:rsidP="00F97DFC">
      <w:pPr>
        <w:pStyle w:val="2"/>
        <w:rPr>
          <w:lang w:val="en-US"/>
        </w:rPr>
      </w:pPr>
      <w:bookmarkStart w:id="21" w:name="_Toc97504707"/>
      <w:bookmarkStart w:id="22" w:name="_Toc103543839"/>
      <w:bookmarkStart w:id="23" w:name="_Toc104985163"/>
      <w:r w:rsidRPr="00051297">
        <w:rPr>
          <w:lang w:val="en-US"/>
        </w:rPr>
        <w:t>Climatic impacts on stormwater</w:t>
      </w:r>
      <w:bookmarkEnd w:id="21"/>
      <w:bookmarkEnd w:id="22"/>
      <w:bookmarkEnd w:id="23"/>
    </w:p>
    <w:p w14:paraId="7F27FE5E" w14:textId="6C03C97F" w:rsidR="00051297" w:rsidRPr="00051297" w:rsidRDefault="00051297" w:rsidP="00051297">
      <w:pPr>
        <w:rPr>
          <w:rFonts w:cs="Times New Roman"/>
          <w:szCs w:val="24"/>
          <w:lang w:val="en-US"/>
        </w:rPr>
      </w:pPr>
      <w:r w:rsidRPr="00051297">
        <w:rPr>
          <w:rFonts w:cs="Times New Roman"/>
          <w:szCs w:val="24"/>
          <w:lang w:val="en-US"/>
        </w:rPr>
        <w:t xml:space="preserve">Rainwater or melting snow runoff from roadways, lawns, and other locations is referred to as stormwater. Stormwater is filtered and eventually replenishes aquifers or runs into streams and rivers after being absorbed into soil. Stormwater flow can be increased as a result of climate change, which includes more frequent and severe storms as well as more extreme flooding occurrences </w:t>
      </w:r>
      <w:r w:rsidRPr="00051297">
        <w:rPr>
          <w:rFonts w:cs="Times New Roman"/>
          <w:szCs w:val="24"/>
        </w:rPr>
        <w:fldChar w:fldCharType="begin" w:fldLock="1"/>
      </w:r>
      <w:r w:rsidR="00FA5896">
        <w:rPr>
          <w:rFonts w:cs="Times New Roman"/>
          <w:szCs w:val="24"/>
          <w:lang w:val="en-US"/>
        </w:rPr>
        <w:instrText>ADDIN CSL_CITATION {"citationItems":[{"id":"ITEM-1","itemData":{"DOI":"10.1007/s00477-021-02105-x","ISSN":"1436-3240","abstract":"Climate change and urbanization are significantly magnifying flood hazard, leading to a greater vulnerability of urban concentrations. This paper investigates the impact of climate change on urban flooding using future projected rainfall data and a calibrated hydraulic model. Two urban watersheds in Delhi, India (the Qudesia Nallah catchment and the Jahangirpuri drain catchment) are considered to evaluate the climate change impact on urban flooding. Regional climate models (RCMs) are used to project future precipitation, which is then utilized by the hydraulic model to evaluate the impact on flooding. Climate data from three RCMs extracted from the Coordinated Regional Climate Downscaling Experiment (CORDEX) are used to study the impact of climate change for historical (1990–2016) and future scenario (Representative Concentration Pathway (RCP) 4.5, 2021–2100). The rainfall projections are fed as 2-, 5-, 10-, and 20-year return periods to a calibrated hydrodynamic Storm Water Management Model (SWMM). The results show that the flooded nodes vary between 2–6 and 12–43, respectively, in the Qudesia Nallah catchment and the Jahangirpuri drain catchment under present conditions but increase from 11 to 51 and 42 to 91, respectively, for future climate conditions. The results suggest that the risk of occurrence of flooding, duration, and frequency in the two study areas will increase in the future when compared to those under the present conditions. The results also indicate that the damage induced by the 20-year return period rainfall at the present time will likely be caused just by the 2-year return period in the future. This is due to the greater likelihood of rainfall extremes in the region. The potential flooding sites identified in this study will provide the urban municipalities with substantive information to perform ameliorative strategies.","author":[{"dropping-particle":"","family":"Kumar","given":"Satish","non-dropping-particle":"","parse-names":false,"suffix":""},{"dropping-particle":"","family":"Agarwal","given":"Ankit","non-dropping-particle":"","parse-names":false,"suffix":""},{"dropping-particle":"","family":"Ganapathy","given":"Abinesh","non-dropping-particle":"","parse-names":false,"suffix":""},{"dropping-particle":"","family":"Villuri","given":"Vasant Govind Kumar","non-dropping-particle":"","parse-names":false,"suffix":""},{"dropping-particle":"","family":"Pasupuleti","given":"Srinivas","non-dropping-particle":"","parse-names":false,"suffix":""},{"dropping-particle":"","family":"Kumar","given":"Dheeraj","non-dropping-particle":"","parse-names":false,"suffix":""},{"dropping-particle":"","family":"Kaushal","given":"Deo Raj","non-dropping-particle":"","parse-names":false,"suffix":""},{"dropping-particle":"","family":"Gosain","given":"Ashwin Kumar","non-dropping-particle":"","parse-names":false,"suffix":""},{"dropping-particle":"","family":"Sivakumar","given":"Bellie","non-dropping-particle":"","parse-names":false,"suffix":""}],"container-title":"Stochastic Environmental Research and Risk Assessment","id":"ITEM-1","issue":"1","issued":{"date-parts":[["2022","1"]]},"page":"77-96","title":"Impact of climate change on stormwater drainage in urban areas","type":"article-journal","volume":"36"},"uris":["http://www.mendeley.com/documents/?uuid=5be17436-33ea-4b37-b05b-64b9523a3e2c","http://www.mendeley.com/documents/?uuid=e00ad985-98e4-4cd2-a804-3ce41bd40f96","http://www.mendeley.com/documents/?uuid=9cf59e9e-5372-4aca-8c8d-a309faafaf44"]}],"mendeley":{"formattedCitation":"[49]","plainTextFormattedCitation":"[49]","previouslyFormattedCitation":"[49]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[49]</w:t>
      </w:r>
      <w:r w:rsidRPr="00051297">
        <w:rPr>
          <w:rFonts w:cs="Times New Roman"/>
          <w:szCs w:val="24"/>
        </w:rPr>
        <w:fldChar w:fldCharType="end"/>
      </w:r>
      <w:r w:rsidRPr="00051297">
        <w:rPr>
          <w:rFonts w:cs="Times New Roman"/>
          <w:szCs w:val="24"/>
          <w:lang w:val="en-US"/>
        </w:rPr>
        <w:t xml:space="preserve">. </w:t>
      </w:r>
    </w:p>
    <w:p w14:paraId="3C564C2B" w14:textId="37038456" w:rsidR="00051297" w:rsidRPr="00051297" w:rsidRDefault="00051297" w:rsidP="00051297">
      <w:pPr>
        <w:rPr>
          <w:rFonts w:cs="Times New Roman"/>
          <w:szCs w:val="24"/>
        </w:rPr>
      </w:pPr>
      <w:r w:rsidRPr="00051297">
        <w:rPr>
          <w:rFonts w:cs="Times New Roman"/>
          <w:szCs w:val="24"/>
          <w:lang w:val="en-US"/>
        </w:rPr>
        <w:t xml:space="preserve">Cities with mixed stormwater and wastewater drainage systems may face more frequent and powerful downpours. Large volumes of rain or snowfall can overload these systems, resulting in more combined sewer overflows into rivers. Sediment, nutrients, and other pollutants can be washed into water sources by stormwater runoff </w:t>
      </w:r>
      <w:r w:rsidRPr="00051297">
        <w:rPr>
          <w:rFonts w:cs="Times New Roman"/>
          <w:szCs w:val="24"/>
        </w:rPr>
        <w:fldChar w:fldCharType="begin" w:fldLock="1"/>
      </w:r>
      <w:r w:rsidR="00FA5896">
        <w:rPr>
          <w:rFonts w:cs="Times New Roman"/>
          <w:szCs w:val="24"/>
          <w:lang w:val="en-US"/>
        </w:rPr>
        <w:instrText>ADDIN CSL_CITATION {"citationItems":[{"id":"ITEM-1","itemData":{"DOI":"10.1007/s12237-019-00597-z","ISSN":"1559-2723","abstract":"Urbanization and human-led development have increased more rapidly along shorelines and in coastal watersheds than inland regions over the past century. The result of major land use changes for both urban tracts and agriculture to serve the urban areas, as well as infrastructure development is increased runoff carrying sediments, nutrients, pollutants, pharmaceuticals, and toxins downstream to estuarine systems. The increased runoff levels are only the tip of the iceberg, with human development resulting in increased fecal bacteria from urbanization and excess nutrients from agriculture leading to harmful algal blooms. Estuaries act as a natural filter between land and sea, but have been overloaded by the influx of sediments and pollutants in recent decades. As a result, there have been a variety of impacts to estuarine ecosystems and water quality including increased sediment load, eutrophication, harmful algal blooms, fecal bacteria, as well as shellfish and fisheries declines. In some estuarine systems, the reduction in light penetration to the benthos has led to the loss of seagrasses. In others, seasonal hypoxia is a visible symptom of prolonged eutrophication. There is a need to augment long-term monitoring techniques with new technologies and data processing methods to better understand the current state of estuaries and work towards mitigating human impacts on estuarine ecosystems and water quality.","author":[{"dropping-particle":"","family":"Freeman","given":"Lauren A.","non-dropping-particle":"","parse-names":false,"suffix":""},{"dropping-particle":"","family":"Corbett","given":"D. Reide","non-dropping-particle":"","parse-names":false,"suffix":""},{"dropping-particle":"","family":"Fitzgerald","given":"Allison M.","non-dropping-particle":"","parse-names":false,"suffix":""},{"dropping-particle":"","family":"Lemley","given":"Daniel A.","non-dropping-particle":"","parse-names":false,"suffix":""},{"dropping-particle":"","family":"Quigg","given":"Antonietta","non-dropping-particle":"","parse-names":false,"suffix":""},{"dropping-particle":"","family":"Steppe","given":"Cecily N.","non-dropping-particle":"","parse-names":false,"suffix":""}],"container-title":"Estuaries and Coasts","id":"ITEM-1","issue":"7","issued":{"date-parts":[["2019","11"]]},"page":"1821-1838","title":"Impacts of Urbanization and Development on Estuarine Ecosystems and Water Quality","type":"article-journal","volume":"42"},"uris":["http://www.mendeley.com/documents/?uuid=fc533c65-1db2-4070-bca8-e198acf8a792","http://www.mendeley.com/documents/?uuid=288031de-8ef1-4c73-9c83-9d31cb49caef","http://www.mendeley.com/documents/?uuid=ceef8fa8-e551-44b2-b2c9-31312e8b47d4"]},{"id":"ITEM-2","itemData":{"DOI":"10.1016/j.jenvman.2020.111248","ISSN":"03014797","PMID":"32891029","abstract":"The discharge of excess nutrients to surface waters causes eutrophication, resulting in algal blooms, hypoxia, degraded water quality, reduced and contaminated fisheries, threats to potable water supplies, and decreases in tourism, cultural activities, and coastal economies. An understanding of the contribution of urban runoff to eutrophication is needed to inform management strategies. More broadly, the seasonality in nutrient concentrations and loads in urban runoff needs further analysis since algal blooms and hypoxia are seasonal in nature. This study quantifies the variation of nutrients and sediment in stormwater runoff across seasons from four urban residential sewersheds located in Columbus, Ohio, USA. An average of 62 runoff events at each sewershed were sampled using automated samplers during stormflow and analyzed for nutrients and total suspended solids (TSS). Spring total nitrogen concentrations had a significantly (p &lt; 0.05) higher median concentration (2.19 mg/L) than fall (1.55 mg/L) and summer (1.50 mg/L). Total phosphorus concentrations were significantly higher in spring (0.22 mg/L) and fall (0.23 mg/L) than summer (0.15 mg/L). TSS concentrations were significantly higher in the spring (74.5 mg/L) and summer (56.5 mg/L) than the fall (34.0 mg/L). In contrast, seasonal loading differences for nutrients or sediment were rare because runoff volume varied in such a way as to offset significant concentration differences and significant seasonality in rainfall intensity. Annual pollutant loadings were similar in magnitude to other residential and even some agricultural runoff studies. Although nutrient loads are the key indicator for determining algal biomass, nutrient concentrations are important for real-time algal growth. Future research efforts should be focused not only on understanding how seasonal urban concentrations and loads impact coastal eutrophication, but also developing improved watershed management focused on critical periods. Improved designs for stormwater control measures need to account for seasonality in pollutant discharge.","author":[{"dropping-particle":"","family":"Smith","given":"Joseph S.","non-dropping-particle":"","parse-names":false,"suffix":""},{"dropping-particle":"","family":"Winston","given":"Ryan J.","non-dropping-particle":"","parse-names":false,"suffix":""},{"dropping-particle":"","family":"Tirpak","given":"R. Andrew","non-dropping-particle":"","parse-names":false,"suffix":""},{"dropping-particle":"","family":"Wituszynski","given":"David M.","non-dropping-particle":"","parse-names":false,"suffix":""},{"dropping-particle":"","family":"Boening","given":"Kathryn M.","non-dropping-particle":"","parse-names":false,"suffix":""},{"dropping-particle":"","family":"Martin","given":"Jay F.","non-dropping-particle":"","parse-names":false,"suffix":""}],"container-title":"Journal of Environmental Management","id":"ITEM-2","issued":{"date-parts":[["2020","12"]]},"page":"111248","title":"The seasonality of nutrients and sediment in residential stormwater runoff: Implications for nutrient-sensitive waters","type":"article-journal","volume":"276"},"uris":["http://www.mendeley.com/documents/?uuid=2d2328be-a56b-4178-bb91-09ca631cbb1e","http://www.mendeley.com/documents/?uuid=fd6c280e-d317-4938-8a51-3905e19c0f55","http://www.mendeley.com/documents/?uuid=3d4dc13b-702f-467c-af6f-0988f55e7017"]},{"id":"ITEM-3","itemData":{"DOI":"10.2166/wst.2013.822","ISSN":"0273-1223","PMID":"24622550","abstract":"Permeable pavements have been shown to be effective stormwater treatment devices that can greatly reduce surface runoff and significantly improve the quality of stormwater runoff in urban areas. However, the potential problems with sediment clogging and consequent maintenance requirements have been identified as the main barriers to more widespread adoption of permeable pavements in urban developments. This Australian study investigates the effectiveness of using grass swales as pre-treatment devices for permeable pavements in order to reduce clogging and extend the life span of these systems. The results of simulated runoff experiments demonstrated that between 50 and 75% of the total suspended sediment (TSS) was removed within the first 10 m of the swale length. This suggests swales of this length could potentially increase the effective life of permeable pavement systems by reducing clogging, and therefore maintenance. Nutrient removal was also tested in the study and the results indicated the tested swales were of limited effectiveness in the removal of these pollutants. However, in real runoff situations, reduction of TSS will have a direct influence on removing nutrients because a significant proportion of nutrients (and other pollutants) are attached to the sediments.","author":[{"dropping-particle":"","family":"Kachchu Mohamed","given":"M. A.","non-dropping-particle":"","parse-names":false,"suffix":""},{"dropping-particle":"","family":"Lucke","given":"T.","non-dropping-particle":"","parse-names":false,"suffix":""},{"dropping-particle":"","family":"Boogaard","given":"F.","non-dropping-particle":"","parse-names":false,"suffix":""}],"container-title":"Water Science and Technology","id":"ITEM-3","issue":"5","issued":{"date-parts":[["2014","3"]]},"page":"1014-1020","title":"Preliminary investigation into the pollution reduction performance of swales used in a stormwater treatment train","type":"article-journal","volume":"69"},"uris":["http://www.mendeley.com/documents/?uuid=155dc267-9b12-41c2-a1f4-116f599ff263","http://www.mendeley.com/documents/?uuid=81a7e209-801f-41f5-9da1-b529be74a244","http://www.mendeley.com/documents/?uuid=1a9965fa-f1d7-45ac-8c72-9028de1d8198"]},{"id":"ITEM-4","itemData":{"DOI":"10.15244/pjoes/133720","ISSN":"1230-1485","abstract":"Riparian vegetated filter strips (RVFS) can effectively intercept agricultural non-point source pollution (ANSP) into a water body and reduce the risk of water body pollution. The present study evaluates the long-term effectiveness of different types and lengths (5 m, 9 m, 13 m) of RVFS in reducing the suspended solids (SS) and nutrients from agricultural runoff. Three field experimental plots (T1-T2-T3) planted with weeds, sweet clover (Melilotus suaveolens L.) and sweet clover/Chinese wingnut (Pterocarya stenoptera C. DC.) were established adjacent to the agricultural edge from 2011 to 2018. The runoff volumes, SS, and nutrients concentrations were determined at each effective runoff event during the study periods. The results indicated that all RVFS (T1, T2, and T3) reduced the mass of the nutrients rather than the concentration in all runoff events. In the rainfall events, the pollutants were reduced significantly in the presence of RVFS. The removal efficiency of T2 and T3 amounted to 79% and 84% for SS within the first 5 m, which was significantly higher than T1(61%). The 9 m-long T3 caused a significant reduction in the mean total phosphorus (TP) and dissolved phosphorus (DP) by 84% and 82%, respectively. More than 70% of the pollutants from rainfall runoff could be controlled by a 13 m RVFS. The snow-melt events increased the risk of ANSP migrating to streams, especially for the DP. However, the Chinese wingnut strip increased the filtering capacity of the DP as compared to the other two RVFS. Results from this study confirmed that the RVFS is a very effective mitigation system to reduce the sediment and nutrient loads in the agricultural runoff.","author":[{"dropping-particle":"","family":"Tang","given":"Jiaxi","non-dropping-particle":"","parse-names":false,"suffix":""},{"dropping-particle":"","family":"Zhu","given":"Yongle","non-dropping-particle":"","parse-names":false,"suffix":""},{"dropping-particle":"","family":"Wei","given":"Zhongping","non-dropping-particle":"","parse-names":false,"suffix":""},{"dropping-particle":"","family":"Feng","given":"Liangshan","non-dropping-particle":"","parse-names":false,"suffix":""},{"dropping-particle":"","family":"Yang","given":"Ning","non-dropping-particle":"","parse-names":false,"suffix":""},{"dropping-particle":"","family":"Sun","given":"Zhanxiang","non-dropping-particle":"","parse-names":false,"suffix":""},{"dropping-particle":"","family":"Luo","given":"Qing","non-dropping-particle":"","parse-names":false,"suffix":""}],"container-title":"Polish Journal of Environmental Studies","id":"ITEM-4","issue":"5","issued":{"date-parts":[["2021","9"]]},"page":"4709-4718","title":"Effectiveness of Riparian Vegetated Filter Strips in Removing Agricultural Nonpoint Source Pollutants in Agricultural Runoff from the Liao River Area, China","type":"article-journal","volume":"30"},"uris":["http://www.mendeley.com/documents/?uuid=61d27e3d-c35c-4f9f-a791-02596f89591b","http://www.mendeley.com/documents/?uuid=a2fdfdd1-a19a-48c1-a447-2dfa85d59f26","http://www.mendeley.com/documents/?uuid=86a6b7ec-277f-41ca-b346-a7fc99ca0ff0"]}],"mendeley":{"formattedCitation":"[50–53]","plainTextFormattedCitation":"[50–53]","previouslyFormattedCitation":"[50–53]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[50–53]</w:t>
      </w:r>
      <w:r w:rsidRPr="00051297">
        <w:rPr>
          <w:rFonts w:cs="Times New Roman"/>
          <w:szCs w:val="24"/>
        </w:rPr>
        <w:fldChar w:fldCharType="end"/>
      </w:r>
      <w:r w:rsidRPr="00051297">
        <w:rPr>
          <w:rFonts w:cs="Times New Roman"/>
          <w:szCs w:val="24"/>
          <w:lang w:val="en-US"/>
        </w:rPr>
        <w:t xml:space="preserve">. Sediment, nutrients, and other pollutants can degrade water quality, endanger drinking water supplies, and make water treatment more difficult. Drought and reduced streamflow can aggravate these issues by concentrating pollutants and restricting dilution </w:t>
      </w:r>
      <w:r w:rsidRPr="00051297">
        <w:rPr>
          <w:rFonts w:cs="Times New Roman"/>
          <w:szCs w:val="24"/>
        </w:rPr>
        <w:fldChar w:fldCharType="begin" w:fldLock="1"/>
      </w:r>
      <w:r w:rsidR="00FA5896">
        <w:rPr>
          <w:rFonts w:cs="Times New Roman"/>
          <w:szCs w:val="24"/>
          <w:lang w:val="en-US"/>
        </w:rPr>
        <w:instrText>ADDIN CSL_CITATION {"citationItems":[{"id":"ITEM-1","itemData":{"DOI":"10.3390/su122410463","ISSN":"2071-1050","abstract":"Water scarcity, which is exacerbated by climate change, is a major challenge to ensure human well-being. Therefore, it is equally important to protect conventional water resources from degradation and at the same time to identify cost-effective alternatives with a low carbon footprint. In this regard, stormwater plays a key role as it is a largely under-utilised resource for both, potable and non-potable use. However, stormwater carries substantial loads of pollutants to receiving waters such as rivers. Unfortunately, the lack of comprehensive stormwater quality modelling strategies, which account for the effects of climate change, constrains the formulation of effective measures to improve the quality of stormwater. Currently, there is a significant knowledge gap in the merging of stormwater quality modelling and climate modelling. This paper critically reviews current stormwater quality modelling approaches (quantity and quality) and the role of climate modelling outputs in stormwater quality modelling. This is followed by the presentation of a robust framework to integrate the impacts of climate change with stormwater quality models.","author":[{"dropping-particle":"","family":"Wijesiri","given":"Buddhi","non-dropping-particle":"","parse-names":false,"suffix":""},{"dropping-particle":"","family":"Bandala","given":"Erick","non-dropping-particle":"","parse-names":false,"suffix":""},{"dropping-particle":"","family":"Liu","given":"An","non-dropping-particle":"","parse-names":false,"suffix":""},{"dropping-particle":"","family":"Goonetilleke","given":"Ashantha","non-dropping-particle":"","parse-names":false,"suffix":""}],"container-title":"Sustainability","id":"ITEM-1","issue":"24","issued":{"date-parts":[["2020","12"]]},"page":"10463","title":"A Framework for Stormwater Quality Modelling under the Effects of Climate Change to Enhance Reuse","type":"article-journal","volume":"12"},"uris":["http://www.mendeley.com/documents/?uuid=4aa83aef-751e-419a-8c7b-3ae9fc5099f3","http://www.mendeley.com/documents/?uuid=240f33b1-2012-4ff4-bd75-81b8cdb9efde","http://www.mendeley.com/documents/?uuid=9a965448-c364-4ea9-bd87-f223f8f20eca"]}],"mendeley":{"formattedCitation":"[54]","plainTextFormattedCitation":"[54]","previouslyFormattedCitation":"[54]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[54]</w:t>
      </w:r>
      <w:r w:rsidRPr="00051297">
        <w:rPr>
          <w:rFonts w:cs="Times New Roman"/>
          <w:szCs w:val="24"/>
        </w:rPr>
        <w:fldChar w:fldCharType="end"/>
      </w:r>
      <w:r w:rsidRPr="00051297">
        <w:rPr>
          <w:rFonts w:cs="Times New Roman"/>
          <w:szCs w:val="24"/>
        </w:rPr>
        <w:t>.</w:t>
      </w:r>
    </w:p>
    <w:p w14:paraId="55B4D660" w14:textId="6A12E113" w:rsidR="00051297" w:rsidRPr="00051297" w:rsidRDefault="00051297" w:rsidP="00F97DFC">
      <w:pPr>
        <w:pStyle w:val="2"/>
        <w:rPr>
          <w:lang w:val="en-US"/>
        </w:rPr>
      </w:pPr>
      <w:bookmarkStart w:id="24" w:name="_Toc97504708"/>
      <w:bookmarkStart w:id="25" w:name="_Toc103543840"/>
      <w:bookmarkStart w:id="26" w:name="_Toc104985164"/>
      <w:r w:rsidRPr="00051297">
        <w:rPr>
          <w:lang w:val="en-US"/>
        </w:rPr>
        <w:t>Stormwater-related issues on dams</w:t>
      </w:r>
      <w:bookmarkEnd w:id="24"/>
      <w:bookmarkEnd w:id="25"/>
      <w:bookmarkEnd w:id="26"/>
    </w:p>
    <w:p w14:paraId="15910907" w14:textId="4A75DC8D" w:rsidR="00051297" w:rsidRPr="00A70461" w:rsidRDefault="00051297" w:rsidP="00051297">
      <w:pPr>
        <w:rPr>
          <w:rFonts w:cs="Times New Roman"/>
          <w:spacing w:val="-4"/>
          <w:szCs w:val="24"/>
          <w:lang w:val="en-US"/>
        </w:rPr>
      </w:pPr>
      <w:r w:rsidRPr="00A70461">
        <w:rPr>
          <w:rFonts w:cs="Times New Roman"/>
          <w:spacing w:val="-4"/>
          <w:szCs w:val="24"/>
          <w:lang w:val="en-US"/>
        </w:rPr>
        <w:t xml:space="preserve">Dam and levee safety is becoming increasingly important as the globe struggles to adapt to climate change and its consequences. Extreme rainstorm events have the potential to seriously harm these structures. Dams play an important role in supplying a variety of services, including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{"citationItems":[{"id":"ITEM-1","itemData":{"DOI":"10.1038/s41467-020-20704-0","ISSN":"2041-1723","PMID":"33462241","abstract":"Globally, flood risk is projected to increase in the future due to climate change and population growth. Here, we quantify the role of dams in flood mitigation, previously unaccounted for in global flood studies, by simulating the floodplain dynamics and flow regulation by dams. We show that, ignoring flow regulation by dams, the average number of people exposed to flooding below dams amount to 9.1 and 15.3 million per year, by the end of the 21 st century (holding population constant), for the representative concentration pathway (RCP) 2.6 and 6.0, respectively. Accounting for dams reduces the number of people exposed to floods by 20.6 and 12.9% (for RCP2.6 and RCP6.0, respectively). While environmental problems caused by dams warrant further investigations, our results indicate that consideration of dams significantly affect the estimation of future population exposure to flood, emphasizing the need to integrate them in model-based impact analysis of climate change.","author":[{"dropping-particle":"","family":"Boulange","given":"Julien","non-dropping-particle":"","parse-names":false,"suffix":""},{"dropping-particle":"","family":"Hanasaki","given":"Naota","non-dropping-particle":"","parse-names":false,"suffix":""},{"dropping-particle":"","family":"Yamazaki","given":"Dai","non-dropping-particle":"","parse-names":false,"suffix":""},{"dropping-particle":"","family":"Pokhrel","given":"Yadu","non-dropping-particle":"","parse-names":false,"suffix":""}],"container-title":"Nature Communications","id":"ITEM-1","issue":"1","issued":{"date-parts":[["2021","12"]]},"page":"417","title":"Role of dams in reducing global flood exposure under climate change","type":"article-journal","volume":"12"},"uris":["http://www.mendeley.com/documents/?uuid=5868ce09-3da4-41ff-b47c-836c97e1d4ba","http://www.mendeley.com/documents/?uuid=4a63178f-93e9-4449-a0e7-6ec49070164d","http://www.mendeley.com/documents/?uuid=34a96d11-07ba-4166-bd38-0e7c921b2a95"]}],"mendeley":{"formattedCitation":"[55]","plainTextFormattedCitation":"[55]","previouslyFormattedCitation":"[55]"},"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lang w:val="en-US"/>
        </w:rPr>
        <w:t>[55]</w:t>
      </w:r>
      <w:r w:rsidRPr="00A70461">
        <w:rPr>
          <w:rFonts w:cs="Times New Roman"/>
          <w:spacing w:val="-4"/>
          <w:szCs w:val="24"/>
        </w:rPr>
        <w:fldChar w:fldCharType="end"/>
      </w:r>
      <w:r w:rsidRPr="00A70461">
        <w:rPr>
          <w:rFonts w:cs="Times New Roman"/>
          <w:spacing w:val="-4"/>
          <w:szCs w:val="24"/>
          <w:lang w:val="en-US"/>
        </w:rPr>
        <w:t xml:space="preserve">: </w:t>
      </w:r>
    </w:p>
    <w:p w14:paraId="78141773" w14:textId="77777777" w:rsidR="00051297" w:rsidRPr="00A70461" w:rsidRDefault="00051297" w:rsidP="00051297">
      <w:pPr>
        <w:numPr>
          <w:ilvl w:val="0"/>
          <w:numId w:val="10"/>
        </w:numPr>
        <w:tabs>
          <w:tab w:val="clear" w:pos="720"/>
          <w:tab w:val="num" w:pos="851"/>
        </w:tabs>
        <w:ind w:left="0" w:firstLine="709"/>
        <w:rPr>
          <w:rFonts w:cs="Times New Roman"/>
          <w:spacing w:val="-4"/>
          <w:szCs w:val="24"/>
        </w:rPr>
      </w:pPr>
      <w:r w:rsidRPr="00A70461">
        <w:rPr>
          <w:rFonts w:cs="Times New Roman"/>
          <w:spacing w:val="-4"/>
          <w:szCs w:val="24"/>
        </w:rPr>
        <w:t>Irrigation</w:t>
      </w:r>
      <w:r w:rsidRPr="00A70461">
        <w:rPr>
          <w:rFonts w:cs="Times New Roman"/>
          <w:spacing w:val="-4"/>
          <w:szCs w:val="24"/>
          <w:lang w:val="en-US"/>
        </w:rPr>
        <w:t>.</w:t>
      </w:r>
      <w:r w:rsidRPr="00A70461">
        <w:rPr>
          <w:rFonts w:cs="Times New Roman"/>
          <w:spacing w:val="-4"/>
          <w:szCs w:val="24"/>
        </w:rPr>
        <w:t xml:space="preserve"> </w:t>
      </w:r>
    </w:p>
    <w:p w14:paraId="35D482AD" w14:textId="0988E5A1" w:rsidR="00051297" w:rsidRPr="00A70461" w:rsidRDefault="00051297" w:rsidP="00051297">
      <w:pPr>
        <w:numPr>
          <w:ilvl w:val="0"/>
          <w:numId w:val="10"/>
        </w:numPr>
        <w:tabs>
          <w:tab w:val="clear" w:pos="720"/>
          <w:tab w:val="num" w:pos="851"/>
        </w:tabs>
        <w:ind w:left="0" w:firstLine="709"/>
        <w:rPr>
          <w:rFonts w:cs="Times New Roman"/>
          <w:spacing w:val="-4"/>
          <w:szCs w:val="24"/>
        </w:rPr>
      </w:pPr>
      <w:r w:rsidRPr="00A70461">
        <w:rPr>
          <w:rFonts w:cs="Times New Roman"/>
          <w:spacing w:val="-4"/>
          <w:szCs w:val="24"/>
        </w:rPr>
        <w:t xml:space="preserve">Availability of </w:t>
      </w:r>
      <w:r w:rsidR="00F1171B">
        <w:rPr>
          <w:rFonts w:cs="Times New Roman"/>
          <w:spacing w:val="-4"/>
          <w:szCs w:val="24"/>
          <w:lang w:val="en-US"/>
        </w:rPr>
        <w:t>w</w:t>
      </w:r>
      <w:r w:rsidRPr="00A70461">
        <w:rPr>
          <w:rFonts w:cs="Times New Roman"/>
          <w:spacing w:val="-4"/>
          <w:szCs w:val="24"/>
        </w:rPr>
        <w:t>ater</w:t>
      </w:r>
      <w:r w:rsidRPr="00A70461">
        <w:rPr>
          <w:rFonts w:cs="Times New Roman"/>
          <w:spacing w:val="-4"/>
          <w:szCs w:val="24"/>
          <w:lang w:val="en-US"/>
        </w:rPr>
        <w:t>.</w:t>
      </w:r>
      <w:r w:rsidRPr="00A70461">
        <w:rPr>
          <w:rFonts w:cs="Times New Roman"/>
          <w:spacing w:val="-4"/>
          <w:szCs w:val="24"/>
        </w:rPr>
        <w:t xml:space="preserve"> </w:t>
      </w:r>
    </w:p>
    <w:p w14:paraId="34A5EFE7" w14:textId="77777777" w:rsidR="00051297" w:rsidRPr="00A70461" w:rsidRDefault="00051297" w:rsidP="00051297">
      <w:pPr>
        <w:numPr>
          <w:ilvl w:val="0"/>
          <w:numId w:val="10"/>
        </w:numPr>
        <w:tabs>
          <w:tab w:val="clear" w:pos="720"/>
          <w:tab w:val="num" w:pos="851"/>
        </w:tabs>
        <w:ind w:left="0" w:firstLine="709"/>
        <w:rPr>
          <w:rFonts w:cs="Times New Roman"/>
          <w:spacing w:val="-4"/>
          <w:szCs w:val="24"/>
        </w:rPr>
      </w:pPr>
      <w:r w:rsidRPr="00A70461">
        <w:rPr>
          <w:rFonts w:cs="Times New Roman"/>
          <w:spacing w:val="-4"/>
          <w:szCs w:val="24"/>
        </w:rPr>
        <w:t>Hydro-electricity</w:t>
      </w:r>
      <w:r w:rsidRPr="00A70461">
        <w:rPr>
          <w:rFonts w:cs="Times New Roman"/>
          <w:spacing w:val="-4"/>
          <w:szCs w:val="24"/>
          <w:lang w:val="en-US"/>
        </w:rPr>
        <w:t>.</w:t>
      </w:r>
      <w:r w:rsidRPr="00A70461">
        <w:rPr>
          <w:rFonts w:cs="Times New Roman"/>
          <w:spacing w:val="-4"/>
          <w:szCs w:val="24"/>
        </w:rPr>
        <w:t xml:space="preserve"> </w:t>
      </w:r>
    </w:p>
    <w:p w14:paraId="5CF14E94" w14:textId="556BE0AE" w:rsidR="00051297" w:rsidRPr="00A70461" w:rsidRDefault="00051297" w:rsidP="00051297">
      <w:pPr>
        <w:numPr>
          <w:ilvl w:val="0"/>
          <w:numId w:val="10"/>
        </w:numPr>
        <w:tabs>
          <w:tab w:val="clear" w:pos="720"/>
          <w:tab w:val="num" w:pos="851"/>
        </w:tabs>
        <w:ind w:left="0" w:firstLine="709"/>
        <w:rPr>
          <w:rFonts w:cs="Times New Roman"/>
          <w:spacing w:val="-4"/>
          <w:szCs w:val="24"/>
        </w:rPr>
      </w:pPr>
      <w:r w:rsidRPr="00A70461">
        <w:rPr>
          <w:rFonts w:cs="Times New Roman"/>
          <w:spacing w:val="-4"/>
          <w:szCs w:val="24"/>
        </w:rPr>
        <w:t xml:space="preserve">Areas for </w:t>
      </w:r>
      <w:r w:rsidR="00F1171B">
        <w:rPr>
          <w:rFonts w:cs="Times New Roman"/>
          <w:spacing w:val="-4"/>
          <w:szCs w:val="24"/>
          <w:lang w:val="en-US"/>
        </w:rPr>
        <w:t>r</w:t>
      </w:r>
      <w:r w:rsidRPr="00A70461">
        <w:rPr>
          <w:rFonts w:cs="Times New Roman"/>
          <w:spacing w:val="-4"/>
          <w:szCs w:val="24"/>
        </w:rPr>
        <w:t>ecreation</w:t>
      </w:r>
      <w:r w:rsidRPr="00A70461">
        <w:rPr>
          <w:rFonts w:cs="Times New Roman"/>
          <w:spacing w:val="-4"/>
          <w:szCs w:val="24"/>
          <w:lang w:val="en-US"/>
        </w:rPr>
        <w:t>.</w:t>
      </w:r>
    </w:p>
    <w:p w14:paraId="30605F8E" w14:textId="472F7ABC" w:rsidR="00051297" w:rsidRPr="00A70461" w:rsidRDefault="00051297" w:rsidP="00051297">
      <w:pPr>
        <w:rPr>
          <w:rFonts w:cs="Times New Roman"/>
          <w:spacing w:val="-4"/>
          <w:szCs w:val="24"/>
          <w:lang w:val="en-US"/>
        </w:rPr>
      </w:pPr>
      <w:r w:rsidRPr="00A70461">
        <w:rPr>
          <w:rFonts w:cs="Times New Roman"/>
          <w:spacing w:val="-4"/>
          <w:szCs w:val="24"/>
          <w:lang w:val="en-US"/>
        </w:rPr>
        <w:t xml:space="preserve">Many dams and levees are between 50 and 100 years old and were not built to withstand today's climate. In the worst-case scenario, the dam could break, resulting in widespread devastation and fatalities. Newly constructed dams are designed and regulated to withstand potential extreme events such as earthquakes and floods. However, the vast majority of dams around the world are at least half a century old. Many of the world's dams are vulnerable due to outdated designs mixed with wear and tear from years of operation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{"citationItems":[{"id":"ITEM-1","itemData":{"DOI":"10.1504/IJHST.2020.110568","ISSN":"2042-7808","abstract":"The Egyptian segment of the Nile River is controlled from its upstream end by two dams: the High Aswan Dam (HAD) and the Old Aswan Dam (OAD). Nowadays, questions are being raised about the efficiency and safety of the Old Aswan Dam and what will happen if the dam fails? For this regard, a 1D hydraulic model using HEC-RAS package was developed to investigate a number of dam break scenarios, to estimate the outlet hydrograph from the dam site and to route the produced flood wave throughout the first river reach from the dam site up to Esna barrage. A numerical sensitivity analysis was performed to select the relevant values of the implicit weighting factor θ, Δx and Δt. Eight dam break scenarios were developed to investigate the effect of initial water level, inlet flow and dam breach width on the expected inundated area. Results showed that there would not be catastrophic consequences from the Old Aswan Dam failure. The main concern is when large flow values are released deliberately (Q = 605 mm3/sec) from the Aswan Dam.","author":[{"dropping-particle":"","family":"Helwa","given":"Amira M.","non-dropping-particle":"","parse-names":false,"suffix":""},{"dropping-particle":"","family":"Elgamal","given":"Mohamed H.","non-dropping-particle":"","parse-names":false,"suffix":""},{"dropping-particle":"","family":"Ghanem","given":"Ashraf H.","non-dropping-particle":"","parse-names":false,"suffix":""}],"container-title":"International Journal of Hydrology Science and Technology","id":"ITEM-1","issue":"6","issued":{"date-parts":[["2020"]]},"page":"557","title":"Dam break analysis of Old Aswan Dam on Nile River using HEC-RAS","type":"article-journal","volume":"10"},"uris":["http://www.mendeley.com/documents/?uuid=34aab682-630e-4062-b758-f11c1a12ca59","http://www.mendeley.com/documents/?uuid=d423c3ae-6b56-49b8-834a-cb534a8db6e9","http://www.mendeley.com/documents/?uuid=38a27618-d0b8-4d4f-a250-9b9a283c058f"]}],"mendeley":{"formattedCitation":"[56]","plainTextFormattedCitation":"[56]","previouslyFormattedCitation":"[56]"},"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lang w:val="en-US"/>
        </w:rPr>
        <w:t>[56]</w:t>
      </w:r>
      <w:r w:rsidRPr="00A70461">
        <w:rPr>
          <w:rFonts w:cs="Times New Roman"/>
          <w:spacing w:val="-4"/>
          <w:szCs w:val="24"/>
        </w:rPr>
        <w:fldChar w:fldCharType="end"/>
      </w:r>
      <w:r w:rsidRPr="00A70461">
        <w:rPr>
          <w:rFonts w:cs="Times New Roman"/>
          <w:spacing w:val="-4"/>
          <w:szCs w:val="24"/>
          <w:lang w:val="en-US"/>
        </w:rPr>
        <w:t xml:space="preserve">. </w:t>
      </w:r>
    </w:p>
    <w:p w14:paraId="7C3E919D" w14:textId="040E175E" w:rsidR="00051297" w:rsidRPr="00A70461" w:rsidRDefault="00051297" w:rsidP="00F97DFC">
      <w:pPr>
        <w:pStyle w:val="3"/>
        <w:rPr>
          <w:spacing w:val="-4"/>
        </w:rPr>
      </w:pPr>
      <w:bookmarkStart w:id="27" w:name="_Toc97504709"/>
      <w:bookmarkStart w:id="28" w:name="_Toc103543841"/>
      <w:bookmarkStart w:id="29" w:name="_Toc104985165"/>
      <w:r w:rsidRPr="00A70461">
        <w:rPr>
          <w:spacing w:val="-4"/>
        </w:rPr>
        <w:t>Storm extreme event</w:t>
      </w:r>
      <w:bookmarkEnd w:id="27"/>
      <w:bookmarkEnd w:id="28"/>
      <w:bookmarkEnd w:id="29"/>
    </w:p>
    <w:p w14:paraId="07653BBC" w14:textId="30EC9FD0" w:rsidR="00051297" w:rsidRPr="00A70461" w:rsidRDefault="00051297" w:rsidP="00051297">
      <w:pPr>
        <w:rPr>
          <w:rFonts w:cs="Times New Roman"/>
          <w:spacing w:val="-4"/>
          <w:szCs w:val="24"/>
          <w:lang w:val="en-US"/>
        </w:rPr>
      </w:pPr>
      <w:r w:rsidRPr="00A70461">
        <w:rPr>
          <w:rFonts w:cs="Times New Roman"/>
          <w:spacing w:val="-4"/>
          <w:szCs w:val="24"/>
          <w:lang w:val="en-US"/>
        </w:rPr>
        <w:t xml:space="preserve">Every year, storms occur in predictable patterns and seasons. The majority of these storms do minimal or no harm. However, there are times when the amount and intensity of rainfall are greater than our infrastructure or landscape can handle. The largest amount of rainfall expected in a given place over a certain period is known as the probable maximum precipitation (PMP)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{"citationItems":[{"id":"ITEM-1","itemData":{"DOI":"10.1002/grl.50334","ISSN":"00948276","abstract":"Probable maximum precipitation (PMP) is the greatest accumulation of precipitation for a given duration meteorologically possible for an area. Climate change effects on PMP are analyzed, in particular, maximization of moisture and persistent upward motion, using both climate model simulations and conceptual models of relevant meteorological systems. Climate model simulations indicate a substantial future increase in mean and maximum water vapor concentrations. For the RCP8.5 scenario, the changes in maximum values for the continental United States are approximately 20%-30% by 2071-2100. The magnitudes of the maximum water vapor changes follow temperature changes with an approximate Clausius-Clapeyron relationship. Model-simulated changes in maximum vertical and horizontal winds are too small to offset water vapor changes. Thus, our conclusion is that the most scientifically sound projection is that PMP values will increase in the future due to higher levels of atmospheric moisture content and consequent higher levels of moisture transport into storms. Key Points Maximum atmospheric water vapor will increase in the future Estimates of Probable Maximum Precipitation will increase commensurately Dams and other similar structures are vulnerable to future climate change ©2013. American Geophysical Union. All Rights Reserved.","author":[{"dropping-particle":"","family":"Kunkel","given":"Kenneth E.","non-dropping-particle":"","parse-names":false,"suffix":""},{"dropping-particle":"","family":"Karl","given":"Thomas R.","non-dropping-particle":"","parse-names":false,"suffix":""},{"dropping-particle":"","family":"Easterling","given":"David R.","non-dropping-particle":"","parse-names":false,"suffix":""},{"dropping-particle":"","family":"Redmond","given":"Kelly","non-dropping-particle":"","parse-names":false,"suffix":""},{"dropping-particle":"","family":"Young","given":"John","non-dropping-particle":"","parse-names":false,"suffix":""},{"dropping-particle":"","family":"Yin","given":"Xungang","non-dropping-particle":"","parse-names":false,"suffix":""},{"dropping-particle":"","family":"Hennon","given":"Paula","non-dropping-particle":"","parse-names":false,"suffix":""}],"container-title":"Geophysical Research Letters","id":"ITEM-1","issue":"7","issued":{"date-parts":[["2013","4"]]},"page":"1402-1408","title":"Probable maximum precipitation and climate change","type":"article-journal","volume":"40"},"uris":["http://www.mendeley.com/documents/?uuid=dc22f0d6-f7b2-40fd-a6a9-adf517a10987","http://www.mendeley.com/documents/?uuid=17df79bb-2a99-45f9-b63e-5830ab917160","http://www.mendeley.com/documents/?uuid=84541320-da30-4333-b199-b5b975d5a400"]}],"mendeley":{"formattedCitation":"[57]","plainTextFormattedCitation":"[57]","previouslyFormattedCitation":"[57]"},"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lang w:val="en-US"/>
        </w:rPr>
        <w:t>[57]</w:t>
      </w:r>
      <w:r w:rsidRPr="00A70461">
        <w:rPr>
          <w:rFonts w:cs="Times New Roman"/>
          <w:spacing w:val="-4"/>
          <w:szCs w:val="24"/>
        </w:rPr>
        <w:fldChar w:fldCharType="end"/>
      </w:r>
      <w:r w:rsidRPr="00A70461">
        <w:rPr>
          <w:rFonts w:cs="Times New Roman"/>
          <w:spacing w:val="-4"/>
          <w:szCs w:val="24"/>
          <w:lang w:val="en-US"/>
        </w:rPr>
        <w:t xml:space="preserve">. The PMP is </w:t>
      </w:r>
      <w:r w:rsidRPr="00A70461">
        <w:rPr>
          <w:rFonts w:cs="Times New Roman"/>
          <w:spacing w:val="-4"/>
          <w:szCs w:val="24"/>
          <w:lang w:val="en-US"/>
        </w:rPr>
        <w:lastRenderedPageBreak/>
        <w:t xml:space="preserve">designed to be the worst-case situation. It is frequently used by experts to determine the minimal building and operation standards for high-hazard dams and nuclear power facilities. </w:t>
      </w:r>
    </w:p>
    <w:p w14:paraId="51B14CF9" w14:textId="5AEEEFE5" w:rsidR="00051297" w:rsidRPr="00A70461" w:rsidRDefault="00051297" w:rsidP="00051297">
      <w:pPr>
        <w:rPr>
          <w:rFonts w:cs="Times New Roman"/>
          <w:spacing w:val="-4"/>
          <w:szCs w:val="24"/>
          <w:lang w:val="en-US"/>
        </w:rPr>
      </w:pPr>
      <w:r w:rsidRPr="00A70461">
        <w:rPr>
          <w:rFonts w:cs="Times New Roman"/>
          <w:spacing w:val="-4"/>
          <w:szCs w:val="24"/>
          <w:lang w:val="en-US"/>
        </w:rPr>
        <w:t xml:space="preserve">The phrase was later proven to be erroneous by meteorologists. There are simply too many variables to come up with a single, precise, and reliable maximum number. The PMP recognizes the relative nature of the probability factor. The 100-year flood, for example, does not happen only once every </w:t>
      </w:r>
      <w:r w:rsidR="00744457" w:rsidRPr="00A70461">
        <w:rPr>
          <w:rFonts w:cs="Times New Roman"/>
          <w:spacing w:val="-4"/>
          <w:szCs w:val="24"/>
          <w:lang w:val="en-US"/>
        </w:rPr>
        <w:t xml:space="preserve">century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{"citationItems":[{"id":"ITEM-1","itemData":{"DOI":"10.1016/j.envhaz.2007.08.004","ISSN":"17477891","abstract":"This paper presents a synopsis of several terms used to describe US policy's benchmark flood and a preliminary study of how such terms are interpreted. Questionnaire surveys were conducted in a flood prone community with residents living in and out of official flood plains. Comparable questions regarding uncertainty, perceived need for protection, and concern were asked in connection with four descriptive methods: a 100-year flood; a flood with a 1 percent chance of occurring in any year; a flood with a 26 percent chance of occurring in 30 years; and a flood risk map. Statistical analysis and qualitative observation showed a disjuncture between understanding and persuasion, potential problems with the 26 percent chance method, and a preference for concrete references in describing risk. © 2007 Elsevier Ltd. All rights reserved.","author":[{"dropping-particle":"","family":"BELL","given":"H","non-dropping-particle":"","parse-names":false,"suffix":""},{"dropping-particle":"","family":"TOBIN","given":"G","non-dropping-particle":"","parse-names":false,"suffix":""}],"container-title":"Environmental Hazards","id":"ITEM-1","issue":"4","issued":{"date-parts":[["2007"]]},"page":"302-311","title":"Efficient and effective? The 100-year flood in the communication and perception of flood risk","type":"article-journal","volume":"7"},"uris":["http://www.mendeley.com/documents/?uuid=22fadc94-ca8a-47ca-b598-12d159030c4a","http://www.mendeley.com/documents/?uuid=44a6e777-6f96-4284-a572-c75de8d2376b","http://www.mendeley.com/documents/?uuid=7ae7f2fc-509b-4c22-803b-5b2803941b63"]}],"mendeley":{"formattedCitation":"[58]","plainTextFormattedCitation":"[58]","previouslyFormattedCitation":"[58]"},"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lang w:val="en-US"/>
        </w:rPr>
        <w:t>[58]</w:t>
      </w:r>
      <w:r w:rsidRPr="00A70461">
        <w:rPr>
          <w:rFonts w:cs="Times New Roman"/>
          <w:spacing w:val="-4"/>
          <w:szCs w:val="24"/>
        </w:rPr>
        <w:fldChar w:fldCharType="end"/>
      </w:r>
      <w:r w:rsidRPr="00A70461">
        <w:rPr>
          <w:rFonts w:cs="Times New Roman"/>
          <w:spacing w:val="-4"/>
          <w:szCs w:val="24"/>
          <w:lang w:val="en-US"/>
        </w:rPr>
        <w:t xml:space="preserve">. </w:t>
      </w:r>
    </w:p>
    <w:p w14:paraId="19E2D6B5" w14:textId="756E12B2" w:rsidR="00051297" w:rsidRPr="00A70461" w:rsidRDefault="00051297" w:rsidP="00F97DFC">
      <w:pPr>
        <w:pStyle w:val="3"/>
        <w:rPr>
          <w:spacing w:val="-4"/>
          <w:lang w:val="en-US"/>
        </w:rPr>
      </w:pPr>
      <w:bookmarkStart w:id="30" w:name="_Toc97504710"/>
      <w:bookmarkStart w:id="31" w:name="_Toc103543842"/>
      <w:bookmarkStart w:id="32" w:name="_Toc104985166"/>
      <w:r w:rsidRPr="00A70461">
        <w:rPr>
          <w:spacing w:val="-4"/>
          <w:lang w:val="en-US"/>
        </w:rPr>
        <w:t xml:space="preserve">Dam </w:t>
      </w:r>
      <w:r w:rsidR="00554E6C">
        <w:rPr>
          <w:spacing w:val="-4"/>
          <w:lang w:val="en-US"/>
        </w:rPr>
        <w:t>h</w:t>
      </w:r>
      <w:r w:rsidRPr="00A70461">
        <w:rPr>
          <w:spacing w:val="-4"/>
          <w:lang w:val="en-US"/>
        </w:rPr>
        <w:t xml:space="preserve">azard </w:t>
      </w:r>
      <w:r w:rsidR="00554E6C">
        <w:rPr>
          <w:spacing w:val="-4"/>
          <w:lang w:val="en-US"/>
        </w:rPr>
        <w:t>p</w:t>
      </w:r>
      <w:r w:rsidRPr="00A70461">
        <w:rPr>
          <w:spacing w:val="-4"/>
          <w:lang w:val="en-US"/>
        </w:rPr>
        <w:t>otential</w:t>
      </w:r>
      <w:bookmarkEnd w:id="30"/>
      <w:bookmarkEnd w:id="31"/>
      <w:bookmarkEnd w:id="32"/>
      <w:r w:rsidRPr="00A70461">
        <w:rPr>
          <w:spacing w:val="-4"/>
          <w:lang w:val="en-US"/>
        </w:rPr>
        <w:t xml:space="preserve"> </w:t>
      </w:r>
    </w:p>
    <w:p w14:paraId="2E53A6F6" w14:textId="6C6F8ADA" w:rsidR="00051297" w:rsidRPr="00A70461" w:rsidRDefault="00051297" w:rsidP="00051297">
      <w:pPr>
        <w:rPr>
          <w:rFonts w:cs="Times New Roman"/>
          <w:spacing w:val="-4"/>
          <w:szCs w:val="24"/>
          <w:lang w:val="en-US"/>
        </w:rPr>
      </w:pPr>
      <w:r w:rsidRPr="00A70461">
        <w:rPr>
          <w:rFonts w:cs="Times New Roman"/>
          <w:spacing w:val="-4"/>
          <w:szCs w:val="24"/>
          <w:lang w:val="en-US"/>
        </w:rPr>
        <w:t xml:space="preserve">Normally, all dams in the system are assigned a classification depending on the amount and type of damage that would be likely to occur; the overall categorization can be summarized as follows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{"citationItems":[{"id":"ITEM-1","itemData":{"abstract":"Dam safety hazards towards human communities have increased tremendously during the last decades. They have resulted from dam safety problems leading to failure and being exasperated by the large losses at downstream areas due to increasing populations and land use. In this work, an attempt is being made to review the procedures being followed to reduces these hazards by improving dams safety standards. Classification of dams by their potential hazards are explained as used today for prioritize remedial actions in various countries of the world. The guiding principles of these classification are indicated and they are based on height of such dams and their storage and linked to the potential damage and harm they can create. Normally such classification and follow up actions are supported by various legislations and regulations issued by the respective governments. Moreover, conventions signed by riparian countries promote cooperation on mitigating safety problems of dams on transboundary rivers. Examples of such legislations and conventions are mentioned. Looking for having safer dams is an objective continually which is being pursued as more dams are needed in the future while existing dams continue to serve their objectives. Therefore, using lessons learned from previous failures is recommended taking the question of loss of life as a main doctrine.","author":[{"dropping-particle":"","family":"Adamo","given":"Nasrat","non-dropping-particle":"","parse-names":false,"suffix":""},{"dropping-particle":"","family":"Al-Ansari","given":"Nadhir","non-dropping-particle":"","parse-names":false,"suffix":""},{"dropping-particle":"","family":"Sissakian","given":"Varoujan","non-dropping-particle":"","parse-names":false,"suffix":""},{"dropping-particle":"","family":"Laue","given":"Jan","non-dropping-particle":"","parse-names":false,"suffix":""},{"dropping-particle":"","family":"Knutsson","given":"Sven","non-dropping-particle":"","parse-names":false,"suffix":""}],"container-title":"Journal of Earth Sciences and Geotechnical Engineering","id":"ITEM-1","issued":{"date-parts":[["2020"]]},"title":"Dam Safety and Dams Hazards","type":"article-journal"},"uris":["http://www.mendeley.com/documents/?uuid=a35e6a4e-a437-4989-b77a-302242747e5f","http://www.mendeley.com/documents/?uuid=da50c865-4f1a-48b1-8c27-f9de28f75bca","http://www.mendeley.com/documents/?uuid=a4f45a88-e70e-4e3b-bfdb-b701a4c30949"]}],"mendeley":{"formattedCitation":"[59]","plainTextFormattedCitation":"[59]","previouslyFormattedCitation":"[59]"},"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lang w:val="en-US"/>
        </w:rPr>
        <w:t>[59]</w:t>
      </w:r>
      <w:r w:rsidRPr="00A70461">
        <w:rPr>
          <w:rFonts w:cs="Times New Roman"/>
          <w:spacing w:val="-4"/>
          <w:szCs w:val="24"/>
        </w:rPr>
        <w:fldChar w:fldCharType="end"/>
      </w:r>
      <w:r w:rsidRPr="00A70461">
        <w:rPr>
          <w:rFonts w:cs="Times New Roman"/>
          <w:spacing w:val="-4"/>
          <w:szCs w:val="24"/>
          <w:lang w:val="en-US"/>
        </w:rPr>
        <w:t xml:space="preserve">: </w:t>
      </w:r>
    </w:p>
    <w:p w14:paraId="5A38F09A" w14:textId="77777777" w:rsidR="00051297" w:rsidRPr="00A70461" w:rsidRDefault="00051297" w:rsidP="00051297">
      <w:pPr>
        <w:numPr>
          <w:ilvl w:val="0"/>
          <w:numId w:val="11"/>
        </w:numPr>
        <w:tabs>
          <w:tab w:val="clear" w:pos="720"/>
          <w:tab w:val="num" w:pos="851"/>
        </w:tabs>
        <w:ind w:left="0" w:firstLine="709"/>
        <w:rPr>
          <w:rFonts w:cs="Times New Roman"/>
          <w:spacing w:val="-4"/>
          <w:szCs w:val="24"/>
          <w:lang w:val="en-US"/>
        </w:rPr>
      </w:pPr>
      <w:r w:rsidRPr="00A70461">
        <w:rPr>
          <w:rFonts w:cs="Times New Roman"/>
          <w:spacing w:val="-4"/>
          <w:szCs w:val="24"/>
          <w:lang w:val="en-US"/>
        </w:rPr>
        <w:t xml:space="preserve">High Hazard Potential - This rating is given to dams that are likely to result in the loss of human life if they fail. </w:t>
      </w:r>
    </w:p>
    <w:p w14:paraId="5573177D" w14:textId="77777777" w:rsidR="00051297" w:rsidRPr="00A70461" w:rsidRDefault="00051297" w:rsidP="00051297">
      <w:pPr>
        <w:numPr>
          <w:ilvl w:val="0"/>
          <w:numId w:val="11"/>
        </w:numPr>
        <w:tabs>
          <w:tab w:val="clear" w:pos="720"/>
          <w:tab w:val="num" w:pos="851"/>
        </w:tabs>
        <w:ind w:left="0" w:firstLine="709"/>
        <w:rPr>
          <w:rFonts w:cs="Times New Roman"/>
          <w:spacing w:val="-4"/>
          <w:szCs w:val="24"/>
          <w:lang w:val="en-US"/>
        </w:rPr>
      </w:pPr>
      <w:r w:rsidRPr="00A70461">
        <w:rPr>
          <w:rFonts w:cs="Times New Roman"/>
          <w:spacing w:val="-4"/>
          <w:szCs w:val="24"/>
          <w:lang w:val="en-US"/>
        </w:rPr>
        <w:t xml:space="preserve">Significant Hazard Potential - If the loss of life is unlikely, but there would be a significant economic or environmental harm, this designation applies. It also covers scenarios that have the potential to interrupt services across a large area. </w:t>
      </w:r>
    </w:p>
    <w:p w14:paraId="611095DF" w14:textId="5517E16D" w:rsidR="00051297" w:rsidRPr="00A70461" w:rsidRDefault="00051297" w:rsidP="00DF16EE">
      <w:pPr>
        <w:numPr>
          <w:ilvl w:val="0"/>
          <w:numId w:val="11"/>
        </w:numPr>
        <w:tabs>
          <w:tab w:val="clear" w:pos="720"/>
          <w:tab w:val="num" w:pos="851"/>
        </w:tabs>
        <w:ind w:left="0" w:firstLine="709"/>
        <w:rPr>
          <w:rFonts w:cs="Times New Roman"/>
          <w:spacing w:val="-4"/>
          <w:szCs w:val="24"/>
          <w:lang w:val="en-US"/>
        </w:rPr>
      </w:pPr>
      <w:r w:rsidRPr="00A70461">
        <w:rPr>
          <w:rFonts w:cs="Times New Roman"/>
          <w:spacing w:val="-4"/>
          <w:szCs w:val="24"/>
          <w:lang w:val="en-US"/>
        </w:rPr>
        <w:t xml:space="preserve">Low Hazard Potential — A structure has low hazard potential if its failure or misoperation would solely cause damage to the dam owner's property. </w:t>
      </w:r>
      <w:r w:rsidR="00DF16EE" w:rsidRPr="00A70461">
        <w:rPr>
          <w:rFonts w:cs="Times New Roman"/>
          <w:spacing w:val="-4"/>
          <w:szCs w:val="24"/>
          <w:lang w:val="en-US"/>
        </w:rPr>
        <w:t>T</w:t>
      </w:r>
      <w:r w:rsidRPr="00A70461">
        <w:rPr>
          <w:rFonts w:cs="Times New Roman"/>
          <w:spacing w:val="-4"/>
          <w:szCs w:val="24"/>
          <w:lang w:val="en-US"/>
        </w:rPr>
        <w:t>he danger classification does not indicate the likelihood of failure. Instead, it gives specialists an estimate of the severity of the disaster that will occur if the dam fails.</w:t>
      </w:r>
    </w:p>
    <w:p w14:paraId="5452877E" w14:textId="665585AB" w:rsidR="00051297" w:rsidRPr="00A70461" w:rsidRDefault="00051297" w:rsidP="00F97DFC">
      <w:pPr>
        <w:pStyle w:val="3"/>
        <w:rPr>
          <w:spacing w:val="-4"/>
        </w:rPr>
      </w:pPr>
      <w:bookmarkStart w:id="33" w:name="_Toc97504711"/>
      <w:bookmarkStart w:id="34" w:name="_Toc103543843"/>
      <w:bookmarkStart w:id="35" w:name="_Toc104985167"/>
      <w:r w:rsidRPr="00A70461">
        <w:rPr>
          <w:spacing w:val="-4"/>
        </w:rPr>
        <w:t>General dam failure mechanisms</w:t>
      </w:r>
      <w:bookmarkEnd w:id="33"/>
      <w:bookmarkEnd w:id="34"/>
      <w:bookmarkEnd w:id="35"/>
    </w:p>
    <w:p w14:paraId="7D24D3CC" w14:textId="0EB0BBE2" w:rsidR="00051297" w:rsidRPr="00A70461" w:rsidRDefault="00051297" w:rsidP="00051297">
      <w:pPr>
        <w:rPr>
          <w:rFonts w:cs="Times New Roman"/>
          <w:spacing w:val="-4"/>
          <w:szCs w:val="24"/>
          <w:lang w:val="en-US"/>
        </w:rPr>
      </w:pPr>
      <w:r w:rsidRPr="00A70461">
        <w:rPr>
          <w:rFonts w:cs="Times New Roman"/>
          <w:spacing w:val="-4"/>
          <w:szCs w:val="24"/>
          <w:lang w:val="en-US"/>
        </w:rPr>
        <w:t xml:space="preserve">Dam and levee safety may be jeopardized during extreme weather occurrences. Increased water flow boosts the reservoir level when an area gets a lot of rain in a short period. If all goes according to plan, the surplus water will be diverted via your spillway or gates. The dam is under increased weight and pressure due to the reservoir's rapid rising. The stress may exceed any previous levels, exposing and creating new weak areas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{"citationItems":[{"id":"ITEM-1","itemData":{"DOI":"10.3389/feart.2021.659935","ISSN":"2296-6463","abstract":"Numerous landslide dams have been induced in recent years as a result of frequent earthquakes and extreme climate hazards. Landslide dams present serious threats to lives and properties downstream due to potentially breaching floods from the impounded lakes. To investigate the factors influencing the stability of landslide dams, a large database has been established based on an in-depth investigation of 1,737 landslide dam cases. The effects of triggers, dam materials, and geomorphic characteristics of landslide dams on dam stability are comprehensively analyzed. Various evaluation indexes of landslide dam stability are assessed based on this database, and stability evaluation can be further improved by considering the dam materials. Stability analyses of aftershocks, surges, and artificial engineering measures on landslide dams are summarized. Overtopping and seepage failures are the most common failure modes of landslide dams. The failure processes and mechanisms of landslide dams caused by overtopping and seepage are reviewed from the perspective of model experiments and numerical analyses. Finally, the research gaps are highlighted, and pathways to achieve a more complete understanding of landslide dam stability are suggested. This comprehensive review of the recent advances in stability and failure mechanisms of landslide dams can serve as a key reference for stability prediction and emergency risk mitigation.","author":[{"dropping-particle":"","family":"Zheng","given":"Hongchao","non-dropping-particle":"","parse-names":false,"suffix":""},{"dropping-particle":"","family":"Shi","given":"Zhenming","non-dropping-particle":"","parse-names":false,"suffix":""},{"dropping-particle":"","family":"Shen","given":"Danyi","non-dropping-particle":"","parse-names":false,"suffix":""},{"dropping-particle":"","family":"Peng","given":"Ming","non-dropping-particle":"","parse-names":false,"suffix":""},{"dropping-particle":"","family":"Hanley","given":"Kevin J.","non-dropping-particle":"","parse-names":false,"suffix":""},{"dropping-particle":"","family":"Ma","given":"Chenyi","non-dropping-particle":"","parse-names":false,"suffix":""},{"dropping-particle":"","family":"Zhang","given":"Limin","non-dropping-particle":"","parse-names":false,"suffix":""}],"container-title":"Frontiers in Earth Science","id":"ITEM-1","issued":{"date-parts":[["2021","3"]]},"title":"Recent Advances in Stability and Failure Mechanisms of Landslide Dams","type":"article-journal","volume":"9"},"uris":["http://www.mendeley.com/documents/?uuid=57886e02-8080-4ab3-9edd-fd0b950809de","http://www.mendeley.com/documents/?uuid=0c38c5cd-b3ac-44c2-84ef-b23e89703bd9","http://www.mendeley.com/documents/?uuid=7dc90762-3a73-4b9d-ad2a-e1177c59ef97"]}],"mendeley":{"formattedCitation":"[60]","plainTextFormattedCitation":"[60]","previouslyFormattedCitation":"[60]"},"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lang w:val="en-US"/>
        </w:rPr>
        <w:t>[60]</w:t>
      </w:r>
      <w:r w:rsidRPr="00A70461">
        <w:rPr>
          <w:rFonts w:cs="Times New Roman"/>
          <w:spacing w:val="-4"/>
          <w:szCs w:val="24"/>
        </w:rPr>
        <w:fldChar w:fldCharType="end"/>
      </w:r>
      <w:r w:rsidRPr="00A70461">
        <w:rPr>
          <w:rFonts w:cs="Times New Roman"/>
          <w:spacing w:val="-4"/>
          <w:szCs w:val="24"/>
          <w:lang w:val="en-US"/>
        </w:rPr>
        <w:t xml:space="preserve">. Extreme pressure could lead to structural instability or even catastrophic failure. Dams can also fail as a result of earthquakes, landslides, equipment failure, structural damage, or sabotage. Dam failures can be avoided by having the proper knowledge at the right moment to make decisions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{"citationItems":[{"id":"ITEM-1","itemData":{"DOI":"10.21660/2018.41.57454","ISSN":"21862982","abstract":"It is widely believed that hydraulic fracturing will occur in a fill dam when the stress in the dam is reduced to levels that are lower than the water pressure, a condition which allows for crack propagation in the dam body. The risk of hydraulic fracturing may increase when arching action occurs in the dam body. The aim of this study is to explain the cause of a dam failure using the finite element method. A case study, KE 2/20 REC dam, investigates a dam in Vietnam that failed a little under one year after it was put into operation at positions adjacent to the culvert. A build-up model is taken to simulate the stress-strain state in the dam body. Research reveals that the normal stress around the culvert was reduced to levels much lower than the water pressure. This reduction was due to the arching action associated with the effects of the culvert shape and the foundation. The findings suggest that the cause of the dam failure was related to the hydraulic fracturing phenomenon. Based on this conclusion, two countermeasures are proposed. These countermeasures are combinations created by changing the culvert shape and either shifting the position of the excavation slope 5.0 meters away from the former position or replacing the fill soil between the culvert and the excavation slope with a concrete block. The countermeasures are then verified by numerical models. The results show the effectiveness of the countermeasures for reducing the risk of hydraulic fracturing.","author":[{"dropping-particle":"","family":"Tran","given":"Duy Quan","non-dropping-particle":"","parse-names":false,"suffix":""}],"container-title":"International Journal of GEOMATE","id":"ITEM-1","issue":"41","issued":{"date-parts":[["2018","1"]]},"title":"RESEARCH ON CAUSE OF DAM FAILURE FROM VIEWPOINT OF HYDRAULIC FRACTURING – CASE STUDY OF A DAM FAILURE IN VIETNAM","type":"article-journal","volume":"14"},"uris":["http://www.mendeley.com/documents/?uuid=52e67748-5b15-4dde-9d6a-09062f75fb9b","http://www.mendeley.com/documents/?uuid=02df0b30-45d9-4771-9653-f99e58ed1edf","http://www.mendeley.com/documents/?uuid=d61971b7-bfec-4bfd-9c88-ccff44bc798e"]}],"mendeley":{"formattedCitation":"[61]","plainTextFormattedCitation":"[61]","previouslyFormattedCitation":"[61]"},"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lang w:val="en-US"/>
        </w:rPr>
        <w:t>[61]</w:t>
      </w:r>
      <w:r w:rsidRPr="00A70461">
        <w:rPr>
          <w:rFonts w:cs="Times New Roman"/>
          <w:spacing w:val="-4"/>
          <w:szCs w:val="24"/>
        </w:rPr>
        <w:fldChar w:fldCharType="end"/>
      </w:r>
      <w:r w:rsidRPr="00A70461">
        <w:rPr>
          <w:rFonts w:cs="Times New Roman"/>
          <w:spacing w:val="-4"/>
          <w:szCs w:val="24"/>
          <w:lang w:val="en-US"/>
        </w:rPr>
        <w:t xml:space="preserve">. </w:t>
      </w:r>
    </w:p>
    <w:p w14:paraId="08DE2FF3" w14:textId="77777777" w:rsidR="00051297" w:rsidRPr="00A70461" w:rsidRDefault="00051297" w:rsidP="00051297">
      <w:pPr>
        <w:rPr>
          <w:rFonts w:cs="Times New Roman"/>
          <w:spacing w:val="-4"/>
          <w:szCs w:val="24"/>
          <w:lang w:val="en-US"/>
        </w:rPr>
      </w:pPr>
      <w:r w:rsidRPr="00A70461">
        <w:rPr>
          <w:rFonts w:cs="Times New Roman"/>
          <w:spacing w:val="-4"/>
          <w:szCs w:val="24"/>
          <w:lang w:val="en-US"/>
        </w:rPr>
        <w:t xml:space="preserve">When it comes to dam building, safety, maintenance, and operation, professionals must keep a few things in mind: </w:t>
      </w:r>
    </w:p>
    <w:p w14:paraId="4EE2340D" w14:textId="7BD7FAC8" w:rsidR="00051297" w:rsidRPr="00A70461" w:rsidRDefault="00051297" w:rsidP="00051297">
      <w:pPr>
        <w:numPr>
          <w:ilvl w:val="0"/>
          <w:numId w:val="12"/>
        </w:numPr>
        <w:tabs>
          <w:tab w:val="clear" w:pos="720"/>
          <w:tab w:val="num" w:pos="993"/>
        </w:tabs>
        <w:ind w:left="0" w:firstLine="709"/>
        <w:rPr>
          <w:rFonts w:cs="Times New Roman"/>
          <w:spacing w:val="-4"/>
          <w:szCs w:val="24"/>
        </w:rPr>
      </w:pPr>
      <w:r w:rsidRPr="00A70461">
        <w:rPr>
          <w:rFonts w:cs="Times New Roman"/>
          <w:spacing w:val="-4"/>
          <w:szCs w:val="24"/>
          <w:lang w:val="en-US"/>
        </w:rPr>
        <w:t xml:space="preserve">Overtopping. Overtopping occurs when the water level rises above the dam’s and spillway’s capacity, whereby the water rushes over the top of the dam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{"citationItems":[{"id":"ITEM-1","itemData":{"DOI":"10.1007/s00477-018-1550-0","ISSN":"1436-3240","abstract":"Hydrological risk analysis is essential and provides useful information for dam safety management and decision-making. This study presents the application of bivariate flood frequency analysis to risk analysis of dam overtopping for Geheyan Reservoir in China. The dependence between the flood peak and volume is modelled with the copula function. A Monte Carlo procedure is conducted to generate 100,000 random flood peak-volume pairs, which are subsequently transformed to corresponding design flood hydrographs (DFHs) by amplifying the selected annual maximum flood hydrographs (AMFHs). These synthetic DFHs are routed through the reservoir to obtain the frequency curve of maximum water level and assess the risk of dam overtopping. Sensitive analysis is performed to investigate the influence of different AMFH shapes and correlation coefficients of flood peak and volume on estimated overtopping risks. The results show that synthetic DFH with AMFH shape characterized by a delayed time to peak results in higher risk, and therefore highlight the importance of including a range of possible AMFH shapes in the dam risk analysis. It is also demonstrated that the overtopping risk is increased as the correlation coefficient of flood peak and volume increases and underestimated in the independence case (i.e. traditional univariate approach), while overestimated in the full dependence case. The bivariate statistical approach based on copulas can effectively capture the actual dependence between flood peak and volume, which should be preferred in the dam risk analysis practice.","author":[{"dropping-particle":"","family":"Liu","given":"Zhangjun","non-dropping-particle":"","parse-names":false,"suffix":""},{"dropping-particle":"","family":"Xu","given":"Xinfa","non-dropping-particle":"","parse-names":false,"suffix":""},{"dropping-particle":"","family":"Cheng","given":"Jingqing","non-dropping-particle":"","parse-names":false,"suffix":""},{"dropping-particle":"","family":"Wen","given":"Tianfu","non-dropping-particle":"","parse-names":false,"suffix":""},{"dropping-particle":"","family":"Niu","given":"Jiao","non-dropping-particle":"","parse-names":false,"suffix":""}],"container-title":"Stochastic Environmental Research and Risk Assessment","id":"ITEM-1","issue":"9","issued":{"date-parts":[["2018","9"]]},"page":"2515-2525","title":"Hydrological risk analysis of dam overtopping using bivariate statistical approach: a case study from Geheyan Reservoir, China","type":"article-journal","volume":"32"},"uris":["http://www.mendeley.com/documents/?uuid=7363a2b0-521a-4cd0-bd78-d22708af42b3","http://www.mendeley.com/documents/?uuid=f6343481-8be7-43cb-b19a-b559e3981f5d","http://www.mendeley.com/documents/?uuid=27e5a0d6-4735-4fad-9d26-d677de76c5de"]},{"id":"ITEM-2","itemData":{"DOI":"10.3390/jmse7070221","ISSN":"2077-1312","abstract":"Landslide-generated impulse waves in dammed reservoirs run up the reservoir banks as well as the upstream dam slope. If large enough, the waves may overtop and even breach the dam and cause flooding of the downstream area with hazardous consequences. Hence, for reservoirs in landslide-prone areas, it is important to provide a means to estimate the potential size of an event triggered by landslides along the reservoir banks. This research deals with landslide-generated waves and the overtopping process over the dam crest in a three-dimensional (3D) physical model test, presenting a case study. The model set-up describes the landslide impacting the reservoir in a perpendicular manner, which is often the case in natural settings. Based on the experimental results, dimensionless empirical relations are derived between the overtopping volume and the governing parameters, namely the slide volume, slide release height, slide impact velocity, still-water depth, and upstream dam face slope. Predictive relations for the overtopping volume are presented as applicable for cases relating to the specific model set-up. Measured overtopping volumes are further compared to a two-dimensional (2D) case reported in the literature. An important feature regarding the overtopping process for the 3D case is the variation in time and space, resulting in an uneven distribution of the volume of water overtopping the dam crest. This observation is made possible by the 3D model set-up, and is of value for dam safety considerations as well as for foundation-related issues, including erosion and scouring.","author":[{"dropping-particle":"","family":"Tessema","given":"Netsanet Nigatu","non-dropping-particle":"","parse-names":false,"suffix":""},{"dropping-particle":"","family":"Sigtryggsdóttir","given":"Fjóla G.","non-dropping-particle":"","parse-names":false,"suffix":""},{"dropping-particle":"","family":"Lia","given":"Leif","non-dropping-particle":"","parse-names":false,"suffix":""},{"dropping-particle":"","family":"Kemal Jabir","given":"Asie","non-dropping-particle":"","parse-names":false,"suffix":""}],"container-title":"Journal of Marine Science and Engineering","id":"ITEM-2","issue":"7","issued":{"date-parts":[["2019","7"]]},"page":"221","title":"Case Study of Dam Overtopping from Waves Generated by Landslides Impinging Perpendicular to a Reservoir’s Longitudinal Axis","type":"article-journal","volume":"7"},"uris":["http://www.mendeley.com/documents/?uuid=4dae89ec-eb92-49d0-913e-aaea0675f9c1","http://www.mendeley.com/documents/?uuid=a1f9554b-ba2a-40cb-9642-376b0114ae6a","http://www.mendeley.com/documents/?uuid=dde791e8-50a8-40ec-80f5-dfb1728a7337"]},{"id":"ITEM-3","itemData":{"DOI":"10.1007/s11269-019-2195-6","ISSN":"0920-4741","abstract":"Dam failure constituted a considerable threat to human life and created corresponding losses. Hence, this paper proposed a quantitative vulnerability evaluation model to estimate the consequences of dam overtopping, including loss assessment and vulnerability degree calculations. A composite normalized function was applied to convert dam overtopping loss to a vulnerability degree ranging from 0 to 1. In addition, many complex factors were simplified in the loss estimation, and the thresholds of various types of losses were proposed and adapted to the national and regional conditions. Then, loss of life, economic loss, social loss and environmental loss were incorporated into the vulnerability degree model based on a comprehensive evaluation method and were further assigned weights. Finally, vulnerability degree grading criteria was divided based on three significant cut-off values, and the corresponding guidelines for vulnerability evaluation were explained in detail. The methodology was applied to Chengbihe Reservoir in China to illustrate the assessment process of flood overtopping loss and to evaluate the vulnerability degree of the area. The results indicated that (1) dam overtopping vulnerability degree of the Chengbihe Reservoir was 0.89, which was within the range of “extremely high vulnerability” and (2) countermeasures were necessary; for example, early flood warning and forecast systems must be developed for the reservoir so that people and property in flooded areas can be safely evacuated during the process of emergencies.","author":[{"dropping-particle":"","family":"Mo","given":"Chong-Xun","non-dropping-particle":"","parse-names":false,"suffix":""},{"dropping-particle":"","family":"Mo","given":"Gui-Yan","non-dropping-particle":"","parse-names":false,"suffix":""},{"dropping-particle":"","family":"Peng","given":"Liu","non-dropping-particle":"","parse-names":false,"suffix":""},{"dropping-particle":"","family":"Yang","given":"Qing","non-dropping-particle":"","parse-names":false,"suffix":""},{"dropping-particle":"","family":"Zhu","given":"Xin-Rong","non-dropping-particle":"","parse-names":false,"suffix":""},{"dropping-particle":"","family":"Jiang","given":"Qing-Ling","non-dropping-particle":"","parse-names":false,"suffix":""},{"dropping-particle":"","family":"Jin","given":"Ju-Liang","non-dropping-particle":"","parse-names":false,"suffix":""}],"container-title":"Water Resources Management","id":"ITEM-3","issue":"5","issued":{"date-parts":[["2019","3"]]},"page":"1801-1815","title":"Quantitative Vulnerability Model of Earth Dam Overtopping and its Application","type":"article-journal","volume":"33"},"uris":["http://www.mendeley.com/documents/?uuid=6eb51c67-a95a-4287-b3ec-cf1edb15ccd3","http://www.mendeley.com/documents/?uuid=d496c152-a9bf-4b66-b46a-7c834c042950","http://www.mendeley.com/documents/?uuid=a5aa9eca-4c38-4510-bc0f-f94ac611c495"]},{"id":"ITEM-4","itemData":{"DOI":"10.3389/feart.2021.675900","ISSN":"2296-6463","abstract":"Many of the existing reservoir dams are constructed in alpine and gorge regions, where the topography and geological conditions are complicated, bank slopes are steep, and landslides have a high potential to occur. Surges triggered by landslides in the reservoir are one of the major causes of dam overtopping failures. Many factors affect the slope stability of reservoir banks and the height of surges triggered by landslides, such as spatial variability of material properties, speed of landslides, etc. To reasonably evaluate dam overtopping risk caused by landslide-induced surges is a key technology in engineering that is urgent to be solved. Therefore, a novel risk analysis method for overtopping failures caused by waves triggered by landslides induced by bank instability considering the spatial variability of material parameters is proposed in this study. Based on the random field theory, the simulation method for the spatial variability of material parameters is proposed, and the most dangerous slip surface of the reservoir bank slope is determined with the minimum value of the safety factors. The proxy risk analysis models for both the slope instability and dam overtopping are constructed with the consideration of spatial variability of material parameters, and then the dam overtopping failure risk caused by landslide-induced surges is calculated using the Monte-Carlo sampling. The proposed models are applied to a practical engineering project. Results show that the spatial variability of material properties significantly affects the instability risk of slopes, without considering which the risks of slope instability and dam overtopping may be overestimated. This study gives a more reasonable and realistic risk assessment of dam overtopping failures, which can provide technical support for the safety evaluation and risk control of reservoir dams.","author":[{"dropping-particle":"","family":"Dong","given":"Kai","non-dropping-particle":"","parse-names":false,"suffix":""},{"dropping-particle":"","family":"Li","given":"Zefa","non-dropping-particle":"","parse-names":false,"suffix":""},{"dropping-particle":"","family":"Lu","given":"Xiang","non-dropping-particle":"","parse-names":false,"suffix":""},{"dropping-particle":"","family":"Chen","given":"Chen","non-dropping-particle":"","parse-names":false,"suffix":""},{"dropping-particle":"","family":"Sheng","given":"Jinbao","non-dropping-particle":"","parse-names":false,"suffix":""},{"dropping-particle":"","family":"Chen","given":"Jiankang","non-dropping-particle":"","parse-names":false,"suffix":""},{"dropping-particle":"","family":"Wu","given":"Zhenyu","non-dropping-particle":"","parse-names":false,"suffix":""}],"container-title":"Frontiers in Earth Science","id":"ITEM-4","issued":{"date-parts":[["2021","7"]]},"title":"Analysis of Dam Overtopping Failure Risks Caused by Landslide-Induced Surges Considering Spatial Variability of Material Parameters","type":"article-journal","volume":"9"},"uris":["http://www.mendeley.com/documents/?uuid=e7b91284-a25f-4558-9192-e3940649e217","http://www.mendeley.com/documents/?uuid=42d00d1e-bf04-4d6c-9ecd-99aeb699e9db","http://www.mendeley.com/documents/?uuid=996fed0a-8e13-47b0-9861-ba3852575eff"]}],"mendeley":{"formattedCitation":"[62–65]","plainTextFormattedCitation":"[62–65]","previouslyFormattedCitation":"[62–65]"},"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lang w:val="en-US"/>
        </w:rPr>
        <w:t>[62–65]</w:t>
      </w:r>
      <w:r w:rsidRPr="00A70461">
        <w:rPr>
          <w:rFonts w:cs="Times New Roman"/>
          <w:spacing w:val="-4"/>
          <w:szCs w:val="24"/>
        </w:rPr>
        <w:fldChar w:fldCharType="end"/>
      </w:r>
      <w:r w:rsidRPr="00A70461">
        <w:rPr>
          <w:rFonts w:cs="Times New Roman"/>
          <w:spacing w:val="-4"/>
          <w:szCs w:val="24"/>
          <w:lang w:val="en-US"/>
        </w:rPr>
        <w:t xml:space="preserve">. Water levels cover the top of the dam and then spill down the other side when it overflows. The water speeds rapidly, exerting an erosive force against the dam’s edge. This rapid flow outside of its confines has the potential to cause structural damage and failure. The dam’s entire structure could be destroyed by the force of the water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{"citationItems":[{"id":"ITEM-1","itemData":{"DOI":"10.1007/s00477-010-0435-7","ISSN":"1436-3240","abstract":"This study develops a probability-based methodology to evaluate dam overtopping probability that accounts for the uncertainties arising from wind speed and peak flood. A wind speed frequency model and flood frequency analysis, including various distribution types and uncertainties in their parameters, are presented. Furthermore, dam overtopping probabilities based on monthly maximum (MMax) series models are compared with those of the annual maximum (AMax) series models. An efficient sampling scheme, which is a combination of importance sampling (IS) and Latin Hypercube sampling (LHS) methods, is proposed to generate samples of peak flow rate and wind speed especially for rare events. Reservoir routing, which incorporates operation rules, wind setup, and run-up, is used to evaluate dam overtopping probability. © 2010 Springer-Verlag.","author":[{"dropping-particle":"","family":"Hsu","given":"Yung-Chia","non-dropping-particle":"","parse-names":false,"suffix":""},{"dropping-particle":"","family":"Tung","given":"Yeou-Koung","non-dropping-particle":"","parse-names":false,"suffix":""},{"dropping-particle":"","family":"Kuo","given":"Jan-Tai","non-dropping-particle":"","parse-names":false,"suffix":""}],"container-title":"Stochastic Environmental Research and Risk Assessment","id":"ITEM-1","issue":"1","issued":{"date-parts":[["2011","1"]]},"page":"35-49","title":"Evaluation of dam overtopping probability induced by flood and wind","type":"article-journal","volume":"25"},"uris":["http://www.mendeley.com/documents/?uuid=9d3468b6-cc0f-4ddb-b03a-84187543b4f0","http://www.mendeley.com/documents/?uuid=14359178-209d-4684-b91a-9c4a97412c30","http://www.mendeley.com/documents/?uuid=d5874a99-1bae-47c2-8424-df82c5173fc1"]}],"mendeley":{"formattedCitation":"[66]","plainTextFormattedCitation":"[66]","previouslyFormattedCitation":"[66]"},"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rPr>
        <w:t>[66]</w:t>
      </w:r>
      <w:r w:rsidRPr="00A70461">
        <w:rPr>
          <w:rFonts w:cs="Times New Roman"/>
          <w:spacing w:val="-4"/>
          <w:szCs w:val="24"/>
        </w:rPr>
        <w:fldChar w:fldCharType="end"/>
      </w:r>
      <w:r w:rsidRPr="00A70461">
        <w:rPr>
          <w:rFonts w:cs="Times New Roman"/>
          <w:spacing w:val="-4"/>
          <w:szCs w:val="24"/>
        </w:rPr>
        <w:t xml:space="preserve">. </w:t>
      </w:r>
    </w:p>
    <w:p w14:paraId="56F3A818" w14:textId="4864069C" w:rsidR="00051297" w:rsidRPr="00A70461" w:rsidRDefault="00051297" w:rsidP="00051297">
      <w:pPr>
        <w:numPr>
          <w:ilvl w:val="0"/>
          <w:numId w:val="12"/>
        </w:numPr>
        <w:tabs>
          <w:tab w:val="clear" w:pos="720"/>
          <w:tab w:val="num" w:pos="993"/>
        </w:tabs>
        <w:ind w:left="0" w:firstLine="709"/>
        <w:rPr>
          <w:rFonts w:cs="Times New Roman"/>
          <w:spacing w:val="-4"/>
          <w:szCs w:val="24"/>
        </w:rPr>
      </w:pPr>
      <w:r w:rsidRPr="00A70461">
        <w:rPr>
          <w:rFonts w:cs="Times New Roman"/>
          <w:spacing w:val="-4"/>
          <w:szCs w:val="24"/>
          <w:lang w:val="en-US"/>
        </w:rPr>
        <w:lastRenderedPageBreak/>
        <w:t xml:space="preserve">Seepage. Dams rarely stop all of the water flowing through them. Water may pass through the earth where it reaches the dam building in small amounts. The phreatic surface is the point at which the soil of an earth dam or levee is no longer wet. The water table usually coincides with this wet-dry line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{"citationItems":[{"id":"ITEM-1","itemData":{"DOI":"10.3390/su12062490","ISSN":"2071-1050","abstract":"Earth-fill dams are the most common types of dam and the most economical choice. However, they are more vulnerable to internal erosion and piping due to seepage problems that are the main causes of dam failure. In this study, the seepage through earth-fill dams was investigated using physical, mathematical, and numerical models. Results from the three methods revealed that both mathematical calculations using L. Casagrande solutions and the SEEP/W numerical model have a plotted seepage line compatible with the observed seepage line in the physical model. However, when the seepage flow intersected the downstream slope and when piping took place, the use of SEEP/W to calculate the flow rate became useless as it was unable to calculate the volume of water flow in pipes. This was revealed by the big difference in results between physical and numerical models in the first physical model, while the results were compatible in the second physical model when the seepage line stayed within the body of the dam and low compacted soil was adopted. Seepage analysis for seven different configurations of an earth-fill dam was conducted using the SEEP/W model at normal and maximum water levels to find the most appropriate configuration among them. The seven dam configurations consisted of four homogenous dams and three zoned dams. Seepage analysis revealed that if sufficient quantity of silty sand soil is available around the proposed dam location, a homogenous earth-fill dam with a medium drain length of 0.5 m thickness is the best design configuration. Otherwise, a zoned earth-fill dam with a central core and 1:0.5 Horizontal to Vertical ratio (H:V) is preferred.","author":[{"dropping-particle":"","family":"Al-Janabi","given":"Ahmed Mohammed Sami","non-dropping-particle":"","parse-names":false,"suffix":""},{"dropping-particle":"","family":"Ghazali","given":"Abdul Halim","non-dropping-particle":"","parse-names":false,"suffix":""},{"dropping-particle":"","family":"Ghazaw","given":"Yousry Mahmoud","non-dropping-particle":"","parse-names":false,"suffix":""},{"dropping-particle":"","family":"Afan","given":"Haitham Abdulmohsin","non-dropping-particle":"","parse-names":false,"suffix":""},{"dropping-particle":"","family":"Al-Ansari","given":"Nadhir","non-dropping-particle":"","parse-names":false,"suffix":""},{"dropping-particle":"","family":"Yaseen","given":"Zaher Mundher","non-dropping-particle":"","parse-names":false,"suffix":""}],"container-title":"Sustainability","id":"ITEM-1","issue":"6","issued":{"date-parts":[["2020","3"]]},"page":"2490","title":"Experimental and Numerical Analysis for Earth-Fill Dam Seepage","type":"article-journal","volume":"12"},"uris":["http://www.mendeley.com/documents/?uuid=4d5be5b8-db50-4cde-a208-67a6da973e0e","http://www.mendeley.com/documents/?uuid=088c8c66-0309-4d21-a926-1f1fd7de726e","http://www.mendeley.com/documents/?uuid=949d2c6c-7f1c-4137-8198-ecd7aa9a204c"]}],"mendeley":{"formattedCitation":"[67]","plainTextFormattedCitation":"[67]","previouslyFormattedCitation":"[67]"},"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rPr>
        <w:t>[67]</w:t>
      </w:r>
      <w:r w:rsidRPr="00A70461">
        <w:rPr>
          <w:rFonts w:cs="Times New Roman"/>
          <w:spacing w:val="-4"/>
          <w:szCs w:val="24"/>
        </w:rPr>
        <w:fldChar w:fldCharType="end"/>
      </w:r>
      <w:r w:rsidRPr="00A70461">
        <w:rPr>
          <w:rFonts w:cs="Times New Roman"/>
          <w:spacing w:val="-4"/>
          <w:szCs w:val="24"/>
        </w:rPr>
        <w:t xml:space="preserve">. </w:t>
      </w:r>
    </w:p>
    <w:p w14:paraId="5C848499" w14:textId="328754E6" w:rsidR="00051297" w:rsidRPr="00A70461" w:rsidRDefault="00051297" w:rsidP="00051297">
      <w:pPr>
        <w:numPr>
          <w:ilvl w:val="0"/>
          <w:numId w:val="12"/>
        </w:numPr>
        <w:tabs>
          <w:tab w:val="clear" w:pos="720"/>
          <w:tab w:val="num" w:pos="993"/>
        </w:tabs>
        <w:ind w:left="0" w:firstLine="709"/>
        <w:rPr>
          <w:rFonts w:cs="Times New Roman"/>
          <w:spacing w:val="-4"/>
          <w:szCs w:val="24"/>
        </w:rPr>
      </w:pPr>
      <w:r w:rsidRPr="00A70461">
        <w:rPr>
          <w:rFonts w:cs="Times New Roman"/>
          <w:spacing w:val="-4"/>
          <w:szCs w:val="24"/>
          <w:lang w:val="en-US"/>
        </w:rPr>
        <w:t xml:space="preserve">Failure of the Piping. Pressure from the added water weight may reduce the phreatic surface as reservoir levels rise due to flash floods. The increased pressure may be enough to erode a channel from a reservoir to the downslope through the dam. This freshly carved path functions as a pipe. The greater surface area that the water passes over will be prone to saturation and erosion as it flows through this earthen pipe. </w:t>
      </w:r>
      <w:r w:rsidRPr="00A70461">
        <w:rPr>
          <w:rFonts w:cs="Times New Roman"/>
          <w:spacing w:val="-4"/>
          <w:szCs w:val="24"/>
        </w:rPr>
        <w:t xml:space="preserve">The crack may widen, resulting in structural instability </w:t>
      </w:r>
      <w:r w:rsidRPr="00A70461">
        <w:rPr>
          <w:rFonts w:cs="Times New Roman"/>
          <w:spacing w:val="-4"/>
          <w:szCs w:val="24"/>
        </w:rPr>
        <w:fldChar w:fldCharType="begin" w:fldLock="1"/>
      </w:r>
      <w:r w:rsidR="00FA5896" w:rsidRPr="00A70461">
        <w:rPr>
          <w:rFonts w:cs="Times New Roman"/>
          <w:spacing w:val="-4"/>
          <w:szCs w:val="24"/>
        </w:rPr>
        <w:instrText>ADDIN CSL_CITATION {"citationItems":[{"id":"ITEM-1","itemData":{"DOI":"10.1016/j.wse.2019.08.001","ISSN":"16742370","abstract":"Based on model tests of earthen dam breach due to piping failure, a numerical model was developed. A key difference from previous research is the assumption that the cross-section of the pipe channel is an arch, with a rectangle at the bottom and a semicircle at the top before the collapse of the pipe roof, rather than a rectangular or circular cross-section. A shear stress-based erosion rate formula was utilized, and the arched pipe tunnel was assumed to enlarge along its length and width until the overlying soil could no longer maintain stability. Orifice flow and open channel flow were adopted to calculate the breach flow discharge for pressure and free surface flows, respectively. The collapse of the pipe roof was determined by comparing the weight of the overlying soil and the cohesion of the soil on the two sidewalls of the pipe. After the collapse, overtopping failure dominated, and the limit equilibrium method was adopted to estimate the stability of the breach slope when the water flow overtopped. In addition, incomplete and base erosion, as well as one- and two-sided breaches were taken into account. The USDA-ARS-HERU model test P1, with detailed measured data, was used as a case study, and two artificially filled earthen dam failure cases were studied to verify the model. Feedback analysis demonstrates that the proposed model can provide satisfactory results for modeling the breach flow discharge and breach development process. Sensitivity analysis shows that the soil erodibility and initial piping position significantly affect the prediction of the breach flow discharge. Furthermore, a comparison with a well-known numerical model shows that the proposed model performs better than the NWS BREACH model.","author":[{"dropping-particle":"","family":"Chen","given":"Sheng-shui","non-dropping-particle":"","parse-names":false,"suffix":""},{"dropping-particle":"","family":"Zhong","given":"Qi-ming","non-dropping-particle":"","parse-names":false,"suffix":""},{"dropping-particle":"","family":"Shen","given":"Guang-ze","non-dropping-particle":"","parse-names":false,"suffix":""}],"container-title":"Water Science and Engineering","id":"ITEM-1","issue":"3","issued":{"date-parts":[["2019","9"]]},"page":"169-178","title":"Numerical modeling of earthen dam breach due to piping failure","type":"article-journal","volume":"12"},"uris":["http://www.mendeley.com/documents/?uuid=91d59985-81dd-47de-8e54-2c7998680ee4","http://www.mendeley.com/documents/?uuid=0e5c9c85-f976-4749-9961-f74d0336a0e2"]}],"mendeley":{"formattedCitation":"[68]","plainTextFormattedCitation":"[68]","previouslyFormattedCitation":"[68]"},"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rPr>
        <w:t>[68]</w:t>
      </w:r>
      <w:r w:rsidRPr="00A70461">
        <w:rPr>
          <w:rFonts w:cs="Times New Roman"/>
          <w:spacing w:val="-4"/>
          <w:szCs w:val="24"/>
        </w:rPr>
        <w:fldChar w:fldCharType="end"/>
      </w:r>
      <w:r w:rsidRPr="00A70461">
        <w:rPr>
          <w:rFonts w:cs="Times New Roman"/>
          <w:spacing w:val="-4"/>
          <w:szCs w:val="24"/>
        </w:rPr>
        <w:t xml:space="preserve">. </w:t>
      </w:r>
    </w:p>
    <w:p w14:paraId="62DFC04A" w14:textId="6D6E3E32" w:rsidR="00051297" w:rsidRPr="00A70461" w:rsidRDefault="00051297" w:rsidP="00051297">
      <w:pPr>
        <w:numPr>
          <w:ilvl w:val="0"/>
          <w:numId w:val="12"/>
        </w:numPr>
        <w:tabs>
          <w:tab w:val="clear" w:pos="720"/>
          <w:tab w:val="num" w:pos="993"/>
        </w:tabs>
        <w:ind w:left="0" w:firstLine="709"/>
        <w:rPr>
          <w:rFonts w:cs="Times New Roman"/>
          <w:spacing w:val="-4"/>
          <w:szCs w:val="24"/>
          <w:lang w:val="en-US"/>
        </w:rPr>
      </w:pPr>
      <w:r w:rsidRPr="00A70461">
        <w:rPr>
          <w:rFonts w:cs="Times New Roman"/>
          <w:spacing w:val="-4"/>
          <w:szCs w:val="24"/>
          <w:lang w:val="en-US"/>
        </w:rPr>
        <w:t xml:space="preserve">Failure of the Slope. During a flood, the phreatic surface rises as the earth gets increasingly saturated. If the phreatic surface collides with the dam's downstream slope, the dam may fail partially or completely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{"citationItems":[{"id":"ITEM-1","itemData":{"DOI":"10.1080/19475705.2020.1746697","ISSN":"1947-5705","abstract":"Slope failure is one of the failure modes of natural dams. Turbid seepage flow is often observed on the downstream slope of a natural dam in the field and indicates the migration of fine particles in the dam. However, the coupling of internal erosion and seepage in natural dams during the impounding process is still unclear. This paper studies fine particles migration in a dam and the slope failure mode in the laboratory. Then, a coupling model was proposed with the fines migration equation, unsaturated seepage flow equation, and local stability analysis equation. In addition to the variation in the permeability coefficient due to fine particles migration, the strength parameters and density of the soil are also changed, which is considered in the model. Based on the conditions of the laboratory tests, simulations were conducted with the coupling model, and some parameters, such as pore pressure, porosity, principle stress, and factor of safety, were analyzed. Meanwhile, the influence of internal erosion and seepage on the stability of dams under different conditions is studied. Furthermore, the influence of some model parameters on the internal structure of the dam and its stability are discussed.","author":[{"dropping-particle":"","family":"Jiang","given":"Xiangang","non-dropping-particle":"","parse-names":false,"suffix":""},{"dropping-particle":"","family":"Zhanyuan","given":"Zhu","non-dropping-particle":"","parse-names":false,"suffix":""},{"dropping-particle":"","family":"Chen","given":"Huayong","non-dropping-particle":"","parse-names":false,"suffix":""},{"dropping-particle":"","family":"Deng","given":"Mingfeng","non-dropping-particle":"","parse-names":false,"suffix":""},{"dropping-particle":"","family":"Niu","given":"Zhipan","non-dropping-particle":"","parse-names":false,"suffix":""},{"dropping-particle":"","family":"Deng","given":"Hongyan","non-dropping-particle":"","parse-names":false,"suffix":""},{"dropping-particle":"","family":"Zuyin","given":"Zou","non-dropping-particle":"","parse-names":false,"suffix":""}],"container-title":"Geomatics, Natural Hazards and Risk","id":"ITEM-1","issue":"1","issued":{"date-parts":[["2020","1"]]},"page":"698-723","title":"Natural dam failure in slope failure mode triggered by seepage","type":"article-journal","volume":"11"},"uris":["http://www.mendeley.com/documents/?uuid=79da063a-f21b-49c6-ac93-493b5c10a11c"]}],"mendeley":{"formattedCitation":"[69]","plainTextFormattedCitation":"[69]","previouslyFormattedCitation":"[69]"},"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lang w:val="en-US"/>
        </w:rPr>
        <w:t>[69]</w:t>
      </w:r>
      <w:r w:rsidRPr="00A70461">
        <w:rPr>
          <w:rFonts w:cs="Times New Roman"/>
          <w:spacing w:val="-4"/>
          <w:szCs w:val="24"/>
        </w:rPr>
        <w:fldChar w:fldCharType="end"/>
      </w:r>
      <w:r w:rsidRPr="00A70461">
        <w:rPr>
          <w:rFonts w:cs="Times New Roman"/>
          <w:spacing w:val="-4"/>
          <w:szCs w:val="24"/>
          <w:lang w:val="en-US"/>
        </w:rPr>
        <w:t xml:space="preserve">. </w:t>
      </w:r>
    </w:p>
    <w:p w14:paraId="3CE0C780" w14:textId="03A837F1" w:rsidR="00051297" w:rsidRPr="00A70461" w:rsidRDefault="00051297" w:rsidP="00F97DFC">
      <w:pPr>
        <w:pStyle w:val="2"/>
        <w:rPr>
          <w:spacing w:val="-4"/>
        </w:rPr>
      </w:pPr>
      <w:bookmarkStart w:id="36" w:name="_Toc97504712"/>
      <w:bookmarkStart w:id="37" w:name="_Toc103543844"/>
      <w:bookmarkStart w:id="38" w:name="_Toc104985168"/>
      <w:r w:rsidRPr="00A70461">
        <w:rPr>
          <w:spacing w:val="-4"/>
          <w:lang w:val="en-US"/>
        </w:rPr>
        <w:t>Stormwater</w:t>
      </w:r>
      <w:r w:rsidRPr="00A70461">
        <w:rPr>
          <w:spacing w:val="-4"/>
        </w:rPr>
        <w:t xml:space="preserve"> </w:t>
      </w:r>
      <w:r w:rsidRPr="00A70461">
        <w:rPr>
          <w:spacing w:val="-4"/>
          <w:lang w:val="en-US"/>
        </w:rPr>
        <w:t>estimation methods</w:t>
      </w:r>
      <w:bookmarkEnd w:id="36"/>
      <w:bookmarkEnd w:id="37"/>
      <w:bookmarkEnd w:id="38"/>
    </w:p>
    <w:p w14:paraId="16525391" w14:textId="1D7A2753" w:rsidR="00051297" w:rsidRPr="00A70461" w:rsidRDefault="00051297" w:rsidP="00051297">
      <w:pPr>
        <w:rPr>
          <w:rFonts w:cs="Times New Roman"/>
          <w:spacing w:val="-4"/>
          <w:szCs w:val="24"/>
          <w:lang w:val="en-US"/>
        </w:rPr>
      </w:pPr>
      <w:bookmarkStart w:id="39" w:name="_bookmark3"/>
      <w:bookmarkEnd w:id="39"/>
      <w:r w:rsidRPr="00A70461">
        <w:rPr>
          <w:rFonts w:cs="Times New Roman"/>
          <w:spacing w:val="-4"/>
          <w:szCs w:val="24"/>
          <w:lang w:val="en-US"/>
        </w:rPr>
        <w:t xml:space="preserve">In order to evaluate drainage design, it is necessary to </w:t>
      </w:r>
      <w:r w:rsidR="001B7048" w:rsidRPr="00A70461">
        <w:rPr>
          <w:rFonts w:cs="Times New Roman"/>
          <w:spacing w:val="-4"/>
          <w:szCs w:val="24"/>
          <w:lang w:val="en-US"/>
        </w:rPr>
        <w:t>investigate</w:t>
      </w:r>
      <w:r w:rsidRPr="00A70461">
        <w:rPr>
          <w:rFonts w:cs="Times New Roman"/>
          <w:spacing w:val="-4"/>
          <w:szCs w:val="24"/>
          <w:lang w:val="en-US"/>
        </w:rPr>
        <w:t xml:space="preserve"> the peak flow rate and volume of stormwater runoff created in a watershed for a certain storm event. Storm drainage and flood control systems are sized, configured, and operated in large part by the size of the rainfall event, the type of flow condition, and the flow rate of the runoff. As engineering design choices, a variety of approaches for calculating runoff have been created and explored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{"citationItems":[{"id":"ITEM-1","itemData":{"DOI":"10.1061/JSWBAY.0000806","ISSN":"2379-6111","abstract":"Accurately predicting runoff volume from impervious surfaces for water quality design events is an important step to meet water quality and infiltration design targets for green infrastructure stormwater control measures. The objectives of this research were to quantify abstraction from a recently paved impervious hot-mix asphalt (HMA) parking lot surface and evaluate the accuracy in modeling runoff volume from small events using the following runoff estimation methods: the Soil Conservation Service Curve Number (SCS-CN) method, the Simple Method (SM), and the Small Storm Hydrology Method (SSHM). A 4,000 m2 (0.4-ha) parking lot in Edison, New Jersey, was designed with impervious HMA driving lanes evenly draining onto parking lanes constructed with permeable pavement. Ten lined permeable pavement sections that capture all infiltrating water and route it to collection tanks were included in this study. Using a water balance approach on an event basis, the measured infiltrate volume was compared to the rainfall volume across the drainage area to determine the rainfall retained by the HMA surface and in the permeable pavement strata and underlying aggregate. Only events with an antecedent dry period (ADP) less than 24 h (N=16) were used in this analysis because it minimized evaporation and additional storage in the permeable pavement profile. It was assumed that the rainfall retention depth for these events was completely abstracted in the HMA surface. In comparing measured retention in the HMA surface to the three runoff estimation methods, the SCS-CN method overpredicted abstraction in half of the test sections, and the SM and SSHM underpredicted abstraction in 8 of the 10 test sections. While evaporation from the permeable pavement profile from the events analyzed was small, it was not zero, so the measured rainfall retention depth had a small positive bias. After correcting for this bias, the results shifted closer to the predictions using the SM and SSHM and farther from the predictions using the SCS-CN method. The average and interquartile range (IQR) of the corrected depression storage depth in the HMA surface for the 10 test sections were 2.0 mm and 0.9-3.0 mm, respectively. For a 25.4-mm water quality design event, the predicted abstraction depth by the SM was within the IQR, the SSHM prediction was 0.1 mm below the IQR, and the SCS-CN prediction exceeded the IQR by 2.3 mm. The runoff predicted by the SCS-CN method for this example water quality ev…","author":[{"dropping-particle":"","family":"Brown","given":"Robert A.","non-dropping-particle":"","parse-names":false,"suffix":""},{"dropping-particle":"","family":"Borst","given":"Michael","non-dropping-particle":"","parse-names":false,"suffix":""}],"container-title":"Journal of Sustainable Water in the Built Environment","id":"ITEM-1","issue":"2","issued":{"date-parts":[["2016","5"]]},"page":"04015010","title":"Evaluating the Accuracy of Common Runoff Estimation Methods for New Impervious Hot-Mix Asphalt","type":"article-journal","volume":"2"},"uris":["http://www.mendeley.com/documents/?uuid=d4ef70b0-5e62-460c-bc14-18bf2c4d1f46","http://www.mendeley.com/documents/?uuid=c45d7489-3fc3-472f-880e-efd876835617","http://www.mendeley.com/documents/?uuid=e0298afc-d0ae-48b8-ab41-cb948416dd85"]}],"mendeley":{"formattedCitation":"[70]","plainTextFormattedCitation":"[70]","previouslyFormattedCitation":"[70]"},"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lang w:val="en-US"/>
        </w:rPr>
        <w:t>[70]</w:t>
      </w:r>
      <w:r w:rsidRPr="00A70461">
        <w:rPr>
          <w:rFonts w:cs="Times New Roman"/>
          <w:spacing w:val="-4"/>
          <w:szCs w:val="24"/>
        </w:rPr>
        <w:fldChar w:fldCharType="end"/>
      </w:r>
      <w:r w:rsidRPr="00A70461">
        <w:rPr>
          <w:rFonts w:cs="Times New Roman"/>
          <w:spacing w:val="-4"/>
          <w:szCs w:val="24"/>
          <w:lang w:val="en-US"/>
        </w:rPr>
        <w:t xml:space="preserve">. </w:t>
      </w:r>
    </w:p>
    <w:p w14:paraId="6F5CA1E3" w14:textId="21706A8A" w:rsidR="00051297" w:rsidRPr="00A70461" w:rsidRDefault="00051297" w:rsidP="00051297">
      <w:pPr>
        <w:rPr>
          <w:rFonts w:cs="Times New Roman"/>
          <w:spacing w:val="-4"/>
          <w:szCs w:val="24"/>
          <w:lang w:val="en-US"/>
        </w:rPr>
      </w:pPr>
      <w:r w:rsidRPr="00A70461">
        <w:rPr>
          <w:rFonts w:cs="Times New Roman"/>
          <w:spacing w:val="-4"/>
          <w:szCs w:val="24"/>
          <w:lang w:val="en-US"/>
        </w:rPr>
        <w:t xml:space="preserve">A variety of runoff computation methodologies and procedures are </w:t>
      </w:r>
      <w:r w:rsidR="00A95BB6" w:rsidRPr="00A70461">
        <w:rPr>
          <w:rFonts w:cs="Times New Roman"/>
          <w:spacing w:val="-4"/>
          <w:szCs w:val="24"/>
          <w:lang w:val="en-US"/>
        </w:rPr>
        <w:t>have been in application in the field of</w:t>
      </w:r>
      <w:r w:rsidRPr="00A70461">
        <w:rPr>
          <w:rFonts w:cs="Times New Roman"/>
          <w:spacing w:val="-4"/>
          <w:szCs w:val="24"/>
          <w:lang w:val="en-US"/>
        </w:rPr>
        <w:t xml:space="preserve"> storm drainage and flood control systems, including:</w:t>
      </w:r>
    </w:p>
    <w:p w14:paraId="4FBB74DB" w14:textId="3AEB3AB2" w:rsidR="00051297" w:rsidRPr="00A70461" w:rsidRDefault="00051297" w:rsidP="00051297">
      <w:pPr>
        <w:numPr>
          <w:ilvl w:val="0"/>
          <w:numId w:val="12"/>
        </w:numPr>
        <w:tabs>
          <w:tab w:val="clear" w:pos="720"/>
          <w:tab w:val="num" w:pos="993"/>
        </w:tabs>
        <w:ind w:left="0" w:firstLine="709"/>
        <w:rPr>
          <w:rFonts w:cs="Times New Roman"/>
          <w:spacing w:val="-4"/>
          <w:szCs w:val="24"/>
        </w:rPr>
      </w:pPr>
      <w:r w:rsidRPr="00A70461">
        <w:rPr>
          <w:rFonts w:cs="Times New Roman"/>
          <w:spacing w:val="-4"/>
          <w:szCs w:val="24"/>
        </w:rPr>
        <w:t xml:space="preserve">The Rational Method </w:t>
      </w:r>
      <w:r w:rsidRPr="00A70461">
        <w:rPr>
          <w:rFonts w:cs="Times New Roman"/>
          <w:spacing w:val="-4"/>
          <w:szCs w:val="24"/>
        </w:rPr>
        <w:fldChar w:fldCharType="begin" w:fldLock="1"/>
      </w:r>
      <w:r w:rsidR="00FA5896" w:rsidRPr="00A70461">
        <w:rPr>
          <w:rFonts w:cs="Times New Roman"/>
          <w:spacing w:val="-4"/>
          <w:szCs w:val="24"/>
        </w:rPr>
        <w:instrText>ADDIN CSL_CITATION {"citationItems":[{"id":"ITEM-1","itemData":{"DOI":"10.1061/(ASCE)IR.1943-4774.0001387","ISSN":"0733-9437","abstract":"© 2019 American Society of Civil Engineers. Hydrograph methods are used to identify functional dependencies of the rational-method runoff coefficient, and nested intensity-duration-frequency (IDF) rainfall distributions are used to evaluate the assumption that a uniform rainfall intensity with duration equal to the time of concentration leads to the maximum peak runoff rate. Key findings of this study are that the runoff coefficient can have a substantial dependence on both the IDF function and the time of concentration of the catchment, the runoff coefficient can take on values greater than one, and the peak runoff rate is underestimated by assuming a constant rainfall intensity of duration equal to the time of concentration.","author":[{"dropping-particle":"","family":"Chin","given":"David A.","non-dropping-particle":"","parse-names":false,"suffix":""}],"container-title":"Journal of Irrigation and Drainage Engineering","id":"ITEM-1","issue":"6","issued":{"date-parts":[["2019","6"]]},"page":"04019006","title":"Estimating Peak Runoff Rates Using the Rational Method","type":"article-journal","volume":"145"},"uris":["http://www.mendeley.com/documents/?uuid=0ee9a418-88c6-485c-994a-279a39b378a6","http://www.mendeley.com/documents/?uuid=d2e9d9be-4b7d-4d97-8c67-3a60ff805b68"]}],"mendeley":{"formattedCitation":"[27]","plainTextFormattedCitation":"[27]","previouslyFormattedCitation":"[27]"},"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rPr>
        <w:t>[27]</w:t>
      </w:r>
      <w:r w:rsidRPr="00A70461">
        <w:rPr>
          <w:rFonts w:cs="Times New Roman"/>
          <w:spacing w:val="-4"/>
          <w:szCs w:val="24"/>
        </w:rPr>
        <w:fldChar w:fldCharType="end"/>
      </w:r>
      <w:r w:rsidRPr="00A70461">
        <w:rPr>
          <w:rFonts w:cs="Times New Roman"/>
          <w:spacing w:val="-4"/>
          <w:szCs w:val="24"/>
        </w:rPr>
        <w:t xml:space="preserve">. </w:t>
      </w:r>
    </w:p>
    <w:p w14:paraId="657EC4E8" w14:textId="5EB910B1" w:rsidR="00051297" w:rsidRPr="00A70461" w:rsidRDefault="00051297" w:rsidP="00051297">
      <w:pPr>
        <w:numPr>
          <w:ilvl w:val="0"/>
          <w:numId w:val="12"/>
        </w:numPr>
        <w:tabs>
          <w:tab w:val="clear" w:pos="720"/>
          <w:tab w:val="num" w:pos="993"/>
        </w:tabs>
        <w:ind w:left="0" w:firstLine="709"/>
        <w:rPr>
          <w:rFonts w:cs="Times New Roman"/>
          <w:spacing w:val="-4"/>
          <w:szCs w:val="24"/>
        </w:rPr>
      </w:pPr>
      <w:r w:rsidRPr="00A70461">
        <w:rPr>
          <w:rFonts w:cs="Times New Roman"/>
          <w:spacing w:val="-4"/>
          <w:szCs w:val="24"/>
          <w:lang w:val="en-US"/>
        </w:rPr>
        <w:t xml:space="preserve">Technical Release – 55 Synthetic Hydrograph Method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{"citationItems":[{"id":"ITEM-1","itemData":{"DOI":"10.1016/j.iswcr.2018.12.001","ISSN":"20956339","abstract":"Runoff farming is reported to improve land productivity and crop yields in hot and dry climates. This study was conducted to assess the available rainwater that can be harvested in a conserved catchment in a drought prone agro-ecological zone. The study was carried out in the Cyili sub-catchment, southern province of Rwanda, which has an irregular rainfall pattern and unexploited runoff water. Soil Conservation Service-Curve Number method (SCS-CN), CROPWAT model version 8 and Hazen model with an average daily rainfall data recorded from 1971 to 2016 were applied to estimate the runoff and water requirements in the study area. Findings of the study revealed that more than half rainfall water received in the catchment was lost through runoff (229.8 mm) and effective rainfall was lower (246.9 mm) than the actual crop water requirement for maize (330 mm). The expected seasonal surface runoff volume to be harvested by the farmers was 3008 m 3 ha −1 per season and 1.29 × 10 6 m 3 per season for the entire whole sub-catchment (430 ha). Based on Hazen model, the return period of low rainfall (dry spell) event would be expected every 2 years with a 98% probability of occurrence. Cyili sub-catchment has higher potential runoff volume to stabilize the deficit of water demand in the period of short rainy season. This suggests that rainwater harvesting through supplementary irrigation is an option to improve the crop yield in the dry period as well as in the annual dry season.","author":[{"dropping-particle":"","family":"Uwizeyimana","given":"Dieudonne","non-dropping-particle":"","parse-names":false,"suffix":""},{"dropping-particle":"","family":"Mureithi","given":"Stephen M.","non-dropping-particle":"","parse-names":false,"suffix":""},{"dropping-particle":"","family":"Mvuyekure","given":"Simon M.","non-dropping-particle":"","parse-names":false,"suffix":""},{"dropping-particle":"","family":"Karuku","given":"George","non-dropping-particle":"","parse-names":false,"suffix":""},{"dropping-particle":"","family":"Kironchi","given":"Geoffrey","non-dropping-particle":"","parse-names":false,"suffix":""}],"container-title":"International Soil and Water Conservation Research","id":"ITEM-1","issue":"1","issued":{"date-parts":[["2019","3"]]},"page":"9-17","title":"Modelling surface runoff using the soil conservation service-curve number method in a drought prone agro-ecological zone in Rwanda","type":"article-journal","volume":"7"},"uris":["http://www.mendeley.com/documents/?uuid=4d35bde3-9f65-4eb4-9d1a-94dabe5cfb29","http://www.mendeley.com/documents/?uuid=d83d6590-b6c9-406e-b7ea-cceacc5d3ec1","http://www.mendeley.com/documents/?uuid=a41907a8-cf3d-4f97-97ff-566f592a1c75"]}],"mendeley":{"formattedCitation":"[71]","plainTextFormattedCitation":"[71]","previouslyFormattedCitation":"[71]"},"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rPr>
        <w:t>[71]</w:t>
      </w:r>
      <w:r w:rsidRPr="00A70461">
        <w:rPr>
          <w:rFonts w:cs="Times New Roman"/>
          <w:spacing w:val="-4"/>
          <w:szCs w:val="24"/>
        </w:rPr>
        <w:fldChar w:fldCharType="end"/>
      </w:r>
      <w:r w:rsidRPr="00A70461">
        <w:rPr>
          <w:rFonts w:cs="Times New Roman"/>
          <w:spacing w:val="-4"/>
          <w:szCs w:val="24"/>
        </w:rPr>
        <w:t xml:space="preserve">. </w:t>
      </w:r>
    </w:p>
    <w:p w14:paraId="4B54DFD5" w14:textId="3D1EC8C1" w:rsidR="00051297" w:rsidRPr="00A70461" w:rsidRDefault="00051297" w:rsidP="00051297">
      <w:pPr>
        <w:numPr>
          <w:ilvl w:val="0"/>
          <w:numId w:val="12"/>
        </w:numPr>
        <w:tabs>
          <w:tab w:val="clear" w:pos="720"/>
          <w:tab w:val="num" w:pos="993"/>
        </w:tabs>
        <w:ind w:left="0" w:firstLine="709"/>
        <w:rPr>
          <w:rFonts w:cs="Times New Roman"/>
          <w:spacing w:val="-4"/>
          <w:szCs w:val="24"/>
          <w:lang w:val="en-US"/>
        </w:rPr>
      </w:pPr>
      <w:r w:rsidRPr="00A70461">
        <w:rPr>
          <w:rFonts w:cs="Times New Roman"/>
          <w:spacing w:val="-4"/>
          <w:szCs w:val="24"/>
          <w:lang w:val="en-US"/>
        </w:rPr>
        <w:t xml:space="preserve">Regional Regression Equations from the USGS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{"citationItems":[{"id":"ITEM-1","itemData":{"DOI":"10.3390/w8050209","ISSN":"2073-4441","abstract":"Many hydrologic applications require reliable estimates of runoff in river basins to face the widespread lack of data, both in time and in space. A regional method for the reconstruction of monthly runoff series is here developed and applied to Sicily (Italy). A simple modeling structure is adopted, consisting of a regression-based rainfall-runoff model with four model parameters, calibrated through a two-step procedure. Monthly runoff estimates are based on precipitation, temperature, and exploiting the autocorrelation with runoff at the previous month. Model parameters are assessed by specific regional equations as a function of easily measurable physical and climate basin descriptors. The first calibration step is aimed at the identification of a set of parameters optimizing model performances at the level of single basin. Such \"optimal\" sets are used at the second step, part of a regional regression analysis, to establish the regional equations for model parameters assessment as a function of basin attributes. All the gauged watersheds across the region have been analyzed, selecting 53 basins for model calibration and using the other six basins exclusively for validation. Performances, quantitatively evaluated by different statistical indexes, demonstrate relevant model ability in reproducing the observed hydrological time-series at both the monthly and coarser time resolutions. The methodology, which is easily transferable to other arid and semi-arid areas, provides a reliable tool for filling/reconstructing runoff time series at any gauged or ungauged basin of a region.","author":[{"dropping-particle":"","family":"Pumo","given":"Dario","non-dropping-particle":"","parse-names":false,"suffix":""},{"dropping-particle":"","family":"Viola","given":"Francesco","non-dropping-particle":"","parse-names":false,"suffix":""},{"dropping-particle":"","family":"Noto","given":"Leonardo","non-dropping-particle":"","parse-names":false,"suffix":""}],"container-title":"Water","id":"ITEM-1","issue":"5","issued":{"date-parts":[["2016","5"]]},"page":"209","title":"Generation of Natural Runoff Monthly Series at Ungauged Sites Using a Regional Regressive Model","type":"article-journal","volume":"8"},"uris":["http://www.mendeley.com/documents/?uuid=f45d7f56-a23d-4da3-bff0-9883dfd54d72","http://www.mendeley.com/documents/?uuid=abb8035d-2b65-4455-a1a0-505256989e1c","http://www.mendeley.com/documents/?uuid=75bf73b0-8fde-46ce-bfb5-2b101b279883"]}],"mendeley":{"formattedCitation":"[72]","plainTextFormattedCitation":"[72]","previouslyFormattedCitation":"[72]"},"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lang w:val="en-US"/>
        </w:rPr>
        <w:t>[72]</w:t>
      </w:r>
      <w:r w:rsidRPr="00A70461">
        <w:rPr>
          <w:rFonts w:cs="Times New Roman"/>
          <w:spacing w:val="-4"/>
          <w:szCs w:val="24"/>
        </w:rPr>
        <w:fldChar w:fldCharType="end"/>
      </w:r>
      <w:r w:rsidRPr="00A70461">
        <w:rPr>
          <w:rFonts w:cs="Times New Roman"/>
          <w:spacing w:val="-4"/>
          <w:szCs w:val="24"/>
          <w:lang w:val="en-US"/>
        </w:rPr>
        <w:t xml:space="preserve">. </w:t>
      </w:r>
    </w:p>
    <w:p w14:paraId="121BC945" w14:textId="218ECC31" w:rsidR="00051297" w:rsidRPr="00051297" w:rsidRDefault="00051297" w:rsidP="00051297">
      <w:pPr>
        <w:rPr>
          <w:rFonts w:cs="Times New Roman"/>
          <w:szCs w:val="24"/>
          <w:lang w:val="en-US"/>
        </w:rPr>
      </w:pPr>
      <w:r w:rsidRPr="00A70461">
        <w:rPr>
          <w:rFonts w:cs="Times New Roman"/>
          <w:spacing w:val="-4"/>
          <w:szCs w:val="24"/>
          <w:lang w:val="en-US"/>
        </w:rPr>
        <w:t xml:space="preserve">The two most frequent drainage methods are the Rational Method and the SCS. </w:t>
      </w:r>
      <w:r w:rsidR="000D002C" w:rsidRPr="00A70461">
        <w:rPr>
          <w:rFonts w:cs="Times New Roman"/>
          <w:spacing w:val="-4"/>
          <w:szCs w:val="24"/>
          <w:lang w:val="en-US"/>
        </w:rPr>
        <w:t>Generally,</w:t>
      </w:r>
      <w:r w:rsidR="00490390" w:rsidRPr="00A70461">
        <w:rPr>
          <w:rFonts w:cs="Times New Roman"/>
          <w:spacing w:val="-4"/>
          <w:szCs w:val="24"/>
          <w:lang w:val="en-US"/>
        </w:rPr>
        <w:t xml:space="preserve"> </w:t>
      </w:r>
      <w:r w:rsidRPr="00A70461">
        <w:rPr>
          <w:rFonts w:cs="Times New Roman"/>
          <w:spacing w:val="-4"/>
          <w:szCs w:val="24"/>
          <w:lang w:val="en-US"/>
        </w:rPr>
        <w:t xml:space="preserve">Rational </w:t>
      </w:r>
      <w:r w:rsidR="00490390" w:rsidRPr="00A70461">
        <w:rPr>
          <w:rFonts w:cs="Times New Roman"/>
          <w:spacing w:val="-4"/>
          <w:szCs w:val="24"/>
          <w:lang w:val="en-US"/>
        </w:rPr>
        <w:t>formula</w:t>
      </w:r>
      <w:r w:rsidRPr="00A70461">
        <w:rPr>
          <w:rFonts w:cs="Times New Roman"/>
          <w:spacing w:val="-4"/>
          <w:szCs w:val="24"/>
          <w:lang w:val="en-US"/>
        </w:rPr>
        <w:t xml:space="preserve"> is often employed when only the peak flow rate or total volume of runoff is required at a design point (e.g., storm sewer sizing or simple detention basin sizing). The SCS technique is employed for larger watersheds and when a hydrograph of the storm event is desired (e.g., sizing large detention facilities) </w:t>
      </w:r>
      <w:r w:rsidRPr="00A70461">
        <w:rPr>
          <w:rFonts w:cs="Times New Roman"/>
          <w:spacing w:val="-4"/>
          <w:szCs w:val="24"/>
        </w:rPr>
        <w:fldChar w:fldCharType="begin" w:fldLock="1"/>
      </w:r>
      <w:r w:rsidR="00FA5896" w:rsidRPr="00A70461">
        <w:rPr>
          <w:rFonts w:cs="Times New Roman"/>
          <w:spacing w:val="-4"/>
          <w:szCs w:val="24"/>
          <w:lang w:val="en-US"/>
        </w:rPr>
        <w:instrText>ADDIN CSL_CITATION {"citationItems":[{"id":"ITEM-1","itemData":{"DOI":"10.2166/nh.2020.049","ISSN":"0029-1277","abstract":"Climate change combined with urbanization increases the performance demand on urban drainage systems. Green roofs are one of the most used green infrastructure measures to alleviate the pressure on the urban drainage system through the detention and retention of runoff. The rational method with the runoff coefficient (C) is one of the most commonly used design tools for stormwater design in Norway. This method relies on a runoff coefficient being available for green roofs, which is typically not the case. This paper compares laboratory and experimental field studies to investigate runoff coefficients from different types of detention-based roofs. The methodology described in the German ‘FLL Guideline’, one of the world's most commonly used green roof standards, was used to measure the runoff coefficients for the different components making up a typical green roof. The contribution from each layer is reflected in the runoff coefficients. The runoff coefficients from the field experiments were calculated using observed precipitation and runoff from existing green roofs in Oslo, Trondheim, Sandnes, and Bergen, Norway. Events that had a cumulative precipitation comparable to the laboratory events, but longer durations, were selected. These events gave significantly lower and varying runoff coefficients, clearly demonstrating the limitation of choosing a suitable runoff coefficient for a given roof. However, laboratory experiments are important in understanding the underlying flow processes in the different layers in a detention-based roof.","author":[{"dropping-particle":"","family":"Schärer","given":"Lotte Askeland","non-dropping-particle":"","parse-names":false,"suffix":""},{"dropping-particle":"","family":"Busklein","given":"Jan Ove","non-dropping-particle":"","parse-names":false,"suffix":""},{"dropping-particle":"","family":"Sivertsen","given":"Edvard","non-dropping-particle":"","parse-names":false,"suffix":""},{"dropping-particle":"","family":"Muthanna","given":"Tone M.","non-dropping-particle":"","parse-names":false,"suffix":""}],"container-title":"Hydrology Research","id":"ITEM-1","issue":"2","issued":{"date-parts":[["2020","4"]]},"page":"339-350","title":"Limitations in using runoff coefficients for green and gray roof design","type":"article-journal","volume":"51"},"uris":["http://www.mendeley.com/documents/?uuid=a09a13b6-a58c-442f-b43f-230e4357039f","http://www.mendeley.com/documents/?uuid=31373ea0-e148-4786-b080-5563967a4584","http://www.mendeley.com/documents/?uuid=bf68bceb-722e-4a61-bd79-7ef4f90ed9a3"]}],"mendeley":{"formattedCitation":"[73]","plainTextFormattedCitation":"[73]","previouslyFormattedCitation":"[73]"},"properties":{"noteIndex":0},"schema":"https://github.com/citation-style-language/schema/raw/master/csl-citation.json"}</w:instrText>
      </w:r>
      <w:r w:rsidRPr="00A70461">
        <w:rPr>
          <w:rFonts w:cs="Times New Roman"/>
          <w:spacing w:val="-4"/>
          <w:szCs w:val="24"/>
        </w:rPr>
        <w:fldChar w:fldCharType="separate"/>
      </w:r>
      <w:r w:rsidR="0032684D" w:rsidRPr="00A70461">
        <w:rPr>
          <w:rFonts w:cs="Times New Roman"/>
          <w:noProof/>
          <w:spacing w:val="-4"/>
          <w:szCs w:val="24"/>
          <w:lang w:val="en-US"/>
        </w:rPr>
        <w:t>[73]</w:t>
      </w:r>
      <w:r w:rsidRPr="00A70461">
        <w:rPr>
          <w:rFonts w:cs="Times New Roman"/>
          <w:spacing w:val="-4"/>
          <w:szCs w:val="24"/>
        </w:rPr>
        <w:fldChar w:fldCharType="end"/>
      </w:r>
      <w:r w:rsidRPr="00A70461">
        <w:rPr>
          <w:rFonts w:cs="Times New Roman"/>
          <w:spacing w:val="-4"/>
          <w:szCs w:val="24"/>
          <w:lang w:val="en-US"/>
        </w:rPr>
        <w:t xml:space="preserve">. </w:t>
      </w:r>
      <w:r w:rsidRPr="00A70461">
        <w:rPr>
          <w:rFonts w:cs="Times New Roman"/>
          <w:spacing w:val="-4"/>
          <w:szCs w:val="24"/>
          <w:lang w:val="en-US"/>
        </w:rPr>
        <w:fldChar w:fldCharType="begin"/>
      </w:r>
      <w:r w:rsidRPr="00A70461">
        <w:rPr>
          <w:rFonts w:cs="Times New Roman"/>
          <w:spacing w:val="-4"/>
          <w:szCs w:val="24"/>
          <w:lang w:val="en-US"/>
        </w:rPr>
        <w:instrText xml:space="preserve"> REF _Ref98102371 \h </w:instrText>
      </w:r>
      <w:r w:rsidR="00A70461">
        <w:rPr>
          <w:rFonts w:cs="Times New Roman"/>
          <w:spacing w:val="-4"/>
          <w:szCs w:val="24"/>
          <w:lang w:val="en-US"/>
        </w:rPr>
        <w:instrText xml:space="preserve"> \* MERGEFORMAT </w:instrText>
      </w:r>
      <w:r w:rsidRPr="00A70461">
        <w:rPr>
          <w:rFonts w:cs="Times New Roman"/>
          <w:spacing w:val="-4"/>
          <w:szCs w:val="24"/>
          <w:lang w:val="en-US"/>
        </w:rPr>
      </w:r>
      <w:r w:rsidRPr="00A70461">
        <w:rPr>
          <w:rFonts w:cs="Times New Roman"/>
          <w:spacing w:val="-4"/>
          <w:szCs w:val="24"/>
          <w:lang w:val="en-US"/>
        </w:rPr>
        <w:fldChar w:fldCharType="separate"/>
      </w:r>
      <w:r w:rsidR="004870F1" w:rsidRPr="004870F1">
        <w:rPr>
          <w:rFonts w:cs="Times New Roman"/>
          <w:spacing w:val="-4"/>
          <w:szCs w:val="24"/>
          <w:lang w:val="en-US" w:bidi="en-US"/>
        </w:rPr>
        <w:t xml:space="preserve">Table </w:t>
      </w:r>
      <w:r w:rsidR="004870F1" w:rsidRPr="004870F1">
        <w:rPr>
          <w:rFonts w:cs="Times New Roman"/>
          <w:noProof/>
          <w:spacing w:val="-4"/>
          <w:szCs w:val="24"/>
          <w:lang w:val="en-US" w:bidi="en-US"/>
        </w:rPr>
        <w:t>1.1</w:t>
      </w:r>
      <w:r w:rsidRPr="00A70461">
        <w:rPr>
          <w:rFonts w:cs="Times New Roman"/>
          <w:spacing w:val="-4"/>
          <w:szCs w:val="24"/>
          <w:lang w:val="en-US"/>
        </w:rPr>
        <w:fldChar w:fldCharType="end"/>
      </w:r>
      <w:r w:rsidRPr="00A70461">
        <w:rPr>
          <w:rFonts w:cs="Times New Roman"/>
          <w:spacing w:val="-4"/>
          <w:szCs w:val="24"/>
          <w:lang w:val="en-US"/>
        </w:rPr>
        <w:t xml:space="preserve"> shows the watershed size limits and/or ranges for each analysis method.</w:t>
      </w:r>
      <w:r w:rsidRPr="00051297">
        <w:rPr>
          <w:rFonts w:cs="Times New Roman"/>
          <w:szCs w:val="24"/>
          <w:lang w:val="en-US"/>
        </w:rPr>
        <w:t xml:space="preserve"> </w:t>
      </w:r>
    </w:p>
    <w:p w14:paraId="4F051C34" w14:textId="0C50EAFF" w:rsidR="00051297" w:rsidRPr="00051297" w:rsidRDefault="00051297" w:rsidP="00051297">
      <w:pPr>
        <w:rPr>
          <w:rFonts w:cs="Times New Roman"/>
          <w:szCs w:val="24"/>
          <w:lang w:val="en-US" w:bidi="en-US"/>
        </w:rPr>
      </w:pPr>
      <w:bookmarkStart w:id="40" w:name="_Ref98102371"/>
      <w:bookmarkStart w:id="41" w:name="_Toc104985558"/>
      <w:bookmarkStart w:id="42" w:name="_Toc103544232"/>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1</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1</w:t>
      </w:r>
      <w:r w:rsidRPr="00051297">
        <w:rPr>
          <w:rFonts w:cs="Times New Roman"/>
          <w:szCs w:val="24"/>
          <w:lang w:val="en-US" w:bidi="en-US"/>
        </w:rPr>
        <w:fldChar w:fldCharType="end"/>
      </w:r>
      <w:bookmarkEnd w:id="40"/>
      <w:r w:rsidRPr="00051297">
        <w:rPr>
          <w:rFonts w:cs="Times New Roman"/>
          <w:szCs w:val="24"/>
          <w:lang w:val="en-US" w:bidi="en-US"/>
        </w:rPr>
        <w:t xml:space="preserve"> – Applicability of watershed size for peak runoff calculations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{"citationItems":[{"id":"ITEM-1","itemData":{"author":[{"dropping-particle":"","family":"City of Bella Vista","given":"","non-dropping-particle":"","parse-names":false,"suffix":""}],"container-title":"DRAINAGE CRITERIA MANUAL","id":"ITEM-1","issued":{"date-parts":[["2020"]]},"title":"DRAINAGE CRITERIA MANUAL CHAPTER 3 . DETERMINATION OF STORM WATER RUNOFF","type":"chapter"},"uris":["http://www.mendeley.com/documents/?uuid=6ae2432e-f571-4810-9d15-5f7dd5ed8f4a","http://www.mendeley.com/documents/?uuid=795f2b43-77a2-478b-a590-23f9a70bf4fb"]}],"mendeley":{"formattedCitation":"[74]","plainTextFormattedCitation":"[74]","previouslyFormattedCitation":"[74]"},"properties":{"noteIndex":0},"schema":"https://github.com/citation-style-language/schema/raw/master/csl-citation.json"}</w:instrText>
      </w:r>
      <w:r w:rsidRPr="00051297">
        <w:rPr>
          <w:rFonts w:cs="Times New Roman"/>
          <w:szCs w:val="24"/>
          <w:lang w:val="en-US" w:bidi="en-US"/>
        </w:rPr>
        <w:fldChar w:fldCharType="separate"/>
      </w:r>
      <w:bookmarkEnd w:id="42"/>
      <w:r w:rsidR="0032684D" w:rsidRPr="0032684D">
        <w:rPr>
          <w:rFonts w:cs="Times New Roman"/>
          <w:noProof/>
          <w:szCs w:val="24"/>
          <w:lang w:val="en-US" w:bidi="en-US"/>
        </w:rPr>
        <w:t>[74]</w:t>
      </w:r>
      <w:bookmarkEnd w:id="41"/>
      <w:r w:rsidRPr="00051297">
        <w:rPr>
          <w:rFonts w:cs="Times New Roman"/>
          <w:szCs w:val="24"/>
          <w:lang w:val="en-US" w:bidi="en-US"/>
        </w:rPr>
        <w:fldChar w:fldCharType="end"/>
      </w:r>
    </w:p>
    <w:tbl>
      <w:tblPr>
        <w:tblStyle w:val="a8"/>
        <w:tblW w:w="0" w:type="auto"/>
        <w:jc w:val="center"/>
        <w:tblLook w:val="04A0" w:firstRow="1" w:lastRow="0" w:firstColumn="1" w:lastColumn="0" w:noHBand="0" w:noVBand="1"/>
      </w:tblPr>
      <w:tblGrid>
        <w:gridCol w:w="2615"/>
        <w:gridCol w:w="6120"/>
      </w:tblGrid>
      <w:tr w:rsidR="00051297" w:rsidRPr="00425C78" w14:paraId="565D1395" w14:textId="77777777" w:rsidTr="00D20B01">
        <w:trPr>
          <w:jc w:val="center"/>
        </w:trPr>
        <w:tc>
          <w:tcPr>
            <w:tcW w:w="2615" w:type="dxa"/>
          </w:tcPr>
          <w:p w14:paraId="1217E351" w14:textId="77777777" w:rsidR="00051297" w:rsidRPr="00051297" w:rsidRDefault="00051297" w:rsidP="00051297">
            <w:pPr>
              <w:spacing w:line="240" w:lineRule="auto"/>
              <w:ind w:firstLine="0"/>
              <w:jc w:val="center"/>
              <w:rPr>
                <w:lang w:val="en-US"/>
              </w:rPr>
            </w:pPr>
            <w:r w:rsidRPr="00051297">
              <w:rPr>
                <w:lang w:val="en-US"/>
              </w:rPr>
              <w:t xml:space="preserve">Sise of the watershed in acres </w:t>
            </w:r>
          </w:p>
        </w:tc>
        <w:tc>
          <w:tcPr>
            <w:tcW w:w="6120" w:type="dxa"/>
          </w:tcPr>
          <w:p w14:paraId="39784789" w14:textId="77777777" w:rsidR="00051297" w:rsidRPr="00051297" w:rsidRDefault="00051297" w:rsidP="00051297">
            <w:pPr>
              <w:spacing w:line="240" w:lineRule="auto"/>
              <w:ind w:firstLine="0"/>
              <w:jc w:val="center"/>
              <w:rPr>
                <w:lang w:val="en-US"/>
              </w:rPr>
            </w:pPr>
            <w:r w:rsidRPr="00051297">
              <w:rPr>
                <w:lang w:val="en-US"/>
              </w:rPr>
              <w:t>Drainage methods that can be used</w:t>
            </w:r>
          </w:p>
        </w:tc>
      </w:tr>
      <w:tr w:rsidR="00051297" w:rsidRPr="00051297" w14:paraId="17DC56ED" w14:textId="77777777" w:rsidTr="00D20B01">
        <w:trPr>
          <w:jc w:val="center"/>
        </w:trPr>
        <w:tc>
          <w:tcPr>
            <w:tcW w:w="2615" w:type="dxa"/>
          </w:tcPr>
          <w:p w14:paraId="4BC5198A" w14:textId="77777777" w:rsidR="00051297" w:rsidRPr="00051297" w:rsidRDefault="00051297" w:rsidP="00051297">
            <w:pPr>
              <w:spacing w:line="240" w:lineRule="auto"/>
              <w:ind w:firstLine="0"/>
              <w:jc w:val="center"/>
              <w:rPr>
                <w:lang w:val="en-US"/>
              </w:rPr>
            </w:pPr>
            <w:r w:rsidRPr="00051297">
              <w:rPr>
                <w:lang w:val="en-US"/>
              </w:rPr>
              <w:t>From 0 to 30</w:t>
            </w:r>
          </w:p>
        </w:tc>
        <w:tc>
          <w:tcPr>
            <w:tcW w:w="6120" w:type="dxa"/>
          </w:tcPr>
          <w:p w14:paraId="637197E0" w14:textId="77777777" w:rsidR="00051297" w:rsidRPr="00051297" w:rsidRDefault="00051297" w:rsidP="00051297">
            <w:pPr>
              <w:spacing w:line="240" w:lineRule="auto"/>
              <w:ind w:firstLine="0"/>
              <w:jc w:val="center"/>
              <w:rPr>
                <w:lang w:val="en-US"/>
              </w:rPr>
            </w:pPr>
            <w:r w:rsidRPr="00051297">
              <w:rPr>
                <w:lang w:val="en-US"/>
              </w:rPr>
              <w:t>Rational Method</w:t>
            </w:r>
          </w:p>
        </w:tc>
      </w:tr>
      <w:tr w:rsidR="00051297" w:rsidRPr="00051297" w14:paraId="37246FE4" w14:textId="77777777" w:rsidTr="00D20B01">
        <w:trPr>
          <w:jc w:val="center"/>
        </w:trPr>
        <w:tc>
          <w:tcPr>
            <w:tcW w:w="2615" w:type="dxa"/>
          </w:tcPr>
          <w:p w14:paraId="7AFF80CF" w14:textId="77777777" w:rsidR="00051297" w:rsidRPr="00051297" w:rsidRDefault="00051297" w:rsidP="00051297">
            <w:pPr>
              <w:spacing w:line="240" w:lineRule="auto"/>
              <w:ind w:firstLine="0"/>
              <w:jc w:val="center"/>
              <w:rPr>
                <w:lang w:val="en-US"/>
              </w:rPr>
            </w:pPr>
            <w:r w:rsidRPr="00051297">
              <w:rPr>
                <w:lang w:val="en-US"/>
              </w:rPr>
              <w:t>From 30 to 2000</w:t>
            </w:r>
          </w:p>
        </w:tc>
        <w:tc>
          <w:tcPr>
            <w:tcW w:w="6120" w:type="dxa"/>
          </w:tcPr>
          <w:p w14:paraId="36FD86AD" w14:textId="77777777" w:rsidR="00051297" w:rsidRPr="00051297" w:rsidRDefault="00051297" w:rsidP="00051297">
            <w:pPr>
              <w:spacing w:line="240" w:lineRule="auto"/>
              <w:ind w:firstLine="0"/>
              <w:jc w:val="center"/>
              <w:rPr>
                <w:lang w:val="en-US"/>
              </w:rPr>
            </w:pPr>
            <w:r w:rsidRPr="00051297">
              <w:rPr>
                <w:lang w:val="en-US"/>
              </w:rPr>
              <w:t>SCS Method</w:t>
            </w:r>
          </w:p>
        </w:tc>
      </w:tr>
      <w:tr w:rsidR="00051297" w:rsidRPr="00051297" w14:paraId="7F08F60F" w14:textId="77777777" w:rsidTr="00D20B01">
        <w:trPr>
          <w:jc w:val="center"/>
        </w:trPr>
        <w:tc>
          <w:tcPr>
            <w:tcW w:w="2615" w:type="dxa"/>
          </w:tcPr>
          <w:p w14:paraId="0BE55DE4" w14:textId="77777777" w:rsidR="00051297" w:rsidRPr="00051297" w:rsidRDefault="00051297" w:rsidP="00051297">
            <w:pPr>
              <w:spacing w:line="240" w:lineRule="auto"/>
              <w:ind w:firstLine="0"/>
              <w:jc w:val="center"/>
              <w:rPr>
                <w:lang w:val="en-US"/>
              </w:rPr>
            </w:pPr>
            <w:r w:rsidRPr="00051297">
              <w:rPr>
                <w:lang w:val="en-US"/>
              </w:rPr>
              <w:t>From 2000 and more</w:t>
            </w:r>
          </w:p>
        </w:tc>
        <w:tc>
          <w:tcPr>
            <w:tcW w:w="6120" w:type="dxa"/>
          </w:tcPr>
          <w:p w14:paraId="794FA20E" w14:textId="77777777" w:rsidR="00051297" w:rsidRPr="00051297" w:rsidRDefault="00051297" w:rsidP="00051297">
            <w:pPr>
              <w:spacing w:line="240" w:lineRule="auto"/>
              <w:ind w:firstLine="0"/>
              <w:jc w:val="center"/>
              <w:rPr>
                <w:lang w:val="en-US"/>
              </w:rPr>
            </w:pPr>
            <w:r w:rsidRPr="00051297">
              <w:rPr>
                <w:lang w:val="en-US"/>
              </w:rPr>
              <w:t>Modeling using computers</w:t>
            </w:r>
          </w:p>
        </w:tc>
      </w:tr>
    </w:tbl>
    <w:p w14:paraId="15D48AC6" w14:textId="77777777" w:rsidR="00051297" w:rsidRPr="00051297" w:rsidRDefault="00051297" w:rsidP="00051297">
      <w:pPr>
        <w:rPr>
          <w:rFonts w:cs="Times New Roman"/>
          <w:szCs w:val="24"/>
          <w:lang w:val="en-US"/>
        </w:rPr>
      </w:pPr>
    </w:p>
    <w:p w14:paraId="15DC8202" w14:textId="125A3FC4" w:rsidR="00051297" w:rsidRPr="00051297" w:rsidRDefault="00051297" w:rsidP="00F97DFC">
      <w:pPr>
        <w:pStyle w:val="3"/>
        <w:rPr>
          <w:rFonts w:cs="Times New Roman"/>
        </w:rPr>
      </w:pPr>
      <w:bookmarkStart w:id="43" w:name="_Toc97504713"/>
      <w:bookmarkStart w:id="44" w:name="_Toc103543845"/>
      <w:bookmarkStart w:id="45" w:name="_Toc104985169"/>
      <w:r w:rsidRPr="00051297">
        <w:lastRenderedPageBreak/>
        <w:t xml:space="preserve">Rational </w:t>
      </w:r>
      <w:r w:rsidR="004B05B2">
        <w:rPr>
          <w:lang w:val="en-US"/>
        </w:rPr>
        <w:t>formula approach</w:t>
      </w:r>
      <w:bookmarkEnd w:id="43"/>
      <w:bookmarkEnd w:id="44"/>
      <w:bookmarkEnd w:id="45"/>
    </w:p>
    <w:p w14:paraId="4774436B" w14:textId="4A290579" w:rsidR="00051297" w:rsidRPr="00051297" w:rsidRDefault="004B05B2" w:rsidP="00051297">
      <w:pPr>
        <w:rPr>
          <w:rFonts w:cs="Times New Roman"/>
          <w:szCs w:val="24"/>
          <w:lang w:val="en-US"/>
        </w:rPr>
      </w:pPr>
      <w:r>
        <w:rPr>
          <w:rFonts w:cs="Times New Roman"/>
          <w:szCs w:val="24"/>
          <w:lang w:val="en-US"/>
        </w:rPr>
        <w:t>This approach</w:t>
      </w:r>
      <w:r w:rsidR="00051297" w:rsidRPr="00051297">
        <w:rPr>
          <w:rFonts w:cs="Times New Roman"/>
          <w:szCs w:val="24"/>
          <w:lang w:val="en-US"/>
        </w:rPr>
        <w:t xml:space="preserve"> can be used to examine the design storm runoff in urban watersheds that are not complex and are often 30 acres or less in size. The Rational Method can give satisfactory results for the design of urban storm sewers and modest on-site detention facilities if properly understood and applied. The Rational Method is founded on the Rational Formula, which can be written using Equation </w:t>
      </w:r>
      <w:r w:rsidR="00051297" w:rsidRPr="00051297">
        <w:rPr>
          <w:rFonts w:cs="Times New Roman"/>
          <w:szCs w:val="24"/>
          <w:lang w:val="en-US"/>
        </w:rPr>
        <w:fldChar w:fldCharType="begin"/>
      </w:r>
      <w:r w:rsidR="00051297" w:rsidRPr="00051297">
        <w:rPr>
          <w:rFonts w:cs="Times New Roman"/>
          <w:szCs w:val="24"/>
          <w:lang w:val="en-US"/>
        </w:rPr>
        <w:instrText xml:space="preserve"> REF _Ref103551857 \h </w:instrText>
      </w:r>
      <w:r w:rsidR="00051297" w:rsidRPr="00051297">
        <w:rPr>
          <w:rFonts w:cs="Times New Roman"/>
          <w:szCs w:val="24"/>
          <w:lang w:val="en-US"/>
        </w:rPr>
      </w:r>
      <w:r w:rsidR="00051297" w:rsidRPr="00051297">
        <w:rPr>
          <w:rFonts w:cs="Times New Roman"/>
          <w:szCs w:val="24"/>
          <w:lang w:val="en-US"/>
        </w:rPr>
        <w:fldChar w:fldCharType="separate"/>
      </w:r>
      <w:r w:rsidR="004870F1" w:rsidRPr="004870F1">
        <w:rPr>
          <w:szCs w:val="24"/>
          <w:lang w:val="en-US"/>
        </w:rPr>
        <w:t>(</w:t>
      </w:r>
      <w:r w:rsidR="004870F1" w:rsidRPr="004870F1">
        <w:rPr>
          <w:noProof/>
          <w:szCs w:val="24"/>
          <w:lang w:val="en-US"/>
        </w:rPr>
        <w:t>1</w:t>
      </w:r>
      <w:r w:rsidR="004870F1" w:rsidRPr="004870F1">
        <w:rPr>
          <w:szCs w:val="24"/>
          <w:lang w:val="en-US"/>
        </w:rPr>
        <w:t>.</w:t>
      </w:r>
      <w:r w:rsidR="004870F1" w:rsidRPr="004870F1">
        <w:rPr>
          <w:noProof/>
          <w:szCs w:val="24"/>
          <w:lang w:val="en-US"/>
        </w:rPr>
        <w:t>1</w:t>
      </w:r>
      <w:r w:rsidR="004870F1" w:rsidRPr="004870F1">
        <w:rPr>
          <w:szCs w:val="24"/>
          <w:lang w:val="en-US"/>
        </w:rPr>
        <w:t>)</w:t>
      </w:r>
      <w:r w:rsidR="00051297" w:rsidRPr="00051297">
        <w:rPr>
          <w:rFonts w:cs="Times New Roman"/>
          <w:szCs w:val="24"/>
          <w:lang w:val="en-US"/>
        </w:rPr>
        <w:fldChar w:fldCharType="end"/>
      </w:r>
      <w:r w:rsidR="00051297" w:rsidRPr="00051297">
        <w:rPr>
          <w:rFonts w:cs="Times New Roman"/>
          <w:szCs w:val="24"/>
          <w:lang w:val="en-US"/>
        </w:rPr>
        <w:t xml:space="preserve"> </w:t>
      </w:r>
      <w:r w:rsidR="00051297" w:rsidRPr="00051297">
        <w:rPr>
          <w:rFonts w:cs="Times New Roman"/>
          <w:szCs w:val="24"/>
        </w:rPr>
        <w:fldChar w:fldCharType="begin" w:fldLock="1"/>
      </w:r>
      <w:r w:rsidR="00FA5896">
        <w:rPr>
          <w:rFonts w:cs="Times New Roman"/>
          <w:szCs w:val="24"/>
          <w:lang w:val="en-US"/>
        </w:rPr>
        <w:instrText>ADDIN CSL_CITATION {"citationItems":[{"id":"ITEM-1","itemData":{"DOI":"10.1061/(asce)1084-0699(2001)6:4(352)","ISSN":"1084-0699","abstract":"In this study, the rational method is expanded into the rational hydrograph method in which the time of concentration is considered as the system memory and the contributing rainfall depth to the present runoff rate is defined as the accumulated precipitation over the past up to the time of concentration. In doing so, the complete runoff hydrograph can be generated under a continuous nonuniform hyetograph. When the continuous hyetograph is uniform in time, the rational hydrograph method is reduced to the rational method. Using the moving average formulas developed in this study, the event-averaged time of concentration and runoff coefficient can be derived by the least-square method. A new formula for estimating the time of concentration was derived from 25 rainfall/runoff events observed in four urban watersheds. This approach was tested by laboratory observations, and rainfall/runoff events recorded from small watersheds in states of Maryland and Colorado.","author":[{"dropping-particle":"","family":"Guo","given":"James C. Y.","non-dropping-particle":"","parse-names":false,"suffix":""}],"container-title":"Journal of Hydrologic Engineering","id":"ITEM-1","issued":{"date-parts":[["2001"]]},"title":"Rational Hydrograph Method for Small Urban Watersheds","type":"article-journal"},"uris":["http://www.mendeley.com/documents/?uuid=d6262aa6-db9c-4262-b460-de269a5f48e3","http://www.mendeley.com/documents/?uuid=9b3348a2-fc48-4b33-92a5-5341b1f7bb80","http://www.mendeley.com/documents/?uuid=aedefba2-f7f9-4310-b693-098b2f8f725c"]}],"mendeley":{"formattedCitation":"[75]","plainTextFormattedCitation":"[75]","previouslyFormattedCitation":"[75]"},"properties":{"noteIndex":0},"schema":"https://github.com/citation-style-language/schema/raw/master/csl-citation.json"}</w:instrText>
      </w:r>
      <w:r w:rsidR="00051297" w:rsidRPr="00051297">
        <w:rPr>
          <w:rFonts w:cs="Times New Roman"/>
          <w:szCs w:val="24"/>
        </w:rPr>
        <w:fldChar w:fldCharType="separate"/>
      </w:r>
      <w:r w:rsidR="0032684D" w:rsidRPr="0032684D">
        <w:rPr>
          <w:rFonts w:cs="Times New Roman"/>
          <w:noProof/>
          <w:szCs w:val="24"/>
          <w:lang w:val="en-US"/>
        </w:rPr>
        <w:t>[75]</w:t>
      </w:r>
      <w:r w:rsidR="00051297" w:rsidRPr="00051297">
        <w:rPr>
          <w:rFonts w:cs="Times New Roman"/>
          <w:szCs w:val="24"/>
        </w:rPr>
        <w:fldChar w:fldCharType="end"/>
      </w:r>
      <w:r w:rsidR="00051297" w:rsidRPr="00051297">
        <w:rPr>
          <w:rFonts w:cs="Times New Roman"/>
          <w:szCs w:val="24"/>
          <w:lang w:val="en-U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
        <w:gridCol w:w="7710"/>
        <w:gridCol w:w="1385"/>
      </w:tblGrid>
      <w:tr w:rsidR="00051297" w:rsidRPr="00051297" w14:paraId="296A398A" w14:textId="77777777" w:rsidTr="00D20B01">
        <w:trPr>
          <w:trHeight w:val="638"/>
        </w:trPr>
        <w:tc>
          <w:tcPr>
            <w:tcW w:w="262" w:type="dxa"/>
          </w:tcPr>
          <w:p w14:paraId="524B3EA8" w14:textId="77777777" w:rsidR="00051297" w:rsidRPr="00051297" w:rsidRDefault="00051297" w:rsidP="00051297">
            <w:pPr>
              <w:spacing w:after="160"/>
              <w:rPr>
                <w:szCs w:val="24"/>
                <w:lang w:val="en-US"/>
              </w:rPr>
            </w:pPr>
          </w:p>
        </w:tc>
        <w:tc>
          <w:tcPr>
            <w:tcW w:w="8378" w:type="dxa"/>
          </w:tcPr>
          <w:p w14:paraId="2BAF8441" w14:textId="77777777" w:rsidR="00051297" w:rsidRPr="00051297" w:rsidRDefault="00051297" w:rsidP="00051297">
            <w:pPr>
              <w:spacing w:after="160"/>
              <w:rPr>
                <w:bCs/>
                <w:szCs w:val="24"/>
              </w:rPr>
            </w:pPr>
            <m:oMathPara>
              <m:oMath>
                <m:r>
                  <w:rPr>
                    <w:rFonts w:ascii="Cambria Math" w:hAnsi="Cambria Math"/>
                    <w:szCs w:val="24"/>
                  </w:rPr>
                  <m:t>Q=</m:t>
                </m:r>
                <m:sSub>
                  <m:sSubPr>
                    <m:ctrlPr>
                      <w:rPr>
                        <w:rFonts w:ascii="Cambria Math" w:hAnsi="Cambria Math"/>
                        <w:bCs/>
                        <w:i/>
                        <w:szCs w:val="24"/>
                      </w:rPr>
                    </m:ctrlPr>
                  </m:sSubPr>
                  <m:e>
                    <m:r>
                      <w:rPr>
                        <w:rFonts w:ascii="Cambria Math" w:hAnsi="Cambria Math"/>
                        <w:szCs w:val="24"/>
                      </w:rPr>
                      <m:t>k</m:t>
                    </m:r>
                  </m:e>
                  <m:sub>
                    <m:r>
                      <w:rPr>
                        <w:rFonts w:ascii="Cambria Math" w:hAnsi="Cambria Math"/>
                        <w:szCs w:val="24"/>
                      </w:rPr>
                      <m:t>i</m:t>
                    </m:r>
                  </m:sub>
                </m:sSub>
                <m:r>
                  <w:rPr>
                    <w:rFonts w:ascii="Cambria Math" w:hAnsi="Cambria Math"/>
                    <w:szCs w:val="24"/>
                  </w:rPr>
                  <m:t>×C×I×A</m:t>
                </m:r>
              </m:oMath>
            </m:oMathPara>
          </w:p>
        </w:tc>
        <w:tc>
          <w:tcPr>
            <w:tcW w:w="720" w:type="dxa"/>
            <w:vAlign w:val="center"/>
          </w:tcPr>
          <w:p w14:paraId="0771878F" w14:textId="7DA58EA7" w:rsidR="00051297" w:rsidRPr="00051297" w:rsidRDefault="00051297" w:rsidP="00051297">
            <w:pPr>
              <w:spacing w:after="160"/>
            </w:pPr>
            <w:bookmarkStart w:id="46" w:name="_Ref103551857"/>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1</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1</w:t>
            </w:r>
            <w:r w:rsidRPr="00051297">
              <w:rPr>
                <w:szCs w:val="24"/>
              </w:rPr>
              <w:fldChar w:fldCharType="end"/>
            </w:r>
            <w:r w:rsidRPr="00051297">
              <w:rPr>
                <w:szCs w:val="24"/>
              </w:rPr>
              <w:t>)</w:t>
            </w:r>
            <w:bookmarkEnd w:id="46"/>
          </w:p>
        </w:tc>
      </w:tr>
    </w:tbl>
    <w:p w14:paraId="6B2E2CA3" w14:textId="77777777" w:rsidR="00051297" w:rsidRPr="00F9097D" w:rsidRDefault="00051297" w:rsidP="00051297">
      <w:pPr>
        <w:rPr>
          <w:rFonts w:cs="Times New Roman"/>
          <w:szCs w:val="24"/>
          <w:lang w:val="en-US"/>
        </w:rPr>
      </w:pPr>
      <w:bookmarkStart w:id="47" w:name="_bookmark5"/>
      <w:bookmarkEnd w:id="47"/>
      <w:r w:rsidRPr="00F9097D">
        <w:rPr>
          <w:rFonts w:cs="Times New Roman"/>
          <w:szCs w:val="24"/>
          <w:lang w:val="en-US"/>
        </w:rPr>
        <w:t>Whereby</w:t>
      </w:r>
      <w:r w:rsidRPr="00051297">
        <w:rPr>
          <w:rFonts w:cs="Times New Roman"/>
          <w:szCs w:val="24"/>
          <w:lang w:val="en-US"/>
        </w:rPr>
        <w:t>:</w:t>
      </w:r>
      <w:r w:rsidRPr="00F9097D">
        <w:rPr>
          <w:rFonts w:cs="Times New Roman"/>
          <w:szCs w:val="24"/>
          <w:lang w:val="en-US"/>
        </w:rPr>
        <w:t xml:space="preserve"> </w:t>
      </w:r>
    </w:p>
    <w:p w14:paraId="65734A52" w14:textId="42793A58" w:rsidR="00051297" w:rsidRPr="00051297" w:rsidRDefault="00051297" w:rsidP="00051297">
      <w:pPr>
        <w:rPr>
          <w:rFonts w:cs="Times New Roman"/>
          <w:szCs w:val="24"/>
          <w:lang w:val="en-US"/>
        </w:rPr>
      </w:pPr>
      <w:r w:rsidRPr="00051297">
        <w:rPr>
          <w:rFonts w:cs="Times New Roman"/>
          <w:szCs w:val="24"/>
          <w:lang w:val="en-US"/>
        </w:rPr>
        <w:t xml:space="preserve">Q – peak rate of runoff in. </w:t>
      </w:r>
    </w:p>
    <w:p w14:paraId="12F71537" w14:textId="77777777" w:rsidR="00051297" w:rsidRPr="00051297" w:rsidRDefault="00051297" w:rsidP="00051297">
      <w:pPr>
        <w:rPr>
          <w:rFonts w:cs="Times New Roman"/>
          <w:szCs w:val="24"/>
          <w:lang w:val="en-US"/>
        </w:rPr>
      </w:pPr>
      <w:r w:rsidRPr="00051297">
        <w:rPr>
          <w:rFonts w:cs="Times New Roman"/>
          <w:szCs w:val="24"/>
          <w:lang w:val="en-US"/>
        </w:rPr>
        <w:t>k</w:t>
      </w:r>
      <w:r w:rsidRPr="00051297">
        <w:rPr>
          <w:rFonts w:cs="Times New Roman"/>
          <w:szCs w:val="24"/>
          <w:vertAlign w:val="subscript"/>
          <w:lang w:val="en-US"/>
        </w:rPr>
        <w:t>i</w:t>
      </w:r>
      <w:r w:rsidRPr="00051297">
        <w:rPr>
          <w:rFonts w:cs="Times New Roman"/>
          <w:szCs w:val="24"/>
          <w:lang w:val="en-US"/>
        </w:rPr>
        <w:t xml:space="preserve"> – adjustment multiplier for design storm recurrence interval.</w:t>
      </w:r>
    </w:p>
    <w:p w14:paraId="2BF5A843" w14:textId="72E6A86D" w:rsidR="00051297" w:rsidRPr="00051297" w:rsidRDefault="00051297" w:rsidP="00051297">
      <w:pPr>
        <w:rPr>
          <w:rFonts w:cs="Times New Roman"/>
          <w:szCs w:val="24"/>
          <w:lang w:val="en-US"/>
        </w:rPr>
      </w:pPr>
      <w:r w:rsidRPr="00051297">
        <w:rPr>
          <w:rFonts w:cs="Times New Roman"/>
          <w:szCs w:val="24"/>
          <w:lang w:val="en-US"/>
        </w:rPr>
        <w:t>C – runoff coefficient</w:t>
      </w:r>
      <w:r w:rsidR="00391973">
        <w:rPr>
          <w:rFonts w:cs="Times New Roman"/>
          <w:szCs w:val="24"/>
          <w:lang w:val="en-US"/>
        </w:rPr>
        <w:t xml:space="preserve"> – accounting for the land surface properties.</w:t>
      </w:r>
    </w:p>
    <w:p w14:paraId="0A44DE8C" w14:textId="4745C56E" w:rsidR="00051297" w:rsidRPr="00051297" w:rsidRDefault="00051297" w:rsidP="00051297">
      <w:pPr>
        <w:rPr>
          <w:rFonts w:cs="Times New Roman"/>
          <w:szCs w:val="24"/>
          <w:lang w:val="en-US"/>
        </w:rPr>
      </w:pPr>
      <w:r w:rsidRPr="00051297">
        <w:rPr>
          <w:rFonts w:cs="Times New Roman"/>
          <w:szCs w:val="24"/>
          <w:lang w:val="en-US"/>
        </w:rPr>
        <w:t>I – average rainfall intensity, for some time equivalent to the critical time of complete contribution of the drainage area under consideration. The "time of concentration" t</w:t>
      </w:r>
      <w:r w:rsidRPr="00051297">
        <w:rPr>
          <w:rFonts w:cs="Times New Roman"/>
          <w:szCs w:val="24"/>
          <w:vertAlign w:val="subscript"/>
          <w:lang w:val="en-US"/>
        </w:rPr>
        <w:t>c</w:t>
      </w:r>
      <w:r w:rsidRPr="00051297">
        <w:rPr>
          <w:rFonts w:cs="Times New Roman"/>
          <w:szCs w:val="24"/>
          <w:lang w:val="en-US"/>
        </w:rPr>
        <w:t xml:space="preserve">, is a term used to describe the critical period for the full contribution. </w:t>
      </w:r>
    </w:p>
    <w:p w14:paraId="0F1A49EC" w14:textId="77777777" w:rsidR="00051297" w:rsidRPr="00051297" w:rsidRDefault="00051297" w:rsidP="00051297">
      <w:pPr>
        <w:rPr>
          <w:rFonts w:cs="Times New Roman"/>
          <w:szCs w:val="24"/>
          <w:lang w:val="en-US"/>
        </w:rPr>
      </w:pPr>
      <w:r w:rsidRPr="00051297">
        <w:rPr>
          <w:rFonts w:cs="Times New Roman"/>
          <w:szCs w:val="24"/>
          <w:lang w:val="en-US"/>
        </w:rPr>
        <w:t>A – area in acres that contributes to runoff at the point of design or the point under consideration.</w:t>
      </w:r>
    </w:p>
    <w:p w14:paraId="7E92AAE3" w14:textId="6413997E" w:rsidR="00051297" w:rsidRPr="00051297" w:rsidRDefault="00051297" w:rsidP="00F97DFC">
      <w:pPr>
        <w:pStyle w:val="4"/>
      </w:pPr>
      <w:bookmarkStart w:id="48" w:name="_bookmark7"/>
      <w:bookmarkStart w:id="49" w:name="_Toc97504714"/>
      <w:bookmarkStart w:id="50" w:name="_Toc103543846"/>
      <w:bookmarkStart w:id="51" w:name="_Toc104985170"/>
      <w:bookmarkEnd w:id="48"/>
      <w:r w:rsidRPr="00051297">
        <w:t xml:space="preserve">Rational Method </w:t>
      </w:r>
      <w:r w:rsidR="00554E6C">
        <w:rPr>
          <w:lang w:val="en-US"/>
        </w:rPr>
        <w:t>c</w:t>
      </w:r>
      <w:r w:rsidRPr="00051297">
        <w:t xml:space="preserve">alculation </w:t>
      </w:r>
      <w:r w:rsidR="00554E6C">
        <w:rPr>
          <w:lang w:val="en-US"/>
        </w:rPr>
        <w:t>p</w:t>
      </w:r>
      <w:r w:rsidRPr="00051297">
        <w:t>rocedure</w:t>
      </w:r>
      <w:bookmarkEnd w:id="49"/>
      <w:bookmarkEnd w:id="50"/>
      <w:bookmarkEnd w:id="51"/>
    </w:p>
    <w:p w14:paraId="5BB2C398" w14:textId="18639D63" w:rsidR="00051297" w:rsidRPr="00051297" w:rsidRDefault="00051297" w:rsidP="00051297">
      <w:pPr>
        <w:rPr>
          <w:rFonts w:cs="Times New Roman"/>
          <w:szCs w:val="24"/>
          <w:lang w:val="en-US"/>
        </w:rPr>
      </w:pPr>
      <w:r w:rsidRPr="00051297">
        <w:rPr>
          <w:rFonts w:cs="Times New Roman"/>
          <w:szCs w:val="24"/>
          <w:lang w:val="en-US"/>
        </w:rPr>
        <w:t xml:space="preserve">The following is the general technique for Rational Method calculations for a single watershed according to the City of Bella Vista drainage criteria manual </w:t>
      </w:r>
      <w:r w:rsidRPr="00051297">
        <w:rPr>
          <w:rFonts w:cs="Times New Roman"/>
          <w:szCs w:val="24"/>
        </w:rPr>
        <w:fldChar w:fldCharType="begin" w:fldLock="1"/>
      </w:r>
      <w:r w:rsidR="00FA5896">
        <w:rPr>
          <w:rFonts w:cs="Times New Roman"/>
          <w:szCs w:val="24"/>
          <w:lang w:val="en-US"/>
        </w:rPr>
        <w:instrText>ADDIN CSL_CITATION {"citationItems":[{"id":"ITEM-1","itemData":{"author":[{"dropping-particle":"","family":"City of Bella Vista","given":"","non-dropping-particle":"","parse-names":false,"suffix":""}],"container-title":"DRAINAGE CRITERIA MANUAL","id":"ITEM-1","issued":{"date-parts":[["2020"]]},"title":"DRAINAGE CRITERIA MANUAL CHAPTER 3 . DETERMINATION OF STORM WATER RUNOFF","type":"chapter"},"uris":["http://www.mendeley.com/documents/?uuid=795f2b43-77a2-478b-a590-23f9a70bf4fb","http://www.mendeley.com/documents/?uuid=6ae2432e-f571-4810-9d15-5f7dd5ed8f4a"]}],"mendeley":{"formattedCitation":"[74]","plainTextFormattedCitation":"[74]","previouslyFormattedCitation":"[74]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[74]</w:t>
      </w:r>
      <w:r w:rsidRPr="00051297">
        <w:rPr>
          <w:rFonts w:cs="Times New Roman"/>
          <w:szCs w:val="24"/>
        </w:rPr>
        <w:fldChar w:fldCharType="end"/>
      </w:r>
      <w:r w:rsidRPr="00051297">
        <w:rPr>
          <w:rFonts w:cs="Times New Roman"/>
          <w:szCs w:val="24"/>
          <w:lang w:val="en-US"/>
        </w:rPr>
        <w:t xml:space="preserve">: </w:t>
      </w:r>
    </w:p>
    <w:p w14:paraId="7406853E" w14:textId="77777777" w:rsidR="00051297" w:rsidRPr="00051297" w:rsidRDefault="00051297" w:rsidP="00051297">
      <w:pPr>
        <w:numPr>
          <w:ilvl w:val="0"/>
          <w:numId w:val="20"/>
        </w:numPr>
        <w:tabs>
          <w:tab w:val="clear" w:pos="720"/>
          <w:tab w:val="num" w:pos="993"/>
        </w:tabs>
        <w:ind w:left="0" w:firstLine="709"/>
        <w:rPr>
          <w:rFonts w:cs="Times New Roman"/>
          <w:szCs w:val="24"/>
          <w:lang w:val="en-US"/>
        </w:rPr>
      </w:pPr>
      <w:r w:rsidRPr="00051297">
        <w:rPr>
          <w:rFonts w:cs="Times New Roman"/>
          <w:szCs w:val="24"/>
          <w:lang w:val="en-US"/>
        </w:rPr>
        <w:t xml:space="preserve">Draw a line around the watershed's perimeter and calculate its area in acres. </w:t>
      </w:r>
    </w:p>
    <w:p w14:paraId="3932925C" w14:textId="77777777" w:rsidR="00051297" w:rsidRPr="00F9097D" w:rsidRDefault="00051297" w:rsidP="00051297">
      <w:pPr>
        <w:numPr>
          <w:ilvl w:val="0"/>
          <w:numId w:val="20"/>
        </w:numPr>
        <w:tabs>
          <w:tab w:val="clear" w:pos="720"/>
          <w:tab w:val="num" w:pos="993"/>
        </w:tabs>
        <w:ind w:left="0" w:firstLine="709"/>
        <w:rPr>
          <w:rFonts w:cs="Times New Roman"/>
          <w:szCs w:val="24"/>
          <w:lang w:val="en-US"/>
        </w:rPr>
      </w:pPr>
      <w:r w:rsidRPr="00051297">
        <w:rPr>
          <w:rFonts w:cs="Times New Roman"/>
          <w:szCs w:val="24"/>
          <w:lang w:val="en-US"/>
        </w:rPr>
        <w:t xml:space="preserve">Define the flow channel from the watershed's hydraulically farthest point to the design point. </w:t>
      </w:r>
    </w:p>
    <w:p w14:paraId="6425B08E" w14:textId="77777777" w:rsidR="00051297" w:rsidRPr="00051297" w:rsidRDefault="00051297" w:rsidP="00051297">
      <w:pPr>
        <w:numPr>
          <w:ilvl w:val="0"/>
          <w:numId w:val="20"/>
        </w:numPr>
        <w:tabs>
          <w:tab w:val="clear" w:pos="720"/>
          <w:tab w:val="num" w:pos="993"/>
        </w:tabs>
        <w:ind w:left="0" w:firstLine="709"/>
        <w:rPr>
          <w:rFonts w:cs="Times New Roman"/>
          <w:szCs w:val="24"/>
          <w:lang w:val="en-US"/>
        </w:rPr>
      </w:pPr>
      <w:r w:rsidRPr="00051297">
        <w:rPr>
          <w:rFonts w:cs="Times New Roman"/>
          <w:szCs w:val="24"/>
          <w:lang w:val="en-US"/>
        </w:rPr>
        <w:t>Calculate the watershed's time of concentration, t</w:t>
      </w:r>
      <w:r w:rsidRPr="00051297">
        <w:rPr>
          <w:rFonts w:cs="Times New Roman"/>
          <w:szCs w:val="24"/>
          <w:vertAlign w:val="subscript"/>
          <w:lang w:val="en-US"/>
        </w:rPr>
        <w:t>c</w:t>
      </w:r>
      <w:r w:rsidRPr="00051297">
        <w:rPr>
          <w:rFonts w:cs="Times New Roman"/>
          <w:szCs w:val="24"/>
          <w:lang w:val="en-US"/>
        </w:rPr>
        <w:t xml:space="preserve">. </w:t>
      </w:r>
    </w:p>
    <w:p w14:paraId="14F32F53" w14:textId="77777777" w:rsidR="00051297" w:rsidRPr="00051297" w:rsidRDefault="00051297" w:rsidP="00051297">
      <w:pPr>
        <w:numPr>
          <w:ilvl w:val="0"/>
          <w:numId w:val="20"/>
        </w:numPr>
        <w:tabs>
          <w:tab w:val="clear" w:pos="720"/>
          <w:tab w:val="num" w:pos="993"/>
        </w:tabs>
        <w:ind w:left="0" w:firstLine="709"/>
        <w:rPr>
          <w:rFonts w:cs="Times New Roman"/>
          <w:szCs w:val="24"/>
          <w:lang w:val="en-US"/>
        </w:rPr>
      </w:pPr>
      <w:r w:rsidRPr="00051297">
        <w:rPr>
          <w:rFonts w:cs="Times New Roman"/>
          <w:szCs w:val="24"/>
          <w:lang w:val="en-US"/>
        </w:rPr>
        <w:t>Using the computed t</w:t>
      </w:r>
      <w:r w:rsidRPr="00051297">
        <w:rPr>
          <w:rFonts w:cs="Times New Roman"/>
          <w:szCs w:val="24"/>
          <w:vertAlign w:val="subscript"/>
          <w:lang w:val="en-US"/>
        </w:rPr>
        <w:t>c</w:t>
      </w:r>
      <w:r w:rsidRPr="00051297">
        <w:rPr>
          <w:rFonts w:cs="Times New Roman"/>
          <w:szCs w:val="24"/>
          <w:lang w:val="en-US"/>
        </w:rPr>
        <w:t xml:space="preserve"> and the rainfall intensity-duration-frequency information, determine the rainfall intensity, I, for the design storm. </w:t>
      </w:r>
    </w:p>
    <w:p w14:paraId="506B40AB" w14:textId="77777777" w:rsidR="00051297" w:rsidRPr="00051297" w:rsidRDefault="00051297" w:rsidP="00051297">
      <w:pPr>
        <w:numPr>
          <w:ilvl w:val="0"/>
          <w:numId w:val="20"/>
        </w:numPr>
        <w:tabs>
          <w:tab w:val="clear" w:pos="720"/>
          <w:tab w:val="num" w:pos="993"/>
        </w:tabs>
        <w:ind w:left="0" w:firstLine="709"/>
        <w:rPr>
          <w:rFonts w:cs="Times New Roman"/>
          <w:szCs w:val="24"/>
          <w:lang w:val="en-US"/>
        </w:rPr>
      </w:pPr>
      <w:r w:rsidRPr="00051297">
        <w:rPr>
          <w:rFonts w:cs="Times New Roman"/>
          <w:szCs w:val="24"/>
          <w:lang w:val="en-US"/>
        </w:rPr>
        <w:t xml:space="preserve">Calculate C, the runoff coefficient. </w:t>
      </w:r>
    </w:p>
    <w:p w14:paraId="3D9CBED5" w14:textId="77777777" w:rsidR="00051297" w:rsidRPr="00051297" w:rsidRDefault="00051297" w:rsidP="00051297">
      <w:pPr>
        <w:numPr>
          <w:ilvl w:val="0"/>
          <w:numId w:val="20"/>
        </w:numPr>
        <w:tabs>
          <w:tab w:val="clear" w:pos="720"/>
          <w:tab w:val="num" w:pos="993"/>
        </w:tabs>
        <w:ind w:left="0" w:firstLine="709"/>
        <w:rPr>
          <w:rFonts w:cs="Times New Roman"/>
          <w:szCs w:val="24"/>
          <w:lang w:val="en-US"/>
        </w:rPr>
      </w:pPr>
      <w:r w:rsidRPr="00051297">
        <w:rPr>
          <w:rFonts w:cs="Times New Roman"/>
          <w:szCs w:val="24"/>
          <w:lang w:val="en-US"/>
        </w:rPr>
        <w:t>Calculate the watershed's peak flow rate.</w:t>
      </w:r>
    </w:p>
    <w:p w14:paraId="4151BBA2" w14:textId="6569165B" w:rsidR="00051297" w:rsidRPr="00051297" w:rsidRDefault="00051297" w:rsidP="00F97DFC">
      <w:pPr>
        <w:pStyle w:val="4"/>
        <w:rPr>
          <w:lang w:val="en-US"/>
        </w:rPr>
      </w:pPr>
      <w:bookmarkStart w:id="52" w:name="_bookmark8"/>
      <w:bookmarkStart w:id="53" w:name="_Toc97504715"/>
      <w:bookmarkStart w:id="54" w:name="_Toc103543847"/>
      <w:bookmarkStart w:id="55" w:name="_Toc104985171"/>
      <w:bookmarkEnd w:id="52"/>
      <w:r w:rsidRPr="00051297">
        <w:rPr>
          <w:lang w:val="en-US"/>
        </w:rPr>
        <w:t>Assumptions used in the rational method</w:t>
      </w:r>
      <w:bookmarkEnd w:id="53"/>
      <w:bookmarkEnd w:id="54"/>
      <w:bookmarkEnd w:id="55"/>
    </w:p>
    <w:p w14:paraId="77980FEA" w14:textId="77777777" w:rsidR="00051297" w:rsidRPr="00051297" w:rsidRDefault="00051297" w:rsidP="00051297">
      <w:pPr>
        <w:rPr>
          <w:rFonts w:cs="Times New Roman"/>
          <w:szCs w:val="24"/>
          <w:lang w:val="en-US"/>
        </w:rPr>
      </w:pPr>
      <w:r w:rsidRPr="00051297">
        <w:rPr>
          <w:rFonts w:cs="Times New Roman"/>
          <w:szCs w:val="24"/>
          <w:lang w:val="en-US"/>
        </w:rPr>
        <w:t xml:space="preserve">The following are the basic assumptions that go along with using the Rational Method: </w:t>
      </w:r>
    </w:p>
    <w:p w14:paraId="1FA76A96" w14:textId="77777777" w:rsidR="00051297" w:rsidRPr="00051297" w:rsidRDefault="00051297" w:rsidP="00051297">
      <w:pPr>
        <w:numPr>
          <w:ilvl w:val="0"/>
          <w:numId w:val="21"/>
        </w:numPr>
        <w:tabs>
          <w:tab w:val="clear" w:pos="720"/>
          <w:tab w:val="num" w:pos="993"/>
        </w:tabs>
        <w:ind w:left="0" w:firstLine="709"/>
        <w:rPr>
          <w:rFonts w:cs="Times New Roman"/>
          <w:szCs w:val="24"/>
          <w:lang w:val="en-US"/>
        </w:rPr>
      </w:pPr>
      <w:r w:rsidRPr="00051297">
        <w:rPr>
          <w:rFonts w:cs="Times New Roman"/>
          <w:szCs w:val="24"/>
          <w:lang w:val="en-US"/>
        </w:rPr>
        <w:t xml:space="preserve">The average rainfall rate for the watershed throughout the time of concentration determines the estimated peak rate of surface runoff to the design point. </w:t>
      </w:r>
    </w:p>
    <w:p w14:paraId="74B0C997" w14:textId="05EB3C08" w:rsidR="00051297" w:rsidRPr="00051297" w:rsidRDefault="00051297" w:rsidP="00051297">
      <w:pPr>
        <w:numPr>
          <w:ilvl w:val="0"/>
          <w:numId w:val="21"/>
        </w:numPr>
        <w:tabs>
          <w:tab w:val="clear" w:pos="720"/>
          <w:tab w:val="num" w:pos="993"/>
        </w:tabs>
        <w:ind w:left="0" w:firstLine="709"/>
        <w:rPr>
          <w:rFonts w:cs="Times New Roman"/>
          <w:szCs w:val="24"/>
          <w:lang w:val="en-US"/>
        </w:rPr>
      </w:pPr>
      <w:r w:rsidRPr="00051297">
        <w:rPr>
          <w:rFonts w:cs="Times New Roman"/>
          <w:szCs w:val="24"/>
          <w:lang w:val="en-US"/>
        </w:rPr>
        <w:t xml:space="preserve">The time of concentration is the most important factor in establishing the design rainfall intensity, and it is equal to the </w:t>
      </w:r>
      <w:r w:rsidR="00432B92">
        <w:rPr>
          <w:rFonts w:cs="Times New Roman"/>
          <w:szCs w:val="24"/>
          <w:lang w:val="en-US"/>
        </w:rPr>
        <w:t>entire period required by</w:t>
      </w:r>
      <w:r w:rsidRPr="00051297">
        <w:rPr>
          <w:rFonts w:cs="Times New Roman"/>
          <w:szCs w:val="24"/>
          <w:lang w:val="en-US"/>
        </w:rPr>
        <w:t xml:space="preserve"> </w:t>
      </w:r>
      <w:r w:rsidR="00432B92">
        <w:rPr>
          <w:rFonts w:cs="Times New Roman"/>
          <w:szCs w:val="24"/>
          <w:lang w:val="en-US"/>
        </w:rPr>
        <w:t>the</w:t>
      </w:r>
      <w:r w:rsidRPr="00051297">
        <w:rPr>
          <w:rFonts w:cs="Times New Roman"/>
          <w:szCs w:val="24"/>
          <w:lang w:val="en-US"/>
        </w:rPr>
        <w:t xml:space="preserve"> water to </w:t>
      </w:r>
      <w:r w:rsidR="00432B92">
        <w:rPr>
          <w:rFonts w:cs="Times New Roman"/>
          <w:szCs w:val="24"/>
          <w:lang w:val="en-US"/>
        </w:rPr>
        <w:t>move</w:t>
      </w:r>
      <w:r w:rsidRPr="00051297">
        <w:rPr>
          <w:rFonts w:cs="Times New Roman"/>
          <w:szCs w:val="24"/>
          <w:lang w:val="en-US"/>
        </w:rPr>
        <w:t xml:space="preserve"> from the </w:t>
      </w:r>
      <w:r w:rsidR="00432B92">
        <w:rPr>
          <w:rFonts w:cs="Times New Roman"/>
          <w:szCs w:val="24"/>
          <w:lang w:val="en-US"/>
        </w:rPr>
        <w:t>catchment</w:t>
      </w:r>
      <w:r w:rsidRPr="00051297">
        <w:rPr>
          <w:rFonts w:cs="Times New Roman"/>
          <w:szCs w:val="24"/>
          <w:lang w:val="en-US"/>
        </w:rPr>
        <w:t xml:space="preserve">'s farthest point to the design point. </w:t>
      </w:r>
    </w:p>
    <w:p w14:paraId="3D32A289" w14:textId="77777777" w:rsidR="00051297" w:rsidRPr="00051297" w:rsidRDefault="00051297" w:rsidP="00051297">
      <w:pPr>
        <w:numPr>
          <w:ilvl w:val="0"/>
          <w:numId w:val="21"/>
        </w:numPr>
        <w:tabs>
          <w:tab w:val="clear" w:pos="720"/>
          <w:tab w:val="num" w:pos="993"/>
        </w:tabs>
        <w:ind w:left="0" w:firstLine="709"/>
        <w:rPr>
          <w:rFonts w:cs="Times New Roman"/>
          <w:szCs w:val="24"/>
          <w:lang w:val="en-US"/>
        </w:rPr>
      </w:pPr>
      <w:r w:rsidRPr="00051297">
        <w:rPr>
          <w:rFonts w:cs="Times New Roman"/>
          <w:szCs w:val="24"/>
          <w:lang w:val="en-US"/>
        </w:rPr>
        <w:lastRenderedPageBreak/>
        <w:t xml:space="preserve">Throughout the storm event, the runoff coefficient, C, remains constant. </w:t>
      </w:r>
    </w:p>
    <w:p w14:paraId="5A924533" w14:textId="77777777" w:rsidR="00051297" w:rsidRPr="00051297" w:rsidRDefault="00051297" w:rsidP="00051297">
      <w:pPr>
        <w:numPr>
          <w:ilvl w:val="0"/>
          <w:numId w:val="21"/>
        </w:numPr>
        <w:tabs>
          <w:tab w:val="clear" w:pos="720"/>
          <w:tab w:val="num" w:pos="993"/>
        </w:tabs>
        <w:ind w:left="0" w:firstLine="709"/>
        <w:rPr>
          <w:rFonts w:cs="Times New Roman"/>
          <w:szCs w:val="24"/>
          <w:lang w:val="en-US"/>
        </w:rPr>
      </w:pPr>
      <w:r w:rsidRPr="00051297">
        <w:rPr>
          <w:rFonts w:cs="Times New Roman"/>
          <w:szCs w:val="24"/>
          <w:lang w:val="en-US"/>
        </w:rPr>
        <w:t xml:space="preserve">During a storm event, the rate of rainfall, or rainfall intensity, remains constant and is evenly distributed over the watershed. </w:t>
      </w:r>
    </w:p>
    <w:p w14:paraId="387590CA" w14:textId="3FC014B1" w:rsidR="00051297" w:rsidRPr="00051297" w:rsidRDefault="00051297" w:rsidP="00051297">
      <w:pPr>
        <w:numPr>
          <w:ilvl w:val="0"/>
          <w:numId w:val="21"/>
        </w:numPr>
        <w:tabs>
          <w:tab w:val="clear" w:pos="720"/>
          <w:tab w:val="num" w:pos="993"/>
        </w:tabs>
        <w:ind w:left="0" w:firstLine="709"/>
        <w:rPr>
          <w:rFonts w:cs="Times New Roman"/>
          <w:szCs w:val="24"/>
          <w:lang w:val="en-US"/>
        </w:rPr>
      </w:pPr>
      <w:r w:rsidRPr="00051297">
        <w:rPr>
          <w:rFonts w:cs="Times New Roman"/>
          <w:szCs w:val="24"/>
          <w:lang w:val="en-US"/>
        </w:rPr>
        <w:t xml:space="preserve">The rainfall depth considered is the amount that falls between the commencement of the storm and the moment of concentration. The average rainfall intensity for that period is derived from the design rainfall depth. </w:t>
      </w:r>
    </w:p>
    <w:p w14:paraId="1140785E" w14:textId="77777777" w:rsidR="00051297" w:rsidRPr="00051297" w:rsidRDefault="00051297" w:rsidP="00051297">
      <w:pPr>
        <w:numPr>
          <w:ilvl w:val="0"/>
          <w:numId w:val="21"/>
        </w:numPr>
        <w:tabs>
          <w:tab w:val="clear" w:pos="720"/>
          <w:tab w:val="num" w:pos="993"/>
        </w:tabs>
        <w:ind w:left="0" w:firstLine="709"/>
        <w:rPr>
          <w:rFonts w:cs="Times New Roman"/>
          <w:szCs w:val="24"/>
          <w:lang w:val="en-US"/>
        </w:rPr>
      </w:pPr>
      <w:r w:rsidRPr="00051297">
        <w:rPr>
          <w:rFonts w:cs="Times New Roman"/>
          <w:szCs w:val="24"/>
          <w:lang w:val="en-US"/>
        </w:rPr>
        <w:t>When the entire region contributes to flow, the largest runoff rate occurs. In this case, a combination of high-intensity development and a shorter time of concentration within a section of a catchment always produces a higher rate of maximum runoff in comparison to the entire catchment with a long time of concentration; in that matter, this assumption must be updated.</w:t>
      </w:r>
    </w:p>
    <w:p w14:paraId="71565F99" w14:textId="1A515B76" w:rsidR="00051297" w:rsidRPr="00051297" w:rsidRDefault="00051297" w:rsidP="00F97DFC">
      <w:pPr>
        <w:pStyle w:val="4"/>
        <w:rPr>
          <w:lang w:val="en-US"/>
        </w:rPr>
      </w:pPr>
      <w:bookmarkStart w:id="56" w:name="_bookmark9"/>
      <w:bookmarkStart w:id="57" w:name="_Toc97504716"/>
      <w:bookmarkStart w:id="58" w:name="_Toc103543848"/>
      <w:bookmarkStart w:id="59" w:name="_Toc104985172"/>
      <w:bookmarkEnd w:id="56"/>
      <w:r w:rsidRPr="00051297">
        <w:rPr>
          <w:lang w:val="en-US"/>
        </w:rPr>
        <w:t xml:space="preserve">Limitations of the rational </w:t>
      </w:r>
      <w:bookmarkEnd w:id="57"/>
      <w:r w:rsidRPr="00051297">
        <w:rPr>
          <w:lang w:val="en-US"/>
        </w:rPr>
        <w:t>formula</w:t>
      </w:r>
      <w:bookmarkEnd w:id="58"/>
      <w:bookmarkEnd w:id="59"/>
    </w:p>
    <w:p w14:paraId="199E6C4B" w14:textId="42ADD3F4" w:rsidR="00051297" w:rsidRPr="00051297" w:rsidRDefault="00051297" w:rsidP="00051297">
      <w:pPr>
        <w:rPr>
          <w:rFonts w:cs="Times New Roman"/>
          <w:szCs w:val="24"/>
          <w:lang w:val="en-US"/>
        </w:rPr>
      </w:pPr>
      <w:r w:rsidRPr="00051297">
        <w:rPr>
          <w:rFonts w:cs="Times New Roman"/>
          <w:szCs w:val="24"/>
          <w:lang w:val="en-US"/>
        </w:rPr>
        <w:t xml:space="preserve">The Rational Method is appropriate for approximating the peak rate of runoff from a design rainstorm in a certain watershed zone. The Rational Method's biggest flaw is that it usually only produces one point on the runoff hydrograph. When areas grow complex, such as when sub-watersheds meet, the Rational Method tends to overestimate real flow, resulting in drainage facility oversizing. The Rational Method does not provide any direct information that would be required to route hydrographs through drainage infrastructure. For a variety of reasons, the Rational Method is confined to small areas. For example, good design practice demands the routing of hydrographs for larger watersheds in order to construct an economically effective design </w:t>
      </w:r>
      <w:r w:rsidRPr="00051297">
        <w:rPr>
          <w:rFonts w:cs="Times New Roman"/>
          <w:szCs w:val="24"/>
        </w:rPr>
        <w:fldChar w:fldCharType="begin" w:fldLock="1"/>
      </w:r>
      <w:r w:rsidR="00FA5896">
        <w:rPr>
          <w:rFonts w:cs="Times New Roman"/>
          <w:szCs w:val="24"/>
          <w:lang w:val="en-US"/>
        </w:rPr>
        <w:instrText>ADDIN CSL_CITATION {"citationItems":[{"id":"ITEM-1","itemData":{"DOI":"10.1061/(asce)1084-0699(2001)6:4(352)","ISSN":"1084-0699","abstract":"In this study, the rational method is expanded into the rational hydrograph method in which the time of concentration is considered as the system memory and the contributing rainfall depth to the present runoff rate is defined as the accumulated precipitation over the past up to the time of concentration. In doing so, the complete runoff hydrograph can be generated under a continuous nonuniform hyetograph. When the continuous hyetograph is uniform in time, the rational hydrograph method is reduced to the rational method. Using the moving average formulas developed in this study, the event-averaged time of concentration and runoff coefficient can be derived by the least-square method. A new formula for estimating the time of concentration was derived from 25 rainfall/runoff events observed in four urban watersheds. This approach was tested by laboratory observations, and rainfall/runoff events recorded from small watersheds in states of Maryland and Colorado.","author":[{"dropping-particle":"","family":"Guo","given":"James C. Y.","non-dropping-particle":"","parse-names":false,"suffix":""}],"container-title":"Journal of Hydrologic Engineering","id":"ITEM-1","issued":{"date-parts":[["2001"]]},"title":"Rational Hydrograph Method for Small Urban Watersheds","type":"article-journal"},"uris":["http://www.mendeley.com/documents/?uuid=aedefba2-f7f9-4310-b693-098b2f8f725c","http://www.mendeley.com/documents/?uuid=9b3348a2-fc48-4b33-92a5-5341b1f7bb80"]}],"mendeley":{"formattedCitation":"[75]","plainTextFormattedCitation":"[75]","previouslyFormattedCitation":"[75]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[75]</w:t>
      </w:r>
      <w:r w:rsidRPr="00051297">
        <w:rPr>
          <w:rFonts w:cs="Times New Roman"/>
          <w:szCs w:val="24"/>
        </w:rPr>
        <w:fldChar w:fldCharType="end"/>
      </w:r>
      <w:r w:rsidRPr="00051297">
        <w:rPr>
          <w:rFonts w:cs="Times New Roman"/>
          <w:szCs w:val="24"/>
          <w:lang w:val="en-US"/>
        </w:rPr>
        <w:t xml:space="preserve">. </w:t>
      </w:r>
    </w:p>
    <w:p w14:paraId="6DAD2886" w14:textId="706ECBEA" w:rsidR="00051297" w:rsidRPr="00051297" w:rsidRDefault="00051297" w:rsidP="00051297">
      <w:pPr>
        <w:rPr>
          <w:rFonts w:cs="Times New Roman"/>
          <w:szCs w:val="24"/>
        </w:rPr>
      </w:pPr>
      <w:r w:rsidRPr="00051297">
        <w:rPr>
          <w:rFonts w:cs="Times New Roman"/>
          <w:szCs w:val="24"/>
          <w:lang w:val="en-US"/>
        </w:rPr>
        <w:t xml:space="preserve">Moreover, in the Rational Method, it is commonly assumed that all design flow is collected at the design point, with no water bypassing or flowing overland to the next design point in the traditional design approach; this is another disadvantage. This, however, is a limitation of the design approach rather than the Rational Method. When studying an existing system that is under-built or the effects of a severe storm on a system planned for a moderate storm, the Rational Method must be changed, or another method of analysis must be utilized </w:t>
      </w:r>
      <w:r w:rsidRPr="00051297">
        <w:rPr>
          <w:rFonts w:cs="Times New Roman"/>
          <w:szCs w:val="24"/>
        </w:rPr>
        <w:fldChar w:fldCharType="begin" w:fldLock="1"/>
      </w:r>
      <w:r w:rsidR="00FA5896">
        <w:rPr>
          <w:rFonts w:cs="Times New Roman"/>
          <w:szCs w:val="24"/>
          <w:lang w:val="en-US"/>
        </w:rPr>
        <w:instrText>ADDIN CSL_CITATION {"citationItems":[{"id":"ITEM-1","itemData":{"DOI":"10.1061/(asce)1084-0699(2001)6:4(352)","ISSN":"1084-0699","abstract":"In this study, the rational method is expanded into the rational hydrograph method in which the time of concentration is considered as the system memory and the contributing rainfall depth to the present runoff rate is defined as the accumulated precipitation over the past up to the time of concentration. In doing so, the complete runoff hydrograph can be generated under a continuous nonuniform hyetograph. When the continuous hyetograph is uniform in time, the rational hydrograph method is reduced to the rational method. Using the moving average formulas developed in this study, the event-averaged time of concentration and runoff coefficient can be derived by the least-square method. A new formula for estimating the time of concentration was derived from 25 rainfall/runoff events observed in four urban watersheds. This approach was tested by laboratory observations, and rainfall/runoff events recorded from small watersheds in states of Maryland and Colorado.","author":[{"dropping-particle":"","family":"Guo","given":"James C. Y.","non-dropping-particle":"","parse-names":false,"suffix":""}],"container-title":"Journal of Hydrologic Engineering","id":"ITEM-1","issued":{"date-parts":[["2001"]]},"title":"Rational Hydrograph Method for Small Urban Watersheds","type":"article-journal"},"uris":["http://www.mendeley.com/documents/?uuid=aedefba2-f7f9-4310-b693-098b2f8f725c","http://www.mendeley.com/documents/?uuid=9b3348a2-fc48-4b33-92a5-5341b1f7bb80"]},{"id":"ITEM-2","itemData":{"DOI":"10.2166/nh.2020.049","ISSN":"0029-1277","abstract":"Climate change combined with urbanization increases the performance demand on urban drainage systems. Green roofs are one of the most used green infrastructure measures to alleviate the pressure on the urban drainage system through the detention and retention of runoff. The rational method with the runoff coefficient (C) is one of the most commonly used design tools for stormwater design in Norway. This method relies on a runoff coefficient being available for green roofs, which is typically not the case. This paper compares laboratory and experimental field studies to investigate runoff coefficients from different types of detention-based roofs. The methodology described in the German ‘FLL Guideline’, one of the world's most commonly used green roof standards, was used to measure the runoff coefficients for the different components making up a typical green roof. The contribution from each layer is reflected in the runoff coefficients. The runoff coefficients from the field experiments were calculated using observed precipitation and runoff from existing green roofs in Oslo, Trondheim, Sandnes, and Bergen, Norway. Events that had a cumulative precipitation comparable to the laboratory events, but longer durations, were selected. These events gave significantly lower and varying runoff coefficients, clearly demonstrating the limitation of choosing a suitable runoff coefficient for a given roof. However, laboratory experiments are important in understanding the underlying flow processes in the different layers in a detention-based roof.","author":[{"dropping-particle":"","family":"Schärer","given":"Lotte Askeland","non-dropping-particle":"","parse-names":false,"suffix":""},{"dropping-particle":"","family":"Busklein","given":"Jan Ove","non-dropping-particle":"","parse-names":false,"suffix":""},{"dropping-particle":"","family":"Sivertsen","given":"Edvard","non-dropping-particle":"","parse-names":false,"suffix":""},{"dropping-particle":"","family":"Muthanna","given":"Tone M.","non-dropping-particle":"","parse-names":false,"suffix":""}],"container-title":"Hydrology Research","id":"ITEM-2","issue":"2","issued":{"date-parts":[["2020","4"]]},"page":"339-350","title":"Limitations in using runoff coefficients for green and gray roof design","type":"article-journal","volume":"51"},"uris":["http://www.mendeley.com/documents/?uuid=bf68bceb-722e-4a61-bd79-7ef4f90ed9a3","http://www.mendeley.com/documents/?uuid=31373ea0-e148-4786-b080-5563967a4584","http://www.mendeley.com/documents/?uuid=a6b316c8-7a36-4549-8df1-2d7a450853b9"]}],"mendeley":{"formattedCitation":"[73,75]","plainTextFormattedCitation":"[73,75]","previouslyFormattedCitation":"[73,75]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[73,75]</w:t>
      </w:r>
      <w:r w:rsidRPr="00051297">
        <w:rPr>
          <w:rFonts w:cs="Times New Roman"/>
          <w:szCs w:val="24"/>
        </w:rPr>
        <w:fldChar w:fldCharType="end"/>
      </w:r>
      <w:r w:rsidRPr="00051297">
        <w:rPr>
          <w:rFonts w:cs="Times New Roman"/>
          <w:szCs w:val="24"/>
        </w:rPr>
        <w:t>.</w:t>
      </w:r>
    </w:p>
    <w:p w14:paraId="26F88E1F" w14:textId="497CC941" w:rsidR="00051297" w:rsidRPr="00051297" w:rsidRDefault="00051297" w:rsidP="00F97DFC">
      <w:pPr>
        <w:pStyle w:val="4"/>
      </w:pPr>
      <w:bookmarkStart w:id="60" w:name="_bookmark10"/>
      <w:bookmarkStart w:id="61" w:name="_Toc104985173"/>
      <w:bookmarkStart w:id="62" w:name="_Toc97504717"/>
      <w:bookmarkStart w:id="63" w:name="_Toc103543849"/>
      <w:bookmarkEnd w:id="60"/>
      <w:r w:rsidRPr="00051297">
        <w:t xml:space="preserve">Runoff </w:t>
      </w:r>
      <w:r w:rsidR="00554E6C">
        <w:rPr>
          <w:lang w:val="en-US"/>
        </w:rPr>
        <w:t>c</w:t>
      </w:r>
      <w:r w:rsidRPr="00051297">
        <w:t>oefficient</w:t>
      </w:r>
      <w:bookmarkEnd w:id="61"/>
      <w:r w:rsidRPr="00051297">
        <w:t xml:space="preserve"> </w:t>
      </w:r>
      <w:bookmarkEnd w:id="62"/>
      <w:bookmarkEnd w:id="63"/>
    </w:p>
    <w:p w14:paraId="28711567" w14:textId="54B9007B" w:rsidR="00051297" w:rsidRPr="00051297" w:rsidRDefault="00051297" w:rsidP="00051297">
      <w:pPr>
        <w:rPr>
          <w:rFonts w:cs="Times New Roman"/>
          <w:szCs w:val="24"/>
          <w:lang w:val="en-US"/>
        </w:rPr>
      </w:pPr>
      <w:r w:rsidRPr="00051297">
        <w:rPr>
          <w:rFonts w:cs="Times New Roman"/>
          <w:szCs w:val="24"/>
          <w:lang w:val="en-US"/>
        </w:rPr>
        <w:t>The integrated impacts of infiltration, detention storage, evaporation, retention, flow routing, and an interception, all of which affect the period of distribution and peak rate of runoff, are represented by the runoff coefficient</w:t>
      </w:r>
      <w:r w:rsidR="00554E6C">
        <w:rPr>
          <w:rFonts w:cs="Times New Roman"/>
          <w:szCs w:val="24"/>
          <w:lang w:val="en-US"/>
        </w:rPr>
        <w:t xml:space="preserve"> (</w:t>
      </w:r>
      <w:r w:rsidRPr="00051297">
        <w:rPr>
          <w:rFonts w:cs="Times New Roman"/>
          <w:szCs w:val="24"/>
          <w:lang w:val="en-US"/>
        </w:rPr>
        <w:t>C</w:t>
      </w:r>
      <w:r w:rsidR="00554E6C">
        <w:rPr>
          <w:rFonts w:cs="Times New Roman"/>
          <w:szCs w:val="24"/>
          <w:lang w:val="en-US"/>
        </w:rPr>
        <w:t>)</w:t>
      </w:r>
      <w:r w:rsidRPr="00051297">
        <w:rPr>
          <w:rFonts w:cs="Times New Roman"/>
          <w:szCs w:val="24"/>
          <w:lang w:val="en-US"/>
        </w:rPr>
        <w:t xml:space="preserve">. The </w:t>
      </w:r>
      <w:r w:rsidR="00885F5C">
        <w:rPr>
          <w:rFonts w:cs="Times New Roman"/>
          <w:szCs w:val="24"/>
          <w:lang w:val="en-US"/>
        </w:rPr>
        <w:t>rainfall</w:t>
      </w:r>
      <w:r w:rsidRPr="00051297">
        <w:rPr>
          <w:rFonts w:cs="Times New Roman"/>
          <w:szCs w:val="24"/>
          <w:lang w:val="en-US"/>
        </w:rPr>
        <w:t xml:space="preserve"> that runs off is influenced by:</w:t>
      </w:r>
    </w:p>
    <w:p w14:paraId="154ED79A" w14:textId="14FB78EE" w:rsidR="00051297" w:rsidRPr="00051297" w:rsidRDefault="00051297" w:rsidP="00051297">
      <w:pPr>
        <w:numPr>
          <w:ilvl w:val="0"/>
          <w:numId w:val="39"/>
        </w:numPr>
        <w:contextualSpacing/>
        <w:rPr>
          <w:rFonts w:cs="Times New Roman"/>
          <w:szCs w:val="24"/>
          <w:lang w:val="en-US"/>
        </w:rPr>
      </w:pPr>
      <w:r w:rsidRPr="00051297">
        <w:rPr>
          <w:rFonts w:cs="Times New Roman"/>
          <w:szCs w:val="24"/>
          <w:lang w:val="en-US"/>
        </w:rPr>
        <w:t>The ground surface's relative porosity or imperviousness</w:t>
      </w:r>
      <w:r w:rsidR="004370EF">
        <w:rPr>
          <w:rFonts w:cs="Times New Roman"/>
          <w:szCs w:val="24"/>
          <w:lang w:val="en-US"/>
        </w:rPr>
        <w:t>.</w:t>
      </w:r>
      <w:r w:rsidRPr="00051297">
        <w:rPr>
          <w:rFonts w:cs="Times New Roman"/>
          <w:szCs w:val="24"/>
          <w:lang w:val="en-US"/>
        </w:rPr>
        <w:t xml:space="preserve"> </w:t>
      </w:r>
    </w:p>
    <w:p w14:paraId="0CB1F7DB" w14:textId="72AF460F" w:rsidR="00051297" w:rsidRPr="00051297" w:rsidRDefault="00051297" w:rsidP="00051297">
      <w:pPr>
        <w:numPr>
          <w:ilvl w:val="0"/>
          <w:numId w:val="39"/>
        </w:numPr>
        <w:contextualSpacing/>
        <w:rPr>
          <w:rFonts w:cs="Times New Roman"/>
          <w:szCs w:val="24"/>
          <w:lang w:val="en-US"/>
        </w:rPr>
      </w:pPr>
      <w:r w:rsidRPr="00051297">
        <w:rPr>
          <w:rFonts w:cs="Times New Roman"/>
          <w:szCs w:val="24"/>
          <w:lang w:val="en-US"/>
        </w:rPr>
        <w:t>The slope of the ground</w:t>
      </w:r>
      <w:r w:rsidR="004370EF">
        <w:rPr>
          <w:rFonts w:cs="Times New Roman"/>
          <w:szCs w:val="24"/>
          <w:lang w:val="en-US"/>
        </w:rPr>
        <w:t>.</w:t>
      </w:r>
    </w:p>
    <w:p w14:paraId="227E35EC" w14:textId="77777777" w:rsidR="00051297" w:rsidRPr="00051297" w:rsidRDefault="00051297" w:rsidP="00051297">
      <w:pPr>
        <w:numPr>
          <w:ilvl w:val="0"/>
          <w:numId w:val="39"/>
        </w:numPr>
        <w:contextualSpacing/>
        <w:rPr>
          <w:rFonts w:cs="Times New Roman"/>
          <w:szCs w:val="24"/>
          <w:lang w:val="en-US"/>
        </w:rPr>
      </w:pPr>
      <w:r w:rsidRPr="00051297">
        <w:rPr>
          <w:rFonts w:cs="Times New Roman"/>
          <w:szCs w:val="24"/>
          <w:lang w:val="en-US"/>
        </w:rPr>
        <w:t xml:space="preserve">The ponding tendency of the surface. </w:t>
      </w:r>
    </w:p>
    <w:p w14:paraId="5EE75C66" w14:textId="60E4EF46" w:rsidR="00051297" w:rsidRPr="00051297" w:rsidRDefault="00051297" w:rsidP="00051297">
      <w:pPr>
        <w:rPr>
          <w:rFonts w:cs="Times New Roman"/>
          <w:szCs w:val="24"/>
        </w:rPr>
      </w:pPr>
      <w:r w:rsidRPr="00051297">
        <w:rPr>
          <w:rFonts w:cs="Times New Roman"/>
          <w:szCs w:val="24"/>
          <w:lang w:val="en-US"/>
        </w:rPr>
        <w:t xml:space="preserve">Over 100 % drainage will occur after impervious surfaces, such as asphalt pavements and building roofs, have become sufficiently wet, independent of the slope. Aerial photographs and </w:t>
      </w:r>
      <w:r w:rsidRPr="00051297">
        <w:rPr>
          <w:rFonts w:cs="Times New Roman"/>
          <w:szCs w:val="24"/>
          <w:lang w:val="en-US"/>
        </w:rPr>
        <w:lastRenderedPageBreak/>
        <w:t xml:space="preserve">on-site inspections aid in defining the types of surfaces in the drainage zone, as well as computing the runoff coefficient </w:t>
      </w:r>
      <w:r w:rsidRPr="00051297">
        <w:rPr>
          <w:rFonts w:cs="Times New Roman"/>
          <w:szCs w:val="24"/>
        </w:rPr>
        <w:fldChar w:fldCharType="begin" w:fldLock="1"/>
      </w:r>
      <w:r w:rsidR="00FA5896">
        <w:rPr>
          <w:rFonts w:cs="Times New Roman"/>
          <w:szCs w:val="24"/>
          <w:lang w:val="en-US"/>
        </w:rPr>
        <w:instrText>ADDIN CSL_CITATION {"citationItems":[{"id":"ITEM-1","itemData":{"DOI":"10.2166/nh.2020.049","ISSN":"0029-1277","abstract":"Climate change combined with urbanization increases the performance demand on urban drainage systems. Green roofs are one of the most used green infrastructure measures to alleviate the pressure on the urban drainage system through the detention and retention of runoff. The rational method with the runoff coefficient (C) is one of the most commonly used design tools for stormwater design in Norway. This method relies on a runoff coefficient being available for green roofs, which is typically not the case. This paper compares laboratory and experimental field studies to investigate runoff coefficients from different types of detention-based roofs. The methodology described in the German ‘FLL Guideline’, one of the world's most commonly used green roof standards, was used to measure the runoff coefficients for the different components making up a typical green roof. The contribution from each layer is reflected in the runoff coefficients. The runoff coefficients from the field experiments were calculated using observed precipitation and runoff from existing green roofs in Oslo, Trondheim, Sandnes, and Bergen, Norway. Events that had a cumulative precipitation comparable to the laboratory events, but longer durations, were selected. These events gave significantly lower and varying runoff coefficients, clearly demonstrating the limitation of choosing a suitable runoff coefficient for a given roof. However, laboratory experiments are important in understanding the underlying flow processes in the different layers in a detention-based roof.","author":[{"dropping-particle":"","family":"Schärer","given":"Lotte Askeland","non-dropping-particle":"","parse-names":false,"suffix":""},{"dropping-particle":"","family":"Busklein","given":"Jan Ove","non-dropping-particle":"","parse-names":false,"suffix":""},{"dropping-particle":"","family":"Sivertsen","given":"Edvard","non-dropping-particle":"","parse-names":false,"suffix":""},{"dropping-particle":"","family":"Muthanna","given":"Tone M.","non-dropping-particle":"","parse-names":false,"suffix":""}],"container-title":"Hydrology Research","id":"ITEM-1","issue":"2","issued":{"date-parts":[["2020","4"]]},"page":"339-350","title":"Limitations in using runoff coefficients for green and gray roof design","type":"article-journal","volume":"51"},"uris":["http://www.mendeley.com/documents/?uuid=bf68bceb-722e-4a61-bd79-7ef4f90ed9a3","http://www.mendeley.com/documents/?uuid=31373ea0-e148-4786-b080-5563967a4584"]}],"mendeley":{"formattedCitation":"[73]","plainTextFormattedCitation":"[73]","previouslyFormattedCitation":"[73]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[73]</w:t>
      </w:r>
      <w:r w:rsidRPr="00051297">
        <w:rPr>
          <w:rFonts w:cs="Times New Roman"/>
          <w:szCs w:val="24"/>
        </w:rPr>
        <w:fldChar w:fldCharType="end"/>
      </w:r>
      <w:r w:rsidRPr="00051297">
        <w:rPr>
          <w:rFonts w:cs="Times New Roman"/>
          <w:szCs w:val="24"/>
        </w:rPr>
        <w:t>.</w:t>
      </w:r>
    </w:p>
    <w:p w14:paraId="6CD0A1B3" w14:textId="1E477F12" w:rsidR="00051297" w:rsidRPr="00051297" w:rsidRDefault="00051297" w:rsidP="00F97DFC">
      <w:pPr>
        <w:pStyle w:val="4"/>
      </w:pPr>
      <w:bookmarkStart w:id="64" w:name="_Toc103543850"/>
      <w:bookmarkStart w:id="65" w:name="_Toc104985174"/>
      <w:r w:rsidRPr="00051297">
        <w:rPr>
          <w:lang w:val="en-US"/>
        </w:rPr>
        <w:t>Soil characteristics</w:t>
      </w:r>
      <w:bookmarkEnd w:id="64"/>
      <w:bookmarkEnd w:id="65"/>
    </w:p>
    <w:p w14:paraId="1AD83868" w14:textId="303E8E23" w:rsidR="00051297" w:rsidRPr="00051297" w:rsidRDefault="00051297" w:rsidP="00051297">
      <w:pPr>
        <w:rPr>
          <w:rFonts w:cs="Times New Roman"/>
          <w:szCs w:val="24"/>
          <w:lang w:val="en-US"/>
        </w:rPr>
      </w:pPr>
      <w:r w:rsidRPr="00051297">
        <w:rPr>
          <w:rFonts w:cs="Times New Roman"/>
          <w:szCs w:val="24"/>
          <w:lang w:val="en-US"/>
        </w:rPr>
        <w:t xml:space="preserve">The C, in the formula, is also influenced by the qualities of the surface soil. The type and condition of the soil determine its ability to absorb precipitation. When rain falls for a long time, the pace at which the soil absorbs it slows down. The rate of soil absorption or infiltration during a rainfall event is influenced by </w:t>
      </w:r>
      <w:r w:rsidRPr="00051297">
        <w:rPr>
          <w:rFonts w:cs="Times New Roman"/>
          <w:szCs w:val="24"/>
        </w:rPr>
        <w:fldChar w:fldCharType="begin" w:fldLock="1"/>
      </w:r>
      <w:r w:rsidR="00FA5896">
        <w:rPr>
          <w:rFonts w:cs="Times New Roman"/>
          <w:szCs w:val="24"/>
          <w:lang w:val="en-US"/>
        </w:rPr>
        <w:instrText>ADDIN CSL_CITATION {"citationItems":[{"id":"ITEM-1","itemData":{"DOI":"10.1016/j.catena.2010.01.008","ISSN":"03418162","abstract":"The effects of different vegetation types on runoff generation and soil erosion were investigated. The study was conducted at the Southern part of West Bank, about 10 Km north-west of Hebron city, during 2005, 2006 and 2007. Five treatments were implemented; forests planted with P. halepensis (F), natural vegetation dominated by S. spinosum (W.S), natural vegetation where S. spinosum was removed (W/o.S), cultivated land (C), and deforestation (Df). Three types of data were estimated in each plot: runoff after each rainfall event, sedimentation at the end of the rainy season, and chemical and physical soil properties. The obtained results indicate that there are significant and important differences in runoff generation and sediment production with respect to the different types of vegetative cover. Forest and natural vegetation dominated by S. spinosum treatments exhibited the lowest amounts of runoff, with averages of 2.02 and 1.08 mm, respectively, in comparison to other treatments. The removal of S. spinosum significantly increased the total amount of runoff and sedimentation compared to the forest and S. spinosum treatments. In addition, runoff significantly increased (4.03 mm) for the Df treatment compared to that of the forest site. The greatest amount of sedimentation was observed in cultivated land and with deforestation. The forest and S. spinosum treatments exhibited the highest percentages of organic matter of the five investigated treatments. The results indicate that forests and natural vegetation dominated by S. spinosum prevent or decrease the risk of runoff and soil erosion. In conclusion, the removal of S. spinosum and forest trees as a means to improve rangeland productivity increases runoff and sediment fluxes if not accompanied by careful grazing management. In addition, interchangeably using arid and semi-arid lands as rangeland and for cultivation may have significant negative impacts on the production potential of these lands. © 2010 Elsevier B.V. All rights reserved.","author":[{"dropping-particle":"","family":"Mohammad","given":"Ayed G.","non-dropping-particle":"","parse-names":false,"suffix":""},{"dropping-particle":"","family":"Adam","given":"Mohammad A.","non-dropping-particle":"","parse-names":false,"suffix":""}],"container-title":"CATENA","id":"ITEM-1","issue":"2","issued":{"date-parts":[["2010","5"]]},"page":"97-103","title":"The impact of vegetative cover type on runoff and soil erosion under different land uses","type":"article-journal","volume":"81"},"uris":["http://www.mendeley.com/documents/?uuid=247004d5-a00d-4953-8c8e-49f6ad4c8299","http://www.mendeley.com/documents/?uuid=53f4711e-8bda-4920-8240-8d6426534eb6"]}],"mendeley":{"formattedCitation":"[76]","plainTextFormattedCitation":"[76]","previouslyFormattedCitation":"[76]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[76]</w:t>
      </w:r>
      <w:r w:rsidRPr="00051297">
        <w:rPr>
          <w:rFonts w:cs="Times New Roman"/>
          <w:szCs w:val="24"/>
        </w:rPr>
        <w:fldChar w:fldCharType="end"/>
      </w:r>
      <w:r w:rsidRPr="00051297">
        <w:rPr>
          <w:rFonts w:cs="Times New Roman"/>
          <w:szCs w:val="24"/>
          <w:lang w:val="en-US"/>
        </w:rPr>
        <w:t>:</w:t>
      </w:r>
    </w:p>
    <w:p w14:paraId="73F8A24E" w14:textId="4A591628" w:rsidR="00051297" w:rsidRPr="00051297" w:rsidRDefault="00051297" w:rsidP="00A70461">
      <w:pPr>
        <w:numPr>
          <w:ilvl w:val="0"/>
          <w:numId w:val="38"/>
        </w:numPr>
        <w:tabs>
          <w:tab w:val="left" w:pos="993"/>
        </w:tabs>
        <w:ind w:left="0" w:firstLine="709"/>
        <w:contextualSpacing/>
        <w:rPr>
          <w:rFonts w:cs="Times New Roman"/>
          <w:szCs w:val="24"/>
          <w:lang w:val="en-US"/>
        </w:rPr>
      </w:pPr>
      <w:r w:rsidRPr="00051297">
        <w:rPr>
          <w:rFonts w:cs="Times New Roman"/>
          <w:szCs w:val="24"/>
          <w:lang w:val="en-US"/>
        </w:rPr>
        <w:t>Before a rain, the level of soil saturation (antecedent moisture condition)</w:t>
      </w:r>
      <w:r w:rsidR="004370EF">
        <w:rPr>
          <w:rFonts w:cs="Times New Roman"/>
          <w:szCs w:val="24"/>
          <w:lang w:val="en-US"/>
        </w:rPr>
        <w:t>.</w:t>
      </w:r>
    </w:p>
    <w:p w14:paraId="247770D7" w14:textId="0837EB8E" w:rsidR="00051297" w:rsidRPr="00051297" w:rsidRDefault="00051297" w:rsidP="00A70461">
      <w:pPr>
        <w:numPr>
          <w:ilvl w:val="0"/>
          <w:numId w:val="38"/>
        </w:numPr>
        <w:tabs>
          <w:tab w:val="left" w:pos="993"/>
        </w:tabs>
        <w:ind w:left="0" w:firstLine="709"/>
        <w:contextualSpacing/>
        <w:rPr>
          <w:rFonts w:cs="Times New Roman"/>
          <w:szCs w:val="24"/>
          <w:lang w:val="en-US"/>
        </w:rPr>
      </w:pPr>
      <w:r w:rsidRPr="00051297">
        <w:rPr>
          <w:rFonts w:cs="Times New Roman"/>
          <w:szCs w:val="24"/>
          <w:lang w:val="en-US"/>
        </w:rPr>
        <w:t xml:space="preserve">One of the elements to examine is the </w:t>
      </w:r>
      <w:r w:rsidR="00F402D6">
        <w:rPr>
          <w:rFonts w:cs="Times New Roman"/>
          <w:szCs w:val="24"/>
          <w:lang w:val="en-US"/>
        </w:rPr>
        <w:t>quantity of precipitation</w:t>
      </w:r>
      <w:r w:rsidRPr="00051297">
        <w:rPr>
          <w:rFonts w:cs="Times New Roman"/>
          <w:szCs w:val="24"/>
          <w:lang w:val="en-US"/>
        </w:rPr>
        <w:t xml:space="preserve"> as well as the proximity to groundwater</w:t>
      </w:r>
      <w:r w:rsidR="004370EF">
        <w:rPr>
          <w:rFonts w:cs="Times New Roman"/>
          <w:szCs w:val="24"/>
          <w:lang w:val="en-US"/>
        </w:rPr>
        <w:t>.</w:t>
      </w:r>
    </w:p>
    <w:p w14:paraId="1530AE2B" w14:textId="7FB91DDD" w:rsidR="00051297" w:rsidRPr="00051297" w:rsidRDefault="00051297" w:rsidP="00A70461">
      <w:pPr>
        <w:numPr>
          <w:ilvl w:val="0"/>
          <w:numId w:val="38"/>
        </w:numPr>
        <w:tabs>
          <w:tab w:val="left" w:pos="993"/>
        </w:tabs>
        <w:ind w:left="0" w:firstLine="709"/>
        <w:contextualSpacing/>
        <w:rPr>
          <w:rFonts w:cs="Times New Roman"/>
          <w:szCs w:val="24"/>
          <w:lang w:val="en-US"/>
        </w:rPr>
      </w:pPr>
      <w:r w:rsidRPr="00051297">
        <w:rPr>
          <w:rFonts w:cs="Times New Roman"/>
          <w:szCs w:val="24"/>
          <w:lang w:val="en-US"/>
        </w:rPr>
        <w:t>The porosity of the subsoil and the degree of soil compaction</w:t>
      </w:r>
      <w:r w:rsidR="004370EF">
        <w:rPr>
          <w:rFonts w:cs="Times New Roman"/>
          <w:szCs w:val="24"/>
          <w:lang w:val="en-US"/>
        </w:rPr>
        <w:t>.</w:t>
      </w:r>
    </w:p>
    <w:p w14:paraId="079654BB" w14:textId="77777777" w:rsidR="00051297" w:rsidRPr="00F9097D" w:rsidRDefault="00051297" w:rsidP="00A70461">
      <w:pPr>
        <w:numPr>
          <w:ilvl w:val="0"/>
          <w:numId w:val="38"/>
        </w:numPr>
        <w:tabs>
          <w:tab w:val="left" w:pos="993"/>
        </w:tabs>
        <w:ind w:left="0" w:firstLine="709"/>
        <w:contextualSpacing/>
        <w:rPr>
          <w:rFonts w:cs="Times New Roman"/>
          <w:szCs w:val="24"/>
          <w:lang w:val="en-US"/>
        </w:rPr>
      </w:pPr>
      <w:r w:rsidRPr="00051297">
        <w:rPr>
          <w:rFonts w:cs="Times New Roman"/>
          <w:szCs w:val="24"/>
          <w:lang w:val="en-US"/>
        </w:rPr>
        <w:t>Surface topography, vegetation, and ground slopes</w:t>
      </w:r>
      <w:r w:rsidRPr="00F9097D">
        <w:rPr>
          <w:rFonts w:cs="Times New Roman"/>
          <w:szCs w:val="24"/>
          <w:lang w:val="en-US"/>
        </w:rPr>
        <w:t>.</w:t>
      </w:r>
    </w:p>
    <w:p w14:paraId="2D3D4ABF" w14:textId="57542D21" w:rsidR="00051297" w:rsidRPr="00051297" w:rsidRDefault="00051297" w:rsidP="00F97DFC">
      <w:pPr>
        <w:pStyle w:val="4"/>
        <w:rPr>
          <w:lang w:val="en-US"/>
        </w:rPr>
      </w:pPr>
      <w:bookmarkStart w:id="66" w:name="_Toc97504719"/>
      <w:bookmarkStart w:id="67" w:name="_Toc103543851"/>
      <w:bookmarkStart w:id="68" w:name="_Toc104985175"/>
      <w:r w:rsidRPr="00051297">
        <w:rPr>
          <w:lang w:val="en-US"/>
        </w:rPr>
        <w:t xml:space="preserve">Selection of </w:t>
      </w:r>
      <w:r w:rsidR="00F402D6" w:rsidRPr="00051297">
        <w:rPr>
          <w:lang w:val="en-US"/>
        </w:rPr>
        <w:t>runoff coefficients</w:t>
      </w:r>
      <w:bookmarkEnd w:id="66"/>
      <w:bookmarkEnd w:id="67"/>
      <w:bookmarkEnd w:id="68"/>
    </w:p>
    <w:p w14:paraId="23695FCC" w14:textId="14368306" w:rsidR="00051297" w:rsidRPr="00051297" w:rsidRDefault="008D42F5" w:rsidP="00051297">
      <w:pPr>
        <w:rPr>
          <w:rFonts w:cs="Times New Roman"/>
          <w:szCs w:val="24"/>
          <w:lang w:val="en-US"/>
        </w:rPr>
      </w:pPr>
      <w:bookmarkStart w:id="69" w:name="_bookmark12"/>
      <w:bookmarkStart w:id="70" w:name="_bookmark13"/>
      <w:bookmarkStart w:id="71" w:name="_Hlk91635743"/>
      <w:bookmarkEnd w:id="69"/>
      <w:bookmarkEnd w:id="70"/>
      <w:r>
        <w:rPr>
          <w:rFonts w:cs="Times New Roman"/>
          <w:szCs w:val="24"/>
          <w:lang w:val="en-US"/>
        </w:rPr>
        <w:t>As briefely highlighted in the previous statements</w:t>
      </w:r>
      <w:r w:rsidR="00B003BC">
        <w:rPr>
          <w:rFonts w:cs="Times New Roman"/>
          <w:szCs w:val="24"/>
          <w:lang w:val="en-US"/>
        </w:rPr>
        <w:t>,</w:t>
      </w:r>
      <w:r>
        <w:rPr>
          <w:rFonts w:cs="Times New Roman"/>
          <w:szCs w:val="24"/>
          <w:lang w:val="en-US"/>
        </w:rPr>
        <w:t xml:space="preserve"> </w:t>
      </w:r>
      <w:r w:rsidR="00B003BC">
        <w:rPr>
          <w:rFonts w:cs="Times New Roman"/>
          <w:szCs w:val="24"/>
          <w:lang w:val="en-US"/>
        </w:rPr>
        <w:t>t</w:t>
      </w:r>
      <w:r w:rsidR="00051297" w:rsidRPr="00051297">
        <w:rPr>
          <w:rFonts w:cs="Times New Roman"/>
          <w:szCs w:val="24"/>
          <w:lang w:val="en-US"/>
        </w:rPr>
        <w:t>he runoff coefficient</w:t>
      </w:r>
      <w:r w:rsidR="00B003BC">
        <w:rPr>
          <w:rFonts w:cs="Times New Roman"/>
          <w:szCs w:val="24"/>
          <w:lang w:val="en-US"/>
        </w:rPr>
        <w:t xml:space="preserve"> (C)</w:t>
      </w:r>
      <w:r w:rsidR="00051297" w:rsidRPr="00051297">
        <w:rPr>
          <w:rFonts w:cs="Times New Roman"/>
          <w:szCs w:val="24"/>
          <w:lang w:val="en-US"/>
        </w:rPr>
        <w:t xml:space="preserve"> is a one-dimensional factor used to convert rainfall amounts to runoff (</w:t>
      </w:r>
      <w:r w:rsidR="00051297" w:rsidRPr="00051297">
        <w:rPr>
          <w:rFonts w:cs="Times New Roman"/>
          <w:szCs w:val="24"/>
          <w:lang w:val="en-US"/>
        </w:rPr>
        <w:fldChar w:fldCharType="begin"/>
      </w:r>
      <w:r w:rsidR="00051297" w:rsidRPr="00051297">
        <w:rPr>
          <w:rFonts w:cs="Times New Roman"/>
          <w:szCs w:val="24"/>
          <w:lang w:val="en-US"/>
        </w:rPr>
        <w:instrText xml:space="preserve"> REF _Ref98102404 \h </w:instrText>
      </w:r>
      <w:r w:rsidR="00051297" w:rsidRPr="00051297">
        <w:rPr>
          <w:rFonts w:cs="Times New Roman"/>
          <w:szCs w:val="24"/>
          <w:lang w:val="en-US"/>
        </w:rPr>
      </w:r>
      <w:r w:rsidR="00051297" w:rsidRPr="00051297">
        <w:rPr>
          <w:rFonts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1</w:t>
      </w:r>
      <w:r w:rsidR="004870F1" w:rsidRPr="00051297">
        <w:rPr>
          <w:rFonts w:cs="Times New Roman"/>
          <w:szCs w:val="24"/>
          <w:lang w:val="en-US" w:bidi="en-US"/>
        </w:rPr>
        <w:t>.</w:t>
      </w:r>
      <w:r w:rsidR="004870F1">
        <w:rPr>
          <w:rFonts w:cs="Times New Roman"/>
          <w:noProof/>
          <w:szCs w:val="24"/>
          <w:lang w:val="en-US" w:bidi="en-US"/>
        </w:rPr>
        <w:t>2</w:t>
      </w:r>
      <w:r w:rsidR="00051297" w:rsidRPr="00051297">
        <w:rPr>
          <w:rFonts w:cs="Times New Roman"/>
          <w:szCs w:val="24"/>
          <w:lang w:val="en-US"/>
        </w:rPr>
        <w:fldChar w:fldCharType="end"/>
      </w:r>
      <w:r w:rsidR="00051297" w:rsidRPr="00051297">
        <w:rPr>
          <w:rFonts w:cs="Times New Roman"/>
          <w:szCs w:val="24"/>
          <w:lang w:val="en-US"/>
        </w:rPr>
        <w:t xml:space="preserve">) </w:t>
      </w:r>
      <w:r w:rsidR="00051297" w:rsidRPr="00051297">
        <w:rPr>
          <w:rFonts w:cs="Times New Roman"/>
          <w:szCs w:val="24"/>
        </w:rPr>
        <w:fldChar w:fldCharType="begin" w:fldLock="1"/>
      </w:r>
      <w:r w:rsidR="00FA5896">
        <w:rPr>
          <w:rFonts w:cs="Times New Roman"/>
          <w:szCs w:val="24"/>
          <w:lang w:val="en-US"/>
        </w:rPr>
        <w:instrText>ADDIN CSL_CITATION {"citationItems":[{"id":"ITEM-1","itemData":{"DOI":"10.4314/wsa.v32i2.5257","ISSN":"03784738","abstract":"The rational formula is possibly the simplest flood estimation technique available using rainfall-runoff relationships. In spite of the many criticisms regarding its over-simplification of the processes of rainfall conversion into runoff, it remains possibly the most widely used method for estimating peak flood flows for urban drainage systems and small (&lt;100 km2) rural catchments. However, as a result of the criticisms, the formula carries with it many cautions. One such caution regards the determination of the formula's runoff coefficient c, which is seen as the main difficulty in the design application of the formula. Mindful of this, it was decided to investigate the calibration of this coefficient, on past flood peak and flood volume pairs for a number of catchments in South Africa. To this end the \"data set\" of runhydrographs, which describe the characteristic peak and volume discharges of a catchment for a given recurrence interval, was used to calibrate the coefficients for selected catchments and to explore the assumptions underpinning this simple model. This article describes the methods employed in achieving this as well as a discussion of the results.","author":[{"dropping-particle":"","family":"Parak","given":"Mohamed","non-dropping-particle":"","parse-names":false,"suffix":""},{"dropping-particle":"","family":"Pegram","given":"Geoffrey G.S.","non-dropping-particle":"","parse-names":false,"suffix":""}],"container-title":"Water SA","id":"ITEM-1","issued":{"date-parts":[["2006"]]},"title":"The rational formula from the runhydrograph","type":"article-journal"},"uris":["http://www.mendeley.com/documents/?uuid=bfeb187d-dfcc-410a-b6de-9ceee8335613","http://www.mendeley.com/documents/?uuid=358d4916-2d4d-4b34-ba0d-f1fc184ce6dd","http://www.mendeley.com/documents/?uuid=0e4e88ab-b6e1-4ba3-a586-70fb3c794e39"]}],"mendeley":{"formattedCitation":"[77]","plainTextFormattedCitation":"[77]","previouslyFormattedCitation":"[77]"},"properties":{"noteIndex":0},"schema":"https://github.com/citation-style-language/schema/raw/master/csl-citation.json"}</w:instrText>
      </w:r>
      <w:r w:rsidR="00051297" w:rsidRPr="00051297">
        <w:rPr>
          <w:rFonts w:cs="Times New Roman"/>
          <w:szCs w:val="24"/>
        </w:rPr>
        <w:fldChar w:fldCharType="separate"/>
      </w:r>
      <w:r w:rsidR="0032684D" w:rsidRPr="0032684D">
        <w:rPr>
          <w:rFonts w:cs="Times New Roman"/>
          <w:noProof/>
          <w:szCs w:val="24"/>
          <w:lang w:val="en-US"/>
        </w:rPr>
        <w:t>[77]</w:t>
      </w:r>
      <w:r w:rsidR="00051297" w:rsidRPr="00051297">
        <w:rPr>
          <w:rFonts w:cs="Times New Roman"/>
          <w:szCs w:val="24"/>
        </w:rPr>
        <w:fldChar w:fldCharType="end"/>
      </w:r>
      <w:r w:rsidR="00051297" w:rsidRPr="00051297">
        <w:rPr>
          <w:rFonts w:cs="Times New Roman"/>
          <w:szCs w:val="24"/>
          <w:lang w:val="en-US"/>
        </w:rPr>
        <w:t>. It represents the sum of catchment losses, and its selection process is greatly affected by:</w:t>
      </w:r>
    </w:p>
    <w:p w14:paraId="1C8CE9DB" w14:textId="17FABE05" w:rsidR="00051297" w:rsidRPr="00051297" w:rsidRDefault="00051297" w:rsidP="00A70461">
      <w:pPr>
        <w:numPr>
          <w:ilvl w:val="0"/>
          <w:numId w:val="38"/>
        </w:numPr>
        <w:tabs>
          <w:tab w:val="left" w:pos="993"/>
        </w:tabs>
        <w:ind w:left="0" w:firstLine="709"/>
        <w:contextualSpacing/>
        <w:rPr>
          <w:rFonts w:cs="Times New Roman"/>
          <w:szCs w:val="24"/>
          <w:lang w:val="en-US"/>
        </w:rPr>
      </w:pPr>
      <w:r w:rsidRPr="00051297">
        <w:rPr>
          <w:rFonts w:cs="Times New Roman"/>
          <w:szCs w:val="24"/>
          <w:lang w:val="en-US"/>
        </w:rPr>
        <w:t>The type of the land surface</w:t>
      </w:r>
      <w:r w:rsidR="004370EF">
        <w:rPr>
          <w:rFonts w:cs="Times New Roman"/>
          <w:szCs w:val="24"/>
          <w:lang w:val="en-US"/>
        </w:rPr>
        <w:t>.</w:t>
      </w:r>
    </w:p>
    <w:p w14:paraId="64F43ABE" w14:textId="0586BDE0" w:rsidR="00051297" w:rsidRPr="00051297" w:rsidRDefault="00051297" w:rsidP="00A70461">
      <w:pPr>
        <w:numPr>
          <w:ilvl w:val="0"/>
          <w:numId w:val="38"/>
        </w:numPr>
        <w:tabs>
          <w:tab w:val="left" w:pos="993"/>
        </w:tabs>
        <w:ind w:left="0" w:firstLine="709"/>
        <w:contextualSpacing/>
        <w:rPr>
          <w:rFonts w:cs="Times New Roman"/>
          <w:szCs w:val="24"/>
          <w:lang w:val="en-US"/>
        </w:rPr>
      </w:pPr>
      <w:r w:rsidRPr="00051297">
        <w:rPr>
          <w:rFonts w:cs="Times New Roman"/>
          <w:szCs w:val="24"/>
          <w:lang w:val="en-US"/>
        </w:rPr>
        <w:t>Slope</w:t>
      </w:r>
      <w:r w:rsidR="004370EF">
        <w:rPr>
          <w:rFonts w:cs="Times New Roman"/>
          <w:szCs w:val="24"/>
          <w:lang w:val="en-US"/>
        </w:rPr>
        <w:t>.</w:t>
      </w:r>
    </w:p>
    <w:p w14:paraId="087E701B" w14:textId="2A9BAA90" w:rsidR="00051297" w:rsidRPr="00051297" w:rsidRDefault="00051297" w:rsidP="00A70461">
      <w:pPr>
        <w:numPr>
          <w:ilvl w:val="0"/>
          <w:numId w:val="38"/>
        </w:numPr>
        <w:tabs>
          <w:tab w:val="left" w:pos="993"/>
        </w:tabs>
        <w:ind w:left="0" w:firstLine="709"/>
        <w:contextualSpacing/>
        <w:rPr>
          <w:rFonts w:cs="Times New Roman"/>
          <w:szCs w:val="24"/>
          <w:lang w:val="en-US"/>
        </w:rPr>
      </w:pPr>
      <w:r w:rsidRPr="00051297">
        <w:rPr>
          <w:rFonts w:cs="Times New Roman"/>
          <w:szCs w:val="24"/>
          <w:lang w:val="en-US"/>
        </w:rPr>
        <w:t>Saturation level</w:t>
      </w:r>
      <w:r w:rsidR="004370EF">
        <w:rPr>
          <w:rFonts w:cs="Times New Roman"/>
          <w:szCs w:val="24"/>
          <w:lang w:val="en-US"/>
        </w:rPr>
        <w:t>.</w:t>
      </w:r>
      <w:r w:rsidRPr="00051297">
        <w:rPr>
          <w:rFonts w:cs="Times New Roman"/>
          <w:szCs w:val="24"/>
          <w:lang w:val="en-US"/>
        </w:rPr>
        <w:t xml:space="preserve"> </w:t>
      </w:r>
    </w:p>
    <w:p w14:paraId="759F708E" w14:textId="77777777" w:rsidR="00051297" w:rsidRPr="00051297" w:rsidRDefault="00051297" w:rsidP="00A70461">
      <w:pPr>
        <w:numPr>
          <w:ilvl w:val="0"/>
          <w:numId w:val="38"/>
        </w:numPr>
        <w:tabs>
          <w:tab w:val="left" w:pos="993"/>
        </w:tabs>
        <w:ind w:left="0" w:firstLine="709"/>
        <w:contextualSpacing/>
        <w:rPr>
          <w:rFonts w:cs="Times New Roman"/>
          <w:szCs w:val="24"/>
          <w:lang w:val="en-US"/>
        </w:rPr>
      </w:pPr>
      <w:r w:rsidRPr="00051297">
        <w:rPr>
          <w:rFonts w:cs="Times New Roman"/>
          <w:szCs w:val="24"/>
          <w:lang w:val="en-US"/>
        </w:rPr>
        <w:t xml:space="preserve">Rainfall intensity. </w:t>
      </w:r>
    </w:p>
    <w:p w14:paraId="00ADF2FF" w14:textId="6434F2C0" w:rsidR="00051297" w:rsidRPr="00051297" w:rsidRDefault="00051297" w:rsidP="00051297">
      <w:pPr>
        <w:rPr>
          <w:rFonts w:cs="Times New Roman"/>
          <w:szCs w:val="24"/>
          <w:lang w:val="en-US" w:bidi="en-US"/>
        </w:rPr>
      </w:pPr>
      <w:r w:rsidRPr="00051297">
        <w:rPr>
          <w:rFonts w:cs="Times New Roman"/>
          <w:szCs w:val="24"/>
          <w:lang w:val="en-US"/>
        </w:rPr>
        <w:t xml:space="preserve"> </w:t>
      </w:r>
      <w:bookmarkStart w:id="72" w:name="_Ref98102404"/>
      <w:bookmarkStart w:id="73" w:name="_Toc104985559"/>
      <w:bookmarkStart w:id="74" w:name="_Toc97077183"/>
      <w:bookmarkStart w:id="75" w:name="_Toc103544233"/>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1</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2</w:t>
      </w:r>
      <w:r w:rsidRPr="00051297">
        <w:rPr>
          <w:rFonts w:cs="Times New Roman"/>
          <w:szCs w:val="24"/>
          <w:lang w:val="en-US" w:bidi="en-US"/>
        </w:rPr>
        <w:fldChar w:fldCharType="end"/>
      </w:r>
      <w:bookmarkEnd w:id="72"/>
      <w:r w:rsidRPr="00051297">
        <w:rPr>
          <w:rFonts w:cs="Times New Roman"/>
          <w:szCs w:val="24"/>
          <w:lang w:val="en-US" w:bidi="en-US"/>
        </w:rPr>
        <w:t xml:space="preserve"> – C specific land uses and zoning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{"citationItems":[{"id":"ITEM-1","itemData":{"DOI":"10.4314/wsa.v32i2.5257","ISSN":"03784738","abstract":"The rational formula is possibly the simplest flood estimation technique available using rainfall-runoff relationships. In spite of the many criticisms regarding its over-simplification of the processes of rainfall conversion into runoff, it remains possibly the most widely used method for estimating peak flood flows for urban drainage systems and small (&lt;100 km2) rural catchments. However, as a result of the criticisms, the formula carries with it many cautions. One such caution regards the determination of the formula's runoff coefficient c, which is seen as the main difficulty in the design application of the formula. Mindful of this, it was decided to investigate the calibration of this coefficient, on past flood peak and flood volume pairs for a number of catchments in South Africa. To this end the \"data set\" of runhydrographs, which describe the characteristic peak and volume discharges of a catchment for a given recurrence interval, was used to calibrate the coefficients for selected catchments and to explore the assumptions underpinning this simple model. This article describes the methods employed in achieving this as well as a discussion of the results.","author":[{"dropping-particle":"","family":"Parak","given":"Mohamed","non-dropping-particle":"","parse-names":false,"suffix":""},{"dropping-particle":"","family":"Pegram","given":"Geoffrey G.S.","non-dropping-particle":"","parse-names":false,"suffix":""}],"container-title":"Water SA","id":"ITEM-1","issued":{"date-parts":[["2006"]]},"title":"The rational formula from the runhydrograph","type":"article-journal"},"uris":["http://www.mendeley.com/documents/?uuid=0e4e88ab-b6e1-4ba3-a586-70fb3c794e39","http://www.mendeley.com/documents/?uuid=bfeb187d-dfcc-410a-b6de-9ceee8335613","http://www.mendeley.com/documents/?uuid=358d4916-2d4d-4b34-ba0d-f1fc184ce6dd"]}],"mendeley":{"formattedCitation":"[77]","plainTextFormattedCitation":"[77]","previouslyFormattedCitation":"[77]"},"properties":{"noteIndex":0},"schema":"https://github.com/citation-style-language/schema/raw/master/csl-citation.json"}</w:instrText>
      </w:r>
      <w:r w:rsidRPr="00051297">
        <w:rPr>
          <w:rFonts w:cs="Times New Roman"/>
          <w:szCs w:val="24"/>
          <w:lang w:val="en-US" w:bidi="en-US"/>
        </w:rPr>
        <w:fldChar w:fldCharType="separate"/>
      </w:r>
      <w:bookmarkEnd w:id="74"/>
      <w:bookmarkEnd w:id="75"/>
      <w:r w:rsidR="0032684D" w:rsidRPr="0032684D">
        <w:rPr>
          <w:rFonts w:cs="Times New Roman"/>
          <w:noProof/>
          <w:szCs w:val="24"/>
          <w:lang w:val="en-US" w:bidi="en-US"/>
        </w:rPr>
        <w:t>[77]</w:t>
      </w:r>
      <w:bookmarkEnd w:id="73"/>
      <w:r w:rsidRPr="00051297">
        <w:rPr>
          <w:rFonts w:cs="Times New Roman"/>
          <w:szCs w:val="24"/>
          <w:lang w:val="en-US" w:bidi="en-US"/>
        </w:rPr>
        <w:fldChar w:fldCharType="end"/>
      </w:r>
    </w:p>
    <w:tbl>
      <w:tblPr>
        <w:tblStyle w:val="a8"/>
        <w:tblW w:w="0" w:type="auto"/>
        <w:jc w:val="center"/>
        <w:tblLook w:val="04A0" w:firstRow="1" w:lastRow="0" w:firstColumn="1" w:lastColumn="0" w:noHBand="0" w:noVBand="1"/>
      </w:tblPr>
      <w:tblGrid>
        <w:gridCol w:w="4235"/>
        <w:gridCol w:w="2880"/>
      </w:tblGrid>
      <w:tr w:rsidR="00051297" w:rsidRPr="00051297" w14:paraId="11D94AF7" w14:textId="77777777" w:rsidTr="00D20B01">
        <w:trPr>
          <w:jc w:val="center"/>
        </w:trPr>
        <w:tc>
          <w:tcPr>
            <w:tcW w:w="4235" w:type="dxa"/>
          </w:tcPr>
          <w:p w14:paraId="2C4FDA68"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Definition</w:t>
            </w:r>
          </w:p>
        </w:tc>
        <w:tc>
          <w:tcPr>
            <w:tcW w:w="2880" w:type="dxa"/>
          </w:tcPr>
          <w:p w14:paraId="0E7AA359"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Runoff Coefficient, C</w:t>
            </w:r>
          </w:p>
        </w:tc>
      </w:tr>
      <w:tr w:rsidR="00051297" w:rsidRPr="00051297" w14:paraId="078EAB29" w14:textId="77777777" w:rsidTr="00D20B01">
        <w:trPr>
          <w:jc w:val="center"/>
        </w:trPr>
        <w:tc>
          <w:tcPr>
            <w:tcW w:w="4235" w:type="dxa"/>
          </w:tcPr>
          <w:p w14:paraId="581D9559"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A large open area</w:t>
            </w:r>
          </w:p>
        </w:tc>
        <w:tc>
          <w:tcPr>
            <w:tcW w:w="2880" w:type="dxa"/>
          </w:tcPr>
          <w:p w14:paraId="01F74E97"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0.40</w:t>
            </w:r>
          </w:p>
        </w:tc>
      </w:tr>
      <w:tr w:rsidR="00051297" w:rsidRPr="00051297" w14:paraId="78D185CD" w14:textId="77777777" w:rsidTr="00D20B01">
        <w:trPr>
          <w:jc w:val="center"/>
        </w:trPr>
        <w:tc>
          <w:tcPr>
            <w:tcW w:w="4235" w:type="dxa"/>
          </w:tcPr>
          <w:p w14:paraId="0748EF22"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Cultivated</w:t>
            </w:r>
          </w:p>
        </w:tc>
        <w:tc>
          <w:tcPr>
            <w:tcW w:w="2880" w:type="dxa"/>
          </w:tcPr>
          <w:p w14:paraId="140AAE68"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0.40</w:t>
            </w:r>
          </w:p>
        </w:tc>
      </w:tr>
      <w:tr w:rsidR="00051297" w:rsidRPr="00051297" w14:paraId="770AF4D7" w14:textId="77777777" w:rsidTr="00D20B01">
        <w:trPr>
          <w:jc w:val="center"/>
        </w:trPr>
        <w:tc>
          <w:tcPr>
            <w:tcW w:w="4235" w:type="dxa"/>
          </w:tcPr>
          <w:p w14:paraId="1907015C"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Residential Property</w:t>
            </w:r>
          </w:p>
        </w:tc>
        <w:tc>
          <w:tcPr>
            <w:tcW w:w="2880" w:type="dxa"/>
          </w:tcPr>
          <w:p w14:paraId="3CCBF1E0"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0.45</w:t>
            </w:r>
          </w:p>
        </w:tc>
      </w:tr>
      <w:tr w:rsidR="00051297" w:rsidRPr="00051297" w14:paraId="503CD37F" w14:textId="77777777" w:rsidTr="00D20B01">
        <w:trPr>
          <w:jc w:val="center"/>
        </w:trPr>
        <w:tc>
          <w:tcPr>
            <w:tcW w:w="4235" w:type="dxa"/>
          </w:tcPr>
          <w:p w14:paraId="7A5FCD78"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Single-family residence</w:t>
            </w:r>
          </w:p>
        </w:tc>
        <w:tc>
          <w:tcPr>
            <w:tcW w:w="2880" w:type="dxa"/>
          </w:tcPr>
          <w:p w14:paraId="485A6E0D"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0.55</w:t>
            </w:r>
          </w:p>
        </w:tc>
      </w:tr>
      <w:tr w:rsidR="00051297" w:rsidRPr="00051297" w14:paraId="656C563C" w14:textId="77777777" w:rsidTr="00D20B01">
        <w:trPr>
          <w:jc w:val="center"/>
        </w:trPr>
        <w:tc>
          <w:tcPr>
            <w:tcW w:w="4235" w:type="dxa"/>
          </w:tcPr>
          <w:p w14:paraId="488A82C2"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Two-Family Residence</w:t>
            </w:r>
          </w:p>
        </w:tc>
        <w:tc>
          <w:tcPr>
            <w:tcW w:w="2880" w:type="dxa"/>
          </w:tcPr>
          <w:p w14:paraId="04C71B3B"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0.65</w:t>
            </w:r>
          </w:p>
        </w:tc>
      </w:tr>
      <w:tr w:rsidR="00051297" w:rsidRPr="00051297" w14:paraId="5CF8AB37" w14:textId="77777777" w:rsidTr="00D20B01">
        <w:trPr>
          <w:jc w:val="center"/>
        </w:trPr>
        <w:tc>
          <w:tcPr>
            <w:tcW w:w="4235" w:type="dxa"/>
          </w:tcPr>
          <w:p w14:paraId="083537A8"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Multi-Family Housing</w:t>
            </w:r>
          </w:p>
        </w:tc>
        <w:tc>
          <w:tcPr>
            <w:tcW w:w="2880" w:type="dxa"/>
          </w:tcPr>
          <w:p w14:paraId="7CA4E52B"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0.75</w:t>
            </w:r>
          </w:p>
        </w:tc>
      </w:tr>
      <w:tr w:rsidR="00051297" w:rsidRPr="00051297" w14:paraId="5DCFC252" w14:textId="77777777" w:rsidTr="00D20B01">
        <w:trPr>
          <w:jc w:val="center"/>
        </w:trPr>
        <w:tc>
          <w:tcPr>
            <w:tcW w:w="4235" w:type="dxa"/>
          </w:tcPr>
          <w:p w14:paraId="4ACD3BEA"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Manufactured Home, Residential</w:t>
            </w:r>
          </w:p>
        </w:tc>
        <w:tc>
          <w:tcPr>
            <w:tcW w:w="2880" w:type="dxa"/>
          </w:tcPr>
          <w:p w14:paraId="3E805F2B"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0.70</w:t>
            </w:r>
          </w:p>
        </w:tc>
      </w:tr>
      <w:tr w:rsidR="00051297" w:rsidRPr="00051297" w14:paraId="217FB30F" w14:textId="77777777" w:rsidTr="00D20B01">
        <w:trPr>
          <w:jc w:val="center"/>
        </w:trPr>
        <w:tc>
          <w:tcPr>
            <w:tcW w:w="4235" w:type="dxa"/>
          </w:tcPr>
          <w:p w14:paraId="065EAB7E"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Commercial District in the Neighborhood</w:t>
            </w:r>
          </w:p>
        </w:tc>
        <w:tc>
          <w:tcPr>
            <w:tcW w:w="2880" w:type="dxa"/>
          </w:tcPr>
          <w:p w14:paraId="78E5C33B"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0.90</w:t>
            </w:r>
          </w:p>
        </w:tc>
      </w:tr>
      <w:tr w:rsidR="00051297" w:rsidRPr="00051297" w14:paraId="71974C87" w14:textId="77777777" w:rsidTr="00D20B01">
        <w:trPr>
          <w:jc w:val="center"/>
        </w:trPr>
        <w:tc>
          <w:tcPr>
            <w:tcW w:w="4235" w:type="dxa"/>
          </w:tcPr>
          <w:p w14:paraId="3B050D68"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Commercial District (Light)</w:t>
            </w:r>
          </w:p>
        </w:tc>
        <w:tc>
          <w:tcPr>
            <w:tcW w:w="2880" w:type="dxa"/>
          </w:tcPr>
          <w:p w14:paraId="4BE02925"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0.90</w:t>
            </w:r>
          </w:p>
        </w:tc>
      </w:tr>
      <w:tr w:rsidR="00051297" w:rsidRPr="00051297" w14:paraId="3C735517" w14:textId="77777777" w:rsidTr="00D20B01">
        <w:trPr>
          <w:jc w:val="center"/>
        </w:trPr>
        <w:tc>
          <w:tcPr>
            <w:tcW w:w="4235" w:type="dxa"/>
          </w:tcPr>
          <w:p w14:paraId="545FB9F3"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Commercial District (Central)</w:t>
            </w:r>
          </w:p>
        </w:tc>
        <w:tc>
          <w:tcPr>
            <w:tcW w:w="2880" w:type="dxa"/>
          </w:tcPr>
          <w:p w14:paraId="776D701F"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0.90</w:t>
            </w:r>
          </w:p>
        </w:tc>
      </w:tr>
    </w:tbl>
    <w:p w14:paraId="2F9428B3" w14:textId="1D687984" w:rsidR="00051297" w:rsidRPr="00051297" w:rsidRDefault="00051297" w:rsidP="00051297">
      <w:pPr>
        <w:spacing w:before="240"/>
        <w:rPr>
          <w:rFonts w:cs="Times New Roman"/>
          <w:bCs/>
          <w:szCs w:val="24"/>
          <w:lang w:val="en-US"/>
        </w:rPr>
      </w:pPr>
      <w:r w:rsidRPr="00051297">
        <w:rPr>
          <w:rFonts w:cs="Times New Roman"/>
          <w:bCs/>
          <w:szCs w:val="24"/>
          <w:lang w:val="en-US"/>
        </w:rPr>
        <w:fldChar w:fldCharType="begin"/>
      </w:r>
      <w:r w:rsidRPr="00051297">
        <w:rPr>
          <w:rFonts w:cs="Times New Roman"/>
          <w:bCs/>
          <w:szCs w:val="24"/>
          <w:lang w:val="en-US"/>
        </w:rPr>
        <w:instrText xml:space="preserve"> REF _Ref98102432 \h </w:instrText>
      </w:r>
      <w:r w:rsidRPr="00051297">
        <w:rPr>
          <w:rFonts w:cs="Times New Roman"/>
          <w:bCs/>
          <w:szCs w:val="24"/>
          <w:lang w:val="en-US"/>
        </w:rPr>
      </w:r>
      <w:r w:rsidRPr="00051297">
        <w:rPr>
          <w:rFonts w:cs="Times New Roman"/>
          <w:bCs/>
          <w:szCs w:val="24"/>
          <w:lang w:val="en-US"/>
        </w:rPr>
        <w:fldChar w:fldCharType="separate"/>
      </w:r>
      <w:r w:rsidR="004870F1" w:rsidRPr="00051297">
        <w:rPr>
          <w:rFonts w:cs="Times New Roman"/>
          <w:szCs w:val="24"/>
          <w:lang w:val="en-US" w:bidi="en-US"/>
        </w:rPr>
        <w:t>T</w:t>
      </w:r>
      <w:r w:rsidR="004870F1" w:rsidRPr="00051297">
        <w:rPr>
          <w:rFonts w:cs="Times New Roman"/>
          <w:szCs w:val="24"/>
          <w:lang w:val="en-US"/>
        </w:rPr>
        <w:t xml:space="preserve">able </w:t>
      </w:r>
      <w:r w:rsidR="004870F1">
        <w:rPr>
          <w:rFonts w:cs="Times New Roman"/>
          <w:noProof/>
          <w:szCs w:val="24"/>
          <w:lang w:val="en-US"/>
        </w:rPr>
        <w:t>1</w:t>
      </w:r>
      <w:r w:rsidR="004870F1" w:rsidRPr="00051297">
        <w:rPr>
          <w:rFonts w:cs="Times New Roman"/>
          <w:szCs w:val="24"/>
          <w:lang w:val="en-US"/>
        </w:rPr>
        <w:t>.</w:t>
      </w:r>
      <w:r w:rsidR="004870F1">
        <w:rPr>
          <w:rFonts w:cs="Times New Roman"/>
          <w:noProof/>
          <w:szCs w:val="24"/>
          <w:lang w:val="en-US"/>
        </w:rPr>
        <w:t>3</w:t>
      </w:r>
      <w:r w:rsidRPr="00051297">
        <w:rPr>
          <w:rFonts w:cs="Times New Roman"/>
          <w:bCs/>
          <w:szCs w:val="24"/>
          <w:lang w:val="en-US"/>
        </w:rPr>
        <w:fldChar w:fldCharType="end"/>
      </w:r>
      <w:r w:rsidRPr="00051297">
        <w:rPr>
          <w:rFonts w:cs="Times New Roman"/>
          <w:bCs/>
          <w:szCs w:val="24"/>
          <w:lang w:val="en-US"/>
        </w:rPr>
        <w:t xml:space="preserve"> presents some Frequency Factor Multipliers for Runoff Coefficients based on different return periods.</w:t>
      </w:r>
    </w:p>
    <w:p w14:paraId="61EA3098" w14:textId="5EFD82B6" w:rsidR="00051297" w:rsidRPr="00051297" w:rsidRDefault="00051297" w:rsidP="00051297">
      <w:pPr>
        <w:rPr>
          <w:rFonts w:cs="Times New Roman"/>
          <w:szCs w:val="24"/>
          <w:lang w:val="en-US" w:bidi="en-US"/>
        </w:rPr>
      </w:pPr>
      <w:bookmarkStart w:id="76" w:name="_bookmark15"/>
      <w:bookmarkStart w:id="77" w:name="_Ref98102432"/>
      <w:bookmarkStart w:id="78" w:name="_Toc104985560"/>
      <w:bookmarkStart w:id="79" w:name="_Toc97077184"/>
      <w:bookmarkStart w:id="80" w:name="_Toc103544234"/>
      <w:bookmarkStart w:id="81" w:name="_Hlk91635772"/>
      <w:bookmarkEnd w:id="71"/>
      <w:bookmarkEnd w:id="76"/>
      <w:r w:rsidRPr="00051297">
        <w:rPr>
          <w:rFonts w:cs="Times New Roman"/>
          <w:szCs w:val="24"/>
          <w:lang w:val="en-US" w:bidi="en-US"/>
        </w:rPr>
        <w:t>T</w:t>
      </w:r>
      <w:r w:rsidRPr="00051297">
        <w:rPr>
          <w:rFonts w:cs="Times New Roman"/>
          <w:szCs w:val="24"/>
          <w:lang w:val="en-US"/>
        </w:rPr>
        <w:t xml:space="preserve">able </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Table \* ARABIC \s 1 </w:instrText>
      </w:r>
      <w:r w:rsidRPr="00051297">
        <w:rPr>
          <w:rFonts w:cs="Times New Roman"/>
          <w:szCs w:val="24"/>
          <w:lang w:val="en-US"/>
        </w:rPr>
        <w:fldChar w:fldCharType="separate"/>
      </w:r>
      <w:r w:rsidR="004870F1">
        <w:rPr>
          <w:rFonts w:cs="Times New Roman"/>
          <w:noProof/>
          <w:szCs w:val="24"/>
          <w:lang w:val="en-US"/>
        </w:rPr>
        <w:t>3</w:t>
      </w:r>
      <w:r w:rsidRPr="00051297">
        <w:rPr>
          <w:rFonts w:cs="Times New Roman"/>
          <w:szCs w:val="24"/>
          <w:lang w:val="en-US"/>
        </w:rPr>
        <w:fldChar w:fldCharType="end"/>
      </w:r>
      <w:bookmarkEnd w:id="77"/>
      <w:r w:rsidRPr="00051297">
        <w:rPr>
          <w:rFonts w:cs="Times New Roman"/>
          <w:szCs w:val="24"/>
          <w:lang w:val="en-US"/>
        </w:rPr>
        <w:t xml:space="preserve"> – Frequency Factor Multipliers for Runoff Coefficients </w:t>
      </w:r>
      <w:r w:rsidRPr="00051297">
        <w:rPr>
          <w:rFonts w:cs="Times New Roman"/>
          <w:szCs w:val="24"/>
        </w:rPr>
        <w:fldChar w:fldCharType="begin" w:fldLock="1"/>
      </w:r>
      <w:r w:rsidR="00FA5896">
        <w:rPr>
          <w:rFonts w:cs="Times New Roman"/>
          <w:szCs w:val="24"/>
          <w:lang w:val="en-US"/>
        </w:rPr>
        <w:instrText>ADDIN CSL_CITATION {"citationItems":[{"id":"ITEM-1","itemData":{"DOI":"10.4314/wsa.v32i2.5257","ISSN":"03784738","abstract":"The rational formula is possibly the simplest flood estimation technique available using rainfall-runoff relationships. In spite of the many criticisms regarding its over-simplification of the processes of rainfall conversion into runoff, it remains possibly the most widely used method for estimating peak flood flows for urban drainage systems and small (&lt;100 km2) rural catchments. However, as a result of the criticisms, the formula carries with it many cautions. One such caution regards the determination of the formula's runoff coefficient c, which is seen as the main difficulty in the design application of the formula. Mindful of this, it was decided to investigate the calibration of this coefficient, on past flood peak and flood volume pairs for a number of catchments in South Africa. To this end the \"data set\" of runhydrographs, which describe the characteristic peak and volume discharges of a catchment for a given recurrence interval, was used to calibrate the coefficients for selected catchments and to explore the assumptions underpinning this simple model. This article describes the methods employed in achieving this as well as a discussion of the results.","author":[{"dropping-particle":"","family":"Parak","given":"Mohamed","non-dropping-particle":"","parse-names":false,"suffix":""},{"dropping-particle":"","family":"Pegram","given":"Geoffrey G.S.","non-dropping-particle":"","parse-names":false,"suffix":""}],"container-title":"Water SA","id":"ITEM-1","issued":{"date-parts":[["2006"]]},"title":"The rational formula from the runhydrograph","type":"article-journal"},"uris":["http://www.mendeley.com/documents/?uuid=0e4e88ab-b6e1-4ba3-a586-70fb3c794e39","http://www.mendeley.com/documents/?uuid=bfeb187d-dfcc-410a-b6de-9ceee8335613","http://www.mendeley.com/documents/?uuid=358d4916-2d4d-4b34-ba0d-f1fc184ce6dd"]}],"mendeley":{"formattedCitation":"[77]","plainTextFormattedCitation":"[77]","previouslyFormattedCitation":"[77]"},"properties":{"noteIndex":0},"schema":"https://github.com/citation-style-language/schema/raw/master/csl-citation.json"}</w:instrText>
      </w:r>
      <w:r w:rsidRPr="00051297">
        <w:rPr>
          <w:rFonts w:cs="Times New Roman"/>
          <w:szCs w:val="24"/>
        </w:rPr>
        <w:fldChar w:fldCharType="separate"/>
      </w:r>
      <w:bookmarkEnd w:id="79"/>
      <w:bookmarkEnd w:id="80"/>
      <w:r w:rsidR="0032684D" w:rsidRPr="0032684D">
        <w:rPr>
          <w:rFonts w:cs="Times New Roman"/>
          <w:noProof/>
          <w:szCs w:val="24"/>
          <w:lang w:val="en-US"/>
        </w:rPr>
        <w:t>[77]</w:t>
      </w:r>
      <w:bookmarkEnd w:id="78"/>
      <w:r w:rsidRPr="00051297">
        <w:rPr>
          <w:rFonts w:cs="Times New Roman"/>
          <w:szCs w:val="24"/>
        </w:rPr>
        <w:fldChar w:fldCharType="end"/>
      </w:r>
    </w:p>
    <w:tbl>
      <w:tblPr>
        <w:tblStyle w:val="a8"/>
        <w:tblW w:w="0" w:type="auto"/>
        <w:jc w:val="center"/>
        <w:tblLook w:val="04A0" w:firstRow="1" w:lastRow="0" w:firstColumn="1" w:lastColumn="0" w:noHBand="0" w:noVBand="1"/>
      </w:tblPr>
      <w:tblGrid>
        <w:gridCol w:w="3690"/>
        <w:gridCol w:w="3330"/>
      </w:tblGrid>
      <w:tr w:rsidR="00051297" w:rsidRPr="004370EF" w14:paraId="7809D860" w14:textId="77777777" w:rsidTr="00D20B01">
        <w:trPr>
          <w:jc w:val="center"/>
        </w:trPr>
        <w:tc>
          <w:tcPr>
            <w:tcW w:w="3690" w:type="dxa"/>
          </w:tcPr>
          <w:p w14:paraId="705721B0"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Recurrence Interval (years)</w:t>
            </w:r>
          </w:p>
        </w:tc>
        <w:tc>
          <w:tcPr>
            <w:tcW w:w="3330" w:type="dxa"/>
          </w:tcPr>
          <w:p w14:paraId="59B46169"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Adjustment Multiplier (k</w:t>
            </w:r>
            <w:r w:rsidRPr="004370EF">
              <w:rPr>
                <w:sz w:val="20"/>
                <w:szCs w:val="18"/>
                <w:vertAlign w:val="subscript"/>
                <w:lang w:val="en-US"/>
              </w:rPr>
              <w:t>i</w:t>
            </w:r>
            <w:r w:rsidRPr="004370EF">
              <w:rPr>
                <w:sz w:val="20"/>
                <w:szCs w:val="18"/>
                <w:lang w:val="en-US"/>
              </w:rPr>
              <w:t>)</w:t>
            </w:r>
          </w:p>
        </w:tc>
      </w:tr>
      <w:tr w:rsidR="00051297" w:rsidRPr="004370EF" w14:paraId="7E6388DC" w14:textId="77777777" w:rsidTr="00D20B01">
        <w:trPr>
          <w:jc w:val="center"/>
        </w:trPr>
        <w:tc>
          <w:tcPr>
            <w:tcW w:w="3690" w:type="dxa"/>
          </w:tcPr>
          <w:p w14:paraId="2CBED5E9"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1 to 10</w:t>
            </w:r>
          </w:p>
        </w:tc>
        <w:tc>
          <w:tcPr>
            <w:tcW w:w="3330" w:type="dxa"/>
          </w:tcPr>
          <w:p w14:paraId="30210903"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1.0</w:t>
            </w:r>
          </w:p>
        </w:tc>
      </w:tr>
      <w:tr w:rsidR="00051297" w:rsidRPr="004370EF" w14:paraId="783BFC95" w14:textId="77777777" w:rsidTr="00D20B01">
        <w:trPr>
          <w:jc w:val="center"/>
        </w:trPr>
        <w:tc>
          <w:tcPr>
            <w:tcW w:w="3690" w:type="dxa"/>
          </w:tcPr>
          <w:p w14:paraId="4B8658C8"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25</w:t>
            </w:r>
          </w:p>
        </w:tc>
        <w:tc>
          <w:tcPr>
            <w:tcW w:w="3330" w:type="dxa"/>
          </w:tcPr>
          <w:p w14:paraId="7C08CA0B"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1.1</w:t>
            </w:r>
          </w:p>
        </w:tc>
      </w:tr>
      <w:tr w:rsidR="00051297" w:rsidRPr="004370EF" w14:paraId="3C988D0A" w14:textId="77777777" w:rsidTr="00D20B01">
        <w:trPr>
          <w:jc w:val="center"/>
        </w:trPr>
        <w:tc>
          <w:tcPr>
            <w:tcW w:w="3690" w:type="dxa"/>
          </w:tcPr>
          <w:p w14:paraId="3055D23F"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50</w:t>
            </w:r>
          </w:p>
        </w:tc>
        <w:tc>
          <w:tcPr>
            <w:tcW w:w="3330" w:type="dxa"/>
          </w:tcPr>
          <w:p w14:paraId="676F86F0"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1.2</w:t>
            </w:r>
          </w:p>
        </w:tc>
      </w:tr>
      <w:tr w:rsidR="00051297" w:rsidRPr="004370EF" w14:paraId="17E8C4A8" w14:textId="77777777" w:rsidTr="00D20B01">
        <w:trPr>
          <w:trHeight w:val="80"/>
          <w:jc w:val="center"/>
        </w:trPr>
        <w:tc>
          <w:tcPr>
            <w:tcW w:w="3690" w:type="dxa"/>
          </w:tcPr>
          <w:p w14:paraId="43678908"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100</w:t>
            </w:r>
          </w:p>
        </w:tc>
        <w:tc>
          <w:tcPr>
            <w:tcW w:w="3330" w:type="dxa"/>
          </w:tcPr>
          <w:p w14:paraId="7600CDEC" w14:textId="77777777" w:rsidR="00051297" w:rsidRPr="004370EF" w:rsidRDefault="00051297" w:rsidP="00051297">
            <w:pPr>
              <w:spacing w:line="240" w:lineRule="auto"/>
              <w:ind w:firstLine="0"/>
              <w:jc w:val="center"/>
              <w:rPr>
                <w:sz w:val="20"/>
                <w:szCs w:val="18"/>
                <w:lang w:val="en-US"/>
              </w:rPr>
            </w:pPr>
            <w:r w:rsidRPr="004370EF">
              <w:rPr>
                <w:sz w:val="20"/>
                <w:szCs w:val="18"/>
                <w:lang w:val="en-US"/>
              </w:rPr>
              <w:t>1.25</w:t>
            </w:r>
          </w:p>
        </w:tc>
      </w:tr>
    </w:tbl>
    <w:p w14:paraId="744A71DB" w14:textId="56419565" w:rsidR="00051297" w:rsidRPr="00051297" w:rsidRDefault="00051297" w:rsidP="00F97DFC">
      <w:pPr>
        <w:pStyle w:val="4"/>
      </w:pPr>
      <w:bookmarkStart w:id="82" w:name="_bookmark16"/>
      <w:bookmarkStart w:id="83" w:name="_Toc97504720"/>
      <w:bookmarkStart w:id="84" w:name="_Toc103543852"/>
      <w:bookmarkStart w:id="85" w:name="_Toc104985176"/>
      <w:bookmarkEnd w:id="82"/>
      <w:r w:rsidRPr="00051297">
        <w:lastRenderedPageBreak/>
        <w:t>Rainfall Intensity</w:t>
      </w:r>
      <w:bookmarkEnd w:id="83"/>
      <w:bookmarkEnd w:id="84"/>
      <w:bookmarkEnd w:id="85"/>
    </w:p>
    <w:p w14:paraId="66FEE6B4" w14:textId="679ED43F" w:rsidR="00051297" w:rsidRPr="00051297" w:rsidRDefault="00051297" w:rsidP="00051297">
      <w:pPr>
        <w:rPr>
          <w:rFonts w:cs="Times New Roman"/>
          <w:szCs w:val="24"/>
        </w:rPr>
      </w:pPr>
      <w:bookmarkStart w:id="86" w:name="_bookmark17"/>
      <w:bookmarkStart w:id="87" w:name="_Hlk91635821"/>
      <w:bookmarkEnd w:id="81"/>
      <w:bookmarkEnd w:id="86"/>
      <w:r w:rsidRPr="00051297">
        <w:rPr>
          <w:rFonts w:cs="Times New Roman"/>
          <w:szCs w:val="24"/>
          <w:lang w:val="en-US"/>
        </w:rPr>
        <w:t>Rainfall intensity</w:t>
      </w:r>
      <w:r w:rsidR="00554E6C">
        <w:rPr>
          <w:rFonts w:cs="Times New Roman"/>
          <w:szCs w:val="24"/>
          <w:lang w:val="en-US"/>
        </w:rPr>
        <w:t xml:space="preserve"> (</w:t>
      </w:r>
      <w:r w:rsidRPr="00051297">
        <w:rPr>
          <w:rFonts w:cs="Times New Roman"/>
          <w:szCs w:val="24"/>
          <w:lang w:val="en-US"/>
        </w:rPr>
        <w:t>I</w:t>
      </w:r>
      <w:r w:rsidR="00554E6C">
        <w:rPr>
          <w:rFonts w:cs="Times New Roman"/>
          <w:szCs w:val="24"/>
          <w:lang w:val="en-US"/>
        </w:rPr>
        <w:t>)</w:t>
      </w:r>
      <w:r w:rsidRPr="00051297">
        <w:rPr>
          <w:rFonts w:cs="Times New Roman"/>
          <w:szCs w:val="24"/>
          <w:lang w:val="en-US"/>
        </w:rPr>
        <w:t xml:space="preserve">, is the design rainfall rate for a specific drainage basin or sub-basin of a watershed. The intensity of rainfall, is calculated using an intensity-duration-frequency formula (IDF) chart for a given return period. The design intensity of rainfall can be interpolated using tabulated data after the moment of concentration is known </w:t>
      </w:r>
      <w:r w:rsidRPr="00051297">
        <w:rPr>
          <w:rFonts w:cs="Times New Roman"/>
          <w:szCs w:val="24"/>
        </w:rPr>
        <w:fldChar w:fldCharType="begin" w:fldLock="1"/>
      </w:r>
      <w:r w:rsidR="00FA5896">
        <w:rPr>
          <w:rFonts w:cs="Times New Roman"/>
          <w:szCs w:val="24"/>
          <w:lang w:val="en-US"/>
        </w:rPr>
        <w:instrText>ADDIN CSL_CITATION {"citationItems":[{"id":"ITEM-1","itemData":{"DOI":"10.3390/w10121750","ISSN":"2073-4441","abstract":"This study developed a methodological framework to update the rainfall intensity-duration-frequency (IDF) curves under climate change scenarios. A model output statistics (MOS) method is used to downscale the daily rainfall of general circulation models (GCMs), and an artificial neural network (ANN) is employed for the disaggregation of projected daily rainfall to hourly maximum rainfall, which is then used for the development of IDF curves. Finally, the 1st quartiles, medians, and 3rd quartiles of projected rainfall intensities are estimated for developing IDF curves with uncertainty level. Eight GCM simulations under two radiative concentration pathways (RCP) scenarios, namely, RCP 4.5 and RCP 8.5, are used in the proposed framework for the projection of IDF curves with related uncertainties for peninsular Malaysia. The projection of rainfall revealed an increase in the annual average rainfall throughout the present century. The comparison of the projected IDF curves for the period 2006–2099 with that obtained using GCM hindcasts for the based period (1971–2005) revealed an increase in rainfall intensity for shorter durations and a decrease for longer durations. The uncertainty in rainfall intensity for different return periods for shorter duration is found to be 2 to 6 times more compared to longer duration rainfall, which indicates that a large increase in rainfall intensity for short durations projected by GCMs is highly uncertain for peninsular Malaysia. The IDF curves developed in this study can be used for the planning of climate resilient urban water storm water management infrastructure in Peninsular Malaysia.","author":[{"dropping-particle":"","family":"Noor","given":"Muhammad","non-dropping-particle":"","parse-names":false,"suffix":""},{"dropping-particle":"","family":"Ismail","given":"Tarmizi","non-dropping-particle":"","parse-names":false,"suffix":""},{"dropping-particle":"","family":"Chung","given":"Eun-Sung","non-dropping-particle":"","parse-names":false,"suffix":""},{"dropping-particle":"","family":"Shahid","given":"Shamsuddin","non-dropping-particle":"","parse-names":false,"suffix":""},{"dropping-particle":"","family":"Sung","given":"Jang","non-dropping-particle":"","parse-names":false,"suffix":""}],"container-title":"Water","id":"ITEM-1","issue":"12","issued":{"date-parts":[["2018","11"]]},"page":"1750","title":"Uncertainty in Rainfall Intensity Duration Frequency Curves of Peninsular Malaysia under Changing Climate Scenarios","type":"article-journal","volume":"10"},"uris":["http://www.mendeley.com/documents/?uuid=81f0a947-d57d-4b93-b16d-08ee83dc0c1d","http://www.mendeley.com/documents/?uuid=1cfca2ca-5d50-469d-bb10-846be825fb82","http://www.mendeley.com/documents/?uuid=b3fdf031-f640-441c-af97-50aa00aeb3f6"]}],"mendeley":{"formattedCitation":"[78]","plainTextFormattedCitation":"[78]","previouslyFormattedCitation":"[78]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[78]</w:t>
      </w:r>
      <w:r w:rsidRPr="00051297">
        <w:rPr>
          <w:rFonts w:cs="Times New Roman"/>
          <w:szCs w:val="24"/>
        </w:rPr>
        <w:fldChar w:fldCharType="end"/>
      </w:r>
      <w:r w:rsidRPr="00051297">
        <w:rPr>
          <w:rFonts w:cs="Times New Roman"/>
          <w:szCs w:val="24"/>
        </w:rPr>
        <w:t>.</w:t>
      </w:r>
    </w:p>
    <w:p w14:paraId="5BE562E0" w14:textId="06D20447" w:rsidR="00051297" w:rsidRPr="00051297" w:rsidRDefault="00051297" w:rsidP="00F97DFC">
      <w:pPr>
        <w:pStyle w:val="4"/>
      </w:pPr>
      <w:bookmarkStart w:id="88" w:name="_bookmark18"/>
      <w:bookmarkStart w:id="89" w:name="_Toc97504721"/>
      <w:bookmarkStart w:id="90" w:name="_Toc103543853"/>
      <w:bookmarkStart w:id="91" w:name="_Toc104985177"/>
      <w:bookmarkEnd w:id="88"/>
      <w:r w:rsidRPr="00051297">
        <w:t xml:space="preserve">Drainage </w:t>
      </w:r>
      <w:r w:rsidR="00554E6C">
        <w:rPr>
          <w:lang w:val="en-US"/>
        </w:rPr>
        <w:t>a</w:t>
      </w:r>
      <w:r w:rsidRPr="00051297">
        <w:t>rea</w:t>
      </w:r>
      <w:bookmarkEnd w:id="89"/>
      <w:bookmarkEnd w:id="90"/>
      <w:bookmarkEnd w:id="91"/>
    </w:p>
    <w:p w14:paraId="0A0F2344" w14:textId="29C81EEC" w:rsidR="00051297" w:rsidRPr="00051297" w:rsidRDefault="00051297" w:rsidP="00051297">
      <w:pPr>
        <w:rPr>
          <w:rFonts w:cs="Times New Roman"/>
          <w:szCs w:val="24"/>
        </w:rPr>
      </w:pPr>
      <w:r w:rsidRPr="00051297">
        <w:rPr>
          <w:rFonts w:cs="Times New Roman"/>
          <w:szCs w:val="24"/>
          <w:lang w:val="en-US"/>
        </w:rPr>
        <w:t>When utilizing the Rational Method, the drainage area</w:t>
      </w:r>
      <w:r w:rsidR="00554E6C">
        <w:rPr>
          <w:rFonts w:cs="Times New Roman"/>
          <w:szCs w:val="24"/>
          <w:lang w:val="en-US"/>
        </w:rPr>
        <w:t xml:space="preserve"> (A)</w:t>
      </w:r>
      <w:r w:rsidRPr="00051297">
        <w:rPr>
          <w:rFonts w:cs="Times New Roman"/>
          <w:szCs w:val="24"/>
          <w:lang w:val="en-US"/>
        </w:rPr>
        <w:t xml:space="preserve"> is usually measured in acres </w:t>
      </w:r>
      <w:r w:rsidRPr="00051297">
        <w:rPr>
          <w:rFonts w:cs="Times New Roman"/>
          <w:szCs w:val="24"/>
        </w:rPr>
        <w:fldChar w:fldCharType="begin" w:fldLock="1"/>
      </w:r>
      <w:r w:rsidR="00FA5896">
        <w:rPr>
          <w:rFonts w:cs="Times New Roman"/>
          <w:szCs w:val="24"/>
          <w:lang w:val="en-US"/>
        </w:rPr>
        <w:instrText>ADDIN CSL_CITATION {"citationItems":[{"id":"ITEM-1","itemData":{"DOI":"10.1080/02626667.2019.1682150","ISSN":"0262-6667","abstract":"The Rational Formula (RF) is probably the most frequently applied equation in practical hydrology to compute the peak discharge, due to its simplicity and effective compromise between theory and data availability. Thus, after more than a century, the estimation of peak discharge through the RF is still an important and challenging issue in hydrology. The RF assumes response linearity and sometimes assumes that the return period does not depend on the runoff coefficient and neglects the time to ponding and the antecedent moisture condition. Moreover, the RF requires the critical duration of rainfall and the runoff coefficient to be estimated, both of which are highly controversial. This paper proposes an advanced RF that makes it possible to derive the peak discharge at the hillslope scale, where the above RF assumptions are mostly relaxed. Physically based runoff coefficient tables, which are not affected by subjectivity, are presented and application of the derived procedure is performed.","author":[{"dropping-particle":"","family":"Baiamonte","given":"Giorgio","non-dropping-particle":"","parse-names":false,"suffix":""}],"container-title":"Hydrological Sciences Journal","id":"ITEM-1","issue":"1","issued":{"date-parts":[["2020","1"]]},"page":"112-126","title":"A rational runoff coefficient for a revisited rational formula","type":"article-journal","volume":"65"},"uris":["http://www.mendeley.com/documents/?uuid=0f54dd5d-7322-4c94-86dd-94f975970196","http://www.mendeley.com/documents/?uuid=9e72aa29-baf0-4c9a-b854-19be074a5732","http://www.mendeley.com/documents/?uuid=f47acf1a-c6fa-4441-a80a-ffce4c5349ec"]}],"mendeley":{"formattedCitation":"[79]","plainTextFormattedCitation":"[79]","previouslyFormattedCitation":"[79]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[79]</w:t>
      </w:r>
      <w:r w:rsidRPr="00051297">
        <w:rPr>
          <w:rFonts w:cs="Times New Roman"/>
          <w:szCs w:val="24"/>
        </w:rPr>
        <w:fldChar w:fldCharType="end"/>
      </w:r>
      <w:r w:rsidRPr="00051297">
        <w:rPr>
          <w:rFonts w:cs="Times New Roman"/>
          <w:szCs w:val="24"/>
          <w:lang w:val="en-US"/>
        </w:rPr>
        <w:t xml:space="preserve">. Where topographic data has changed, or the contour interval is too great to distinguish the exact direction of overland flows, drainage areas should be computed using planimetric topographic maps, augmented by field surveys. Field surveys </w:t>
      </w:r>
      <w:r w:rsidR="000328E1">
        <w:rPr>
          <w:rFonts w:cs="Times New Roman"/>
          <w:szCs w:val="24"/>
          <w:lang w:val="en-US"/>
        </w:rPr>
        <w:t>are sometimes</w:t>
      </w:r>
      <w:r w:rsidRPr="00051297">
        <w:rPr>
          <w:rFonts w:cs="Times New Roman"/>
          <w:szCs w:val="24"/>
          <w:lang w:val="en-US"/>
        </w:rPr>
        <w:t xml:space="preserve"> used to confirm the flow of water through culverts and other drainage systems </w:t>
      </w:r>
      <w:r w:rsidRPr="00051297">
        <w:rPr>
          <w:rFonts w:cs="Times New Roman"/>
          <w:szCs w:val="24"/>
        </w:rPr>
        <w:fldChar w:fldCharType="begin" w:fldLock="1"/>
      </w:r>
      <w:r w:rsidR="00FA5896">
        <w:rPr>
          <w:rFonts w:cs="Times New Roman"/>
          <w:szCs w:val="24"/>
          <w:lang w:val="en-US"/>
        </w:rPr>
        <w:instrText>ADDIN CSL_CITATION {"citationItems":[{"id":"ITEM-1","itemData":{"DOI":"10.1016/j.jksus.2020.09.028","ISSN":"10183647","abstract":"Development of Intensity-Duration-Frequency (IDF) Curves is important for the design of various hydraulic structures such as culverts, dams, and stormwater drainage systems. In this paper, rainfall analyses are conducted to evaluate the effect of using rainfall records from different rain gauge types on IDF Curves construction. Rainfall data are collected from two recording rain gauges at Namman catchment in western Saudi Arabia. Using the available 13 years rainfall data of the two gauges, annual maxima rainfall series values are extracted and used for IDF curves computations. The rainfall gauge which is equipped with a siphon produced IDF curves with higher precipitation intensities in comparison with the other gauge. This indicates that the siphon mechanism plays an important role in decreasing the under-catchment amount of the tipping bucket gauges during heavy rainfall storms. The current study shows that the under-catchment amount of tipping-bucket rain gauges can have a significant impact on the IDF curves and the characteristics of the design storm. A correction relationship to adjust rain intensity data sets of recording rain gauges that are not furnished with siphons is proposed in this paper. The adjusted rainfall intensity values are utilized to construct reliable IDF curves.","author":[{"dropping-particle":"","family":"Saad Al-Wagdany","given":"Abdullah","non-dropping-particle":"","parse-names":false,"suffix":""}],"container-title":"Journal of King Saud University - Science","id":"ITEM-1","issue":"8","issued":{"date-parts":[["2020","12"]]},"page":"3421-3431","title":"Intensity-duration-frequency curve derivation from different rain gauge records","type":"article-journal","volume":"32"},"uris":["http://www.mendeley.com/documents/?uuid=98e7c650-537a-44ca-a365-da4281218c4e","http://www.mendeley.com/documents/?uuid=09208b92-434e-4fd4-92ce-d257141576cd","http://www.mendeley.com/documents/?uuid=dd760ae8-1857-42cd-bd09-9e08258dbab5"]}],"mendeley":{"formattedCitation":"[80]","plainTextFormattedCitation":"[80]","previouslyFormattedCitation":"[80]"},"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[80]</w:t>
      </w:r>
      <w:r w:rsidRPr="00051297">
        <w:rPr>
          <w:rFonts w:cs="Times New Roman"/>
          <w:szCs w:val="24"/>
        </w:rPr>
        <w:fldChar w:fldCharType="end"/>
      </w:r>
      <w:r w:rsidRPr="00051297">
        <w:rPr>
          <w:rFonts w:cs="Times New Roman"/>
          <w:szCs w:val="24"/>
        </w:rPr>
        <w:t>.</w:t>
      </w:r>
    </w:p>
    <w:p w14:paraId="01C88CCC" w14:textId="442BAACB" w:rsidR="00051297" w:rsidRPr="00051297" w:rsidRDefault="00051297" w:rsidP="00F97DFC">
      <w:pPr>
        <w:pStyle w:val="4"/>
      </w:pPr>
      <w:bookmarkStart w:id="92" w:name="_bookmark19"/>
      <w:bookmarkStart w:id="93" w:name="_Toc97504722"/>
      <w:bookmarkStart w:id="94" w:name="_Toc103543854"/>
      <w:bookmarkStart w:id="95" w:name="_Toc104985178"/>
      <w:bookmarkEnd w:id="92"/>
      <w:r w:rsidRPr="00051297">
        <w:t xml:space="preserve">Time of </w:t>
      </w:r>
      <w:r w:rsidR="00D576D2">
        <w:rPr>
          <w:lang w:val="en-US"/>
        </w:rPr>
        <w:t>c</w:t>
      </w:r>
      <w:r w:rsidRPr="00051297">
        <w:t>oncentration</w:t>
      </w:r>
      <w:bookmarkEnd w:id="93"/>
      <w:bookmarkEnd w:id="94"/>
      <w:bookmarkEnd w:id="95"/>
    </w:p>
    <w:bookmarkEnd w:id="87"/>
    <w:p w14:paraId="05CE1E38" w14:textId="78AA0D07" w:rsidR="00051297" w:rsidRPr="00051297" w:rsidRDefault="00051297" w:rsidP="00051297">
      <w:pPr>
        <w:rPr>
          <w:rFonts w:cs="Times New Roman"/>
          <w:szCs w:val="24"/>
          <w:lang w:val="en-US"/>
        </w:rPr>
      </w:pPr>
      <w:r w:rsidRPr="00051297">
        <w:rPr>
          <w:rFonts w:cs="Times New Roman"/>
          <w:szCs w:val="24"/>
          <w:lang w:val="en-US"/>
        </w:rPr>
        <w:t>The time of concentration</w:t>
      </w:r>
      <w:r w:rsidR="00D576D2">
        <w:rPr>
          <w:rFonts w:cs="Times New Roman"/>
          <w:szCs w:val="24"/>
          <w:lang w:val="en-US"/>
        </w:rPr>
        <w:t xml:space="preserve"> (</w:t>
      </w:r>
      <w:r w:rsidRPr="00051297">
        <w:rPr>
          <w:rFonts w:cs="Times New Roman"/>
          <w:szCs w:val="24"/>
          <w:lang w:val="en-US"/>
        </w:rPr>
        <w:t>t</w:t>
      </w:r>
      <w:r w:rsidRPr="00051297">
        <w:rPr>
          <w:rFonts w:cs="Times New Roman"/>
          <w:szCs w:val="24"/>
          <w:vertAlign w:val="subscript"/>
          <w:lang w:val="en-US"/>
        </w:rPr>
        <w:t>c</w:t>
      </w:r>
      <w:r w:rsidR="00D576D2">
        <w:rPr>
          <w:rFonts w:cs="Times New Roman"/>
          <w:szCs w:val="24"/>
          <w:lang w:val="en-US"/>
        </w:rPr>
        <w:t>)</w:t>
      </w:r>
      <w:r w:rsidRPr="00051297">
        <w:rPr>
          <w:rFonts w:cs="Times New Roman"/>
          <w:szCs w:val="24"/>
          <w:lang w:val="en-US"/>
        </w:rPr>
        <w:t xml:space="preserve"> is best characterized as the time </w:t>
      </w:r>
      <w:r w:rsidR="00D576D2">
        <w:rPr>
          <w:rFonts w:cs="Times New Roman"/>
          <w:szCs w:val="24"/>
          <w:lang w:val="en-US"/>
        </w:rPr>
        <w:t>taken by</w:t>
      </w:r>
      <w:r w:rsidRPr="00051297">
        <w:rPr>
          <w:rFonts w:cs="Times New Roman"/>
          <w:szCs w:val="24"/>
          <w:lang w:val="en-US"/>
        </w:rPr>
        <w:t xml:space="preserve"> water to flow from the farthest point</w:t>
      </w:r>
      <w:r w:rsidR="00D576D2">
        <w:rPr>
          <w:rFonts w:cs="Times New Roman"/>
          <w:szCs w:val="24"/>
          <w:lang w:val="en-US"/>
        </w:rPr>
        <w:t xml:space="preserve"> within a watershed</w:t>
      </w:r>
      <w:r w:rsidRPr="00051297">
        <w:rPr>
          <w:rFonts w:cs="Times New Roman"/>
          <w:szCs w:val="24"/>
          <w:lang w:val="en-US"/>
        </w:rPr>
        <w:t xml:space="preserve"> to the design point where peak runoff is sought </w:t>
      </w:r>
      <w:r w:rsidRPr="00051297">
        <w:rPr>
          <w:rFonts w:cs="Times New Roman"/>
          <w:szCs w:val="24"/>
        </w:rPr>
        <w:fldChar w:fldCharType="begin" w:fldLock="1"/>
      </w:r>
      <w:r w:rsidR="00FA5896">
        <w:rPr>
          <w:rFonts w:cs="Times New Roman"/>
          <w:szCs w:val="24"/>
          <w:lang w:val="en-US"/>
        </w:rPr>
        <w:instrText>ADDIN CSL_CITATION {"citationItems":[{"id":"ITEM-1","itemData":{"DOI":"10.5194/hess-2019-588","ISSN":"1027-5606","abstract":"The concept of time of concentration in the analysis of catchment responses dates back over 150 years to the introduction of the Rational Method. Since then it has been used in a variety of ways in the formulation of both unit hydrograph and distributed catchment models. It is normally discussed in terms of the velocity of flow of a water particle from the furthest part of a catchment to the outlet. This is also the basis for the definition in the International Glossary of Hydrology. While conceptually simple, this definition is, however, wrong when applied to catchment responses where, in terms of how 10 surface and subsurface flows produce hydrographs, it is more correct to discuss and teach the concept based on celerities and time to equilibrium. While this has been recognized since the 1960s, some recent papers and text remain confused over the definition and use of time of concentration. The paper sets out the history of its use and clarifies its relationship to time to equilibrium but suggests that both terms are not really useful in explaining hydrological responses. An appendix is included that quantifies the differences between the definitions of response times for subsurface and surface flows under simple 15 assumptions that might be useful in teaching.","author":[{"dropping-particle":"","family":"Beven","given":"Keith","non-dropping-particle":"","parse-names":false,"suffix":""}],"container-title":"Hydrology and Earth System Sciences","id":"ITEM-1","issued":{"date-parts":[["2020"]]},"title":"A history of the concept of time of concentration","type":"article-journal"},"uris":["http://www.mendeley.com/documents/?uuid=7f51a06a-87c7-467f-b22d-c030e22027b5","http://www.mendeley.com/documents/?uuid=f7796bc6-5ba3-4351-a1b1-4243bab61bc8","http://www.mendeley.com/documents/?uuid=09a5af15-1bf6-47ec-9fa8-370692dab5a0"]}],"mendeley":{"formattedCitation":"[81]","plainTextFormattedCitation":"[81]","previouslyFormattedCitation":"[81]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[81]</w:t>
      </w:r>
      <w:r w:rsidRPr="00051297">
        <w:rPr>
          <w:rFonts w:cs="Times New Roman"/>
          <w:szCs w:val="24"/>
        </w:rPr>
        <w:fldChar w:fldCharType="end"/>
      </w:r>
      <w:r w:rsidRPr="00051297">
        <w:rPr>
          <w:rFonts w:cs="Times New Roman"/>
          <w:szCs w:val="24"/>
          <w:lang w:val="en-US"/>
        </w:rPr>
        <w:t xml:space="preserve">. The most important period of concentration (critical) is the time for the runoff hydrograph to reach its peak at the design point. When the entire watershed region is contributing to flow, runoff from a watershed usually reaches a peak. As a result, the flow time from the most remote region </w:t>
      </w:r>
      <w:r w:rsidR="00642468">
        <w:rPr>
          <w:rFonts w:cs="Times New Roman"/>
          <w:szCs w:val="24"/>
          <w:lang w:val="en-US"/>
        </w:rPr>
        <w:t xml:space="preserve">within a catchment or watershed </w:t>
      </w:r>
      <w:r w:rsidRPr="00051297">
        <w:rPr>
          <w:rFonts w:cs="Times New Roman"/>
          <w:szCs w:val="24"/>
          <w:lang w:val="en-US"/>
        </w:rPr>
        <w:t xml:space="preserve">to the design point is assumed to represent the crucial time of concentration </w:t>
      </w:r>
      <w:r w:rsidRPr="00051297">
        <w:rPr>
          <w:rFonts w:cs="Times New Roman"/>
          <w:szCs w:val="24"/>
        </w:rPr>
        <w:fldChar w:fldCharType="begin" w:fldLock="1"/>
      </w:r>
      <w:r w:rsidR="00FA5896">
        <w:rPr>
          <w:rFonts w:cs="Times New Roman"/>
          <w:szCs w:val="24"/>
          <w:lang w:val="en-US"/>
        </w:rPr>
        <w:instrText>ADDIN CSL_CITATION {"citationItems":[{"id":"ITEM-1","itemData":{"DOI":"10.3390/hydrology7030047","ISSN":"2306-5338","abstract":"In ungauged watersheds, the estimation of the time of concentration (Tc) is always a challenging task due to the intrinsic uncertainty involved when making assumptions. Given that Tc is one of the main inputs in a hydrological analysis for the design of hydraulic structures for stormwater management, ten equations (including one proposed in several local studies) and two Tc methodologies (overland flow time plus channel flow time) were used to compute the Tc in fifteen urban ungauged watersheds, located in Cartagena de Indias (Colombia), with different area sizes and slopes to statistically assess their performance against the value obtained via the Natural Resources Conservation Service (NRCS) velocity method (assumed to be the true value). According to the Nash–Sutcliffe efficiency index, none of the equations proved to be reliable in all watersheds as only four equations predicted the Tc value in 53% of the cases. In addition, based on the percent bias, all equations tended to significantly over- or underestimate the Tc, which affects the quantification of the runoff volume necessary for, among others, the implementation of best management practices for watershed management (e.g., conventional and/or sustainable drainage system design), flood-prone area delineation and flood risk analyses, urban planning, and stream restoration.","author":[{"dropping-particle":"","family":"González-Álvarez","given":"Álvaro","non-dropping-particle":"","parse-names":false,"suffix":""},{"dropping-particle":"","family":"Molina-Pérez","given":"José","non-dropping-particle":"","parse-names":false,"suffix":""},{"dropping-particle":"","family":"Meza-Zúñiga","given":"Brandon","non-dropping-particle":"","parse-names":false,"suffix":""},{"dropping-particle":"","family":"Viloria-Marimón","given":"Orlando M.","non-dropping-particle":"","parse-names":false,"suffix":""},{"dropping-particle":"","family":"Tesfagiorgis","given":"Kibrewossen","non-dropping-particle":"","parse-names":false,"suffix":""},{"dropping-particle":"","family":"Mouthón-Bello","given":"Javier A.","non-dropping-particle":"","parse-names":false,"suffix":""}],"container-title":"Hydrology","id":"ITEM-1","issue":"3","issued":{"date-parts":[["2020","7"]]},"page":"47","title":"Assessing the Performance of Different Time of Concentration Equations in Urban Ungauged Watersheds: Case Study of Cartagena de Indias, Colombia","type":"article-journal","volume":"7"},"uris":["http://www.mendeley.com/documents/?uuid=28dea4e5-4361-42a4-a27e-b0a82a9bab54","http://www.mendeley.com/documents/?uuid=7e989daf-c24a-415c-b039-5e42dd729719","http://www.mendeley.com/documents/?uuid=03de141f-4bb6-4123-b057-44e73e52470d"]},{"id":"ITEM-2","itemData":{"DOI":"10.9734/jerr/2021/v20i517314","ISSN":"2582-2926","abstract":"This study considered the estimation of the time of concentration (TC) using 30 different watersheds in Anambra State, Nigeria. The study assessed the performance of some existing models for the estimation of time of concentration in the study area. Data for this research were collected from watersheds located at Awka-South Local Government in Anambra State. A measured time of concentration values was also obtained by using a tracer at the watershed divide and the time it took the tracer to get the outlet of the watershed was recorded. This was carried out on all the 30 watersheds at the same time. The length, slope and area of the 30 watersheds were also measured. Thereafter, the time of concentration was estimated using the 30 existing models. The extent of linear association between the observed and estimated time of concentration for the different models was determined. The outcome of the study revealed that the Ventura model (Tc12) developed in Italy recorded the highest correlation coefficient with a measure of 0.681, followed by DNOS model (Tc14) with a coefficient measure of 0.661 while the least performing model was Picking model (Tc13) with -0.423 correlation measure. There was also an obvious difference in the values of the time of concentration calculated using the different models. Therefore there is always a need to verify any model to be used for estimating the time of concentration in other to have a more robust design.","author":[{"dropping-particle":"","family":"Agunwamba","given":"J. C.","non-dropping-particle":"","parse-names":false,"suffix":""},{"dropping-particle":"","family":"Mmonwuba","given":"N. C.","non-dropping-particle":"","parse-names":false,"suffix":""}],"container-title":"Journal of Engineering Research and Reports","id":"ITEM-2","issued":{"date-parts":[["2021","4"]]},"page":"64-75","title":"Comparative Analysis of Some Existing Models for Estimating the Time of Concentration for Watersheds in Anambra State, Nigeria","type":"article-journal"},"uris":["http://www.mendeley.com/documents/?uuid=62a367df-74b3-4ccf-bf0a-745c5f681aba","http://www.mendeley.com/documents/?uuid=f0569893-ade0-48ba-b3a6-2e4196a37866","http://www.mendeley.com/documents/?uuid=45590b55-b43c-4f22-ab24-b47677e7583c"]},{"id":"ITEM-3","itemData":{"DOI":"10.1080/02626667.2017.1384549","ISSN":"0262-6667","abstract":"The time of concentration (Tc) is a fundamental parameter in the design of hydrological projects for watersheds. In this study a graphical methodology is described for estimating Tc in a watershed, and this is applied to 17 rainfall–runoff events from a rural watershed located near the capital city of Mato Grosso do Sul State, in the Brazilian Cerrado. The Tc values obtained through the graphical method were compared to Tc values estimated using 20 equations from various references. The equations were selected by considering those that were not developed using data for urban watersheds, and the results of the graphical method were compared to those derived by applying the equations to sub-basin data. The graphical method was reliable in determining Tc, and Ventura’s equation was found to present the best performance for a rural watershed in a tropical climate region.","author":[{"dropping-particle":"","family":"Kaufmann de Almeida","given":"Isabel","non-dropping-particle":"","parse-names":false,"suffix":""},{"dropping-particle":"","family":"Kaufmann Almeida","given":"Aleska","non-dropping-particle":"","parse-names":false,"suffix":""},{"dropping-particle":"","family":"Garcia Gabas","given":"Sandra","non-dropping-particle":"","parse-names":false,"suffix":""},{"dropping-particle":"","family":"Alves Sobrinho","given":"Teodorico","non-dropping-particle":"","parse-names":false,"suffix":""}],"container-title":"Hydrological Sciences Journal","id":"ITEM-3","issue":"14","issued":{"date-parts":[["2017","10"]]},"page":"2406-2414","title":"Performance of methods for estimating the time of concentration in a watershed of a tropical region","type":"article-journal","volume":"62"},"uris":["http://www.mendeley.com/documents/?uuid=f3357cfa-9015-4c21-b47a-590cde5b6e09","http://www.mendeley.com/documents/?uuid=58283119-cfc8-445f-ba69-66e73c9b0aec","http://www.mendeley.com/documents/?uuid=82ef222d-c19f-442e-a483-0aea518c04c1"]},{"id":"ITEM-4","itemData":{"DOI":"10.1007/s10333-016-0534-2","ISSN":"1611-2490","abstract":"For hydrologists, time of concentration (TC) is one of the most important parameters to be able to predict the response of a watershed to a given rain event and plays a key role in rainfall-runoff simulation. There are several methods to calculate the TC. The time of concentration is defined as the time from the hydraulically furthermost point to watershed outlet. In this study, we integrated 22 formulas from various references for calculating time of concentration and selected seven formulas by considering the specific conditions and limitations that are suitable for Shafaroud watershed with an area of 345.4 km2, located in the western Guilan province of northern Iran. They included Ventura, Passini, Bransby-Williams, Carter, Johnstone-Cross, Izzard and Papadakis-Kazan. The TC values obtained from the mentioned methods were applied in HEC-HMS software for the four rainfall events of June 5, 2003; October 20, 2005; December 2, 2007; and June 19, 2008. The results indicated that peak flow values obtained by the Bransby-Williams method are most consistent with the observed peak data values and better presents the hydrologic condition of the watershed.","author":[{"dropping-particle":"","family":"Salimi","given":"E. Taghvaye","non-dropping-particle":"","parse-names":false,"suffix":""},{"dropping-particle":"","family":"Nohegar","given":"A.","non-dropping-particle":"","parse-names":false,"suffix":""},{"dropping-particle":"","family":"Malekian","given":"A.","non-dropping-particle":"","parse-names":false,"suffix":""},{"dropping-particle":"","family":"Hoseini","given":"M.","non-dropping-particle":"","parse-names":false,"suffix":""},{"dropping-particle":"","family":"Holisaz","given":"A.","non-dropping-particle":"","parse-names":false,"suffix":""}],"container-title":"Paddy and Water Environment","id":"ITEM-4","issue":"1","issued":{"date-parts":[["2017","1"]]},"page":"123-132","title":"Estimating time of concentration in large watersheds","type":"article-journal","volume":"15"},"uris":["http://www.mendeley.com/documents/?uuid=5f0ae3b2-4263-4af7-8d15-371198c13f16","http://www.mendeley.com/documents/?uuid=7f74200d-b634-4faf-8139-35b907784cce","http://www.mendeley.com/documents/?uuid=8c61bfa2-cb99-439d-ac88-064bd03c24b2"]},{"id":"ITEM-5","itemData":{"DOI":"10.1007/s11269-016-1383-x","ISSN":"0920-4741","abstract":"The time of concentration for a watershed is an essential parameter to the design of any hydrological project. In this study, a time of concentration estimation-model that uses variables obtained by monitoring rainfall-runoff events in a rural watershed of a tropical climate is proposed. In developing the model, the relationship between the time of concentration and independent variables was verified using a linear correlation matrix. Two variables with the highest correlation coefficient were selected to derive a model that can estimate the time of concentration. The Harmony Search (HS) optimization algorithm was employed to optimize the model parameters. The performance of the model was evaluated based on the Nash–Sutcliffe (NS) coefficient, which yielded a value greater than 0.80. The proposed model allows one to estimate the time of concentration using only the hydrograph of an event at the base level of a watershed, without the use of rainfall data.","author":[{"dropping-particle":"","family":"Almeida","given":"Isabel Kaufmann","non-dropping-particle":"de","parse-names":false,"suffix":""},{"dropping-particle":"","family":"Almeida","given":"Aleska Kaufmann","non-dropping-particle":"","parse-names":false,"suffix":""},{"dropping-particle":"","family":"Steffen","given":"Jorge Luiz","non-dropping-particle":"","parse-names":false,"suffix":""},{"dropping-particle":"","family":"Alves Sobrinho","given":"Teodorico","non-dropping-particle":"","parse-names":false,"suffix":""}],"container-title":"Water Resources Management","id":"ITEM-5","issue":"12","issued":{"date-parts":[["2016","9"]]},"page":"4083-4096","title":"Model for Estimating the Time of Concentration in Watersheds","type":"article-journal","volume":"30"},"uris":["http://www.mendeley.com/documents/?uuid=1ff11c16-5ceb-42a8-9439-c22c314b9ca7","http://www.mendeley.com/documents/?uuid=527eb435-763c-4e49-8b4e-76af0f9b8ef6","http://www.mendeley.com/documents/?uuid=24eeb98a-0196-4eeb-8c85-23e122802efc"]}],"mendeley":{"formattedCitation":"[82–86]","plainTextFormattedCitation":"[82–86]","previouslyFormattedCitation":"[82–86]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[82–86]</w:t>
      </w:r>
      <w:r w:rsidRPr="00051297">
        <w:rPr>
          <w:rFonts w:cs="Times New Roman"/>
          <w:szCs w:val="24"/>
        </w:rPr>
        <w:fldChar w:fldCharType="end"/>
      </w:r>
      <w:r w:rsidRPr="00051297">
        <w:rPr>
          <w:rFonts w:cs="Times New Roman"/>
          <w:szCs w:val="24"/>
          <w:lang w:val="en-US"/>
        </w:rPr>
        <w:t>. Because the type of flow, ground slopes, soil types, surface treatments, and better conveyances all affect flow velocity and time of flow, a trial-and-error approach should be utilized to choose the most remote location of a watershed. One or a mix of these types of flow carry water across a watershed:</w:t>
      </w:r>
    </w:p>
    <w:p w14:paraId="4F69EEFC" w14:textId="4ED89E9A" w:rsidR="00051297" w:rsidRPr="00051297" w:rsidRDefault="00051297" w:rsidP="00051297">
      <w:pPr>
        <w:numPr>
          <w:ilvl w:val="0"/>
          <w:numId w:val="41"/>
        </w:numPr>
        <w:contextualSpacing/>
        <w:rPr>
          <w:rFonts w:cs="Times New Roman"/>
          <w:szCs w:val="24"/>
          <w:lang w:val="en-US"/>
        </w:rPr>
      </w:pPr>
      <w:r w:rsidRPr="00051297">
        <w:rPr>
          <w:rFonts w:cs="Times New Roman"/>
          <w:szCs w:val="24"/>
          <w:lang w:val="en-US"/>
        </w:rPr>
        <w:t>Overland flow</w:t>
      </w:r>
      <w:r w:rsidR="004370EF">
        <w:rPr>
          <w:rFonts w:cs="Times New Roman"/>
          <w:szCs w:val="24"/>
          <w:lang w:val="en-US"/>
        </w:rPr>
        <w:t>.</w:t>
      </w:r>
    </w:p>
    <w:p w14:paraId="2E022390" w14:textId="058D7128" w:rsidR="00051297" w:rsidRPr="00051297" w:rsidRDefault="00060601" w:rsidP="00051297">
      <w:pPr>
        <w:numPr>
          <w:ilvl w:val="0"/>
          <w:numId w:val="41"/>
        </w:numPr>
        <w:contextualSpacing/>
        <w:rPr>
          <w:rFonts w:cs="Times New Roman"/>
          <w:szCs w:val="24"/>
          <w:lang w:val="en-US"/>
        </w:rPr>
      </w:pPr>
      <w:r>
        <w:rPr>
          <w:rFonts w:cs="Times New Roman"/>
          <w:szCs w:val="24"/>
          <w:lang w:val="en-US"/>
        </w:rPr>
        <w:t>A flow that is concentrated and s</w:t>
      </w:r>
      <w:r w:rsidR="00051297" w:rsidRPr="00051297">
        <w:rPr>
          <w:rFonts w:cs="Times New Roman"/>
          <w:szCs w:val="24"/>
          <w:lang w:val="en-US"/>
        </w:rPr>
        <w:t>hallow</w:t>
      </w:r>
      <w:r>
        <w:rPr>
          <w:rFonts w:cs="Times New Roman"/>
          <w:szCs w:val="24"/>
          <w:lang w:val="en-US"/>
        </w:rPr>
        <w:t>.</w:t>
      </w:r>
    </w:p>
    <w:p w14:paraId="231B16B1" w14:textId="77777777" w:rsidR="00051297" w:rsidRPr="00051297" w:rsidRDefault="00051297" w:rsidP="00051297">
      <w:pPr>
        <w:numPr>
          <w:ilvl w:val="0"/>
          <w:numId w:val="41"/>
        </w:numPr>
        <w:contextualSpacing/>
        <w:rPr>
          <w:rFonts w:cs="Times New Roman"/>
          <w:szCs w:val="24"/>
          <w:lang w:val="en-US"/>
        </w:rPr>
      </w:pPr>
      <w:r w:rsidRPr="00051297">
        <w:rPr>
          <w:rFonts w:cs="Times New Roman"/>
          <w:szCs w:val="24"/>
          <w:lang w:val="en-US"/>
        </w:rPr>
        <w:t xml:space="preserve">Channelized flow (gutters, storm sewers, open channels). </w:t>
      </w:r>
    </w:p>
    <w:p w14:paraId="614253CC" w14:textId="0821CE71" w:rsidR="00051297" w:rsidRPr="00F9097D" w:rsidRDefault="00051297" w:rsidP="00051297">
      <w:pPr>
        <w:rPr>
          <w:rFonts w:cs="Times New Roman"/>
          <w:szCs w:val="24"/>
          <w:lang w:val="en-US"/>
        </w:rPr>
      </w:pPr>
      <w:r w:rsidRPr="00051297">
        <w:rPr>
          <w:rFonts w:cs="Times New Roman"/>
          <w:szCs w:val="24"/>
          <w:lang w:val="en-US"/>
        </w:rPr>
        <w:t>For both urban and non-urban areas, the time of concentration</w:t>
      </w:r>
      <w:r w:rsidR="00C86748">
        <w:rPr>
          <w:rFonts w:cs="Times New Roman"/>
          <w:szCs w:val="24"/>
          <w:lang w:val="en-US"/>
        </w:rPr>
        <w:t xml:space="preserve"> (</w:t>
      </w:r>
      <w:r w:rsidRPr="00051297">
        <w:rPr>
          <w:rFonts w:cs="Times New Roman"/>
          <w:szCs w:val="24"/>
          <w:lang w:val="en-US"/>
        </w:rPr>
        <w:t>t</w:t>
      </w:r>
      <w:r w:rsidRPr="00051297">
        <w:rPr>
          <w:rFonts w:cs="Times New Roman"/>
          <w:szCs w:val="24"/>
          <w:vertAlign w:val="subscript"/>
          <w:lang w:val="en-US"/>
        </w:rPr>
        <w:t>c</w:t>
      </w:r>
      <w:r w:rsidR="00C86748">
        <w:rPr>
          <w:rFonts w:cs="Times New Roman"/>
          <w:szCs w:val="24"/>
          <w:lang w:val="en-US"/>
        </w:rPr>
        <w:t>)</w:t>
      </w:r>
      <w:r w:rsidRPr="00051297">
        <w:rPr>
          <w:rFonts w:cs="Times New Roman"/>
          <w:szCs w:val="24"/>
          <w:lang w:val="en-US"/>
        </w:rPr>
        <w:t xml:space="preserve">, is described by the Equation </w:t>
      </w:r>
      <w:r w:rsidRPr="00051297">
        <w:rPr>
          <w:rFonts w:cs="Times New Roman"/>
          <w:szCs w:val="24"/>
        </w:rPr>
        <w:fldChar w:fldCharType="begin" w:fldLock="1"/>
      </w:r>
      <w:r w:rsidR="00FA5896">
        <w:rPr>
          <w:rFonts w:cs="Times New Roman"/>
          <w:szCs w:val="24"/>
          <w:lang w:val="en-US"/>
        </w:rPr>
        <w:instrText>ADDIN CSL_CITATION {"citationItems":[{"id":"ITEM-1","itemData":{"DOI":"10.5194/hess-2019-588","ISSN":"1027-5606","abstract":"The concept of time of concentration in the analysis of catchment responses dates back over 150 years to the introduction of the Rational Method. Since then it has been used in a variety of ways in the formulation of both unit hydrograph and distributed catchment models. It is normally discussed in terms of the velocity of flow of a water particle from the furthest part of a catchment to the outlet. This is also the basis for the definition in the International Glossary of Hydrology. While conceptually simple, this definition is, however, wrong when applied to catchment responses where, in terms of how 10 surface and subsurface flows produce hydrographs, it is more correct to discuss and teach the concept based on celerities and time to equilibrium. While this has been recognized since the 1960s, some recent papers and text remain confused over the definition and use of time of concentration. The paper sets out the history of its use and clarifies its relationship to time to equilibrium but suggests that both terms are not really useful in explaining hydrological responses. An appendix is included that quantifies the differences between the definitions of response times for subsurface and surface flows under simple 15 assumptions that might be useful in teaching.","author":[{"dropping-particle":"","family":"Beven","given":"Keith","non-dropping-particle":"","parse-names":false,"suffix":""}],"container-title":"Hydrology and Earth System Sciences","id":"ITEM-1","issued":{"date-parts":[["2020"]]},"title":"A history of the concept of time of concentration","type":"article-journal"},"uris":["http://www.mendeley.com/documents/?uuid=09a5af15-1bf6-47ec-9fa8-370692dab5a0","http://www.mendeley.com/documents/?uuid=7f51a06a-87c7-467f-b22d-c030e22027b5","http://www.mendeley.com/documents/?uuid=f7796bc6-5ba3-4351-a1b1-4243bab61bc8"]}],"mendeley":{"formattedCitation":"[81]","plainTextFormattedCitation":"[81]","previouslyFormattedCitation":"[81]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[81]</w:t>
      </w:r>
      <w:r w:rsidRPr="00051297">
        <w:rPr>
          <w:rFonts w:cs="Times New Roman"/>
          <w:szCs w:val="24"/>
        </w:rPr>
        <w:fldChar w:fldCharType="end"/>
      </w:r>
      <w:r w:rsidRPr="00F9097D">
        <w:rPr>
          <w:rFonts w:cs="Times New Roman"/>
          <w:szCs w:val="24"/>
          <w:lang w:val="en-U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711"/>
        <w:gridCol w:w="1385"/>
      </w:tblGrid>
      <w:tr w:rsidR="00051297" w:rsidRPr="00051297" w14:paraId="5F2F8D2A" w14:textId="77777777" w:rsidTr="00D20B01">
        <w:trPr>
          <w:trHeight w:val="647"/>
        </w:trPr>
        <w:tc>
          <w:tcPr>
            <w:tcW w:w="265" w:type="dxa"/>
          </w:tcPr>
          <w:p w14:paraId="4895AE99" w14:textId="77777777" w:rsidR="00051297" w:rsidRPr="00F9097D" w:rsidRDefault="00051297" w:rsidP="00051297">
            <w:pPr>
              <w:spacing w:after="160"/>
              <w:rPr>
                <w:szCs w:val="24"/>
                <w:lang w:val="en-US"/>
              </w:rPr>
            </w:pPr>
          </w:p>
        </w:tc>
        <w:tc>
          <w:tcPr>
            <w:tcW w:w="9180" w:type="dxa"/>
          </w:tcPr>
          <w:p w14:paraId="3157F63B"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c</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0</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s</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t</m:t>
                    </m:r>
                  </m:sub>
                </m:sSub>
              </m:oMath>
            </m:oMathPara>
          </w:p>
        </w:tc>
        <w:tc>
          <w:tcPr>
            <w:tcW w:w="270" w:type="dxa"/>
          </w:tcPr>
          <w:p w14:paraId="168DF653" w14:textId="491944B1" w:rsidR="00051297" w:rsidRPr="00051297" w:rsidRDefault="00051297" w:rsidP="00051297">
            <w:pPr>
              <w:spacing w:after="160"/>
            </w:pPr>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1</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2</w:t>
            </w:r>
            <w:r w:rsidRPr="00051297">
              <w:rPr>
                <w:szCs w:val="24"/>
              </w:rPr>
              <w:fldChar w:fldCharType="end"/>
            </w:r>
            <w:r w:rsidRPr="00051297">
              <w:rPr>
                <w:szCs w:val="24"/>
              </w:rPr>
              <w:t>)</w:t>
            </w:r>
          </w:p>
        </w:tc>
      </w:tr>
    </w:tbl>
    <w:p w14:paraId="3E477B3F" w14:textId="77777777" w:rsidR="00051297" w:rsidRPr="00051297" w:rsidRDefault="00051297" w:rsidP="00051297">
      <w:pPr>
        <w:rPr>
          <w:rFonts w:cs="Times New Roman"/>
          <w:szCs w:val="24"/>
          <w:lang w:val="en-US"/>
        </w:rPr>
      </w:pPr>
      <w:r w:rsidRPr="00F9097D">
        <w:rPr>
          <w:rFonts w:cs="Times New Roman"/>
          <w:szCs w:val="24"/>
          <w:lang w:val="en-US"/>
        </w:rPr>
        <w:t>Whereby</w:t>
      </w:r>
      <w:r w:rsidRPr="00051297">
        <w:rPr>
          <w:rFonts w:cs="Times New Roman"/>
          <w:szCs w:val="24"/>
          <w:lang w:val="en-US"/>
        </w:rPr>
        <w:t>:</w:t>
      </w:r>
    </w:p>
    <w:p w14:paraId="574FE472" w14:textId="77777777" w:rsidR="00051297" w:rsidRPr="00051297" w:rsidRDefault="00051297" w:rsidP="00051297">
      <w:pPr>
        <w:rPr>
          <w:rFonts w:cs="Times New Roman"/>
          <w:szCs w:val="24"/>
          <w:lang w:val="en-US"/>
        </w:rPr>
      </w:pPr>
      <w:r w:rsidRPr="00051297">
        <w:rPr>
          <w:rFonts w:cs="Times New Roman"/>
          <w:szCs w:val="24"/>
          <w:lang w:val="en-US"/>
        </w:rPr>
        <w:t>t</w:t>
      </w:r>
      <w:r w:rsidRPr="00051297">
        <w:rPr>
          <w:rFonts w:cs="Times New Roman"/>
          <w:szCs w:val="24"/>
          <w:vertAlign w:val="subscript"/>
          <w:lang w:val="en-US"/>
        </w:rPr>
        <w:t>c</w:t>
      </w:r>
      <w:r w:rsidRPr="00051297">
        <w:rPr>
          <w:rFonts w:cs="Times New Roman"/>
          <w:szCs w:val="24"/>
          <w:lang w:val="en-US"/>
        </w:rPr>
        <w:t xml:space="preserve"> – time of concentration (minutes); t</w:t>
      </w:r>
      <w:r w:rsidRPr="00051297">
        <w:rPr>
          <w:rFonts w:cs="Times New Roman"/>
          <w:szCs w:val="24"/>
          <w:vertAlign w:val="subscript"/>
          <w:lang w:val="en-US"/>
        </w:rPr>
        <w:t>o</w:t>
      </w:r>
      <w:r w:rsidRPr="00051297">
        <w:rPr>
          <w:rFonts w:cs="Times New Roman"/>
          <w:szCs w:val="24"/>
          <w:lang w:val="en-US"/>
        </w:rPr>
        <w:t xml:space="preserve"> – overland flow time (minutes); t</w:t>
      </w:r>
      <w:r w:rsidRPr="00051297">
        <w:rPr>
          <w:rFonts w:cs="Times New Roman"/>
          <w:szCs w:val="24"/>
          <w:vertAlign w:val="subscript"/>
          <w:lang w:val="en-US"/>
        </w:rPr>
        <w:t>s</w:t>
      </w:r>
      <w:r w:rsidRPr="00051297">
        <w:rPr>
          <w:rFonts w:cs="Times New Roman"/>
          <w:szCs w:val="24"/>
          <w:lang w:val="en-US"/>
        </w:rPr>
        <w:t xml:space="preserve"> – shallow concentrated flow time (minutes); t</w:t>
      </w:r>
      <w:r w:rsidRPr="00051297">
        <w:rPr>
          <w:rFonts w:cs="Times New Roman"/>
          <w:szCs w:val="24"/>
          <w:vertAlign w:val="subscript"/>
          <w:lang w:val="en-US"/>
        </w:rPr>
        <w:t>t</w:t>
      </w:r>
      <w:r w:rsidRPr="00051297">
        <w:rPr>
          <w:rFonts w:cs="Times New Roman"/>
          <w:szCs w:val="24"/>
          <w:lang w:val="en-US"/>
        </w:rPr>
        <w:t xml:space="preserve"> – channelized flow time (minutes).</w:t>
      </w:r>
    </w:p>
    <w:p w14:paraId="2EFBCAF9" w14:textId="2C672961" w:rsidR="00051297" w:rsidRPr="00051297" w:rsidRDefault="00051297" w:rsidP="00051297">
      <w:pPr>
        <w:rPr>
          <w:rFonts w:cs="Times New Roman"/>
          <w:szCs w:val="24"/>
        </w:rPr>
      </w:pPr>
      <w:r w:rsidRPr="00051297">
        <w:rPr>
          <w:rFonts w:cs="Times New Roman"/>
          <w:szCs w:val="24"/>
          <w:lang w:val="en-US"/>
        </w:rPr>
        <w:t xml:space="preserve">Urban areas are defined as densely inhabited places in which the proximity of streets, parking lots, and rooftops create a condition in which the collective runoff area is more impervious than not. Farmland, open pastures, and woodlands make up the majority of non-urban areas, which </w:t>
      </w:r>
      <w:r w:rsidRPr="00051297">
        <w:rPr>
          <w:rFonts w:cs="Times New Roman"/>
          <w:szCs w:val="24"/>
          <w:lang w:val="en-US"/>
        </w:rPr>
        <w:lastRenderedPageBreak/>
        <w:t xml:space="preserve">are less inhabited and more rural. Because of the combination of agricultural land, the collective runoff region is always more pervious </w:t>
      </w:r>
      <w:r w:rsidRPr="00051297">
        <w:rPr>
          <w:rFonts w:cs="Times New Roman"/>
          <w:szCs w:val="24"/>
        </w:rPr>
        <w:fldChar w:fldCharType="begin" w:fldLock="1"/>
      </w:r>
      <w:r w:rsidR="00FA5896">
        <w:rPr>
          <w:rFonts w:cs="Times New Roman"/>
          <w:szCs w:val="24"/>
          <w:lang w:val="en-US"/>
        </w:rPr>
        <w:instrText>ADDIN CSL_CITATION {"citationItems":[{"id":"ITEM-1","itemData":{"DOI":"10.1016/j.ecoleng.2020.105810","ISSN":"09258574","abstract":"Lake Riogrande II, located in the central region of the Colombian Andes, has eutrophication due to a progressive increase of runoff pollution from upstream intensive dairy cattle and agricultural activities in the watershed. Public and private entities have invested in programs aimed at adopting the best agricultural management practices (BMP). BMP is a general formulation of recommended criteria and, therefore, not universally fit all problems. For example, the corrective measures taken so far demonstrate difficulties in selecting and allocating BMPs aligned to the space-time hydrological variability within the watershed. This research analyses the spatio-temporal dynamics of BMP pollution patterns. The study is built on the concept of critical source areas of runoff pollution from agricultural practices in the Colombia Andes. Fieldwork was conducted with the participation of farmers to collect spatial data of the current management operations for potato (Solanum tuberosum), tree tomato (Solanum betaceum), and dairy agriculture. A Soil Water Assessment model is used to simulate agricultural and hydrological processes. The model was calibrated using observed discharge, nitrate-N (NO3—N), and soluble phosphorus (P) concentrations at a monthly scale. The origin of pollution at the catchment scale was used applying the critical source areas (CSAs) method. This paper proposes for this analysis a new spatio-temporal CSA index (ST-CSA) to represent the behavior of the CSAs simultaneously in space and time. For this, several aggregated CSA in time were analyzed for monthly and annual time steps. Results indicate that there is an essential difference in the aggregation of CSA in time, and pollution location changes significantly using the ST-CSA. As expected, the highest number of CSAs occurs during the rainy months. However, these CSAs are located in the region with the lowest precipitation levels in the agricultural areas dominated by potato, tree tomato, and dairy agriculture located within the watershed. These areas vary significantly from 24.07% of the entire area of the basin (1034.348 km2), and it could reach a maximum value of 61.78%. Despite the model uncertainties, the results highlight the importance of identifying spatio-temporal CSAs to select BMPs with the highest potential of nitrogen and phosphorus losses reduction - such as the adaptation of fertilization schedules - applicable to the study watershed.","author":[{"dropping-particle":"","family":"Uribe","given":"Natalia","non-dropping-particle":"","parse-names":false,"suffix":""},{"dropping-particle":"","family":"Srinivasan","given":"Raghavan","non-dropping-particle":"","parse-names":false,"suffix":""},{"dropping-particle":"","family":"Corzo","given":"Gerald","non-dropping-particle":"","parse-names":false,"suffix":""},{"dropping-particle":"","family":"Arango","given":"David","non-dropping-particle":"","parse-names":false,"suffix":""},{"dropping-particle":"","family":"Solomatine","given":"Dimitri","non-dropping-particle":"","parse-names":false,"suffix":""}],"container-title":"Ecological Engineering","id":"ITEM-1","issued":{"date-parts":[["2020"]]},"title":"Spatio-temporal critical source area patterns of runoff pollution from agricultural practices in the Colombian Andes","type":"article-journal"},"uris":["http://www.mendeley.com/documents/?uuid=4aafaecd-4e15-4abe-bdfe-d3ddbfa6f971","http://www.mendeley.com/documents/?uuid=57abbf2d-c8bc-438a-abe5-1a1f0554719b","http://www.mendeley.com/documents/?uuid=8db6690d-4fb1-4cd0-8c50-5e18b6b1a07c"]}],"mendeley":{"formattedCitation":"[87]","plainTextFormattedCitation":"[87]","previouslyFormattedCitation":"[87]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[87]</w:t>
      </w:r>
      <w:r w:rsidRPr="00051297">
        <w:rPr>
          <w:rFonts w:cs="Times New Roman"/>
          <w:szCs w:val="24"/>
        </w:rPr>
        <w:fldChar w:fldCharType="end"/>
      </w:r>
      <w:r w:rsidRPr="00051297">
        <w:rPr>
          <w:rFonts w:cs="Times New Roman"/>
          <w:szCs w:val="24"/>
        </w:rPr>
        <w:t>.</w:t>
      </w:r>
      <w:bookmarkStart w:id="96" w:name="_Hlk91635845"/>
    </w:p>
    <w:p w14:paraId="0CA678F8" w14:textId="2788DE2A" w:rsidR="00051297" w:rsidRPr="00051297" w:rsidRDefault="00051297" w:rsidP="00F97DFC">
      <w:pPr>
        <w:pStyle w:val="3"/>
        <w:rPr>
          <w:lang w:val="en-US"/>
        </w:rPr>
      </w:pPr>
      <w:bookmarkStart w:id="97" w:name="_Toc103543855"/>
      <w:bookmarkStart w:id="98" w:name="_Toc104985179"/>
      <w:bookmarkEnd w:id="96"/>
      <w:r w:rsidRPr="00051297">
        <w:rPr>
          <w:lang w:val="en-US"/>
        </w:rPr>
        <w:t>Soil Conservation Service Method</w:t>
      </w:r>
      <w:bookmarkStart w:id="99" w:name="_Toc97504723"/>
      <w:bookmarkEnd w:id="97"/>
      <w:bookmarkEnd w:id="98"/>
      <w:r w:rsidRPr="00051297">
        <w:rPr>
          <w:lang w:val="en-US"/>
        </w:rPr>
        <w:t xml:space="preserve"> </w:t>
      </w:r>
      <w:bookmarkEnd w:id="99"/>
    </w:p>
    <w:p w14:paraId="697B72A5" w14:textId="08EDD27C" w:rsidR="00051297" w:rsidRPr="00051297" w:rsidRDefault="00051297" w:rsidP="00F97DFC">
      <w:pPr>
        <w:pStyle w:val="4"/>
        <w:rPr>
          <w:lang w:val="en-US"/>
        </w:rPr>
      </w:pPr>
      <w:bookmarkStart w:id="100" w:name="_Toc103543856"/>
      <w:bookmarkStart w:id="101" w:name="_Toc104985180"/>
      <w:r w:rsidRPr="00051297">
        <w:rPr>
          <w:lang w:val="en-US"/>
        </w:rPr>
        <w:t>General overview</w:t>
      </w:r>
      <w:bookmarkEnd w:id="100"/>
      <w:bookmarkEnd w:id="101"/>
    </w:p>
    <w:p w14:paraId="3FEA18C1" w14:textId="1E7211B7" w:rsidR="00051297" w:rsidRPr="00051297" w:rsidRDefault="00051297" w:rsidP="00051297">
      <w:pPr>
        <w:rPr>
          <w:rFonts w:cs="Times New Roman"/>
          <w:szCs w:val="24"/>
        </w:rPr>
      </w:pPr>
      <w:r w:rsidRPr="00051297">
        <w:rPr>
          <w:rFonts w:cs="Times New Roman"/>
          <w:szCs w:val="24"/>
          <w:lang w:val="en-US"/>
        </w:rPr>
        <w:t xml:space="preserve">The synthetic hydrograph method </w:t>
      </w:r>
      <w:r w:rsidRPr="00051297">
        <w:rPr>
          <w:lang w:val="en-US"/>
        </w:rPr>
        <w:t>(SCS Curve Number Method)</w:t>
      </w:r>
      <w:r w:rsidRPr="00051297">
        <w:rPr>
          <w:rFonts w:cs="Times New Roman"/>
          <w:szCs w:val="24"/>
          <w:lang w:val="en-US"/>
        </w:rPr>
        <w:t>-</w:t>
      </w:r>
      <w:r w:rsidRPr="00051297">
        <w:rPr>
          <w:lang w:val="en-US"/>
        </w:rPr>
        <w:t xml:space="preserve"> Technical Release – 55 Synthetic Hydrograph</w:t>
      </w:r>
      <w:r w:rsidRPr="00051297">
        <w:rPr>
          <w:rFonts w:cs="Times New Roman"/>
          <w:szCs w:val="24"/>
          <w:lang w:val="en-US"/>
        </w:rPr>
        <w:t xml:space="preserve"> was created primarily for usage in urbanized and urbanizing areas </w:t>
      </w:r>
      <w:r w:rsidRPr="00051297">
        <w:rPr>
          <w:rFonts w:cs="Times New Roman"/>
          <w:b/>
          <w:bCs/>
          <w:szCs w:val="24"/>
        </w:rPr>
        <w:fldChar w:fldCharType="begin" w:fldLock="1"/>
      </w:r>
      <w:r w:rsidR="00FA5896">
        <w:rPr>
          <w:rFonts w:cs="Times New Roman"/>
          <w:b/>
          <w:bCs/>
          <w:szCs w:val="24"/>
          <w:lang w:val="en-US"/>
        </w:rPr>
        <w:instrText>ADDIN CSL_CITATION {"citationItems":[{"id":"ITEM-1","itemData":{"DOI":"10.3390/w7030939","ISSN":"2073-4441","abstract":"This paper investigates a possibility of using asymptotic functions to determine the value of curve number (CN) parameter as a function of rainfall in small agricultural watersheds. It also compares the actually calculated CN with its values provided in the Soil Conservation Service (SCS) National Engineering Handbook Section 4: Hydrology (NEH-4) and Technical Release 20 (TR-20). The analysis showed that empirical CN values presented in the National Engineering Handbook tables differed from the actually observed values. Calculations revealed a strong correlation between the observed CN and precipitation (P). In three of the analyzed watersheds, a typical pattern of the observed CN stabilization during abundant precipitation was perceived. It was found that Model 2, based on a kinetics equation, most effectively described the P-CN relationship. In most cases, the observed CN in the investigated watersheds was similar to the empirical CN, corresponding to average moisture conditions set out by NEH-4. Model 2 also provided the greatest stability of CN at 90% sampled event rainfall.","author":[{"dropping-particle":"","family":"Kowalik","given":"Tomasz","non-dropping-particle":"","parse-names":false,"suffix":""},{"dropping-particle":"","family":"Walega","given":"Andrzej","non-dropping-particle":"","parse-names":false,"suffix":""}],"container-title":"Water","id":"ITEM-1","issue":"12","issued":{"date-parts":[["2015","3"]]},"page":"939-955","title":"Estimation of CN Parameter for Small Agricultural Watersheds Using Asymptotic Functions","type":"article-journal","volume":"7"},"uris":["http://www.mendeley.com/documents/?uuid=3c0565f6-9318-48cf-8786-d463ad57141e","http://www.mendeley.com/documents/?uuid=2df273a3-bfe2-4c49-8cc7-e4c9ab43a107","http://www.mendeley.com/documents/?uuid=db263109-b0b2-409b-a915-a8df5996126d"]}],"mendeley":{"formattedCitation":"[88]","plainTextFormattedCitation":"[88]","previouslyFormattedCitation":"[88]"},"properties":{"noteIndex":0},"schema":"https://github.com/citation-style-language/schema/raw/master/csl-citation.json"}</w:instrText>
      </w:r>
      <w:r w:rsidRPr="00051297">
        <w:rPr>
          <w:rFonts w:cs="Times New Roman"/>
          <w:b/>
          <w:bCs/>
          <w:szCs w:val="24"/>
        </w:rPr>
        <w:fldChar w:fldCharType="separate"/>
      </w:r>
      <w:r w:rsidR="0032684D" w:rsidRPr="0032684D">
        <w:rPr>
          <w:rFonts w:cs="Times New Roman"/>
          <w:bCs/>
          <w:noProof/>
          <w:szCs w:val="24"/>
          <w:lang w:val="en-US"/>
        </w:rPr>
        <w:t>[88]</w:t>
      </w:r>
      <w:r w:rsidRPr="00051297">
        <w:rPr>
          <w:rFonts w:cs="Times New Roman"/>
          <w:b/>
          <w:bCs/>
          <w:szCs w:val="24"/>
        </w:rPr>
        <w:fldChar w:fldCharType="end"/>
      </w:r>
      <w:r w:rsidRPr="00051297">
        <w:rPr>
          <w:rFonts w:cs="Times New Roman"/>
          <w:szCs w:val="24"/>
          <w:lang w:val="en-US"/>
        </w:rPr>
        <w:t xml:space="preserve">. This method can be used to analyze watersheds with several subareas and complex runoff patterns. The method is particularly effective for measuring changes in runoff volume as a result of development, as well as for evaluating and designing runoff control strategies </w:t>
      </w:r>
      <w:r w:rsidRPr="00051297">
        <w:rPr>
          <w:rFonts w:cs="Times New Roman"/>
          <w:szCs w:val="24"/>
        </w:rPr>
        <w:fldChar w:fldCharType="begin" w:fldLock="1"/>
      </w:r>
      <w:r w:rsidR="00FA5896">
        <w:rPr>
          <w:rFonts w:cs="Times New Roman"/>
          <w:szCs w:val="24"/>
          <w:lang w:val="en-US"/>
        </w:rPr>
        <w:instrText>ADDIN CSL_CITATION {"citationItems":[{"id":"ITEM-1","itemData":{"ISBN":"0169-2046","ISSN":"01692046","PMID":"22427235","abstract":"Geoelectrical soundings using the Schlumberger array were carried out in the vicinity of 23 pumping test sites to determine aquifer parameters, central Jordan. On the basis of aquifer geometry, the area has been di-vided into two hydraulic units: the northern flood plain and the flood plain to its south. Field resistivity data are interpreted in terms of the true resistivity and thickness of subsurface layers. These parameters are then correlated with the available pumping test data. Significant correlations between the transmissivity and modified transverse resistance as well as between the hydraulic conductivity and formation factor were ob-tained for the two hydraulic units, in central Jordan are presented here.","author":[{"dropping-particle":"","family":"Fan","given":"Fenglei","non-dropping-particle":"","parse-names":false,"suffix":""},{"dropping-particle":"","family":"Deng","given":"Yingbin","non-dropping-particle":"","parse-names":false,"suffix":""},{"dropping-particle":"","family":"Hu","given":"Xuefei","non-dropping-particle":"","parse-names":false,"suffix":""},{"dropping-particle":"","family":"Weng","given":"Qihao","non-dropping-particle":"","parse-names":false,"suffix":""},{"dropping-particle":"","family":"Pal","given":"Babita","non-dropping-particle":"","parse-names":false,"suffix":""},{"dropping-particle":"","family":"Samanta","given":"Sailesh","non-dropping-particle":"","parse-names":false,"suffix":""},{"dropping-particle":"","family":"Maiti","given":"Ram Krishna","non-dropping-particle":"","parse-names":false,"suffix":""},{"dropping-particle":"","family":"Prasad","given":"Harish Chand","non-dropping-particle":"","parse-names":false,"suffix":""},{"dropping-particle":"","family":"Bhalla","given":"Parul","non-dropping-particle":"","parse-names":false,"suffix":""},{"dropping-particle":"","family":"Palria","given":"Sarvesh","non-dropping-particle":"","parse-names":false,"suffix":""},{"dropping-particle":"","family":"Rao","given":"B S Prakasa","non-dropping-particle":"","parse-names":false,"suffix":""},{"dropping-particle":"","family":"Amminedu","given":"E","non-dropping-particle":"","parse-names":false,"suffix":""},{"dropping-particle":"","family":"Rao","given":"Jagadeeswara","non-dropping-particle":"","parse-names":false,"suffix":""},{"dropping-particle":"","family":"Srinivas","given":"N","non-dropping-particle":"","parse-names":false,"suffix":""},{"dropping-particle":"","family":"Rao","given":"N Bhaskara","non-dropping-particle":"","parse-names":false,"suffix":""},{"dropping-particle":"","family":"Roy","given":"Pankaj Kumar","non-dropping-particle":"","parse-names":false,"suffix":""},{"dropping-particle":"","family":"Sharma","given":"D","non-dropping-particle":"","parse-names":false,"suffix":""},{"dropping-particle":"","family":"Use","given":"Land","non-dropping-particle":"","parse-names":false,"suffix":""},{"dropping-particle":"","family":"Leopold","given":"Luna B","non-dropping-particle":"","parse-names":false,"suffix":""},{"dropping-particle":"","family":"Guo","given":"James C Y","non-dropping-particle":"","parse-names":false,"suffix":""},{"dropping-particle":"","family":"Jusof Khadidi","given":"M H","non-dropping-particle":"","parse-names":false,"suffix":""},{"dropping-particle":"","family":"Hamid","given":"E Abdul","non-dropping-particle":"","parse-names":false,"suffix":""},{"dropping-particle":"","family":"Sensing","given":"Remote","non-dropping-particle":"","parse-names":false,"suffix":""},{"dropping-particle":"","family":"Ranger","given":"For","non-dropping-particle":"","parse-names":false,"suffix":""},{"dropping-particle":"","family":"Using","given":"Districts","non-dropping-particle":"","parse-names":false,"suffix":""},{"dropping-particle":"","family":"Analysis","given":"Image","non-dropping-particle":"","parse-names":false,"suffix":""},{"dropping-particle":"","family":"Arcgis","given":"For","non-dropping-particle":"","parse-names":false,"suffix":""},{"dropping-particle":"","family":"Data","given":"Required","non-dropping-particle":"","parse-names":false,"suffix":""},{"dropping-particle":"","family":"Planning","given":"Introduction","non-dropping-particle":"","parse-names":false,"suffix":""},{"dropping-particle":"","family":"Planning","given":"Planning","non-dropping-particle":"","parse-names":false,"suffix":""},{"dropping-particle":"","family":"There","given":"Definition","non-dropping-particle":"","parse-names":false,"suffix":""},{"dropping-particle":"","family":"Following","given":"Planning","non-dropping-particle":"","parse-names":false,"suffix":""},{"dropping-particle":"","family":"Zhou","given":"Yuan","non-dropping-particle":"","parse-names":false,"suffix":""},{"dropping-particle":"","family":"Shi","given":"Tiemao","non-dropping-particle":"","parse-names":false,"suffix":""},{"dropping-particle":"","family":"Hu","given":"Yuanman","non-dropping-particle":"","parse-names":false,"suffix":""},{"dropping-particle":"","family":"Gao","given":"Chang","non-dropping-particle":"","parse-names":false,"suffix":""},{"dropping-particle":"","family":"Liu","given":"Miao","non-dropping-particle":"","parse-names":false,"suffix":""},{"dropping-particle":"","family":"Fu","given":"Shilei","non-dropping-particle":"","parse-names":false,"suffix":""},{"dropping-particle":"","family":"Wang","given":"Shuo Shizhe","non-dropping-particle":"","parse-names":false,"suffix":""},{"dropping-particle":"","family":"Kumar","given":"Manish Girish","non-dropping-particle":"","parse-names":false,"suffix":""},{"dropping-particle":"","family":"Biswas","given":"Vivekananda","non-dropping-particle":"","parse-names":false,"suffix":""},{"dropping-particle":"","family":"Park","given":"Soyoung","non-dropping-particle":"","parse-names":false,"suffix":""},{"dropping-particle":"","family":"Jeon","given":"Seongwoo","non-dropping-particle":"","parse-names":false,"suffix":""},{"dropping-particle":"","family":"Kim","given":"Shinyup","non-dropping-particle":"","parse-names":false,"suffix":""},{"dropping-particle":"","family":"Choi","given":"Chuluong","non-dropping-particle":"","parse-names":false,"suffix":""},{"dropping-particle":"","family":"Mahmoud","given":"Ayman Hassaan Ahmed Authors Shereif H","non-dropping-particle":"","parse-names":false,"suffix":""},{"dropping-particle":"","family":"El-Sayed","given":"Marwa Adel","non-dropping-particle":"","parse-names":false,"suffix":""},{"dropping-particle":"","family":"Zhang","given":"Biao","non-dropping-particle":"","parse-names":false,"suffix":""},{"dropping-particle":"di","family":"Xie","given":"Gaodi","non-dropping-particle":"","parse-names":false,"suffix":""},{"dropping-particle":"","family":"Zhang","given":"Canqiang","non-dropping-particle":"","parse-names":false,"suffix":""},{"dropping-particle":"","family":"Zhang","given":"Jing","non-dropping-particle":"","parse-names":false,"suffix":""},{"dropping-particle":"","family":"Yang","given":"Fu","non-dropping-particle":"","parse-names":false,"suffix":""},{"dropping-particle":"","family":"Zeng","given":"Guangming","non-dropping-particle":"","parse-names":false,"suffix":""},{"dropping-particle":"","family":"Du","given":"Chunyan","non-dropping-particle":"","parse-names":false,"suffix":""},{"dropping-particle":"","family":"Tang","given":"Lin","non-dropping-particle":"","parse-names":false,"suffix":""},{"dropping-particle":"","family":"Zhou","given":"Jianfei","non-dropping-particle":"","parse-names":false,"suffix":""},{"dropping-particle":"","family":"Li","given":"Zhongwu","non-dropping-particle":"","parse-names":false,"suffix":""},{"dropping-particle":"","family":"M’Ikiugu","given":"Martin Mwirigi","non-dropping-particle":"","parse-names":false,"suffix":""},{"dropping-particle":"","family":"Kinoshita","given":"Isami","non-dropping-particle":"","parse-names":false,"suffix":""},{"dropping-particle":"","family":"Tashiro","given":"Yoritaka","non-dropping-particle":"","parse-names":false,"suffix":""},{"dropping-particle":"","family":"Gandhi","given":"G. Meera","non-dropping-particle":"","parse-names":false,"suffix":""},{"dropping-particle":"","family":"Parthiban","given":"S.","non-dropping-particle":"","parse-names":false,"suffix":""},{"dropping-particle":"","family":"Thummalu","given":"Nagaraj","non-dropping-particle":"","parse-names":false,"suffix":""},{"dropping-particle":"","family":"Christy","given":"A.","non-dropping-particle":"","parse-names":false,"suffix":""},{"dropping-particle":"","family":"Rad","given":"L Kazemi","non-dropping-particle":"","parse-names":false,"suffix":""},{"dropping-particle":"","family":"Haghyghy","given":"M","non-dropping-particle":"","parse-names":false,"suffix":""},{"dropping-particle":"","family":"Sarangi","given":"A","non-dropping-particle":"","parse-names":false,"suffix":""},{"dropping-particle":"","family":"Singh","given":"Anupam K","non-dropping-particle":"","parse-names":false,"suffix":""},{"dropping-particle":"","family":"Ahmad","given":"T","non-dropping-particle":"","parse-names":false,"suffix":""},{"dropping-particle":"","family":"Al-","given":"Samah","non-dropping-particle":"","parse-names":false,"suffix":""},{"dropping-particle":"","family":"Sharkh","given":"Majed Abu","non-dropping-particle":"","parse-names":false,"suffix":""},{"dropping-particle":"","family":"Al-mimi","given":"Ziad","non-dropping-particle":"","parse-names":false,"suffix":""},{"dropping-particle":"","family":"Kumar","given":"P Sundar","non-dropping-particle":"","parse-names":false,"suffix":""},{"dropping-particle":"","family":"Babu","given":"M J Ratna Kanth","non-dropping-particle":"","parse-names":false,"suffix":""},{"dropping-particle":"","family":"Kumar","given":"Venkata","non-dropping-particle":"","parse-names":false,"suffix":""},{"dropping-particle":"","family":"Narayan","given":"Kailash","non-dropping-particle":"","parse-names":false,"suffix":""},{"dropping-particle":"","family":"Madhvi","given":"Sabita","non-dropping-particle":"","parse-names":false,"suffix":""},{"dropping-particle":"","family":"Nayak","given":"Tejram","non-dropping-particle":"","parse-names":false,"suffix":""},{"dropping-particle":"","family":"Information","given":"Geographic","non-dropping-particle":"","parse-names":false,"suffix":""},{"dropping-particle":"","family":"Nthuni","given":"SM","non-dropping-particle":"","parse-names":false,"suffix":""},{"dropping-particle":"","family":"Lübker","given":"T","non-dropping-particle":"","parse-names":false,"suffix":""},{"dropping-particle":"","family":"Schaab","given":"G","non-dropping-particle":"","parse-names":false,"suffix":""},{"dropping-particle":"","family":"Chandio","given":"Imtiaz Ahmed","non-dropping-particle":"","parse-names":false,"suffix":""},{"dropping-particle":"","family":"Matori","given":"Abdul Nasir","non-dropping-particle":"","parse-names":false,"suffix":""},{"dropping-particle":"","family":"Lawal","given":"Dano Umar","non-dropping-particle":"","parse-names":false,"suffix":""},{"dropping-particle":"","family":"Sabri","given":"Soheil","non-dropping-particle":"","parse-names":false,"suffix":""},{"dropping-particle":"","family":"Nair","given":"Archana M","non-dropping-particle":"","parse-names":false,"suffix":""},{"dropping-particle":"","family":"Vijayan","given":"Athira","non-dropping-particle":"","parse-names":false,"suffix":""},{"dropping-particle":"","family":"Baysil","given":"George","non-dropping-particle":"","parse-names":false,"suffix":""},{"dropping-particle":"","family":"Battiata","given":"Joseph","non-dropping-particle":"","parse-names":false,"suffix":""},{"dropping-particle":"","family":"Collins","given":"Kelly","non-dropping-particle":"","parse-names":false,"suffix":""},{"dropping-particle":"","family":"Hirschman","given":"David","non-dropping-particle":"","parse-names":false,"suffix":""},{"dropping-particle":"","family":"Hoffmann","given":"Greg","non-dropping-particle":"","parse-names":false,"suffix":""},{"dropping-particle":"","family":"Nagarajan","given":"M","non-dropping-particle":"","parse-names":false,"suffix":""},{"dropping-particle":"","family":"Seshadri","given":"S","non-dropping-particle":"","parse-names":false,"suffix":""},{"dropping-particle":"","family":"Vamshi","given":"D Y","non-dropping-particle":"","parse-names":false,"suffix":""},{"dropping-particle":"","family":"Health","given":"Central Public","non-dropping-particle":"","parse-names":false,"suffix":""},{"dropping-particle":"","family":"Prasanna","given":"P Rajesh","non-dropping-particle":"","parse-names":false,"suffix":""},{"dropping-particle":"","family":"Siddayao","given":"Generino P.","non-dropping-particle":"","parse-names":false,"suffix":""},{"dropping-particle":"","family":"Valdez","given":"Sony E.","non-dropping-particle":"","parse-names":false,"suffix":""},{"dropping-particle":"","family":"Fernandez","given":"Proceso L.","non-dropping-particle":"","parse-names":false,"suffix":""},{"dropping-particle":"","family":"Resources","given":"Additional","non-dropping-particle":"","parse-names":false,"suffix":""},{"dropping-particle":"","family":"Considerations","given":"General Design","non-dropping-particle":"","parse-names":false,"suffix":""},{"dropping-particle":"","family":"Bolca","given":"Mustafa","non-dropping-particle":"","parse-names":false,"suffix":""},{"dropping-particle":"","family":"Özen","given":"Fulsen","non-dropping-particle":"","parse-names":false,"suffix":""},{"dropping-particle":"","family":"Kurucu","given":"Yusuf","non-dropping-particle":"","parse-names":false,"suffix":""},{"dropping-particle":"","family":"Altınbaş","given":"Ünal","non-dropping-particle":"","parse-names":false,"suffix":""},{"dropping-particle":"","family":"Çokuysal","given":"Burçin","non-dropping-particle":"","parse-names":false,"suffix":""},{"dropping-particle":"","family":"Delibacak","given":"Sezai","non-dropping-particle":"","parse-names":false,"suffix":""},{"dropping-particle":"","family":"Kaposztasova","given":"D.","non-dropping-particle":"","parse-names":false,"suffix":""},{"dropping-particle":"","family":"Vranayova","given":"Z.","non-dropping-particle":"","parse-names":false,"suffix":""},{"dropping-particle":"","family":"Markovic","given":"G.","non-dropping-particle":"","parse-names":false,"suffix":""},{"dropping-particle":"","family":"Purcz","given":"P.","non-dropping-particle":"","parse-names":false,"suffix":""},{"dropping-particle":"","family":"Tayebi","given":"Ali","non-dropping-particle":"","parse-names":false,"suffix":""},{"dropping-particle":"","family":"Jafari","given":"Sudabe","non-dropping-particle":"","parse-names":false,"suffix":""},{"dropping-particle":"","family":"Zaredar","given":"Narges","non-dropping-particle":"","parse-names":false,"suffix":""},{"dropping-particle":"","family":"Harbor","given":"Jonathan M.","non-dropping-particle":"","parse-names":false,"suffix":""},{"dropping-particle":"","family":"Aburas","given":"Maher Milad","non-dropping-particle":"","parse-names":false,"suffix":""},{"dropping-particle":"","family":"Abdullah","given":"Sabrina Ho","non-dropping-particle":"","parse-names":false,"suffix":""},{"dropping-particle":"","family":"Ramli","given":"Mohammad Firuz","non-dropping-particle":"","parse-names":false,"suffix":""},{"dropping-particle":"","family":"Hanan","given":"Zulfa","non-dropping-particle":"","parse-names":false,"suffix":""},{"dropping-particle":"","family":"Beigbabayi, B.and Azadi Mobaraki","given":"M.","non-dropping-particle":"","parse-names":false,"suffix":""},{"dropping-particle":"","family":"Mahmoud","given":"Ayman Hassaan Ahmed Authors Shereif H","non-dropping-particle":"","parse-names":false,"suffix":""},{"dropping-particle":"","family":"Scraggs","given":"C J","non-dropping-particle":"","parse-names":false,"suffix":""},{"dropping-particle":"","family":"Lemckert","given":"C J","non-dropping-particle":"","parse-names":false,"suffix":""},{"dropping-particle":"","family":"Anjana Vyas, Franz-Josef Behr","given":"Dietrich Schröder","non-dropping-particle":"","parse-names":false,"suffix":""},{"dropping-particle":"","family":"R. Samal","given":"Nihar","non-dropping-particle":"","parse-names":false,"suffix":""},{"dropping-particle":"","family":"K. Roy","given":"Pankaj","non-dropping-particle":"","parse-names":false,"suffix":""},{"dropping-particle":"","family":"Majumadar","given":"Mrinmoy","non-dropping-particle":"","parse-names":false,"suffix":""},{"dropping-particle":"","family":"Bhattacharya","given":"S.","non-dropping-particle":"","parse-names":false,"suffix":""},{"dropping-particle":"","family":"Biswasroy","given":"Malabika","non-dropping-particle":"","parse-names":false,"suffix":""},{"dropping-particle":"","family":"Uy","given":"Pham Duc","non-dropping-particle":"","parse-names":false,"suffix":""},{"dropping-particle":"","family":"Nakagoshi","given":"Nobukazu","non-dropping-particle":"","parse-names":false,"suffix":""},{"dropping-particle":"","family":"Zhan","given":"Xiaoyong","non-dropping-particle":"","parse-names":false,"suffix":""},{"dropping-particle":"","family":"Huang","given":"Min Lang","non-dropping-particle":"","parse-names":false,"suffix":""},{"dropping-particle":"","family":"Tudes","given":"Sule","non-dropping-particle":"","parse-names":false,"suffix":""},{"dropping-particle":"","family":"Yigiter","given":"Nazan Duygu","non-dropping-particle":"","parse-names":false,"suffix":""},{"dropping-particle":"","family":"Mahmoud","given":"Shereif H.","non-dropping-particle":"","parse-names":false,"suffix":""},{"dropping-particle":"","family":"Alazba","given":"A. A.","non-dropping-particle":"","parse-names":false,"suffix":""},{"dropping-particle":"","family":"Adamowski","given":"Jan","non-dropping-particle":"","parse-names":false,"suffix":""},{"dropping-particle":"","family":"El-Gindy","given":"A. M.","non-dropping-particle":"","parse-names":false,"suffix":""},{"dropping-particle":"","family":"Mohammad","given":"Fawzi S.","non-dropping-particle":"","parse-names":false,"suffix":""},{"dropping-particle":"","family":"Adamowski","given":"Jan","non-dropping-particle":"","parse-names":false,"suffix":""},{"dropping-particle":"","family":"Mahmoud","given":"Shereif H.","non-dropping-particle":"","parse-names":false,"suffix":""},{"dropping-particle":"","family":"Alazba","given":"A. A.","non-dropping-particle":"","parse-names":false,"suffix":""},{"dropping-particle":"","family":"Kumar","given":"Manish Girish","non-dropping-particle":"","parse-names":false,"suffix":""},{"dropping-particle":"","family":"Rameshwar","given":"a K Agarwal","non-dropping-particle":"","parse-names":false,"suffix":""},{"dropping-particle":"","family":"Singh","given":"J. P.","non-dropping-particle":"","parse-names":false,"suffix":""},{"dropping-particle":"","family":"Singh","given":"Darshdeep","non-dropping-particle":"","parse-names":false,"suffix":""},{"dropping-particle":"","family":"Litoria","given":"P. K.","non-dropping-particle":"","parse-names":false,"suffix":""},{"dropping-particle":"","family":"Duc","given":"Tran Trong","non-dropping-particle":"","parse-names":false,"suffix":""},{"dropping-particle":"","family":"Engel","given":"Katalina","non-dropping-particle":"","parse-names":false,"suffix":""},{"dropping-particle":"","family":"Jokiel","given":"Dorothee","non-dropping-particle":"","parse-names":false,"suffix":""},{"dropping-particle":"","family":"Kraljevic","given":"Andrea","non-dropping-particle":"","parse-names":false,"suffix":""},{"dropping-particle":"","family":"Geiger","given":"Martin","non-dropping-particle":"","parse-names":false,"suffix":""},{"dropping-particle":"","family":"Smith","given":"Kevin","non-dropping-particle":"","parse-names":false,"suffix":""},{"dropping-particle":"","family":"Ritchie","given":"Franny","non-dropping-particle":"","parse-names":false,"suffix":""},{"dropping-particle":"","family":"Chung","given":"Christophe","non-dropping-particle":"","parse-names":false,"suffix":""},{"dropping-particle":"","family":"Whiston","given":"Anne","non-dropping-particle":"","parse-names":false,"suffix":""},{"dropping-particle":"","family":"James","given":"Spirn","non-dropping-particle":"","parse-names":false,"suffix":""},{"dropping-particle":"","family":"Generally","given":"H","non-dropping-particle":"","parse-names":false,"suffix":""},{"dropping-particle":"","family":"Engineering","given":"Urban Environmental","non-dropping-particle":"","parse-names":false,"suffix":""},{"dropping-particle":"","family":"McGee","given":"John JR","non-dropping-particle":"","parse-names":false,"suffix":""},{"dropping-particle":"","family":"Campbell","given":"James B","non-dropping-particle":"","parse-names":false,"suffix":""},{"dropping-particle":"","family":"Parece","given":"Tammy E","non-dropping-particle":"","parse-names":false,"suffix":""},{"dropping-particle":"","family":"Based","given":"Towards Urban-planning","non-dropping-particle":"","parse-names":false,"suffix":""},{"dropping-particle":"","family":"Runoff","given":"Urban","non-dropping-particle":"","parse-names":false,"suffix":""},{"dropping-particle":"","family":"Cappiella","given":"Karen","non-dropping-particle":"","parse-names":false,"suffix":""},{"dropping-particle":"","family":"Schueler","given":"Tom","non-dropping-particle":"","parse-names":false,"suffix":""},{"dropping-particle":"","family":"Tomlinson","given":"Jennifer","non-dropping-particle":"","parse-names":false,"suffix":""},{"dropping-particle":"","family":"Wright","given":"Tiffany","non-dropping-particle":"","parse-names":false,"suffix":""},{"dropping-particle":"","family":"Ebrahimian","given":"Mahboubeh","non-dropping-particle":"","parse-names":false,"suffix":""},{"dropping-particle":"","family":"See","given":"LF","non-dropping-particle":"","parse-names":false,"suffix":""},{"dropping-particle":"","family":"Malek","given":"I Abdul","non-dropping-particle":"","parse-names":false,"suffix":""},{"dropping-particle":"","family":"Ismail","given":"M. H.","non-dropping-particle":"","parse-names":false,"suffix":""},{"dropping-particle":"","family":"Schiariti","given":"P","non-dropping-particle":"","parse-names":false,"suffix":""},{"dropping-particle":"","family":"Kumar","given":"Binay","non-dropping-particle":"","parse-names":false,"suffix":""},{"dropping-particle":"","family":"Kumar","given":"Uday","non-dropping-particle":"","parse-names":false,"suffix":""},{"dropping-particle":"","family":"Manu","given":"Andrew","non-dropping-particle":"","parse-names":false,"suffix":""},{"dropping-particle":"","family":"Twumasi","given":"Yaw A","non-dropping-particle":"","parse-names":false,"suffix":""},{"dropping-particle":"","family":"Lu","given":"Kang Shou","non-dropping-particle":"","parse-names":false,"suffix":""},{"dropping-particle":"","family":"Coleman","given":"Tommy L","non-dropping-particle":"","parse-names":false,"suffix":""},{"dropping-particle":"","family":"Pradhan","given":"Jaya","non-dropping-particle":"","parse-names":false,"suffix":""},{"dropping-particle":"","family":"Samanta","given":"Kaberi","non-dropping-particle":"","parse-names":false,"suffix":""},{"dropping-particle":"","family":"Ion","given":"John C","non-dropping-particle":"","parse-names":false,"suffix":""},{"dropping-particle":"","family":"Albalawneh","given":"Abeer","non-dropping-particle":"","parse-names":false,"suffix":""},{"dropping-particle":"","family":"Chang","given":"Tsun-Kuo","non-dropping-particle":"","parse-names":false,"suffix":""},{"dropping-particle":"","family":"Huang","given":"Chun-Wei","non-dropping-particle":"","parse-names":false,"suffix":""},{"dropping-particle":"","family":"Mazahreh","given":"Safa","non-dropping-particle":"","parse-names":false,"suffix":""},{"dropping-particle":"","family":"Cerreta","given":"M.","non-dropping-particle":"","parse-names":false,"suffix":""},{"dropping-particle":"","family":"Toro","given":"P.","non-dropping-particle":"De","parse-names":false,"suffix":""},{"dropping-particle":"","family":"Own","given":"T","non-dropping-particle":"","parse-names":false,"suffix":""},{"dropping-particle":"","family":"Ajarhat","given":"R","non-dropping-particle":"","parse-names":false,"suffix":""},{"dropping-particle":"","family":"Arganas","given":"N Orth P","non-dropping-particle":"","parse-names":false,"suffix":""},{"dropping-particle":"","family":"Engal","given":"W E S T B","non-dropping-particle":"","parse-names":false,"suffix":""},{"dropping-particle":"","family":"Saradar","given":"Jhantu","non-dropping-particle":"","parse-names":false,"suffix":""},{"dropping-particle":"","family":"Srf","given":"Ugc-","non-dropping-particle":"","parse-names":false,"suffix":""},{"dropping-particle":"","family":"Calcutta","given":"East","non-dropping-particle":"","parse-names":false,"suffix":""},{"dropping-particle":"","family":"College","given":"Girls","non-dropping-particle":"","parse-names":false,"suffix":""},{"dropping-particle":"","family":"Town","given":"Lake","non-dropping-particle":"","parse-names":false,"suffix":""},{"dropping-particle":"","family":"Bengal","given":"West","non-dropping-particle":"","parse-names":false,"suffix":""},{"dropping-particle":"","family":"Buraihi","given":"Faez Hussein","non-dropping-particle":"","parse-names":false,"suffix":""},{"dropping-particle":"","family":"Shariff","given":"Abdul Rashid Mohamed","non-dropping-particle":"","parse-names":false,"suffix":""},{"dropping-particle":"","family":"Estoque","given":"Ronald C","non-dropping-particle":"","parse-names":false,"suffix":""},{"dropping-particle":"","family":"D","given":"Khwanruthai Bunruamkaew","non-dropping-particle":"","parse-names":false,"suffix":""},{"dropping-particle":"","family":"Malakeel","given":"Ginu S","non-dropping-particle":"","parse-names":false,"suffix":""},{"dropping-particle":"","family":"Vargheese","given":"Prof K O","non-dropping-particle":"","parse-names":false,"suffix":""},{"dropping-particle":"","family":"Studies","given":"Applied","non-dropping-particle":"","parse-names":false,"suffix":""},{"dropping-particle":"","family":"Imagine","given":"Erdas","non-dropping-particle":"","parse-names":false,"suffix":""},{"dropping-particle":"","family":"River","given":"Kalaya","non-dropping-particle":"","parse-names":false,"suffix":""},{"dropping-particle":"","family":"Kannan","given":"Narayanan","non-dropping-particle":"","parse-names":false,"suffix":""},{"dropping-particle":"","family":"Jeong","given":"Jaehak","non-dropping-particle":"","parse-names":false,"suffix":""},{"dropping-particle":"","family":"Arnold","given":"Jeff","non-dropping-particle":"","parse-names":false,"suffix":""},{"dropping-particle":"","family":"Glick","given":"Roger","non-dropping-particle":"","parse-names":false,"suffix":""},{"dropping-particle":"","family":"Gosselink","given":"Leila","non-dropping-particle":"","parse-names":false,"suffix":""},{"dropping-particle":"","family":"Srinivasan","given":"Raghavan","non-dropping-particle":"","parse-names":false,"suffix":""},{"dropping-particle":"","family":"Bhura","given":"Chirag S","non-dropping-particle":"","parse-names":false,"suffix":""},{"dropping-particle":"","family":"Student","given":"M E","non-dropping-particle":"","parse-names":false,"suffix":""},{"dropping-particle":"","family":"Mori","given":"P R","non-dropping-particle":"","parse-names":false,"suffix":""},{"dropping-particle":"","family":"Student","given":"M E","non-dropping-particle":"","parse-names":false,"suffix":""},{"dropping-particle":"","family":"Mehmood","given":"Khalid","non-dropping-particle":"","parse-names":false,"suffix":""},{"dropping-particle":"","family":"Manager","given":"Project","non-dropping-particle":"","parse-names":false,"suffix":""},{"dropping-particle":"","family":"Inamdar","given":"P M","non-dropping-particle":"","parse-names":false,"suffix":""},{"dropping-particle":"","family":"Cook","given":"S","non-dropping-particle":"","parse-names":false,"suffix":""},{"dropping-particle":"","family":"Sharma","given":"a","non-dropping-particle":"","parse-names":false,"suffix":""},{"dropping-particle":"","family":"Corby","given":"N","non-dropping-particle":"","parse-names":false,"suffix":""},{"dropping-particle":"","family":"O'Connor","given":"J","non-dropping-particle":"","parse-names":false,"suffix":""},{"dropping-particle":"","family":"Perera","given":"B J C","non-dropping-particle":"","parse-names":false,"suffix":""},{"dropping-particle":"","family":"Bilgili","given":"Bc","non-dropping-particle":"","parse-names":false,"suffix":""},{"dropping-particle":"","family":"Gökyer","given":"Ercan","non-dropping-particle":"","parse-names":false,"suffix":""},{"dropping-particle":"","family":"Rolland","given":"Andrade","non-dropping-particle":"","parse-names":false,"suffix":""},{"dropping-particle":"","family":"Rangarajan","given":"R.","non-dropping-particle":"","parse-names":false,"suffix":""},{"dropping-particle":"","family":"Singh","given":"Anupam K","non-dropping-particle":"","parse-names":false,"suffix":""},{"dropping-particle":"","family":"Sharma","given":"Sudhakar B","non-dropping-particle":"","parse-names":false,"suffix":""},{"dropping-particle":"","family":"Jain","given":"Akshay O","non-dropping-particle":"","parse-names":false,"suffix":""},{"dropping-particle":"","family":"Bengal","given":"West","non-dropping-particle":"","parse-names":false,"suffix":""},{"dropping-particle":"","family":"Batayneh","given":"Awni T","non-dropping-particle":"","parse-names":false,"suffix":""},{"dropping-particle":"","family":"Malczewski","given":"Jacek","non-dropping-particle":"","parse-names":false,"suffix":""},{"dropping-particle":"","family":"Environmental Protection Agency","given":"","non-dropping-particle":"","parse-names":false,"suffix":""},{"dropping-particle":"","family":"Singh","given":"Anupam K","non-dropping-particle":"","parse-names":false,"suffix":""},{"dropping-particle":"","family":"Sharma","given":"Sudhakar B","non-dropping-particle":"","parse-names":false,"suffix":""},{"dropping-particle":"","family":"Jain","given":"Akshay O","non-dropping-particle":"","parse-names":false,"suffix":""},{"dropping-particle":"","family":"MEMARIAN","given":"Hadi","non-dropping-particle":"","parse-names":false,"suffix":""},{"dropping-particle":"","family":"BALASUNDRAM","given":"Siva K.","non-dropping-particle":"","parse-names":false,"suffix":""},{"dropping-particle":"","family":"ABBASPOUR","given":"Karim C.","non-dropping-particle":"","parse-names":false,"suffix":""},{"dropping-particle":"","family":"TALIB","given":"Jamal B.","non-dropping-particle":"","parse-names":false,"suffix":""},{"dropping-particle":"","family":"TEH BOON SUNG","given":"Christoper","non-dropping-particle":"","parse-names":false,"suffix":""},{"dropping-particle":"","family":"MOHD SOOD","given":"Alias","non-dropping-particle":"","parse-names":false,"suffix":""},{"dropping-particle":"","family":"Munyao","given":"John Ngila","non-dropping-particle":"","parse-names":false,"suffix":""},{"dropping-particle":"","family":"Analytic","given":"The","non-dropping-particle":"","parse-names":false,"suffix":""},{"dropping-particle":"","family":"Process","given":"Hierarchy","non-dropping-particle":"","parse-names":false,"suffix":""},{"dropping-particle":"","family":"Baja","given":"Sumbangan","non-dropping-particle":"","parse-names":false,"suffix":""},{"dropping-particle":"","family":"Perez-Pedini","given":"Cristina","non-dropping-particle":"","parse-names":false,"suffix":""},{"dropping-particle":"","family":"Limbrunner","given":"James F.","non-dropping-particle":"","parse-names":false,"suffix":""},{"dropping-particle":"","family":"Vogel","given":"Richard M.","non-dropping-particle":"","parse-names":false,"suffix":""},{"dropping-particle":"","family":"Zhang","given":"Biao","non-dropping-particle":"","parse-names":false,"suffix":""},{"dropping-particle":"di","family":"Xie","given":"Gaodi","non-dropping-particle":"","parse-names":false,"suffix":""},{"dropping-particle":"","family":"Li","given":"Na","non-dropping-particle":"","parse-names":false,"suffix":""},{"dropping-particle":"","family":"Wang","given":"Shuo Shizhe","non-dropping-particle":"","parse-names":false,"suffix":""},{"dropping-particle":"","family":"Cover","given":"Land","non-dropping-particle":"","parse-names":false,"suffix":""},{"dropping-particle":"","family":"Parece","given":"Tammy E","non-dropping-particle":"","parse-names":false,"suffix":""},{"dropping-particle":"","family":"Candidate","given":"Ph D","non-dropping-particle":"","parse-names":false,"suffix":""},{"dropping-particle":"","family":"Campbell","given":"James B","non-dropping-particle":"","parse-names":false,"suffix":""},{"dropping-particle":"","family":"Street","given":"Stanger","non-dropping-particle":"","parse-names":false,"suffix":""},{"dropping-particle":"","family":"Hall","given":"Major Williams","non-dropping-particle":"","parse-names":false,"suffix":""},{"dropping-particle":"","family":"McGee","given":"John JR","non-dropping-particle":"","parse-names":false,"suffix":""},{"dropping-particle":"","family":"Watershed","given":"Aghche","non-dropping-particle":"","parse-names":false,"suffix":""},{"dropping-particle":"","family":"Development","given":"Water","non-dropping-particle":"","parse-names":false,"suffix":""},{"dropping-particle":"","family":"As-syakur","given":"Abd Rahman","non-dropping-particle":"","parse-names":false,"suffix":""},{"dropping-particle":"","family":"Adnyana","given":"I. Wayan Sandi","non-dropping-particle":"","parse-names":false,"suffix":""},{"dropping-particle":"","family":"Arthana","given":"I. Wayan","non-dropping-particle":"","parse-names":false,"suffix":""},{"dropping-particle":"","family":"Nuarsa","given":"I. Wayan","non-dropping-particle":"","parse-names":false,"suffix":""},{"dropping-particle":"","family":"Jia","given":"Kun","non-dropping-particle":"","parse-names":false,"suffix":""},{"dropping-particle":"","family":"Liang","given":"Shunlin","non-dropping-particle":"","parse-names":false,"suffix":""},{"dropping-particle":"","family":"Wei","given":"Xiangqin","non-dropping-particle":"","parse-names":false,"suffix":""},{"dropping-particle":"","family":"Yao","given":"Yunjun","non-dropping-particle":"","parse-names":false,"suffix":""},{"dropping-particle":"","family":"Su","given":"Yingru","non-dropping-particle":"","parse-names":false,"suffix":""},{"dropping-particle":"","family":"Jiang","given":"Bo","non-dropping-particle":"","parse-names":false,"suffix":""},{"dropping-particle":"","family":"Wang","given":"Xiaoxia","non-dropping-particle":"","parse-names":false,"suffix":""},{"dropping-particle":"","family":"Town","given":"N E W","non-dropping-particle":"","parse-names":false,"suffix":""},{"dropping-particle":"","family":"Area","given":"Planning","non-dropping-particle":"","parse-names":false,"suffix":""},{"dropping-particle":"","family":"Setty","given":"Karen","non-dropping-particle":"","parse-names":false,"suffix":""},{"dropping-particle":"","family":"Commission","given":"Texas","non-dropping-particle":"","parse-names":false,"suffix":""},{"dropping-particle":"","family":"Tceq","given":"Quality","non-dropping-particle":"","parse-names":false,"suffix":""},{"dropping-particle":"","family":"Society","given":"Geological","non-dropping-particle":"","parse-names":false,"suffix":""},{"dropping-particle":"","family":"Publication","given":"Special","non-dropping-particle":"","parse-names":false,"suffix":""},{"dropping-particle":"","family":"Droogers","given":"P","non-dropping-particle":"","parse-names":false,"suffix":""},{"dropping-particle":"Van","family":"Kempen","given":"C","non-dropping-particle":"","parse-names":false,"suffix":""},{"dropping-particle":"","family":"Hydrology Page","given":"Vi A","non-dropping-particle":"","parse-names":false,"suffix":""},{"dropping-particle":"","family":"Kim","given":"Hyomin","non-dropping-particle":"","parse-names":false,"suffix":""},{"dropping-particle":"","family":"Lee","given":"Dong-Kun","non-dropping-particle":"","parse-names":false,"suffix":""},{"dropping-particle":"","family":"Sung","given":"Sunyong","non-dropping-particle":"","parse-names":false,"suffix":""},{"dropping-particle":"","family":"Unknown","given":"","non-dropping-particle":"","parse-names":false,"suffix":""},{"dropping-particle":"","family":"County","given":"Mercer","non-dropping-particle":"","parse-names":false,"suffix":""},{"dropping-particle":"","family":"Conservation","given":"Soil","non-dropping-particle":"","parse-names":false,"suffix":""},{"dropping-particle":"","family":"Canyon","given":"Grand","non-dropping-particle":"","parse-names":false,"suffix":""},{"dropping-particle":"","family":"Geos","given":"S C E","non-dropping-particle":"","parse-names":false,"suffix":""},{"dropping-particle":"","family":"Netdata","given":"Access","non-dropping-particle":"","parse-names":false,"suffix":""},{"dropping-particle":"","family":"Model","given":"Digital Elevation","non-dropping-particle":"","parse-names":false,"suffix":""},{"dropping-particle":"","family":"Folder","given":"My","non-dropping-particle":"","parse-names":false,"suffix":""},{"dropping-particle":"","family":"Arcmap","given":"Programs Arcgis","non-dropping-particle":"","parse-names":false,"suffix":""},{"dropping-particle":"","family":"Directive","given":"Water Framework","non-dropping-particle":"","parse-names":false,"suffix":""},{"dropping-particle":"","family":"Urban","given":"Sustainable","non-dropping-particle":"","parse-names":false,"suffix":""},{"dropping-particle":"","family":"Systems","given":"Drainage","non-dropping-particle":"","parse-names":false,"suffix":""},{"dropping-particle":"","family":"Bodies","given":"Suds Approving","non-dropping-particle":"","parse-names":false,"suffix":""},{"dropping-particle":"","family":"Mersey","given":"The","non-dropping-particle":"","parse-names":false,"suffix":""},{"dropping-particle":"","family":"Team","given":"Forest","non-dropping-particle":"","parse-names":false,"suffix":""},{"dropping-particle":"","family":"Forestry","given":"Urban Watershed","non-dropping-particle":"","parse-names":false,"suffix":""},{"dropping-particle":"","family":"Forestclim","given":"E U Interreg","non-dropping-particle":"","parse-names":false,"suffix":""},{"dropping-particle":"","family":"URDPFI Guidelines","given":"","non-dropping-particle":"","parse-names":false,"suffix":""},{"dropping-particle":"","family":"Ouma","given":"Yashon","non-dropping-particle":"","parse-names":false,"suffix":""},{"dropping-particle":"","family":"Tateishi","given":"Ryutaro","non-dropping-particle":"","parse-names":false,"suffix":""},{"dropping-particle":"V","family":"Ramana","given":"G","non-dropping-particle":"","parse-names":false,"suffix":""},{"dropping-particle":"","family":"Viswanadh","given":"G K","non-dropping-particle":"","parse-names":false,"suffix":""},{"dropping-particle":"","family":"Gautam","given":"N C","non-dropping-particle":"","parse-names":false,"suffix":""}],"container-title":"Landscape and Urban Planning","id":"ITEM-1","issued":{"date-parts":[["2014"]]},"title":"Mapping and Prediction of Surface Run-off using SCS-CN Method","type":"article-journal"},"uris":["http://www.mendeley.com/documents/?uuid=1ad202be-5b76-41bb-a2a7-55a1c311ce4f","http://www.mendeley.com/documents/?uuid=8c4eadf7-ffdf-4de8-8339-e35063e4bf7f","http://www.mendeley.com/documents/?uuid=4607ddf4-9b04-4e10-92f7-86bc842d6f5e"]}],"mendeley":{"formattedCitation":"[89]","plainTextFormattedCitation":"[89]","previouslyFormattedCitation":"[89]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[89]</w:t>
      </w:r>
      <w:r w:rsidRPr="00051297">
        <w:rPr>
          <w:rFonts w:cs="Times New Roman"/>
          <w:szCs w:val="24"/>
        </w:rPr>
        <w:fldChar w:fldCharType="end"/>
      </w:r>
      <w:r w:rsidRPr="00051297">
        <w:rPr>
          <w:rFonts w:cs="Times New Roman"/>
          <w:szCs w:val="24"/>
          <w:lang w:val="en-US"/>
        </w:rPr>
        <w:t xml:space="preserve">. In all circumstances where the watershed being developed is characterized by complicated runoff patterns and site characteristics and/or is bigger than 30 acres but less than 2000 acres, the SCS approach as specified above shall be applied. Areas with constantly shifting surface types, a collection of distinct flow types, multiple impediments interfering with the runoff's direction and flow type, and so on, are all examples of complex runoff patterns and site conditions. When two or more distinct interacting sub-basins are found in a watershed that fits the above criteria, the watershed is referred to as complex. </w:t>
      </w:r>
      <w:r w:rsidR="00B73A65">
        <w:rPr>
          <w:rFonts w:cs="Times New Roman"/>
          <w:szCs w:val="24"/>
          <w:lang w:val="en-US"/>
        </w:rPr>
        <w:t>As for</w:t>
      </w:r>
      <w:r w:rsidRPr="00051297">
        <w:rPr>
          <w:rFonts w:cs="Times New Roman"/>
          <w:szCs w:val="24"/>
          <w:lang w:val="en-US"/>
        </w:rPr>
        <w:t xml:space="preserve"> the Rational Technique employs runoff curve numbers to directly relate runoff to rainfall levels, this method does as well (CNs). </w:t>
      </w:r>
      <w:r w:rsidRPr="00051297">
        <w:rPr>
          <w:rFonts w:cs="Times New Roman"/>
          <w:szCs w:val="24"/>
        </w:rPr>
        <w:t xml:space="preserve">Equation </w:t>
      </w:r>
      <w:r w:rsidRPr="00051297">
        <w:rPr>
          <w:rFonts w:cs="Times New Roman"/>
          <w:szCs w:val="24"/>
          <w:lang w:val="en-US"/>
        </w:rPr>
        <w:fldChar w:fldCharType="begin"/>
      </w:r>
      <w:r w:rsidRPr="00051297">
        <w:rPr>
          <w:rFonts w:cs="Times New Roman"/>
          <w:szCs w:val="24"/>
        </w:rPr>
        <w:instrText xml:space="preserve"> REF _Ref103552166 \h </w:instrText>
      </w:r>
      <w:r w:rsidRPr="00051297">
        <w:rPr>
          <w:rFonts w:cs="Times New Roman"/>
          <w:szCs w:val="24"/>
          <w:lang w:val="en-US"/>
        </w:rPr>
      </w:r>
      <w:r w:rsidRPr="00051297">
        <w:rPr>
          <w:rFonts w:cs="Times New Roman"/>
          <w:szCs w:val="24"/>
          <w:lang w:val="en-US"/>
        </w:rPr>
        <w:fldChar w:fldCharType="separate"/>
      </w:r>
      <w:r w:rsidR="004870F1" w:rsidRPr="00051297">
        <w:rPr>
          <w:szCs w:val="24"/>
        </w:rPr>
        <w:t>(</w:t>
      </w:r>
      <w:r w:rsidR="004870F1">
        <w:rPr>
          <w:noProof/>
          <w:szCs w:val="24"/>
        </w:rPr>
        <w:t>1</w:t>
      </w:r>
      <w:r w:rsidR="004870F1" w:rsidRPr="00051297">
        <w:rPr>
          <w:szCs w:val="24"/>
        </w:rPr>
        <w:t>.</w:t>
      </w:r>
      <w:r w:rsidR="004870F1">
        <w:rPr>
          <w:noProof/>
          <w:szCs w:val="24"/>
        </w:rPr>
        <w:t>3</w:t>
      </w:r>
      <w:r w:rsidR="004870F1" w:rsidRPr="00051297">
        <w:rPr>
          <w:szCs w:val="24"/>
        </w:rPr>
        <w:t>)</w:t>
      </w:r>
      <w:r w:rsidRPr="00051297">
        <w:rPr>
          <w:rFonts w:cs="Times New Roman"/>
          <w:szCs w:val="24"/>
          <w:lang w:val="en-US"/>
        </w:rPr>
        <w:fldChar w:fldCharType="end"/>
      </w:r>
      <w:r w:rsidRPr="00051297">
        <w:rPr>
          <w:rFonts w:cs="Times New Roman"/>
          <w:szCs w:val="24"/>
        </w:rPr>
        <w:t xml:space="preserve"> represents runoff, Q, using the SCS method </w:t>
      </w:r>
      <w:r w:rsidRPr="00051297">
        <w:rPr>
          <w:rFonts w:cs="Times New Roman"/>
          <w:szCs w:val="24"/>
        </w:rPr>
        <w:fldChar w:fldCharType="begin" w:fldLock="1"/>
      </w:r>
      <w:r w:rsidR="00FA5896">
        <w:rPr>
          <w:rFonts w:cs="Times New Roman"/>
          <w:szCs w:val="24"/>
        </w:rPr>
        <w:instrText>ADDIN CSL_CITATION {"citationItems":[{"id":"ITEM-1","itemData":{"DOI":"10.1109/ACCESS.2020.2964898","ISSN":"2169-3536","abstract":"The 1954 Soil Conservation Services (SCS) runoff predictive model was adopted in engineering designs throughout the world. However, its runoff prediction reliability was under scrutiny by recent studies. The conventional curve number (CN) selection methodology is often very subjective and lacks scientific justification while nested soil group catchments complicate the issue with the risk of inappropriate curve number selection which produces unreliable runoff results. The SCS CN model was statistically invalid (α = 0.01 level) and over predicted runoff volume as much as 21% at the Sungai Kerayong catchment in Kuala Lumpur, Malaysia. Blind adoption of the model will commit a type II error. As such, this study presented a new method to calibrate and formulate an urban runoff model with inferential statistics and residual modelling technique to correct the runoff prediction results from the SCS CN model with a corrected equation. The new model out-performed the Asymptotic runoff model and SCS CN runoff model with low predictive model bias, reduced sum of squared errors by 32% and achieved high Nash-Sutcliffe efficiency value of 0.96. The derived urban curve number is 98.0 with 99% confidence interval ranging from 97.8 to 99.5 for Sungai Kerayong catchment. Twenty-five storms generated almost 29 million m3 runoff (11,548 Olympic size swimming pools) from the Sungai Kerayong catchment in this study. 75%-94% of the rain water became runoff from those storms and lost through the catchment, without efficient drainage infrastructure in place, the averaged flood depth reached 6.5 cm while the actual flood depth will be deeper at the flood ponding area near to the catchment outlet.","author":[{"dropping-particle":"","family":"Ling","given":"Lloyd","non-dropping-particle":"","parse-names":false,"suffix":""},{"dropping-particle":"","family":"Yusop","given":"Zulkifli","non-dropping-particle":"","parse-names":false,"suffix":""},{"dropping-particle":"","family":"Chow","given":"Ming Fai","non-dropping-particle":"","parse-names":false,"suffix":""}],"container-title":"IEEE Access","id":"ITEM-1","issued":{"date-parts":[["2020"]]},"page":"10915-10923","title":"Urban Flood Depth Estimate With a New Calibrated Curve Number Runoff Prediction Model","type":"article-journal","volume":"8"},"uris":["http://www.mendeley.com/documents/?uuid=3fec8a06-658a-4e1c-ac01-7e73d7d59d8b","http://www.mendeley.com/documents/?uuid=03cc83b7-37fa-430f-8b6d-957bcf60461f","http://www.mendeley.com/documents/?uuid=507db68f-39e9-49fa-b281-5ab0b3a7583b"]}],"mendeley":{"formattedCitation":"[90]","plainTextFormattedCitation":"[90]","previouslyFormattedCitation":"[90]"},"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[90]</w:t>
      </w:r>
      <w:r w:rsidRPr="00051297">
        <w:rPr>
          <w:rFonts w:cs="Times New Roman"/>
          <w:szCs w:val="24"/>
        </w:rPr>
        <w:fldChar w:fldCharType="end"/>
      </w:r>
      <w:r w:rsidRPr="00051297">
        <w:rPr>
          <w:rFonts w:cs="Times New Roman"/>
          <w:szCs w:val="24"/>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
        <w:gridCol w:w="7713"/>
        <w:gridCol w:w="1385"/>
      </w:tblGrid>
      <w:tr w:rsidR="00051297" w:rsidRPr="00051297" w14:paraId="22A6D3D2" w14:textId="77777777" w:rsidTr="00D20B01">
        <w:trPr>
          <w:trHeight w:val="647"/>
        </w:trPr>
        <w:tc>
          <w:tcPr>
            <w:tcW w:w="264" w:type="dxa"/>
          </w:tcPr>
          <w:p w14:paraId="12C484C6" w14:textId="77777777" w:rsidR="00051297" w:rsidRPr="00051297" w:rsidRDefault="00051297" w:rsidP="00051297">
            <w:pPr>
              <w:spacing w:after="160"/>
              <w:rPr>
                <w:szCs w:val="24"/>
              </w:rPr>
            </w:pPr>
          </w:p>
        </w:tc>
        <w:tc>
          <w:tcPr>
            <w:tcW w:w="9091" w:type="dxa"/>
          </w:tcPr>
          <w:p w14:paraId="18265F8C" w14:textId="77777777" w:rsidR="00051297" w:rsidRPr="00051297" w:rsidRDefault="00051297" w:rsidP="00051297">
            <w:pPr>
              <w:spacing w:after="160"/>
              <w:rPr>
                <w:szCs w:val="24"/>
              </w:rPr>
            </w:pPr>
            <m:oMathPara>
              <m:oMath>
                <m:r>
                  <w:rPr>
                    <w:rFonts w:ascii="Cambria Math" w:hAnsi="Cambria Math"/>
                    <w:szCs w:val="24"/>
                  </w:rPr>
                  <m:t>Q=</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(P-</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a</m:t>
                            </m:r>
                          </m:sub>
                        </m:sSub>
                        <m:r>
                          <w:rPr>
                            <w:rFonts w:ascii="Cambria Math" w:hAnsi="Cambria Math"/>
                            <w:szCs w:val="24"/>
                          </w:rPr>
                          <m:t>)</m:t>
                        </m:r>
                      </m:e>
                      <m:sup>
                        <m:r>
                          <w:rPr>
                            <w:rFonts w:ascii="Cambria Math" w:hAnsi="Cambria Math"/>
                            <w:szCs w:val="24"/>
                          </w:rPr>
                          <m:t>2</m:t>
                        </m:r>
                      </m:sup>
                    </m:sSup>
                  </m:num>
                  <m:den>
                    <m:d>
                      <m:dPr>
                        <m:ctrlPr>
                          <w:rPr>
                            <w:rFonts w:ascii="Cambria Math" w:hAnsi="Cambria Math"/>
                            <w:i/>
                            <w:szCs w:val="24"/>
                          </w:rPr>
                        </m:ctrlPr>
                      </m:dPr>
                      <m:e>
                        <m:r>
                          <w:rPr>
                            <w:rFonts w:ascii="Cambria Math" w:hAnsi="Cambria Math"/>
                            <w:szCs w:val="24"/>
                          </w:rPr>
                          <m:t>P-</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a</m:t>
                            </m:r>
                          </m:sub>
                        </m:sSub>
                      </m:e>
                    </m:d>
                    <m:r>
                      <w:rPr>
                        <w:rFonts w:ascii="Cambria Math" w:hAnsi="Cambria Math"/>
                        <w:szCs w:val="24"/>
                      </w:rPr>
                      <m:t>+S</m:t>
                    </m:r>
                  </m:den>
                </m:f>
              </m:oMath>
            </m:oMathPara>
          </w:p>
        </w:tc>
        <w:tc>
          <w:tcPr>
            <w:tcW w:w="630" w:type="dxa"/>
          </w:tcPr>
          <w:p w14:paraId="132C3981" w14:textId="79527594" w:rsidR="00051297" w:rsidRPr="00051297" w:rsidRDefault="00051297" w:rsidP="00051297">
            <w:pPr>
              <w:spacing w:after="160"/>
            </w:pPr>
            <w:bookmarkStart w:id="102" w:name="_Ref103552166"/>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1</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3</w:t>
            </w:r>
            <w:r w:rsidRPr="00051297">
              <w:rPr>
                <w:szCs w:val="24"/>
              </w:rPr>
              <w:fldChar w:fldCharType="end"/>
            </w:r>
            <w:r w:rsidRPr="00051297">
              <w:rPr>
                <w:szCs w:val="24"/>
              </w:rPr>
              <w:t>)</w:t>
            </w:r>
            <w:bookmarkEnd w:id="102"/>
          </w:p>
        </w:tc>
      </w:tr>
    </w:tbl>
    <w:p w14:paraId="7518DD7A" w14:textId="6F721A5A" w:rsidR="00051297" w:rsidRPr="00051297" w:rsidRDefault="00051297" w:rsidP="00051297">
      <w:pPr>
        <w:rPr>
          <w:lang w:val="en-US"/>
        </w:rPr>
      </w:pPr>
      <w:r w:rsidRPr="00051297">
        <w:rPr>
          <w:lang w:val="en-US"/>
        </w:rPr>
        <w:t>Where</w:t>
      </w:r>
      <w:r w:rsidR="004370EF">
        <w:rPr>
          <w:lang w:val="en-US"/>
        </w:rPr>
        <w:t>by</w:t>
      </w:r>
      <w:r w:rsidRPr="00051297">
        <w:rPr>
          <w:lang w:val="en-US"/>
        </w:rPr>
        <w:t xml:space="preserve">: Q </w:t>
      </w:r>
      <w:r w:rsidRPr="00051297">
        <w:rPr>
          <w:rFonts w:cs="Times New Roman"/>
          <w:szCs w:val="24"/>
          <w:lang w:val="en-US"/>
        </w:rPr>
        <w:t xml:space="preserve">– </w:t>
      </w:r>
      <w:r w:rsidRPr="00051297">
        <w:rPr>
          <w:lang w:val="en-US"/>
        </w:rPr>
        <w:t xml:space="preserve">denotes runoff; P </w:t>
      </w:r>
      <w:r w:rsidRPr="00051297">
        <w:rPr>
          <w:rFonts w:cs="Times New Roman"/>
          <w:szCs w:val="24"/>
          <w:lang w:val="en-US"/>
        </w:rPr>
        <w:t xml:space="preserve">– </w:t>
      </w:r>
      <w:r w:rsidRPr="00051297">
        <w:rPr>
          <w:lang w:val="en-US"/>
        </w:rPr>
        <w:t xml:space="preserve">denotes rainfall depth for the design storm; S </w:t>
      </w:r>
      <w:r w:rsidRPr="00051297">
        <w:rPr>
          <w:rFonts w:cs="Times New Roman"/>
          <w:szCs w:val="24"/>
          <w:lang w:val="en-US"/>
        </w:rPr>
        <w:t xml:space="preserve">– </w:t>
      </w:r>
      <w:r w:rsidRPr="00051297">
        <w:rPr>
          <w:lang w:val="en-US"/>
        </w:rPr>
        <w:t>denotes probable maximum retention after a runoff; I</w:t>
      </w:r>
      <w:r w:rsidRPr="00051297">
        <w:rPr>
          <w:vertAlign w:val="subscript"/>
          <w:lang w:val="en-US"/>
        </w:rPr>
        <w:t>a</w:t>
      </w:r>
      <w:r w:rsidRPr="00051297">
        <w:rPr>
          <w:lang w:val="en-US"/>
        </w:rPr>
        <w:t xml:space="preserve"> </w:t>
      </w:r>
      <w:r w:rsidRPr="00051297">
        <w:rPr>
          <w:rFonts w:cs="Times New Roman"/>
          <w:szCs w:val="24"/>
          <w:lang w:val="en-US"/>
        </w:rPr>
        <w:t xml:space="preserve">– </w:t>
      </w:r>
      <w:r w:rsidRPr="00051297">
        <w:rPr>
          <w:lang w:val="en-US"/>
        </w:rPr>
        <w:t>denotes initial abstraction.</w:t>
      </w:r>
    </w:p>
    <w:p w14:paraId="55F58861" w14:textId="77A4B0E8" w:rsidR="00051297" w:rsidRPr="00051297" w:rsidRDefault="00051297" w:rsidP="00051297">
      <w:r w:rsidRPr="00051297">
        <w:rPr>
          <w:lang w:val="en-US"/>
        </w:rPr>
        <w:t>All losses before runoff are accounted for in the initial abstraction</w:t>
      </w:r>
      <w:r w:rsidR="00C86748">
        <w:rPr>
          <w:lang w:val="en-US"/>
        </w:rPr>
        <w:t xml:space="preserve"> (</w:t>
      </w:r>
      <w:r w:rsidRPr="00051297">
        <w:rPr>
          <w:lang w:val="en-US"/>
        </w:rPr>
        <w:t>I</w:t>
      </w:r>
      <w:r w:rsidRPr="00547E88">
        <w:rPr>
          <w:vertAlign w:val="subscript"/>
          <w:lang w:val="en-US"/>
        </w:rPr>
        <w:t>a</w:t>
      </w:r>
      <w:r w:rsidR="00C86748">
        <w:rPr>
          <w:lang w:val="en-US"/>
        </w:rPr>
        <w:t>)</w:t>
      </w:r>
      <w:r w:rsidRPr="00051297">
        <w:rPr>
          <w:lang w:val="en-US"/>
        </w:rPr>
        <w:t>. Although Ia is highly variable, it is often connected to soil and cover characteristics.</w:t>
      </w:r>
      <w:r w:rsidRPr="00051297">
        <w:rPr>
          <w:iCs/>
          <w:lang w:val="en-US"/>
        </w:rPr>
        <w:t xml:space="preserve"> USDA NRCS used research of numerous small agricultural watersheds to build a link between I</w:t>
      </w:r>
      <w:r w:rsidRPr="00051297">
        <w:rPr>
          <w:iCs/>
          <w:vertAlign w:val="subscript"/>
          <w:lang w:val="en-US"/>
        </w:rPr>
        <w:t>a</w:t>
      </w:r>
      <w:r w:rsidRPr="00051297">
        <w:rPr>
          <w:iCs/>
          <w:lang w:val="en-US"/>
        </w:rPr>
        <w:t xml:space="preserve"> and S </w:t>
      </w:r>
      <w:r w:rsidRPr="00051297">
        <w:rPr>
          <w:iCs/>
        </w:rPr>
        <w:fldChar w:fldCharType="begin" w:fldLock="1"/>
      </w:r>
      <w:r w:rsidR="00FA5896">
        <w:rPr>
          <w:iCs/>
          <w:lang w:val="en-US"/>
        </w:rPr>
        <w:instrText>ADDIN CSL_CITATION {"citationItems":[{"id":"ITEM-1","itemData":{"DOI":"10.1080/24749508.2020.1833629","ISSN":"2474-9508","abstract":"Generally, runoff records are the most important input data in water resource management; however, their availability is very limited especially in developing country as compared to rainfall records, especially under medium and small-scale catchments. In our study, we estimated runoff from ungauged agricultural watershed with the curve number method and empirical mathematical models were compared with SCS-CN. Empirical mathematical models (Inglis and De Souza Formula (IDS), Turc relationship (TR), Indian Irrigation Department (DII) model, Coutagine relationship (CR), Khosla method (KH), Justin Equation (JE), Lacey relationship (LR), and Indian Council of Agricultural Research (ICAR)) model were used to estimate annual runoff (in cm). It was found that IDS model has capability to simulate annual runoff as very close to Soil Conservation Service Curve Number (SCS-CN) model and has lowest Root Mean Square Error (RMSE) value as 7.75, and ranking of this model (based on K factor (value of 0.001) analysis) was topmost (or 1st) in comparison to other eight models. This study suggests that empirical mathematical model has potential for annual runoff estimation from ungauged watershed.","author":[{"dropping-particle":"","family":"Rawat","given":"Kishan Singh","non-dropping-particle":"","parse-names":false,"suffix":""},{"dropping-particle":"","family":"Singh","given":"Sudhir Kumar","non-dropping-particle":"","parse-names":false,"suffix":""},{"dropping-particle":"","family":"Szilard","given":"Szabo","non-dropping-particle":"","parse-names":false,"suffix":""}],"container-title":"Geology, Ecology, and Landscapes","id":"ITEM-1","issue":"2","issued":{"date-parts":[["2021","4"]]},"page":"94-108","title":"Comparative evaluation of models to estimate direct runoff volume from an agricultural watershed","type":"article-journal","volume":"5"},"uris":["http://www.mendeley.com/documents/?uuid=2632ac33-2d17-4d3d-bd18-8a2f0fdaedc5","http://www.mendeley.com/documents/?uuid=364f6fa4-4222-4db9-a0ef-1953b9a4c568","http://www.mendeley.com/documents/?uuid=3fc34ba1-99d1-4a91-8b15-17a1635fb2f7"]}],"mendeley":{"formattedCitation":"[91]","plainTextFormattedCitation":"[91]","previouslyFormattedCitation":"[91]"},"properties":{"noteIndex":0},"schema":"https://github.com/citation-style-language/schema/raw/master/csl-citation.json"}</w:instrText>
      </w:r>
      <w:r w:rsidRPr="00051297">
        <w:rPr>
          <w:iCs/>
        </w:rPr>
        <w:fldChar w:fldCharType="separate"/>
      </w:r>
      <w:r w:rsidR="0032684D" w:rsidRPr="0032684D">
        <w:rPr>
          <w:iCs/>
          <w:noProof/>
          <w:lang w:val="en-US"/>
        </w:rPr>
        <w:t>[91]</w:t>
      </w:r>
      <w:r w:rsidRPr="00051297">
        <w:fldChar w:fldCharType="end"/>
      </w:r>
      <w:r w:rsidRPr="00051297">
        <w:rPr>
          <w:iCs/>
          <w:lang w:val="en-US"/>
        </w:rPr>
        <w:t xml:space="preserve">. </w:t>
      </w:r>
      <w:r w:rsidRPr="00051297">
        <w:rPr>
          <w:iCs/>
        </w:rPr>
        <w:t>In the SCS runoff formula, the empirical relationship is:</w:t>
      </w:r>
    </w:p>
    <w:tbl>
      <w:tblPr>
        <w:tblStyle w:val="a8"/>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
        <w:gridCol w:w="7720"/>
        <w:gridCol w:w="1385"/>
      </w:tblGrid>
      <w:tr w:rsidR="00051297" w:rsidRPr="00051297" w14:paraId="79C2B447" w14:textId="77777777" w:rsidTr="00D20B01">
        <w:tc>
          <w:tcPr>
            <w:tcW w:w="258" w:type="dxa"/>
          </w:tcPr>
          <w:p w14:paraId="477DE334" w14:textId="77777777" w:rsidR="00051297" w:rsidRPr="00051297" w:rsidRDefault="00051297" w:rsidP="00051297">
            <w:pPr>
              <w:spacing w:after="160"/>
              <w:rPr>
                <w:szCs w:val="24"/>
              </w:rPr>
            </w:pPr>
          </w:p>
        </w:tc>
        <w:tc>
          <w:tcPr>
            <w:tcW w:w="8426" w:type="dxa"/>
          </w:tcPr>
          <w:p w14:paraId="4382264B"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a</m:t>
                    </m:r>
                  </m:sub>
                </m:sSub>
                <m:r>
                  <w:rPr>
                    <w:rFonts w:ascii="Cambria Math" w:hAnsi="Cambria Math"/>
                    <w:szCs w:val="24"/>
                  </w:rPr>
                  <m:t>=0.2×S</m:t>
                </m:r>
              </m:oMath>
            </m:oMathPara>
          </w:p>
        </w:tc>
        <w:tc>
          <w:tcPr>
            <w:tcW w:w="676" w:type="dxa"/>
          </w:tcPr>
          <w:p w14:paraId="7303F45E" w14:textId="42729696" w:rsidR="00051297" w:rsidRPr="00051297" w:rsidRDefault="00051297" w:rsidP="00051297">
            <w:pPr>
              <w:spacing w:after="160"/>
            </w:pPr>
            <w:bookmarkStart w:id="103" w:name="_Ref103552258"/>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1</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4</w:t>
            </w:r>
            <w:r w:rsidRPr="00051297">
              <w:rPr>
                <w:szCs w:val="24"/>
              </w:rPr>
              <w:fldChar w:fldCharType="end"/>
            </w:r>
            <w:r w:rsidRPr="00051297">
              <w:rPr>
                <w:szCs w:val="24"/>
              </w:rPr>
              <w:t>)</w:t>
            </w:r>
            <w:bookmarkEnd w:id="103"/>
          </w:p>
        </w:tc>
      </w:tr>
    </w:tbl>
    <w:p w14:paraId="3D8B0AFE" w14:textId="58B088C1" w:rsidR="00051297" w:rsidRPr="00051297" w:rsidRDefault="00051297" w:rsidP="00051297">
      <w:pPr>
        <w:rPr>
          <w:rFonts w:cs="Times New Roman"/>
          <w:szCs w:val="24"/>
        </w:rPr>
      </w:pPr>
      <w:r w:rsidRPr="00051297">
        <w:rPr>
          <w:rFonts w:cs="Times New Roman"/>
          <w:szCs w:val="24"/>
        </w:rPr>
        <w:t xml:space="preserve">Combining Equations </w:t>
      </w:r>
      <w:r w:rsidRPr="00051297">
        <w:rPr>
          <w:rFonts w:cs="Times New Roman"/>
          <w:szCs w:val="24"/>
        </w:rPr>
        <w:fldChar w:fldCharType="begin"/>
      </w:r>
      <w:r w:rsidRPr="00051297">
        <w:rPr>
          <w:rFonts w:cs="Times New Roman"/>
          <w:szCs w:val="24"/>
        </w:rPr>
        <w:instrText xml:space="preserve"> REF _Ref103552166 \h </w:instrText>
      </w:r>
      <w:r w:rsidRPr="00051297">
        <w:rPr>
          <w:rFonts w:cs="Times New Roman"/>
          <w:szCs w:val="24"/>
        </w:rPr>
      </w:r>
      <w:r w:rsidRPr="00051297">
        <w:rPr>
          <w:rFonts w:cs="Times New Roman"/>
          <w:szCs w:val="24"/>
        </w:rPr>
        <w:fldChar w:fldCharType="separate"/>
      </w:r>
      <w:r w:rsidR="004870F1" w:rsidRPr="00051297">
        <w:rPr>
          <w:szCs w:val="24"/>
        </w:rPr>
        <w:t>(</w:t>
      </w:r>
      <w:r w:rsidR="004870F1">
        <w:rPr>
          <w:noProof/>
          <w:szCs w:val="24"/>
        </w:rPr>
        <w:t>1</w:t>
      </w:r>
      <w:r w:rsidR="004870F1" w:rsidRPr="00051297">
        <w:rPr>
          <w:szCs w:val="24"/>
        </w:rPr>
        <w:t>.</w:t>
      </w:r>
      <w:r w:rsidR="004870F1">
        <w:rPr>
          <w:noProof/>
          <w:szCs w:val="24"/>
        </w:rPr>
        <w:t>3</w:t>
      </w:r>
      <w:r w:rsidR="004870F1" w:rsidRPr="00051297">
        <w:rPr>
          <w:szCs w:val="24"/>
        </w:rPr>
        <w:t>)</w:t>
      </w:r>
      <w:r w:rsidRPr="00051297">
        <w:rPr>
          <w:rFonts w:cs="Times New Roman"/>
          <w:szCs w:val="24"/>
        </w:rPr>
        <w:fldChar w:fldCharType="end"/>
      </w:r>
      <w:r w:rsidRPr="00051297">
        <w:rPr>
          <w:rFonts w:cs="Times New Roman"/>
          <w:szCs w:val="24"/>
        </w:rPr>
        <w:t xml:space="preserve"> and </w:t>
      </w:r>
      <w:r w:rsidRPr="00051297">
        <w:rPr>
          <w:rFonts w:cs="Times New Roman"/>
          <w:szCs w:val="24"/>
        </w:rPr>
        <w:fldChar w:fldCharType="begin"/>
      </w:r>
      <w:r w:rsidRPr="00051297">
        <w:rPr>
          <w:rFonts w:cs="Times New Roman"/>
          <w:szCs w:val="24"/>
        </w:rPr>
        <w:instrText xml:space="preserve"> REF _Ref103552258 \h </w:instrText>
      </w:r>
      <w:r w:rsidRPr="00051297">
        <w:rPr>
          <w:rFonts w:cs="Times New Roman"/>
          <w:szCs w:val="24"/>
        </w:rPr>
      </w:r>
      <w:r w:rsidRPr="00051297">
        <w:rPr>
          <w:rFonts w:cs="Times New Roman"/>
          <w:szCs w:val="24"/>
        </w:rPr>
        <w:fldChar w:fldCharType="separate"/>
      </w:r>
      <w:r w:rsidR="004870F1" w:rsidRPr="00051297">
        <w:rPr>
          <w:szCs w:val="24"/>
        </w:rPr>
        <w:t>(</w:t>
      </w:r>
      <w:r w:rsidR="004870F1">
        <w:rPr>
          <w:noProof/>
          <w:szCs w:val="24"/>
        </w:rPr>
        <w:t>1</w:t>
      </w:r>
      <w:r w:rsidR="004870F1" w:rsidRPr="00051297">
        <w:rPr>
          <w:szCs w:val="24"/>
        </w:rPr>
        <w:t>.</w:t>
      </w:r>
      <w:r w:rsidR="004870F1">
        <w:rPr>
          <w:noProof/>
          <w:szCs w:val="24"/>
        </w:rPr>
        <w:t>4</w:t>
      </w:r>
      <w:r w:rsidR="004870F1" w:rsidRPr="00051297">
        <w:rPr>
          <w:szCs w:val="24"/>
        </w:rPr>
        <w:t>)</w:t>
      </w:r>
      <w:r w:rsidRPr="00051297">
        <w:rPr>
          <w:rFonts w:cs="Times New Roman"/>
          <w:szCs w:val="24"/>
        </w:rPr>
        <w:fldChar w:fldCharType="end"/>
      </w:r>
      <w:r w:rsidRPr="00051297">
        <w:rPr>
          <w:rFonts w:cs="Times New Roman"/>
          <w:szCs w:val="24"/>
        </w:rPr>
        <w:t>:</w:t>
      </w:r>
    </w:p>
    <w:tbl>
      <w:tblPr>
        <w:tblStyle w:val="a8"/>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4"/>
        <w:gridCol w:w="7669"/>
        <w:gridCol w:w="1517"/>
      </w:tblGrid>
      <w:tr w:rsidR="00051297" w:rsidRPr="00051297" w14:paraId="42DB65EB" w14:textId="77777777" w:rsidTr="00D20B01">
        <w:trPr>
          <w:trHeight w:val="692"/>
        </w:trPr>
        <w:tc>
          <w:tcPr>
            <w:tcW w:w="264" w:type="dxa"/>
          </w:tcPr>
          <w:p w14:paraId="1A318E37" w14:textId="77777777" w:rsidR="00051297" w:rsidRPr="00051297" w:rsidRDefault="00051297" w:rsidP="00051297">
            <w:pPr>
              <w:spacing w:after="160"/>
              <w:rPr>
                <w:szCs w:val="24"/>
              </w:rPr>
            </w:pPr>
          </w:p>
        </w:tc>
        <w:tc>
          <w:tcPr>
            <w:tcW w:w="7669" w:type="dxa"/>
          </w:tcPr>
          <w:p w14:paraId="7A298295" w14:textId="77777777" w:rsidR="00051297" w:rsidRPr="00051297" w:rsidRDefault="00051297" w:rsidP="00051297">
            <w:pPr>
              <w:spacing w:after="160"/>
              <w:rPr>
                <w:szCs w:val="24"/>
              </w:rPr>
            </w:pPr>
            <m:oMathPara>
              <m:oMath>
                <m:r>
                  <w:rPr>
                    <w:rFonts w:ascii="Cambria Math" w:hAnsi="Cambria Math"/>
                    <w:szCs w:val="24"/>
                  </w:rPr>
                  <m:t>Q=</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(P-0.2×S)</m:t>
                        </m:r>
                      </m:e>
                      <m:sup>
                        <m:r>
                          <w:rPr>
                            <w:rFonts w:ascii="Cambria Math" w:hAnsi="Cambria Math"/>
                            <w:szCs w:val="24"/>
                          </w:rPr>
                          <m:t>2</m:t>
                        </m:r>
                      </m:sup>
                    </m:sSup>
                  </m:num>
                  <m:den>
                    <m:r>
                      <w:rPr>
                        <w:rFonts w:ascii="Cambria Math" w:hAnsi="Cambria Math"/>
                        <w:szCs w:val="24"/>
                      </w:rPr>
                      <m:t>(P+0.8×S)</m:t>
                    </m:r>
                  </m:den>
                </m:f>
              </m:oMath>
            </m:oMathPara>
          </w:p>
        </w:tc>
        <w:tc>
          <w:tcPr>
            <w:tcW w:w="1517" w:type="dxa"/>
          </w:tcPr>
          <w:p w14:paraId="25838D95" w14:textId="21323E7D" w:rsidR="00051297" w:rsidRPr="00051297" w:rsidRDefault="00051297" w:rsidP="00051297">
            <w:pPr>
              <w:spacing w:after="160"/>
              <w:jc w:val="right"/>
            </w:pPr>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1</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5</w:t>
            </w:r>
            <w:r w:rsidRPr="00051297">
              <w:rPr>
                <w:szCs w:val="24"/>
              </w:rPr>
              <w:fldChar w:fldCharType="end"/>
            </w:r>
            <w:r w:rsidRPr="00051297">
              <w:rPr>
                <w:szCs w:val="24"/>
              </w:rPr>
              <w:t>)</w:t>
            </w:r>
          </w:p>
        </w:tc>
      </w:tr>
    </w:tbl>
    <w:p w14:paraId="75E1CB93" w14:textId="25D9FC03" w:rsidR="00051297" w:rsidRPr="00051297" w:rsidRDefault="00051297" w:rsidP="00051297">
      <w:pPr>
        <w:rPr>
          <w:rFonts w:cs="Times New Roman"/>
          <w:szCs w:val="24"/>
          <w:lang w:val="en-US"/>
        </w:rPr>
      </w:pPr>
      <w:r w:rsidRPr="00051297">
        <w:rPr>
          <w:rFonts w:cs="Times New Roman"/>
          <w:i/>
          <w:szCs w:val="24"/>
          <w:lang w:val="en-US"/>
        </w:rPr>
        <w:t xml:space="preserve">S </w:t>
      </w:r>
      <w:r w:rsidRPr="00051297">
        <w:rPr>
          <w:rFonts w:cs="Times New Roman"/>
          <w:szCs w:val="24"/>
          <w:lang w:val="en-US"/>
        </w:rPr>
        <w:t xml:space="preserve">through the CN, is linked to the soil </w:t>
      </w:r>
      <w:r w:rsidR="00F01965">
        <w:rPr>
          <w:rFonts w:cs="Times New Roman"/>
          <w:szCs w:val="24"/>
          <w:lang w:val="en-US"/>
        </w:rPr>
        <w:t>as well as all the</w:t>
      </w:r>
      <w:r w:rsidRPr="00051297">
        <w:rPr>
          <w:rFonts w:cs="Times New Roman"/>
          <w:szCs w:val="24"/>
          <w:lang w:val="en-US"/>
        </w:rPr>
        <w:t xml:space="preserve"> cover characteristics. The range of CN is 0 to 100, and S is proportional to CN.: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711"/>
        <w:gridCol w:w="1385"/>
      </w:tblGrid>
      <w:tr w:rsidR="00051297" w:rsidRPr="00051297" w14:paraId="4F5A09AB" w14:textId="77777777" w:rsidTr="00D20B01">
        <w:trPr>
          <w:trHeight w:val="755"/>
        </w:trPr>
        <w:tc>
          <w:tcPr>
            <w:tcW w:w="265" w:type="dxa"/>
          </w:tcPr>
          <w:p w14:paraId="724BB31F" w14:textId="77777777" w:rsidR="00051297" w:rsidRPr="00051297" w:rsidRDefault="00051297" w:rsidP="00051297">
            <w:pPr>
              <w:spacing w:after="160"/>
              <w:rPr>
                <w:szCs w:val="24"/>
                <w:lang w:val="en-US"/>
              </w:rPr>
            </w:pPr>
          </w:p>
        </w:tc>
        <w:tc>
          <w:tcPr>
            <w:tcW w:w="9090" w:type="dxa"/>
          </w:tcPr>
          <w:p w14:paraId="5D239BAE" w14:textId="77777777" w:rsidR="00051297" w:rsidRPr="00051297" w:rsidRDefault="00051297" w:rsidP="00051297">
            <w:pPr>
              <w:spacing w:after="160"/>
              <w:rPr>
                <w:szCs w:val="24"/>
              </w:rPr>
            </w:pPr>
            <m:oMathPara>
              <m:oMath>
                <m:r>
                  <w:rPr>
                    <w:rFonts w:ascii="Cambria Math" w:hAnsi="Cambria Math"/>
                    <w:szCs w:val="24"/>
                  </w:rPr>
                  <m:t>S=</m:t>
                </m:r>
                <m:f>
                  <m:fPr>
                    <m:ctrlPr>
                      <w:rPr>
                        <w:rFonts w:ascii="Cambria Math" w:hAnsi="Cambria Math"/>
                        <w:i/>
                        <w:szCs w:val="24"/>
                      </w:rPr>
                    </m:ctrlPr>
                  </m:fPr>
                  <m:num>
                    <m:r>
                      <w:rPr>
                        <w:rFonts w:ascii="Cambria Math" w:hAnsi="Cambria Math"/>
                        <w:szCs w:val="24"/>
                      </w:rPr>
                      <m:t>1000</m:t>
                    </m:r>
                  </m:num>
                  <m:den>
                    <m:r>
                      <w:rPr>
                        <w:rFonts w:ascii="Cambria Math" w:hAnsi="Cambria Math"/>
                        <w:szCs w:val="24"/>
                      </w:rPr>
                      <m:t>CN</m:t>
                    </m:r>
                  </m:den>
                </m:f>
                <m:r>
                  <w:rPr>
                    <w:rFonts w:ascii="Cambria Math" w:hAnsi="Cambria Math"/>
                    <w:szCs w:val="24"/>
                  </w:rPr>
                  <m:t>-10</m:t>
                </m:r>
              </m:oMath>
            </m:oMathPara>
          </w:p>
        </w:tc>
        <w:tc>
          <w:tcPr>
            <w:tcW w:w="360" w:type="dxa"/>
          </w:tcPr>
          <w:p w14:paraId="3A183FF2" w14:textId="4F29F021" w:rsidR="00051297" w:rsidRPr="00051297" w:rsidRDefault="00051297" w:rsidP="00051297">
            <w:pPr>
              <w:spacing w:after="160"/>
            </w:pPr>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1</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6</w:t>
            </w:r>
            <w:r w:rsidRPr="00051297">
              <w:rPr>
                <w:szCs w:val="24"/>
              </w:rPr>
              <w:fldChar w:fldCharType="end"/>
            </w:r>
            <w:r w:rsidRPr="00051297">
              <w:rPr>
                <w:szCs w:val="24"/>
              </w:rPr>
              <w:t>)</w:t>
            </w:r>
          </w:p>
        </w:tc>
      </w:tr>
    </w:tbl>
    <w:p w14:paraId="4C31CE65" w14:textId="5177C034" w:rsidR="00051297" w:rsidRPr="00051297" w:rsidRDefault="00051297" w:rsidP="00051297">
      <w:pPr>
        <w:rPr>
          <w:rFonts w:cs="Times New Roman"/>
          <w:szCs w:val="24"/>
          <w:lang w:val="en-US"/>
        </w:rPr>
      </w:pPr>
      <w:r w:rsidRPr="00051297">
        <w:rPr>
          <w:rFonts w:cs="Times New Roman"/>
          <w:szCs w:val="24"/>
          <w:lang w:val="en-US"/>
        </w:rPr>
        <w:t xml:space="preserve">The above-highlighted Equations can be solved using </w:t>
      </w:r>
      <w:r w:rsidRPr="00051297">
        <w:rPr>
          <w:rFonts w:cs="Times New Roman"/>
          <w:szCs w:val="24"/>
          <w:lang w:val="en-US"/>
        </w:rPr>
        <w:fldChar w:fldCharType="begin"/>
      </w:r>
      <w:r w:rsidRPr="00051297">
        <w:rPr>
          <w:rFonts w:cs="Times New Roman"/>
          <w:szCs w:val="24"/>
          <w:lang w:val="en-US"/>
        </w:rPr>
        <w:instrText xml:space="preserve"> REF _Ref98102296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1</w:t>
      </w:r>
      <w:r w:rsidRPr="00051297">
        <w:rPr>
          <w:rFonts w:cs="Times New Roman"/>
          <w:szCs w:val="24"/>
          <w:lang w:val="en-US"/>
        </w:rPr>
        <w:fldChar w:fldCharType="end"/>
      </w:r>
      <w:r w:rsidRPr="00051297">
        <w:rPr>
          <w:rFonts w:cs="Times New Roman"/>
          <w:szCs w:val="24"/>
          <w:lang w:val="en-US"/>
        </w:rPr>
        <w:t xml:space="preserve"> and </w:t>
      </w:r>
      <w:hyperlink w:anchor="_bookmark41" w:history="1">
        <w:r w:rsidRPr="00051297">
          <w:rPr>
            <w:rFonts w:cs="Times New Roman"/>
            <w:szCs w:val="24"/>
            <w:lang w:val="en-US"/>
          </w:rPr>
          <w:fldChar w:fldCharType="begin"/>
        </w:r>
        <w:r w:rsidRPr="00051297">
          <w:rPr>
            <w:lang w:val="en-US"/>
          </w:rPr>
          <w:instrText xml:space="preserve"> REF _Ref98102456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1</w:t>
        </w:r>
        <w:r w:rsidR="004870F1" w:rsidRPr="00051297">
          <w:rPr>
            <w:rFonts w:cs="Times New Roman"/>
            <w:szCs w:val="24"/>
            <w:lang w:val="en-US" w:bidi="en-US"/>
          </w:rPr>
          <w:t>.</w:t>
        </w:r>
        <w:r w:rsidR="004870F1">
          <w:rPr>
            <w:rFonts w:cs="Times New Roman"/>
            <w:noProof/>
            <w:szCs w:val="24"/>
            <w:lang w:val="en-US" w:bidi="en-US"/>
          </w:rPr>
          <w:t>4</w:t>
        </w:r>
        <w:r w:rsidRPr="00051297">
          <w:rPr>
            <w:rFonts w:cs="Times New Roman"/>
            <w:szCs w:val="24"/>
            <w:lang w:val="en-US"/>
          </w:rPr>
          <w:fldChar w:fldCharType="end"/>
        </w:r>
        <w:r w:rsidRPr="00051297">
          <w:rPr>
            <w:rFonts w:cs="Times New Roman"/>
            <w:szCs w:val="24"/>
            <w:lang w:val="en-US"/>
          </w:rPr>
          <w:t xml:space="preserve"> </w:t>
        </w:r>
      </w:hyperlink>
      <w:r w:rsidRPr="00051297">
        <w:rPr>
          <w:rFonts w:cs="Times New Roman"/>
          <w:szCs w:val="24"/>
          <w:lang w:val="en-US"/>
        </w:rPr>
        <w:t xml:space="preserve"> for a range of CNs and rainfall. </w:t>
      </w:r>
    </w:p>
    <w:p w14:paraId="2DC7DA66"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6004371F" wp14:editId="7345236D">
            <wp:extent cx="4171546" cy="2880000"/>
            <wp:effectExtent l="0" t="0" r="635" b="0"/>
            <wp:docPr id="11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71546" cy="2880000"/>
                    </a:xfrm>
                    <a:prstGeom prst="rect">
                      <a:avLst/>
                    </a:prstGeom>
                  </pic:spPr>
                </pic:pic>
              </a:graphicData>
            </a:graphic>
          </wp:inline>
        </w:drawing>
      </w:r>
    </w:p>
    <w:p w14:paraId="67124F7F" w14:textId="091730E8" w:rsidR="00051297" w:rsidRPr="00051297" w:rsidRDefault="00051297" w:rsidP="00051297">
      <w:pPr>
        <w:rPr>
          <w:rFonts w:cs="Times New Roman"/>
          <w:szCs w:val="24"/>
          <w:lang w:val="en-US" w:bidi="en-US"/>
        </w:rPr>
      </w:pPr>
      <w:bookmarkStart w:id="104" w:name="_Ref98102296"/>
      <w:bookmarkStart w:id="105" w:name="_Toc104985388"/>
      <w:bookmarkStart w:id="106" w:name="_Toc98085870"/>
      <w:bookmarkStart w:id="107" w:name="_Toc97428195"/>
      <w:bookmarkStart w:id="108" w:name="_Toc103544065"/>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bookmarkStart w:id="109" w:name="_bookmark41"/>
      <w:bookmarkEnd w:id="104"/>
      <w:bookmarkEnd w:id="109"/>
      <w:r w:rsidRPr="00051297">
        <w:rPr>
          <w:lang w:val="en-US"/>
        </w:rPr>
        <w:t xml:space="preserve"> </w:t>
      </w:r>
      <w:r w:rsidRPr="00051297">
        <w:rPr>
          <w:rFonts w:cs="Times New Roman"/>
          <w:szCs w:val="24"/>
          <w:lang w:val="en-US" w:bidi="en-US"/>
        </w:rPr>
        <w:t xml:space="preserve">– </w:t>
      </w:r>
      <w:r w:rsidR="00796B54">
        <w:rPr>
          <w:rFonts w:cs="Times New Roman"/>
          <w:szCs w:val="24"/>
          <w:lang w:val="en-US" w:bidi="en-US"/>
        </w:rPr>
        <w:t>Curve for</w:t>
      </w:r>
      <w:r w:rsidRPr="00051297">
        <w:rPr>
          <w:rFonts w:cs="Times New Roman"/>
          <w:szCs w:val="24"/>
          <w:lang w:val="en-US" w:bidi="en-US"/>
        </w:rPr>
        <w:t xml:space="preserve"> runoff equation</w:t>
      </w:r>
      <w:r w:rsidR="00796B54">
        <w:rPr>
          <w:rFonts w:cs="Times New Roman"/>
          <w:szCs w:val="24"/>
          <w:lang w:val="en-US" w:bidi="en-US"/>
        </w:rPr>
        <w:t xml:space="preserve"> application</w:t>
      </w:r>
      <w:r w:rsidRPr="00051297">
        <w:rPr>
          <w:rFonts w:cs="Times New Roman"/>
          <w:szCs w:val="24"/>
          <w:lang w:val="en-US" w:bidi="en-US"/>
        </w:rPr>
        <w:t xml:space="preserve">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{"citationItems":[{"id":"ITEM-1","itemData":{"ISBN":"220564635","ISSN":"0001-2351","PMID":"9100593","abstract":"nical Release 55 (TR-55) presents simplified procedures to calculate storm runoff volume, peak rate of discharge, hydrographs, and storage volumes required for floodwater reservoirs. These procedures are applicable in small watersheds, especially urbanizing watersheds, in the United States. Limits: NRCS type distributions, 24-hour duration rainfall, 10 subwatersheds, minimum 0.1 hour and maximum 10-hour time of concentration.","author":[{"dropping-particle":"","family":"NRCS","given":"","non-dropping-particle":"","parse-names":false,"suffix":""}],"container-title":"USDA Natural Resource Conservation Service Conservation Engeneering Division Technical Release 55","id":"ITEM-1","issued":{"date-parts":[["1986"]]},"title":"Urban Hydrology for Small Watersheds TR-55NRCS. (1986). Urban Hydrology for Small Watersheds TR-55. USDA Natural Resource Conservation Service Conservation Engeneering Division Technical Release 55. http://doi.org/Technical Release 55","type":"report"},"uris":["http://www.mendeley.com/documents/?uuid=5e60ace8-b6cb-4f22-8b04-3560fa9c5888","http://www.mendeley.com/documents/?uuid=56bff0af-9efa-4f11-a193-43783f743fdb","http://www.mendeley.com/documents/?uuid=a6428534-bbc0-4952-8a4c-fde80a48639b"]}],"mendeley":{"formattedCitation":"[92]","plainTextFormattedCitation":"[92]","previouslyFormattedCitation":"[92]"},"properties":{"noteIndex":0},"schema":"https://github.com/citation-style-language/schema/raw/master/csl-citation.json"}</w:instrText>
      </w:r>
      <w:r w:rsidRPr="00051297">
        <w:rPr>
          <w:rFonts w:cs="Times New Roman"/>
          <w:szCs w:val="24"/>
          <w:lang w:val="en-US" w:bidi="en-US"/>
        </w:rPr>
        <w:fldChar w:fldCharType="separate"/>
      </w:r>
      <w:bookmarkEnd w:id="106"/>
      <w:bookmarkEnd w:id="107"/>
      <w:bookmarkEnd w:id="108"/>
      <w:r w:rsidR="0032684D" w:rsidRPr="0032684D">
        <w:rPr>
          <w:rFonts w:cs="Times New Roman"/>
          <w:noProof/>
          <w:szCs w:val="24"/>
          <w:lang w:val="en-US" w:bidi="en-US"/>
        </w:rPr>
        <w:t>[92]</w:t>
      </w:r>
      <w:bookmarkEnd w:id="105"/>
      <w:r w:rsidRPr="00051297">
        <w:rPr>
          <w:rFonts w:cs="Times New Roman"/>
          <w:szCs w:val="24"/>
          <w:lang w:val="en-US" w:bidi="en-US"/>
        </w:rPr>
        <w:fldChar w:fldCharType="end"/>
      </w:r>
    </w:p>
    <w:p w14:paraId="4480B02D" w14:textId="77777777" w:rsidR="00051297" w:rsidRPr="00051297" w:rsidRDefault="00051297" w:rsidP="00051297">
      <w:pPr>
        <w:rPr>
          <w:rFonts w:cs="Times New Roman"/>
          <w:szCs w:val="24"/>
          <w:lang w:val="en-US"/>
        </w:rPr>
      </w:pPr>
      <w:r w:rsidRPr="00051297">
        <w:rPr>
          <w:rFonts w:cs="Times New Roman"/>
          <w:szCs w:val="24"/>
          <w:lang w:val="en-US"/>
        </w:rPr>
        <w:t xml:space="preserve">An arithmetic interpolation can be used to calculate runoff depths for CNs, and other rainfall amounts not shown in Table 2.4. </w:t>
      </w:r>
    </w:p>
    <w:p w14:paraId="17F37D8D" w14:textId="617476C7" w:rsidR="00051297" w:rsidRPr="00051297" w:rsidRDefault="00051297" w:rsidP="00051297">
      <w:pPr>
        <w:rPr>
          <w:rFonts w:cs="Times New Roman"/>
          <w:szCs w:val="24"/>
          <w:lang w:val="en-US" w:bidi="en-US"/>
        </w:rPr>
      </w:pPr>
      <w:bookmarkStart w:id="110" w:name="_Ref98102456"/>
      <w:bookmarkStart w:id="111" w:name="_Toc104985561"/>
      <w:bookmarkStart w:id="112" w:name="_Toc97077185"/>
      <w:bookmarkStart w:id="113" w:name="_Toc103544235"/>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1</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4</w:t>
      </w:r>
      <w:r w:rsidRPr="00051297">
        <w:rPr>
          <w:rFonts w:cs="Times New Roman"/>
          <w:szCs w:val="24"/>
          <w:lang w:val="en-US" w:bidi="en-US"/>
        </w:rPr>
        <w:fldChar w:fldCharType="end"/>
      </w:r>
      <w:bookmarkEnd w:id="110"/>
      <w:r w:rsidRPr="00051297">
        <w:rPr>
          <w:rFonts w:cs="Times New Roman"/>
          <w:szCs w:val="24"/>
          <w:lang w:val="en-US" w:bidi="en-US"/>
        </w:rPr>
        <w:t xml:space="preserve"> – </w:t>
      </w:r>
      <w:r w:rsidR="00796B54">
        <w:rPr>
          <w:rFonts w:cs="Times New Roman"/>
          <w:szCs w:val="24"/>
          <w:lang w:val="en-US" w:bidi="en-US"/>
        </w:rPr>
        <w:t>Ready-computed r</w:t>
      </w:r>
      <w:r w:rsidRPr="00051297">
        <w:rPr>
          <w:rFonts w:cs="Times New Roman"/>
          <w:szCs w:val="24"/>
          <w:lang w:val="en-US" w:bidi="en-US"/>
        </w:rPr>
        <w:t xml:space="preserve">unoff depths </w:t>
      </w:r>
      <w:r w:rsidR="00796B54">
        <w:rPr>
          <w:rFonts w:cs="Times New Roman"/>
          <w:szCs w:val="24"/>
          <w:lang w:val="en-US" w:bidi="en-US"/>
        </w:rPr>
        <w:t>from some of the</w:t>
      </w:r>
      <w:r w:rsidRPr="00051297">
        <w:rPr>
          <w:rFonts w:cs="Times New Roman"/>
          <w:szCs w:val="24"/>
          <w:lang w:val="en-US" w:bidi="en-US"/>
        </w:rPr>
        <w:t xml:space="preserve"> </w:t>
      </w:r>
      <w:r w:rsidR="00796B54">
        <w:rPr>
          <w:rFonts w:cs="Times New Roman"/>
          <w:szCs w:val="24"/>
          <w:lang w:val="en-US" w:bidi="en-US"/>
        </w:rPr>
        <w:t>CN</w:t>
      </w:r>
      <w:r w:rsidRPr="00051297">
        <w:rPr>
          <w:rFonts w:cs="Times New Roman"/>
          <w:szCs w:val="24"/>
          <w:lang w:val="en-US" w:bidi="en-US"/>
        </w:rPr>
        <w:t xml:space="preserve">s and rainfall amounts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{"citationItems":[{"id":"ITEM-1","itemData":{"ISBN":"220564635","ISSN":"0001-2351","PMID":"9100593","abstract":"nical Release 55 (TR-55) presents simplified procedures to calculate storm runoff volume, peak rate of discharge, hydrographs, and storage volumes required for floodwater reservoirs. These procedures are applicable in small watersheds, especially urbanizing watersheds, in the United States. Limits: NRCS type distributions, 24-hour duration rainfall, 10 subwatersheds, minimum 0.1 hour and maximum 10-hour time of concentration.","author":[{"dropping-particle":"","family":"NRCS","given":"","non-dropping-particle":"","parse-names":false,"suffix":""}],"container-title":"USDA Natural Resource Conservation Service Conservation Engeneering Division Technical Release 55","id":"ITEM-1","issued":{"date-parts":[["1986"]]},"title":"Urban Hydrology for Small Watersheds TR-55NRCS. (1986). Urban Hydrology for Small Watersheds TR-55. USDA Natural Resource Conservation Service Conservation Engeneering Division Technical Release 55. http://doi.org/Technical Release 55","type":"report"},"uris":["http://www.mendeley.com/documents/?uuid=a6428534-bbc0-4952-8a4c-fde80a48639b","http://www.mendeley.com/documents/?uuid=56bff0af-9efa-4f11-a193-43783f743fdb"]}],"mendeley":{"formattedCitation":"[92]","plainTextFormattedCitation":"[92]","previouslyFormattedCitation":"[92]"},"properties":{"noteIndex":0},"schema":"https://github.com/citation-style-language/schema/raw/master/csl-citation.json"}</w:instrText>
      </w:r>
      <w:r w:rsidRPr="00051297">
        <w:rPr>
          <w:rFonts w:cs="Times New Roman"/>
          <w:szCs w:val="24"/>
          <w:lang w:val="en-US" w:bidi="en-US"/>
        </w:rPr>
        <w:fldChar w:fldCharType="separate"/>
      </w:r>
      <w:bookmarkEnd w:id="112"/>
      <w:bookmarkEnd w:id="113"/>
      <w:r w:rsidR="0032684D" w:rsidRPr="0032684D">
        <w:rPr>
          <w:rFonts w:cs="Times New Roman"/>
          <w:noProof/>
          <w:szCs w:val="24"/>
          <w:lang w:val="en-US" w:bidi="en-US"/>
        </w:rPr>
        <w:t>[92]</w:t>
      </w:r>
      <w:bookmarkEnd w:id="111"/>
      <w:r w:rsidRPr="00051297">
        <w:rPr>
          <w:rFonts w:cs="Times New Roman"/>
          <w:szCs w:val="24"/>
          <w:lang w:val="en-US" w:bidi="en-US"/>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800"/>
        <w:gridCol w:w="540"/>
        <w:gridCol w:w="540"/>
        <w:gridCol w:w="540"/>
        <w:gridCol w:w="540"/>
        <w:gridCol w:w="540"/>
        <w:gridCol w:w="540"/>
        <w:gridCol w:w="540"/>
        <w:gridCol w:w="540"/>
        <w:gridCol w:w="625"/>
        <w:gridCol w:w="545"/>
        <w:gridCol w:w="540"/>
        <w:gridCol w:w="540"/>
        <w:gridCol w:w="540"/>
      </w:tblGrid>
      <w:tr w:rsidR="00051297" w:rsidRPr="00127C1A" w14:paraId="1ABD375C" w14:textId="77777777" w:rsidTr="00D20B01">
        <w:trPr>
          <w:trHeight w:val="228"/>
          <w:jc w:val="center"/>
        </w:trPr>
        <w:tc>
          <w:tcPr>
            <w:tcW w:w="1800" w:type="dxa"/>
            <w:vMerge w:val="restart"/>
          </w:tcPr>
          <w:p w14:paraId="73243D79" w14:textId="77777777" w:rsidR="00051297" w:rsidRPr="00127C1A" w:rsidRDefault="00051297" w:rsidP="00051297">
            <w:pPr>
              <w:spacing w:line="240" w:lineRule="auto"/>
              <w:ind w:firstLine="0"/>
              <w:jc w:val="center"/>
              <w:rPr>
                <w:rFonts w:cs="Times New Roman"/>
                <w:sz w:val="20"/>
                <w:szCs w:val="20"/>
                <w:lang w:val="en-US"/>
              </w:rPr>
            </w:pPr>
          </w:p>
          <w:p w14:paraId="50572E16" w14:textId="71C7C7D5"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Rainfall (P) (</w:t>
            </w:r>
            <w:r w:rsidR="00127C1A">
              <w:rPr>
                <w:rFonts w:cs="Times New Roman"/>
                <w:sz w:val="20"/>
                <w:szCs w:val="20"/>
                <w:lang w:val="en-US"/>
              </w:rPr>
              <w:t>mm</w:t>
            </w:r>
            <w:r w:rsidRPr="00127C1A">
              <w:rPr>
                <w:rFonts w:cs="Times New Roman"/>
                <w:sz w:val="20"/>
                <w:szCs w:val="20"/>
                <w:lang w:val="en-US"/>
              </w:rPr>
              <w:t>)</w:t>
            </w:r>
          </w:p>
        </w:tc>
        <w:tc>
          <w:tcPr>
            <w:tcW w:w="7110" w:type="dxa"/>
            <w:gridSpan w:val="13"/>
          </w:tcPr>
          <w:p w14:paraId="3B8FE7D2"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Curve Number (CN)</w:t>
            </w:r>
          </w:p>
        </w:tc>
      </w:tr>
      <w:tr w:rsidR="00051297" w:rsidRPr="00127C1A" w14:paraId="09140B65" w14:textId="77777777" w:rsidTr="00D20B01">
        <w:trPr>
          <w:trHeight w:val="227"/>
          <w:jc w:val="center"/>
        </w:trPr>
        <w:tc>
          <w:tcPr>
            <w:tcW w:w="1800" w:type="dxa"/>
            <w:vMerge/>
          </w:tcPr>
          <w:p w14:paraId="6801969E" w14:textId="77777777" w:rsidR="00051297" w:rsidRPr="00127C1A" w:rsidRDefault="00051297" w:rsidP="00051297">
            <w:pPr>
              <w:spacing w:line="240" w:lineRule="auto"/>
              <w:ind w:firstLine="0"/>
              <w:jc w:val="center"/>
              <w:rPr>
                <w:rFonts w:cs="Times New Roman"/>
                <w:sz w:val="20"/>
                <w:szCs w:val="20"/>
                <w:lang w:val="en-US"/>
              </w:rPr>
            </w:pPr>
          </w:p>
        </w:tc>
        <w:tc>
          <w:tcPr>
            <w:tcW w:w="540" w:type="dxa"/>
          </w:tcPr>
          <w:p w14:paraId="1FFC0F35"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40</w:t>
            </w:r>
          </w:p>
        </w:tc>
        <w:tc>
          <w:tcPr>
            <w:tcW w:w="540" w:type="dxa"/>
          </w:tcPr>
          <w:p w14:paraId="23E015A2"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45</w:t>
            </w:r>
          </w:p>
        </w:tc>
        <w:tc>
          <w:tcPr>
            <w:tcW w:w="540" w:type="dxa"/>
          </w:tcPr>
          <w:p w14:paraId="66AAB639"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50</w:t>
            </w:r>
          </w:p>
        </w:tc>
        <w:tc>
          <w:tcPr>
            <w:tcW w:w="540" w:type="dxa"/>
          </w:tcPr>
          <w:p w14:paraId="3E1DA8C3"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55</w:t>
            </w:r>
          </w:p>
        </w:tc>
        <w:tc>
          <w:tcPr>
            <w:tcW w:w="540" w:type="dxa"/>
          </w:tcPr>
          <w:p w14:paraId="12E00494"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60</w:t>
            </w:r>
          </w:p>
        </w:tc>
        <w:tc>
          <w:tcPr>
            <w:tcW w:w="540" w:type="dxa"/>
          </w:tcPr>
          <w:p w14:paraId="371C5D09"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65</w:t>
            </w:r>
          </w:p>
        </w:tc>
        <w:tc>
          <w:tcPr>
            <w:tcW w:w="540" w:type="dxa"/>
          </w:tcPr>
          <w:p w14:paraId="5629EFBF"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70</w:t>
            </w:r>
          </w:p>
        </w:tc>
        <w:tc>
          <w:tcPr>
            <w:tcW w:w="540" w:type="dxa"/>
          </w:tcPr>
          <w:p w14:paraId="21DF452F"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75</w:t>
            </w:r>
          </w:p>
        </w:tc>
        <w:tc>
          <w:tcPr>
            <w:tcW w:w="625" w:type="dxa"/>
          </w:tcPr>
          <w:p w14:paraId="0D6DEAE7"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80</w:t>
            </w:r>
          </w:p>
        </w:tc>
        <w:tc>
          <w:tcPr>
            <w:tcW w:w="545" w:type="dxa"/>
          </w:tcPr>
          <w:p w14:paraId="4CD956B1"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85</w:t>
            </w:r>
          </w:p>
        </w:tc>
        <w:tc>
          <w:tcPr>
            <w:tcW w:w="540" w:type="dxa"/>
          </w:tcPr>
          <w:p w14:paraId="48DF95AC"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90</w:t>
            </w:r>
          </w:p>
        </w:tc>
        <w:tc>
          <w:tcPr>
            <w:tcW w:w="540" w:type="dxa"/>
          </w:tcPr>
          <w:p w14:paraId="447DCB5D"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95</w:t>
            </w:r>
          </w:p>
        </w:tc>
        <w:tc>
          <w:tcPr>
            <w:tcW w:w="540" w:type="dxa"/>
          </w:tcPr>
          <w:p w14:paraId="28EF8D7F" w14:textId="77777777" w:rsidR="00051297" w:rsidRPr="00127C1A" w:rsidRDefault="00051297" w:rsidP="00051297">
            <w:pPr>
              <w:spacing w:line="240" w:lineRule="auto"/>
              <w:ind w:firstLine="0"/>
              <w:jc w:val="center"/>
              <w:rPr>
                <w:rFonts w:cs="Times New Roman"/>
                <w:sz w:val="20"/>
                <w:szCs w:val="20"/>
                <w:lang w:val="en-US"/>
              </w:rPr>
            </w:pPr>
            <w:r w:rsidRPr="00127C1A">
              <w:rPr>
                <w:rFonts w:cs="Times New Roman"/>
                <w:sz w:val="20"/>
                <w:szCs w:val="20"/>
                <w:lang w:val="en-US"/>
              </w:rPr>
              <w:t>98</w:t>
            </w:r>
          </w:p>
        </w:tc>
      </w:tr>
      <w:tr w:rsidR="00051297" w:rsidRPr="00127C1A" w14:paraId="7EB1E84E" w14:textId="77777777" w:rsidTr="00D20B01">
        <w:trPr>
          <w:trHeight w:val="227"/>
          <w:jc w:val="center"/>
        </w:trPr>
        <w:tc>
          <w:tcPr>
            <w:tcW w:w="1800" w:type="dxa"/>
            <w:vMerge/>
          </w:tcPr>
          <w:p w14:paraId="6105D564" w14:textId="77777777" w:rsidR="00051297" w:rsidRPr="00127C1A" w:rsidRDefault="00051297" w:rsidP="00051297">
            <w:pPr>
              <w:spacing w:line="240" w:lineRule="auto"/>
              <w:ind w:firstLine="0"/>
              <w:jc w:val="center"/>
              <w:rPr>
                <w:rFonts w:cs="Times New Roman"/>
                <w:sz w:val="20"/>
                <w:szCs w:val="20"/>
                <w:lang w:val="en-US"/>
              </w:rPr>
            </w:pPr>
          </w:p>
        </w:tc>
        <w:tc>
          <w:tcPr>
            <w:tcW w:w="7110" w:type="dxa"/>
            <w:gridSpan w:val="13"/>
          </w:tcPr>
          <w:p w14:paraId="37D843E8" w14:textId="18C4236F" w:rsidR="00051297" w:rsidRPr="00127C1A" w:rsidRDefault="00127C1A" w:rsidP="00051297">
            <w:pPr>
              <w:spacing w:line="240" w:lineRule="auto"/>
              <w:ind w:firstLine="0"/>
              <w:jc w:val="center"/>
              <w:rPr>
                <w:rFonts w:cs="Times New Roman"/>
                <w:sz w:val="20"/>
                <w:szCs w:val="20"/>
                <w:lang w:val="en-US"/>
              </w:rPr>
            </w:pPr>
            <w:r>
              <w:rPr>
                <w:rFonts w:cs="Times New Roman"/>
                <w:sz w:val="20"/>
                <w:szCs w:val="20"/>
                <w:lang w:val="en-US"/>
              </w:rPr>
              <w:t>mm</w:t>
            </w:r>
          </w:p>
        </w:tc>
      </w:tr>
      <w:tr w:rsidR="00127C1A" w:rsidRPr="00127C1A" w14:paraId="1232E898" w14:textId="77777777" w:rsidTr="00D20B01">
        <w:trPr>
          <w:trHeight w:val="227"/>
          <w:jc w:val="center"/>
        </w:trPr>
        <w:tc>
          <w:tcPr>
            <w:tcW w:w="1800" w:type="dxa"/>
          </w:tcPr>
          <w:p w14:paraId="0A29EE0D" w14:textId="00EF6918"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25</w:t>
            </w:r>
          </w:p>
        </w:tc>
        <w:tc>
          <w:tcPr>
            <w:tcW w:w="540" w:type="dxa"/>
          </w:tcPr>
          <w:p w14:paraId="059E29FD" w14:textId="3055EAD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1FBD8A68" w14:textId="411C99B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457373CC" w14:textId="57D51B7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792E45E7" w14:textId="6AF8F72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7F3CA53A" w14:textId="7E8BD25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549B9B14" w14:textId="0B436B9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70993597" w14:textId="5217549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40A9CE34" w14:textId="1187C65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625" w:type="dxa"/>
          </w:tcPr>
          <w:p w14:paraId="4D586D8B" w14:textId="12E0DFC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545" w:type="dxa"/>
          </w:tcPr>
          <w:p w14:paraId="546F405E" w14:textId="5DC3BB6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w:t>
            </w:r>
          </w:p>
        </w:tc>
        <w:tc>
          <w:tcPr>
            <w:tcW w:w="540" w:type="dxa"/>
          </w:tcPr>
          <w:p w14:paraId="4B052BF1" w14:textId="4827593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w:t>
            </w:r>
          </w:p>
        </w:tc>
        <w:tc>
          <w:tcPr>
            <w:tcW w:w="540" w:type="dxa"/>
          </w:tcPr>
          <w:p w14:paraId="20739591" w14:textId="45EF508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15</w:t>
            </w:r>
          </w:p>
        </w:tc>
        <w:tc>
          <w:tcPr>
            <w:tcW w:w="540" w:type="dxa"/>
          </w:tcPr>
          <w:p w14:paraId="0D3DAD6D" w14:textId="51A36EA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20</w:t>
            </w:r>
          </w:p>
        </w:tc>
      </w:tr>
      <w:tr w:rsidR="00127C1A" w:rsidRPr="00127C1A" w14:paraId="4B731EBA" w14:textId="77777777" w:rsidTr="00D20B01">
        <w:trPr>
          <w:trHeight w:val="227"/>
          <w:jc w:val="center"/>
        </w:trPr>
        <w:tc>
          <w:tcPr>
            <w:tcW w:w="1800" w:type="dxa"/>
          </w:tcPr>
          <w:p w14:paraId="4611D953" w14:textId="521B85B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30</w:t>
            </w:r>
          </w:p>
        </w:tc>
        <w:tc>
          <w:tcPr>
            <w:tcW w:w="540" w:type="dxa"/>
          </w:tcPr>
          <w:p w14:paraId="35CB1148" w14:textId="1333D0B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4A62BF9D" w14:textId="51606EF8"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495DB650" w14:textId="13019D3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2B27F175" w14:textId="7CB94E4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3666D98A" w14:textId="7F2D398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22B45A47" w14:textId="47541B2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7BF812C8" w14:textId="68EAA94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76F57D50" w14:textId="18C5ADA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625" w:type="dxa"/>
          </w:tcPr>
          <w:p w14:paraId="42D54D3D" w14:textId="25C770C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w:t>
            </w:r>
          </w:p>
        </w:tc>
        <w:tc>
          <w:tcPr>
            <w:tcW w:w="545" w:type="dxa"/>
          </w:tcPr>
          <w:p w14:paraId="0C00FBA6" w14:textId="300ED72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w:t>
            </w:r>
          </w:p>
        </w:tc>
        <w:tc>
          <w:tcPr>
            <w:tcW w:w="540" w:type="dxa"/>
          </w:tcPr>
          <w:p w14:paraId="1CC2C4A8" w14:textId="25CC84E8"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13</w:t>
            </w:r>
          </w:p>
        </w:tc>
        <w:tc>
          <w:tcPr>
            <w:tcW w:w="540" w:type="dxa"/>
          </w:tcPr>
          <w:p w14:paraId="76FF2118" w14:textId="335546E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18</w:t>
            </w:r>
          </w:p>
        </w:tc>
        <w:tc>
          <w:tcPr>
            <w:tcW w:w="540" w:type="dxa"/>
          </w:tcPr>
          <w:p w14:paraId="34A57B2C" w14:textId="668DE4E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25</w:t>
            </w:r>
          </w:p>
        </w:tc>
      </w:tr>
      <w:tr w:rsidR="00127C1A" w:rsidRPr="00127C1A" w14:paraId="582281CB" w14:textId="77777777" w:rsidTr="00D20B01">
        <w:trPr>
          <w:trHeight w:val="227"/>
          <w:jc w:val="center"/>
        </w:trPr>
        <w:tc>
          <w:tcPr>
            <w:tcW w:w="1800" w:type="dxa"/>
          </w:tcPr>
          <w:p w14:paraId="1A6E93F3" w14:textId="467AFA0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36</w:t>
            </w:r>
          </w:p>
        </w:tc>
        <w:tc>
          <w:tcPr>
            <w:tcW w:w="540" w:type="dxa"/>
          </w:tcPr>
          <w:p w14:paraId="1F2E849B" w14:textId="0951A87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56A1F20B" w14:textId="148B17B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1DCF71A1" w14:textId="415BD2A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3A46FAF7" w14:textId="5189389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5016A887" w14:textId="3ED555D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104C11DF" w14:textId="7BC1828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51564EC9" w14:textId="4DB912D8"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540" w:type="dxa"/>
          </w:tcPr>
          <w:p w14:paraId="77194663" w14:textId="4AED1A2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625" w:type="dxa"/>
          </w:tcPr>
          <w:p w14:paraId="1FAE4E36" w14:textId="7B352E3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w:t>
            </w:r>
          </w:p>
        </w:tc>
        <w:tc>
          <w:tcPr>
            <w:tcW w:w="545" w:type="dxa"/>
          </w:tcPr>
          <w:p w14:paraId="7CFB2609" w14:textId="5433243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w:t>
            </w:r>
          </w:p>
        </w:tc>
        <w:tc>
          <w:tcPr>
            <w:tcW w:w="540" w:type="dxa"/>
          </w:tcPr>
          <w:p w14:paraId="49EF1EDB" w14:textId="2EB265C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15</w:t>
            </w:r>
          </w:p>
        </w:tc>
        <w:tc>
          <w:tcPr>
            <w:tcW w:w="540" w:type="dxa"/>
          </w:tcPr>
          <w:p w14:paraId="757F8D80" w14:textId="648C33D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23</w:t>
            </w:r>
          </w:p>
        </w:tc>
        <w:tc>
          <w:tcPr>
            <w:tcW w:w="540" w:type="dxa"/>
          </w:tcPr>
          <w:p w14:paraId="39644E74" w14:textId="2D04DFC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30</w:t>
            </w:r>
          </w:p>
        </w:tc>
      </w:tr>
      <w:tr w:rsidR="00127C1A" w:rsidRPr="00127C1A" w14:paraId="248BF3C1" w14:textId="77777777" w:rsidTr="00D20B01">
        <w:trPr>
          <w:trHeight w:val="227"/>
          <w:jc w:val="center"/>
        </w:trPr>
        <w:tc>
          <w:tcPr>
            <w:tcW w:w="1800" w:type="dxa"/>
          </w:tcPr>
          <w:p w14:paraId="3EDA37CA" w14:textId="766CADE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41</w:t>
            </w:r>
          </w:p>
        </w:tc>
        <w:tc>
          <w:tcPr>
            <w:tcW w:w="540" w:type="dxa"/>
          </w:tcPr>
          <w:p w14:paraId="549B2190" w14:textId="43EA8C5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5E6381B4" w14:textId="109A5AD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2A73C1EA" w14:textId="3B26AE0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35E2FA96" w14:textId="2A2D0DE8"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5FB41865" w14:textId="1DB08A1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1B18B49C" w14:textId="1F74914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540" w:type="dxa"/>
          </w:tcPr>
          <w:p w14:paraId="1DD576F4" w14:textId="6FE5813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540" w:type="dxa"/>
          </w:tcPr>
          <w:p w14:paraId="21411D8C" w14:textId="06FD937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w:t>
            </w:r>
          </w:p>
        </w:tc>
        <w:tc>
          <w:tcPr>
            <w:tcW w:w="625" w:type="dxa"/>
          </w:tcPr>
          <w:p w14:paraId="5A175275" w14:textId="76A5BDB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w:t>
            </w:r>
          </w:p>
        </w:tc>
        <w:tc>
          <w:tcPr>
            <w:tcW w:w="545" w:type="dxa"/>
          </w:tcPr>
          <w:p w14:paraId="4BC34119" w14:textId="594A503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13</w:t>
            </w:r>
          </w:p>
        </w:tc>
        <w:tc>
          <w:tcPr>
            <w:tcW w:w="540" w:type="dxa"/>
          </w:tcPr>
          <w:p w14:paraId="1CA539D2" w14:textId="609C6B5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20</w:t>
            </w:r>
          </w:p>
        </w:tc>
        <w:tc>
          <w:tcPr>
            <w:tcW w:w="540" w:type="dxa"/>
          </w:tcPr>
          <w:p w14:paraId="09A7E9AF" w14:textId="042F1E0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28</w:t>
            </w:r>
          </w:p>
        </w:tc>
        <w:tc>
          <w:tcPr>
            <w:tcW w:w="540" w:type="dxa"/>
          </w:tcPr>
          <w:p w14:paraId="09BCA17D" w14:textId="5400076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36</w:t>
            </w:r>
          </w:p>
        </w:tc>
      </w:tr>
      <w:tr w:rsidR="00127C1A" w:rsidRPr="00127C1A" w14:paraId="21AA3081" w14:textId="77777777" w:rsidTr="00D20B01">
        <w:trPr>
          <w:trHeight w:val="227"/>
          <w:jc w:val="center"/>
        </w:trPr>
        <w:tc>
          <w:tcPr>
            <w:tcW w:w="1800" w:type="dxa"/>
          </w:tcPr>
          <w:p w14:paraId="2813078F" w14:textId="411191C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46</w:t>
            </w:r>
          </w:p>
        </w:tc>
        <w:tc>
          <w:tcPr>
            <w:tcW w:w="540" w:type="dxa"/>
          </w:tcPr>
          <w:p w14:paraId="7D15C79F" w14:textId="7F8459B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47981453" w14:textId="14AAD6D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30508DD8" w14:textId="216F474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1D5E5B35" w14:textId="435AD26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47DDBB86" w14:textId="4577D20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206FD128" w14:textId="46715C8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540" w:type="dxa"/>
          </w:tcPr>
          <w:p w14:paraId="7CB7BE53" w14:textId="72742F6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w:t>
            </w:r>
          </w:p>
        </w:tc>
        <w:tc>
          <w:tcPr>
            <w:tcW w:w="540" w:type="dxa"/>
          </w:tcPr>
          <w:p w14:paraId="300D6B57" w14:textId="0B310398"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w:t>
            </w:r>
          </w:p>
        </w:tc>
        <w:tc>
          <w:tcPr>
            <w:tcW w:w="625" w:type="dxa"/>
          </w:tcPr>
          <w:p w14:paraId="0DDBC5BF" w14:textId="700A34A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w:t>
            </w:r>
          </w:p>
        </w:tc>
        <w:tc>
          <w:tcPr>
            <w:tcW w:w="545" w:type="dxa"/>
          </w:tcPr>
          <w:p w14:paraId="433DDB65" w14:textId="5C37554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18</w:t>
            </w:r>
          </w:p>
        </w:tc>
        <w:tc>
          <w:tcPr>
            <w:tcW w:w="540" w:type="dxa"/>
          </w:tcPr>
          <w:p w14:paraId="37169592" w14:textId="33A0C7D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23</w:t>
            </w:r>
          </w:p>
        </w:tc>
        <w:tc>
          <w:tcPr>
            <w:tcW w:w="540" w:type="dxa"/>
          </w:tcPr>
          <w:p w14:paraId="7874E0BF" w14:textId="4C15C9B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33</w:t>
            </w:r>
          </w:p>
        </w:tc>
        <w:tc>
          <w:tcPr>
            <w:tcW w:w="540" w:type="dxa"/>
          </w:tcPr>
          <w:p w14:paraId="36DEF001" w14:textId="4CC6C05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41</w:t>
            </w:r>
          </w:p>
        </w:tc>
      </w:tr>
      <w:tr w:rsidR="00127C1A" w:rsidRPr="00127C1A" w14:paraId="25EBEEB1" w14:textId="77777777" w:rsidTr="00D20B01">
        <w:trPr>
          <w:trHeight w:val="227"/>
          <w:jc w:val="center"/>
        </w:trPr>
        <w:tc>
          <w:tcPr>
            <w:tcW w:w="1800" w:type="dxa"/>
          </w:tcPr>
          <w:p w14:paraId="19138C0C" w14:textId="2E1E77D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51</w:t>
            </w:r>
          </w:p>
        </w:tc>
        <w:tc>
          <w:tcPr>
            <w:tcW w:w="540" w:type="dxa"/>
          </w:tcPr>
          <w:p w14:paraId="1DF07144" w14:textId="3B944E7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2C360D6E" w14:textId="1EBFF06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30ADF2A1" w14:textId="75DBD8C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1C41D0C6" w14:textId="2C43504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23F2FDF2" w14:textId="3616938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540" w:type="dxa"/>
          </w:tcPr>
          <w:p w14:paraId="3C04E15D" w14:textId="51AA68D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540" w:type="dxa"/>
          </w:tcPr>
          <w:p w14:paraId="22468C52" w14:textId="12B7A38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w:t>
            </w:r>
          </w:p>
        </w:tc>
        <w:tc>
          <w:tcPr>
            <w:tcW w:w="540" w:type="dxa"/>
          </w:tcPr>
          <w:p w14:paraId="0781EFF9" w14:textId="1679008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w:t>
            </w:r>
          </w:p>
        </w:tc>
        <w:tc>
          <w:tcPr>
            <w:tcW w:w="625" w:type="dxa"/>
          </w:tcPr>
          <w:p w14:paraId="1EDFD031" w14:textId="78886A9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15</w:t>
            </w:r>
          </w:p>
        </w:tc>
        <w:tc>
          <w:tcPr>
            <w:tcW w:w="545" w:type="dxa"/>
          </w:tcPr>
          <w:p w14:paraId="0B42AC24" w14:textId="07C93A7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20</w:t>
            </w:r>
          </w:p>
        </w:tc>
        <w:tc>
          <w:tcPr>
            <w:tcW w:w="540" w:type="dxa"/>
          </w:tcPr>
          <w:p w14:paraId="17D2875F" w14:textId="1BFC0BB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28</w:t>
            </w:r>
          </w:p>
        </w:tc>
        <w:tc>
          <w:tcPr>
            <w:tcW w:w="540" w:type="dxa"/>
          </w:tcPr>
          <w:p w14:paraId="029FF406" w14:textId="2178EEE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38</w:t>
            </w:r>
          </w:p>
        </w:tc>
        <w:tc>
          <w:tcPr>
            <w:tcW w:w="540" w:type="dxa"/>
          </w:tcPr>
          <w:p w14:paraId="4D61399C" w14:textId="34B6132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46</w:t>
            </w:r>
          </w:p>
        </w:tc>
      </w:tr>
      <w:tr w:rsidR="00127C1A" w:rsidRPr="00127C1A" w14:paraId="4691EFCD" w14:textId="77777777" w:rsidTr="00D20B01">
        <w:trPr>
          <w:trHeight w:val="227"/>
          <w:jc w:val="center"/>
        </w:trPr>
        <w:tc>
          <w:tcPr>
            <w:tcW w:w="1800" w:type="dxa"/>
          </w:tcPr>
          <w:p w14:paraId="6730BEAF" w14:textId="3B1EB8B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64</w:t>
            </w:r>
          </w:p>
        </w:tc>
        <w:tc>
          <w:tcPr>
            <w:tcW w:w="540" w:type="dxa"/>
          </w:tcPr>
          <w:p w14:paraId="54103D3A" w14:textId="7A8466C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0E09CB5E" w14:textId="5BFD494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28CB7AD7" w14:textId="15DDDBA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21344B98" w14:textId="051C23E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540" w:type="dxa"/>
          </w:tcPr>
          <w:p w14:paraId="6E44D69D" w14:textId="7FC6C1E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w:t>
            </w:r>
          </w:p>
        </w:tc>
        <w:tc>
          <w:tcPr>
            <w:tcW w:w="540" w:type="dxa"/>
          </w:tcPr>
          <w:p w14:paraId="61EA416A" w14:textId="2909887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w:t>
            </w:r>
          </w:p>
        </w:tc>
        <w:tc>
          <w:tcPr>
            <w:tcW w:w="540" w:type="dxa"/>
          </w:tcPr>
          <w:p w14:paraId="72DC6D6D" w14:textId="61771C1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13</w:t>
            </w:r>
          </w:p>
        </w:tc>
        <w:tc>
          <w:tcPr>
            <w:tcW w:w="540" w:type="dxa"/>
          </w:tcPr>
          <w:p w14:paraId="0D5EDA59" w14:textId="1208FFF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18</w:t>
            </w:r>
          </w:p>
        </w:tc>
        <w:tc>
          <w:tcPr>
            <w:tcW w:w="625" w:type="dxa"/>
          </w:tcPr>
          <w:p w14:paraId="0AEB439B" w14:textId="13F0E4A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23</w:t>
            </w:r>
          </w:p>
        </w:tc>
        <w:tc>
          <w:tcPr>
            <w:tcW w:w="545" w:type="dxa"/>
          </w:tcPr>
          <w:p w14:paraId="7E8D386B" w14:textId="2A141E9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30</w:t>
            </w:r>
          </w:p>
        </w:tc>
        <w:tc>
          <w:tcPr>
            <w:tcW w:w="540" w:type="dxa"/>
          </w:tcPr>
          <w:p w14:paraId="0ABA5A09" w14:textId="5F12A63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38</w:t>
            </w:r>
          </w:p>
        </w:tc>
        <w:tc>
          <w:tcPr>
            <w:tcW w:w="540" w:type="dxa"/>
          </w:tcPr>
          <w:p w14:paraId="2A1CB3CF" w14:textId="37B0E8B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51</w:t>
            </w:r>
          </w:p>
        </w:tc>
        <w:tc>
          <w:tcPr>
            <w:tcW w:w="540" w:type="dxa"/>
          </w:tcPr>
          <w:p w14:paraId="2A2AC9F1" w14:textId="42464B4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58</w:t>
            </w:r>
          </w:p>
        </w:tc>
      </w:tr>
      <w:tr w:rsidR="00127C1A" w:rsidRPr="00127C1A" w14:paraId="764AC17B" w14:textId="77777777" w:rsidTr="00D20B01">
        <w:trPr>
          <w:trHeight w:val="227"/>
          <w:jc w:val="center"/>
        </w:trPr>
        <w:tc>
          <w:tcPr>
            <w:tcW w:w="1800" w:type="dxa"/>
          </w:tcPr>
          <w:p w14:paraId="67A96FBA" w14:textId="5424550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76</w:t>
            </w:r>
          </w:p>
        </w:tc>
        <w:tc>
          <w:tcPr>
            <w:tcW w:w="540" w:type="dxa"/>
          </w:tcPr>
          <w:p w14:paraId="6A300DC1" w14:textId="2BA5131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508CA77D" w14:textId="3536EBC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3F024259" w14:textId="557E733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540" w:type="dxa"/>
          </w:tcPr>
          <w:p w14:paraId="54B8254D" w14:textId="524B193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w:t>
            </w:r>
          </w:p>
        </w:tc>
        <w:tc>
          <w:tcPr>
            <w:tcW w:w="540" w:type="dxa"/>
          </w:tcPr>
          <w:p w14:paraId="377BD410" w14:textId="6222A0A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w:t>
            </w:r>
          </w:p>
        </w:tc>
        <w:tc>
          <w:tcPr>
            <w:tcW w:w="540" w:type="dxa"/>
          </w:tcPr>
          <w:p w14:paraId="24834288" w14:textId="10BDB79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13</w:t>
            </w:r>
          </w:p>
        </w:tc>
        <w:tc>
          <w:tcPr>
            <w:tcW w:w="540" w:type="dxa"/>
          </w:tcPr>
          <w:p w14:paraId="5A9C1147" w14:textId="64BB6B3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18</w:t>
            </w:r>
          </w:p>
        </w:tc>
        <w:tc>
          <w:tcPr>
            <w:tcW w:w="540" w:type="dxa"/>
          </w:tcPr>
          <w:p w14:paraId="304FC1A3" w14:textId="6E37A63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25</w:t>
            </w:r>
          </w:p>
        </w:tc>
        <w:tc>
          <w:tcPr>
            <w:tcW w:w="625" w:type="dxa"/>
          </w:tcPr>
          <w:p w14:paraId="7EC452D1" w14:textId="23E56D8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33</w:t>
            </w:r>
          </w:p>
        </w:tc>
        <w:tc>
          <w:tcPr>
            <w:tcW w:w="545" w:type="dxa"/>
          </w:tcPr>
          <w:p w14:paraId="4CAA1C81" w14:textId="3904992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41</w:t>
            </w:r>
          </w:p>
        </w:tc>
        <w:tc>
          <w:tcPr>
            <w:tcW w:w="540" w:type="dxa"/>
          </w:tcPr>
          <w:p w14:paraId="35144F04" w14:textId="0F85F0D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51</w:t>
            </w:r>
          </w:p>
        </w:tc>
        <w:tc>
          <w:tcPr>
            <w:tcW w:w="540" w:type="dxa"/>
          </w:tcPr>
          <w:p w14:paraId="6728113C" w14:textId="21C4D50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64</w:t>
            </w:r>
          </w:p>
        </w:tc>
        <w:tc>
          <w:tcPr>
            <w:tcW w:w="540" w:type="dxa"/>
          </w:tcPr>
          <w:p w14:paraId="072A2143" w14:textId="4B5CAEF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71</w:t>
            </w:r>
          </w:p>
        </w:tc>
      </w:tr>
      <w:tr w:rsidR="00127C1A" w:rsidRPr="00127C1A" w14:paraId="149E4DB6" w14:textId="77777777" w:rsidTr="00D20B01">
        <w:trPr>
          <w:trHeight w:val="227"/>
          <w:jc w:val="center"/>
        </w:trPr>
        <w:tc>
          <w:tcPr>
            <w:tcW w:w="1800" w:type="dxa"/>
          </w:tcPr>
          <w:p w14:paraId="2CED8A17" w14:textId="6AC675F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89</w:t>
            </w:r>
          </w:p>
        </w:tc>
        <w:tc>
          <w:tcPr>
            <w:tcW w:w="540" w:type="dxa"/>
          </w:tcPr>
          <w:p w14:paraId="2FD75851" w14:textId="3A94552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0</w:t>
            </w:r>
          </w:p>
        </w:tc>
        <w:tc>
          <w:tcPr>
            <w:tcW w:w="540" w:type="dxa"/>
          </w:tcPr>
          <w:p w14:paraId="7363EB99" w14:textId="1C09BB2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540" w:type="dxa"/>
          </w:tcPr>
          <w:p w14:paraId="5B52340F" w14:textId="5EEAF43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w:t>
            </w:r>
          </w:p>
        </w:tc>
        <w:tc>
          <w:tcPr>
            <w:tcW w:w="540" w:type="dxa"/>
          </w:tcPr>
          <w:p w14:paraId="7BA3F771" w14:textId="0D753EE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w:t>
            </w:r>
          </w:p>
        </w:tc>
        <w:tc>
          <w:tcPr>
            <w:tcW w:w="540" w:type="dxa"/>
          </w:tcPr>
          <w:p w14:paraId="5C589BA4" w14:textId="50D2E26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13</w:t>
            </w:r>
          </w:p>
        </w:tc>
        <w:tc>
          <w:tcPr>
            <w:tcW w:w="540" w:type="dxa"/>
          </w:tcPr>
          <w:p w14:paraId="4E57CA81" w14:textId="0A1A0DA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20</w:t>
            </w:r>
          </w:p>
        </w:tc>
        <w:tc>
          <w:tcPr>
            <w:tcW w:w="540" w:type="dxa"/>
          </w:tcPr>
          <w:p w14:paraId="19008E3B" w14:textId="7C7F023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25</w:t>
            </w:r>
          </w:p>
        </w:tc>
        <w:tc>
          <w:tcPr>
            <w:tcW w:w="540" w:type="dxa"/>
          </w:tcPr>
          <w:p w14:paraId="455D3F55" w14:textId="7B8DA14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33</w:t>
            </w:r>
          </w:p>
        </w:tc>
        <w:tc>
          <w:tcPr>
            <w:tcW w:w="625" w:type="dxa"/>
          </w:tcPr>
          <w:p w14:paraId="255367D0" w14:textId="08A35B0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41</w:t>
            </w:r>
          </w:p>
        </w:tc>
        <w:tc>
          <w:tcPr>
            <w:tcW w:w="545" w:type="dxa"/>
          </w:tcPr>
          <w:p w14:paraId="0BC2586E" w14:textId="319E958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51</w:t>
            </w:r>
          </w:p>
        </w:tc>
        <w:tc>
          <w:tcPr>
            <w:tcW w:w="540" w:type="dxa"/>
          </w:tcPr>
          <w:p w14:paraId="39C71A7A" w14:textId="1F7928F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64</w:t>
            </w:r>
          </w:p>
        </w:tc>
        <w:tc>
          <w:tcPr>
            <w:tcW w:w="540" w:type="dxa"/>
          </w:tcPr>
          <w:p w14:paraId="264F7BBC" w14:textId="7BD4CDE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74</w:t>
            </w:r>
          </w:p>
        </w:tc>
        <w:tc>
          <w:tcPr>
            <w:tcW w:w="540" w:type="dxa"/>
          </w:tcPr>
          <w:p w14:paraId="524AA4BA" w14:textId="67E93B1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84</w:t>
            </w:r>
          </w:p>
        </w:tc>
      </w:tr>
      <w:tr w:rsidR="00127C1A" w:rsidRPr="00127C1A" w14:paraId="41F40FE8" w14:textId="77777777" w:rsidTr="00D20B01">
        <w:trPr>
          <w:trHeight w:val="227"/>
          <w:jc w:val="center"/>
        </w:trPr>
        <w:tc>
          <w:tcPr>
            <w:tcW w:w="1800" w:type="dxa"/>
          </w:tcPr>
          <w:p w14:paraId="1818064D" w14:textId="081E021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102</w:t>
            </w:r>
          </w:p>
        </w:tc>
        <w:tc>
          <w:tcPr>
            <w:tcW w:w="540" w:type="dxa"/>
          </w:tcPr>
          <w:p w14:paraId="6CB680E0" w14:textId="6684367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540" w:type="dxa"/>
          </w:tcPr>
          <w:p w14:paraId="307B0777" w14:textId="4E16718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w:t>
            </w:r>
          </w:p>
        </w:tc>
        <w:tc>
          <w:tcPr>
            <w:tcW w:w="540" w:type="dxa"/>
          </w:tcPr>
          <w:p w14:paraId="7ADA1DE5" w14:textId="70E589F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w:t>
            </w:r>
          </w:p>
        </w:tc>
        <w:tc>
          <w:tcPr>
            <w:tcW w:w="540" w:type="dxa"/>
          </w:tcPr>
          <w:p w14:paraId="1CB9C6D7" w14:textId="2354919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13</w:t>
            </w:r>
          </w:p>
        </w:tc>
        <w:tc>
          <w:tcPr>
            <w:tcW w:w="540" w:type="dxa"/>
          </w:tcPr>
          <w:p w14:paraId="1E0DE845" w14:textId="42AC0DB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20</w:t>
            </w:r>
          </w:p>
        </w:tc>
        <w:tc>
          <w:tcPr>
            <w:tcW w:w="540" w:type="dxa"/>
          </w:tcPr>
          <w:p w14:paraId="16946175" w14:textId="1DDD9DC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25</w:t>
            </w:r>
          </w:p>
        </w:tc>
        <w:tc>
          <w:tcPr>
            <w:tcW w:w="540" w:type="dxa"/>
          </w:tcPr>
          <w:p w14:paraId="556B766E" w14:textId="2B898CC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33</w:t>
            </w:r>
          </w:p>
        </w:tc>
        <w:tc>
          <w:tcPr>
            <w:tcW w:w="540" w:type="dxa"/>
          </w:tcPr>
          <w:p w14:paraId="16AB4B41" w14:textId="7CF9E31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43</w:t>
            </w:r>
          </w:p>
        </w:tc>
        <w:tc>
          <w:tcPr>
            <w:tcW w:w="625" w:type="dxa"/>
          </w:tcPr>
          <w:p w14:paraId="4472C8AA" w14:textId="5BC9199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51</w:t>
            </w:r>
          </w:p>
        </w:tc>
        <w:tc>
          <w:tcPr>
            <w:tcW w:w="545" w:type="dxa"/>
          </w:tcPr>
          <w:p w14:paraId="0289099D" w14:textId="531CDEB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64</w:t>
            </w:r>
          </w:p>
        </w:tc>
        <w:tc>
          <w:tcPr>
            <w:tcW w:w="540" w:type="dxa"/>
          </w:tcPr>
          <w:p w14:paraId="5E427612" w14:textId="30BB83B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74</w:t>
            </w:r>
          </w:p>
        </w:tc>
        <w:tc>
          <w:tcPr>
            <w:tcW w:w="540" w:type="dxa"/>
          </w:tcPr>
          <w:p w14:paraId="36B8668F" w14:textId="622C4EA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86</w:t>
            </w:r>
          </w:p>
        </w:tc>
        <w:tc>
          <w:tcPr>
            <w:tcW w:w="540" w:type="dxa"/>
          </w:tcPr>
          <w:p w14:paraId="5B435A82" w14:textId="38BADE2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97</w:t>
            </w:r>
          </w:p>
        </w:tc>
      </w:tr>
      <w:tr w:rsidR="00127C1A" w:rsidRPr="00127C1A" w14:paraId="0EC6559C" w14:textId="77777777" w:rsidTr="00D20B01">
        <w:trPr>
          <w:trHeight w:val="227"/>
          <w:jc w:val="center"/>
        </w:trPr>
        <w:tc>
          <w:tcPr>
            <w:tcW w:w="1800" w:type="dxa"/>
          </w:tcPr>
          <w:p w14:paraId="4B131996" w14:textId="07366C5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114</w:t>
            </w:r>
          </w:p>
        </w:tc>
        <w:tc>
          <w:tcPr>
            <w:tcW w:w="540" w:type="dxa"/>
          </w:tcPr>
          <w:p w14:paraId="36C97552" w14:textId="0A93261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w:t>
            </w:r>
          </w:p>
        </w:tc>
        <w:tc>
          <w:tcPr>
            <w:tcW w:w="540" w:type="dxa"/>
          </w:tcPr>
          <w:p w14:paraId="69A69EDB" w14:textId="14494C5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w:t>
            </w:r>
          </w:p>
        </w:tc>
        <w:tc>
          <w:tcPr>
            <w:tcW w:w="540" w:type="dxa"/>
          </w:tcPr>
          <w:p w14:paraId="3829301E" w14:textId="27D5310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13</w:t>
            </w:r>
          </w:p>
        </w:tc>
        <w:tc>
          <w:tcPr>
            <w:tcW w:w="540" w:type="dxa"/>
          </w:tcPr>
          <w:p w14:paraId="1F27D2B5" w14:textId="5314A5C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18</w:t>
            </w:r>
          </w:p>
        </w:tc>
        <w:tc>
          <w:tcPr>
            <w:tcW w:w="540" w:type="dxa"/>
          </w:tcPr>
          <w:p w14:paraId="55CB1B21" w14:textId="0F80F3E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25</w:t>
            </w:r>
          </w:p>
        </w:tc>
        <w:tc>
          <w:tcPr>
            <w:tcW w:w="540" w:type="dxa"/>
          </w:tcPr>
          <w:p w14:paraId="6BDCB5B9" w14:textId="58D6FE9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33</w:t>
            </w:r>
          </w:p>
        </w:tc>
        <w:tc>
          <w:tcPr>
            <w:tcW w:w="540" w:type="dxa"/>
          </w:tcPr>
          <w:p w14:paraId="0D347A43" w14:textId="421F43B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43</w:t>
            </w:r>
          </w:p>
        </w:tc>
        <w:tc>
          <w:tcPr>
            <w:tcW w:w="540" w:type="dxa"/>
          </w:tcPr>
          <w:p w14:paraId="31432027" w14:textId="0CC00F4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53</w:t>
            </w:r>
          </w:p>
        </w:tc>
        <w:tc>
          <w:tcPr>
            <w:tcW w:w="625" w:type="dxa"/>
          </w:tcPr>
          <w:p w14:paraId="77353A67" w14:textId="0E59D51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64</w:t>
            </w:r>
          </w:p>
        </w:tc>
        <w:tc>
          <w:tcPr>
            <w:tcW w:w="545" w:type="dxa"/>
          </w:tcPr>
          <w:p w14:paraId="500E7123" w14:textId="6B48451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74</w:t>
            </w:r>
          </w:p>
        </w:tc>
        <w:tc>
          <w:tcPr>
            <w:tcW w:w="540" w:type="dxa"/>
          </w:tcPr>
          <w:p w14:paraId="55171EF6" w14:textId="09AA4E5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86</w:t>
            </w:r>
          </w:p>
        </w:tc>
        <w:tc>
          <w:tcPr>
            <w:tcW w:w="540" w:type="dxa"/>
          </w:tcPr>
          <w:p w14:paraId="730B95A3" w14:textId="64364DB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99</w:t>
            </w:r>
          </w:p>
        </w:tc>
        <w:tc>
          <w:tcPr>
            <w:tcW w:w="540" w:type="dxa"/>
          </w:tcPr>
          <w:p w14:paraId="1E7878FD" w14:textId="4E26D08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109</w:t>
            </w:r>
          </w:p>
        </w:tc>
      </w:tr>
      <w:tr w:rsidR="00127C1A" w:rsidRPr="00127C1A" w14:paraId="453CC166" w14:textId="77777777" w:rsidTr="00D20B01">
        <w:trPr>
          <w:trHeight w:val="227"/>
          <w:jc w:val="center"/>
        </w:trPr>
        <w:tc>
          <w:tcPr>
            <w:tcW w:w="1800" w:type="dxa"/>
          </w:tcPr>
          <w:p w14:paraId="69CEF106" w14:textId="100C881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127</w:t>
            </w:r>
          </w:p>
        </w:tc>
        <w:tc>
          <w:tcPr>
            <w:tcW w:w="540" w:type="dxa"/>
          </w:tcPr>
          <w:p w14:paraId="43016B97" w14:textId="5104FB0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w:t>
            </w:r>
          </w:p>
        </w:tc>
        <w:tc>
          <w:tcPr>
            <w:tcW w:w="540" w:type="dxa"/>
          </w:tcPr>
          <w:p w14:paraId="288955BA" w14:textId="1C79218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w:t>
            </w:r>
          </w:p>
        </w:tc>
        <w:tc>
          <w:tcPr>
            <w:tcW w:w="540" w:type="dxa"/>
          </w:tcPr>
          <w:p w14:paraId="37AA7A31" w14:textId="3DCCA28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18</w:t>
            </w:r>
          </w:p>
        </w:tc>
        <w:tc>
          <w:tcPr>
            <w:tcW w:w="540" w:type="dxa"/>
          </w:tcPr>
          <w:p w14:paraId="221E776E" w14:textId="7BFC754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25</w:t>
            </w:r>
          </w:p>
        </w:tc>
        <w:tc>
          <w:tcPr>
            <w:tcW w:w="540" w:type="dxa"/>
          </w:tcPr>
          <w:p w14:paraId="05D87155" w14:textId="2284DBE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33</w:t>
            </w:r>
          </w:p>
        </w:tc>
        <w:tc>
          <w:tcPr>
            <w:tcW w:w="540" w:type="dxa"/>
          </w:tcPr>
          <w:p w14:paraId="5B809076" w14:textId="7D3315A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43</w:t>
            </w:r>
          </w:p>
        </w:tc>
        <w:tc>
          <w:tcPr>
            <w:tcW w:w="540" w:type="dxa"/>
          </w:tcPr>
          <w:p w14:paraId="6E32DCC0" w14:textId="58AAAFF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51</w:t>
            </w:r>
          </w:p>
        </w:tc>
        <w:tc>
          <w:tcPr>
            <w:tcW w:w="540" w:type="dxa"/>
          </w:tcPr>
          <w:p w14:paraId="304BA272" w14:textId="31E938C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64</w:t>
            </w:r>
          </w:p>
        </w:tc>
        <w:tc>
          <w:tcPr>
            <w:tcW w:w="625" w:type="dxa"/>
          </w:tcPr>
          <w:p w14:paraId="60A3AA15" w14:textId="17CBB3B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74</w:t>
            </w:r>
          </w:p>
        </w:tc>
        <w:tc>
          <w:tcPr>
            <w:tcW w:w="545" w:type="dxa"/>
          </w:tcPr>
          <w:p w14:paraId="01C0CA17" w14:textId="09591A8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86</w:t>
            </w:r>
          </w:p>
        </w:tc>
        <w:tc>
          <w:tcPr>
            <w:tcW w:w="540" w:type="dxa"/>
          </w:tcPr>
          <w:p w14:paraId="5C157B64" w14:textId="3A9E7E1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99</w:t>
            </w:r>
          </w:p>
        </w:tc>
        <w:tc>
          <w:tcPr>
            <w:tcW w:w="540" w:type="dxa"/>
          </w:tcPr>
          <w:p w14:paraId="3F2B9D86" w14:textId="6679DCF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112</w:t>
            </w:r>
          </w:p>
        </w:tc>
        <w:tc>
          <w:tcPr>
            <w:tcW w:w="540" w:type="dxa"/>
          </w:tcPr>
          <w:p w14:paraId="0746E145" w14:textId="4F30E17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122</w:t>
            </w:r>
          </w:p>
        </w:tc>
      </w:tr>
      <w:tr w:rsidR="00127C1A" w:rsidRPr="00127C1A" w14:paraId="420E9621" w14:textId="77777777" w:rsidTr="00D20B01">
        <w:trPr>
          <w:trHeight w:val="228"/>
          <w:jc w:val="center"/>
        </w:trPr>
        <w:tc>
          <w:tcPr>
            <w:tcW w:w="1800" w:type="dxa"/>
          </w:tcPr>
          <w:p w14:paraId="46D43BC6" w14:textId="12459FB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152</w:t>
            </w:r>
          </w:p>
        </w:tc>
        <w:tc>
          <w:tcPr>
            <w:tcW w:w="540" w:type="dxa"/>
          </w:tcPr>
          <w:p w14:paraId="5705ECFA" w14:textId="28B4099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13</w:t>
            </w:r>
          </w:p>
        </w:tc>
        <w:tc>
          <w:tcPr>
            <w:tcW w:w="540" w:type="dxa"/>
          </w:tcPr>
          <w:p w14:paraId="196108B1" w14:textId="36E39B5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20</w:t>
            </w:r>
          </w:p>
        </w:tc>
        <w:tc>
          <w:tcPr>
            <w:tcW w:w="540" w:type="dxa"/>
          </w:tcPr>
          <w:p w14:paraId="3A9727EC" w14:textId="11415DC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28</w:t>
            </w:r>
          </w:p>
        </w:tc>
        <w:tc>
          <w:tcPr>
            <w:tcW w:w="540" w:type="dxa"/>
          </w:tcPr>
          <w:p w14:paraId="53E3565C" w14:textId="664D93F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38</w:t>
            </w:r>
          </w:p>
        </w:tc>
        <w:tc>
          <w:tcPr>
            <w:tcW w:w="540" w:type="dxa"/>
          </w:tcPr>
          <w:p w14:paraId="5374E827" w14:textId="1ADBC3B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48</w:t>
            </w:r>
          </w:p>
        </w:tc>
        <w:tc>
          <w:tcPr>
            <w:tcW w:w="540" w:type="dxa"/>
          </w:tcPr>
          <w:p w14:paraId="46FB0D1D" w14:textId="422C4C4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61</w:t>
            </w:r>
          </w:p>
        </w:tc>
        <w:tc>
          <w:tcPr>
            <w:tcW w:w="540" w:type="dxa"/>
          </w:tcPr>
          <w:p w14:paraId="2832EF6C" w14:textId="63911F7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71</w:t>
            </w:r>
          </w:p>
        </w:tc>
        <w:tc>
          <w:tcPr>
            <w:tcW w:w="540" w:type="dxa"/>
          </w:tcPr>
          <w:p w14:paraId="4517CC90" w14:textId="1B7B732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84</w:t>
            </w:r>
          </w:p>
        </w:tc>
        <w:tc>
          <w:tcPr>
            <w:tcW w:w="625" w:type="dxa"/>
          </w:tcPr>
          <w:p w14:paraId="3D0F9158" w14:textId="2A9F5CA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97</w:t>
            </w:r>
          </w:p>
        </w:tc>
        <w:tc>
          <w:tcPr>
            <w:tcW w:w="545" w:type="dxa"/>
          </w:tcPr>
          <w:p w14:paraId="1947BF6D" w14:textId="3778AD2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109</w:t>
            </w:r>
          </w:p>
        </w:tc>
        <w:tc>
          <w:tcPr>
            <w:tcW w:w="540" w:type="dxa"/>
          </w:tcPr>
          <w:p w14:paraId="708785FF" w14:textId="55AFC96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124</w:t>
            </w:r>
          </w:p>
        </w:tc>
        <w:tc>
          <w:tcPr>
            <w:tcW w:w="540" w:type="dxa"/>
          </w:tcPr>
          <w:p w14:paraId="1A2C79D4" w14:textId="5BCBAC38"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137</w:t>
            </w:r>
          </w:p>
        </w:tc>
        <w:tc>
          <w:tcPr>
            <w:tcW w:w="540" w:type="dxa"/>
          </w:tcPr>
          <w:p w14:paraId="374A8CF6" w14:textId="615AC6E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147</w:t>
            </w:r>
          </w:p>
        </w:tc>
      </w:tr>
      <w:tr w:rsidR="00127C1A" w:rsidRPr="00127C1A" w14:paraId="66AC9345" w14:textId="77777777" w:rsidTr="00D20B01">
        <w:trPr>
          <w:trHeight w:val="227"/>
          <w:jc w:val="center"/>
        </w:trPr>
        <w:tc>
          <w:tcPr>
            <w:tcW w:w="1800" w:type="dxa"/>
          </w:tcPr>
          <w:p w14:paraId="44A244E2" w14:textId="463514F8"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178</w:t>
            </w:r>
          </w:p>
        </w:tc>
        <w:tc>
          <w:tcPr>
            <w:tcW w:w="540" w:type="dxa"/>
          </w:tcPr>
          <w:p w14:paraId="2039643A" w14:textId="264F55B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20</w:t>
            </w:r>
          </w:p>
        </w:tc>
        <w:tc>
          <w:tcPr>
            <w:tcW w:w="540" w:type="dxa"/>
          </w:tcPr>
          <w:p w14:paraId="54C6BB8B" w14:textId="6E77C05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30</w:t>
            </w:r>
          </w:p>
        </w:tc>
        <w:tc>
          <w:tcPr>
            <w:tcW w:w="540" w:type="dxa"/>
          </w:tcPr>
          <w:p w14:paraId="67159F5B" w14:textId="1086C88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43</w:t>
            </w:r>
          </w:p>
        </w:tc>
        <w:tc>
          <w:tcPr>
            <w:tcW w:w="540" w:type="dxa"/>
          </w:tcPr>
          <w:p w14:paraId="438F5A6C" w14:textId="195A259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53</w:t>
            </w:r>
          </w:p>
        </w:tc>
        <w:tc>
          <w:tcPr>
            <w:tcW w:w="540" w:type="dxa"/>
          </w:tcPr>
          <w:p w14:paraId="6D8CBE71" w14:textId="2C52818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66</w:t>
            </w:r>
          </w:p>
        </w:tc>
        <w:tc>
          <w:tcPr>
            <w:tcW w:w="540" w:type="dxa"/>
          </w:tcPr>
          <w:p w14:paraId="4B72F3C1" w14:textId="2AF417A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79</w:t>
            </w:r>
          </w:p>
        </w:tc>
        <w:tc>
          <w:tcPr>
            <w:tcW w:w="540" w:type="dxa"/>
          </w:tcPr>
          <w:p w14:paraId="13FE12F3" w14:textId="3712DC3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91</w:t>
            </w:r>
          </w:p>
        </w:tc>
        <w:tc>
          <w:tcPr>
            <w:tcW w:w="540" w:type="dxa"/>
          </w:tcPr>
          <w:p w14:paraId="1529B3F8" w14:textId="479B8AE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107</w:t>
            </w:r>
          </w:p>
        </w:tc>
        <w:tc>
          <w:tcPr>
            <w:tcW w:w="625" w:type="dxa"/>
          </w:tcPr>
          <w:p w14:paraId="7BE9F3B4" w14:textId="30608B8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119</w:t>
            </w:r>
          </w:p>
        </w:tc>
        <w:tc>
          <w:tcPr>
            <w:tcW w:w="545" w:type="dxa"/>
          </w:tcPr>
          <w:p w14:paraId="59372C96" w14:textId="575A8DF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135</w:t>
            </w:r>
          </w:p>
        </w:tc>
        <w:tc>
          <w:tcPr>
            <w:tcW w:w="540" w:type="dxa"/>
          </w:tcPr>
          <w:p w14:paraId="34B65B6C" w14:textId="1B6D13C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147</w:t>
            </w:r>
          </w:p>
        </w:tc>
        <w:tc>
          <w:tcPr>
            <w:tcW w:w="540" w:type="dxa"/>
          </w:tcPr>
          <w:p w14:paraId="52DE0B69" w14:textId="34E6974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163</w:t>
            </w:r>
          </w:p>
        </w:tc>
        <w:tc>
          <w:tcPr>
            <w:tcW w:w="540" w:type="dxa"/>
          </w:tcPr>
          <w:p w14:paraId="2B68986F" w14:textId="0424420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173</w:t>
            </w:r>
          </w:p>
        </w:tc>
      </w:tr>
      <w:tr w:rsidR="00127C1A" w:rsidRPr="00127C1A" w14:paraId="3BC80B3A" w14:textId="77777777" w:rsidTr="00D20B01">
        <w:trPr>
          <w:trHeight w:val="227"/>
          <w:jc w:val="center"/>
        </w:trPr>
        <w:tc>
          <w:tcPr>
            <w:tcW w:w="1800" w:type="dxa"/>
          </w:tcPr>
          <w:p w14:paraId="059A99B5" w14:textId="16B079C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203</w:t>
            </w:r>
          </w:p>
        </w:tc>
        <w:tc>
          <w:tcPr>
            <w:tcW w:w="540" w:type="dxa"/>
          </w:tcPr>
          <w:p w14:paraId="17076DDA" w14:textId="2A7DE66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33</w:t>
            </w:r>
          </w:p>
        </w:tc>
        <w:tc>
          <w:tcPr>
            <w:tcW w:w="540" w:type="dxa"/>
          </w:tcPr>
          <w:p w14:paraId="130E0769" w14:textId="03336DE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43</w:t>
            </w:r>
          </w:p>
        </w:tc>
        <w:tc>
          <w:tcPr>
            <w:tcW w:w="540" w:type="dxa"/>
          </w:tcPr>
          <w:p w14:paraId="1C3EF800" w14:textId="5E32095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58</w:t>
            </w:r>
          </w:p>
        </w:tc>
        <w:tc>
          <w:tcPr>
            <w:tcW w:w="540" w:type="dxa"/>
          </w:tcPr>
          <w:p w14:paraId="36BCDBF6" w14:textId="56145F2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71</w:t>
            </w:r>
          </w:p>
        </w:tc>
        <w:tc>
          <w:tcPr>
            <w:tcW w:w="540" w:type="dxa"/>
          </w:tcPr>
          <w:p w14:paraId="064F3C8B" w14:textId="5429FF9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84</w:t>
            </w:r>
          </w:p>
        </w:tc>
        <w:tc>
          <w:tcPr>
            <w:tcW w:w="540" w:type="dxa"/>
          </w:tcPr>
          <w:p w14:paraId="28D2619C" w14:textId="7D4F9A1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99</w:t>
            </w:r>
          </w:p>
        </w:tc>
        <w:tc>
          <w:tcPr>
            <w:tcW w:w="540" w:type="dxa"/>
          </w:tcPr>
          <w:p w14:paraId="29F77198" w14:textId="5BC9D37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114</w:t>
            </w:r>
          </w:p>
        </w:tc>
        <w:tc>
          <w:tcPr>
            <w:tcW w:w="540" w:type="dxa"/>
          </w:tcPr>
          <w:p w14:paraId="14CD987B" w14:textId="1ECF7B4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127</w:t>
            </w:r>
          </w:p>
        </w:tc>
        <w:tc>
          <w:tcPr>
            <w:tcW w:w="625" w:type="dxa"/>
          </w:tcPr>
          <w:p w14:paraId="2E5F6C5E" w14:textId="0FA4FA8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142</w:t>
            </w:r>
          </w:p>
        </w:tc>
        <w:tc>
          <w:tcPr>
            <w:tcW w:w="545" w:type="dxa"/>
          </w:tcPr>
          <w:p w14:paraId="1DCD2925" w14:textId="148B8F2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157</w:t>
            </w:r>
          </w:p>
        </w:tc>
        <w:tc>
          <w:tcPr>
            <w:tcW w:w="540" w:type="dxa"/>
          </w:tcPr>
          <w:p w14:paraId="62B01F7F" w14:textId="103C687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173</w:t>
            </w:r>
          </w:p>
        </w:tc>
        <w:tc>
          <w:tcPr>
            <w:tcW w:w="540" w:type="dxa"/>
          </w:tcPr>
          <w:p w14:paraId="19B527AD" w14:textId="14E63D4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188</w:t>
            </w:r>
          </w:p>
        </w:tc>
        <w:tc>
          <w:tcPr>
            <w:tcW w:w="540" w:type="dxa"/>
          </w:tcPr>
          <w:p w14:paraId="55BFD7D6" w14:textId="7B183BB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198</w:t>
            </w:r>
          </w:p>
        </w:tc>
      </w:tr>
      <w:tr w:rsidR="00127C1A" w:rsidRPr="00127C1A" w14:paraId="6B92589D" w14:textId="77777777" w:rsidTr="00D20B01">
        <w:trPr>
          <w:trHeight w:val="227"/>
          <w:jc w:val="center"/>
        </w:trPr>
        <w:tc>
          <w:tcPr>
            <w:tcW w:w="1800" w:type="dxa"/>
          </w:tcPr>
          <w:p w14:paraId="04638BC9" w14:textId="328BE9F8"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229</w:t>
            </w:r>
          </w:p>
        </w:tc>
        <w:tc>
          <w:tcPr>
            <w:tcW w:w="540" w:type="dxa"/>
          </w:tcPr>
          <w:p w14:paraId="79F65E14" w14:textId="3A05F1F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43</w:t>
            </w:r>
          </w:p>
        </w:tc>
        <w:tc>
          <w:tcPr>
            <w:tcW w:w="540" w:type="dxa"/>
          </w:tcPr>
          <w:p w14:paraId="7B843114" w14:textId="52E5148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58</w:t>
            </w:r>
          </w:p>
        </w:tc>
        <w:tc>
          <w:tcPr>
            <w:tcW w:w="540" w:type="dxa"/>
          </w:tcPr>
          <w:p w14:paraId="195BCA5F" w14:textId="63CDB5B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74</w:t>
            </w:r>
          </w:p>
        </w:tc>
        <w:tc>
          <w:tcPr>
            <w:tcW w:w="540" w:type="dxa"/>
          </w:tcPr>
          <w:p w14:paraId="716F6CF5" w14:textId="18C99C7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89</w:t>
            </w:r>
          </w:p>
        </w:tc>
        <w:tc>
          <w:tcPr>
            <w:tcW w:w="540" w:type="dxa"/>
          </w:tcPr>
          <w:p w14:paraId="5AB3FA06" w14:textId="3F2665C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104</w:t>
            </w:r>
          </w:p>
        </w:tc>
        <w:tc>
          <w:tcPr>
            <w:tcW w:w="540" w:type="dxa"/>
          </w:tcPr>
          <w:p w14:paraId="458B9E4F" w14:textId="3AF01E7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119</w:t>
            </w:r>
          </w:p>
        </w:tc>
        <w:tc>
          <w:tcPr>
            <w:tcW w:w="540" w:type="dxa"/>
          </w:tcPr>
          <w:p w14:paraId="18450648" w14:textId="19F2978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135</w:t>
            </w:r>
          </w:p>
        </w:tc>
        <w:tc>
          <w:tcPr>
            <w:tcW w:w="540" w:type="dxa"/>
          </w:tcPr>
          <w:p w14:paraId="2B0EB9DF" w14:textId="72B3A8D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152</w:t>
            </w:r>
          </w:p>
        </w:tc>
        <w:tc>
          <w:tcPr>
            <w:tcW w:w="625" w:type="dxa"/>
          </w:tcPr>
          <w:p w14:paraId="6EFD5EF3" w14:textId="237536B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168</w:t>
            </w:r>
          </w:p>
        </w:tc>
        <w:tc>
          <w:tcPr>
            <w:tcW w:w="545" w:type="dxa"/>
          </w:tcPr>
          <w:p w14:paraId="0930804C" w14:textId="3DB0B72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183</w:t>
            </w:r>
          </w:p>
        </w:tc>
        <w:tc>
          <w:tcPr>
            <w:tcW w:w="540" w:type="dxa"/>
          </w:tcPr>
          <w:p w14:paraId="24B6AC5E" w14:textId="7B5F6F4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198</w:t>
            </w:r>
          </w:p>
        </w:tc>
        <w:tc>
          <w:tcPr>
            <w:tcW w:w="540" w:type="dxa"/>
          </w:tcPr>
          <w:p w14:paraId="0EFF53F0" w14:textId="6DC416B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213</w:t>
            </w:r>
          </w:p>
        </w:tc>
        <w:tc>
          <w:tcPr>
            <w:tcW w:w="540" w:type="dxa"/>
          </w:tcPr>
          <w:p w14:paraId="7443E418" w14:textId="6FAE464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224</w:t>
            </w:r>
          </w:p>
        </w:tc>
      </w:tr>
      <w:tr w:rsidR="00127C1A" w:rsidRPr="00127C1A" w14:paraId="62CDA9B4" w14:textId="77777777" w:rsidTr="00D20B01">
        <w:trPr>
          <w:trHeight w:val="227"/>
          <w:jc w:val="center"/>
        </w:trPr>
        <w:tc>
          <w:tcPr>
            <w:tcW w:w="1800" w:type="dxa"/>
          </w:tcPr>
          <w:p w14:paraId="685E6E74" w14:textId="6003A7A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254</w:t>
            </w:r>
          </w:p>
        </w:tc>
        <w:tc>
          <w:tcPr>
            <w:tcW w:w="540" w:type="dxa"/>
          </w:tcPr>
          <w:p w14:paraId="09C035E1" w14:textId="6B48366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56</w:t>
            </w:r>
          </w:p>
        </w:tc>
        <w:tc>
          <w:tcPr>
            <w:tcW w:w="540" w:type="dxa"/>
          </w:tcPr>
          <w:p w14:paraId="2DDFB522" w14:textId="691A631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74</w:t>
            </w:r>
          </w:p>
        </w:tc>
        <w:tc>
          <w:tcPr>
            <w:tcW w:w="540" w:type="dxa"/>
          </w:tcPr>
          <w:p w14:paraId="7A349C42" w14:textId="4511BCD8"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91</w:t>
            </w:r>
          </w:p>
        </w:tc>
        <w:tc>
          <w:tcPr>
            <w:tcW w:w="540" w:type="dxa"/>
          </w:tcPr>
          <w:p w14:paraId="4F5B980C" w14:textId="49ADE3E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107</w:t>
            </w:r>
          </w:p>
        </w:tc>
        <w:tc>
          <w:tcPr>
            <w:tcW w:w="540" w:type="dxa"/>
          </w:tcPr>
          <w:p w14:paraId="07E4D8CF" w14:textId="449FBF7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124</w:t>
            </w:r>
          </w:p>
        </w:tc>
        <w:tc>
          <w:tcPr>
            <w:tcW w:w="540" w:type="dxa"/>
          </w:tcPr>
          <w:p w14:paraId="715E2582" w14:textId="573FDB7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142</w:t>
            </w:r>
          </w:p>
        </w:tc>
        <w:tc>
          <w:tcPr>
            <w:tcW w:w="540" w:type="dxa"/>
          </w:tcPr>
          <w:p w14:paraId="43D1E1CA" w14:textId="04E0135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157</w:t>
            </w:r>
          </w:p>
        </w:tc>
        <w:tc>
          <w:tcPr>
            <w:tcW w:w="540" w:type="dxa"/>
          </w:tcPr>
          <w:p w14:paraId="65CFDC12" w14:textId="4D46CD1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175</w:t>
            </w:r>
          </w:p>
        </w:tc>
        <w:tc>
          <w:tcPr>
            <w:tcW w:w="625" w:type="dxa"/>
          </w:tcPr>
          <w:p w14:paraId="723A88A3" w14:textId="52FB28B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191</w:t>
            </w:r>
          </w:p>
        </w:tc>
        <w:tc>
          <w:tcPr>
            <w:tcW w:w="545" w:type="dxa"/>
          </w:tcPr>
          <w:p w14:paraId="4A98B6D9" w14:textId="78A3A86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208</w:t>
            </w:r>
          </w:p>
        </w:tc>
        <w:tc>
          <w:tcPr>
            <w:tcW w:w="540" w:type="dxa"/>
          </w:tcPr>
          <w:p w14:paraId="5FAB7062" w14:textId="065BF51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224</w:t>
            </w:r>
          </w:p>
        </w:tc>
        <w:tc>
          <w:tcPr>
            <w:tcW w:w="540" w:type="dxa"/>
          </w:tcPr>
          <w:p w14:paraId="4F03395D" w14:textId="202756C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239</w:t>
            </w:r>
          </w:p>
        </w:tc>
        <w:tc>
          <w:tcPr>
            <w:tcW w:w="540" w:type="dxa"/>
          </w:tcPr>
          <w:p w14:paraId="49BC95DA" w14:textId="5B8DAB3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249</w:t>
            </w:r>
          </w:p>
        </w:tc>
      </w:tr>
      <w:tr w:rsidR="00127C1A" w:rsidRPr="00127C1A" w14:paraId="7CBE26A6" w14:textId="77777777" w:rsidTr="00D20B01">
        <w:trPr>
          <w:trHeight w:val="227"/>
          <w:jc w:val="center"/>
        </w:trPr>
        <w:tc>
          <w:tcPr>
            <w:tcW w:w="1800" w:type="dxa"/>
          </w:tcPr>
          <w:p w14:paraId="06F4529C" w14:textId="44E1F30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279</w:t>
            </w:r>
          </w:p>
        </w:tc>
        <w:tc>
          <w:tcPr>
            <w:tcW w:w="540" w:type="dxa"/>
          </w:tcPr>
          <w:p w14:paraId="6611D395" w14:textId="4717489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71</w:t>
            </w:r>
          </w:p>
        </w:tc>
        <w:tc>
          <w:tcPr>
            <w:tcW w:w="540" w:type="dxa"/>
          </w:tcPr>
          <w:p w14:paraId="54EEDBB6" w14:textId="4D97397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89</w:t>
            </w:r>
          </w:p>
        </w:tc>
        <w:tc>
          <w:tcPr>
            <w:tcW w:w="540" w:type="dxa"/>
          </w:tcPr>
          <w:p w14:paraId="6A6FB420" w14:textId="381D68D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109</w:t>
            </w:r>
          </w:p>
        </w:tc>
        <w:tc>
          <w:tcPr>
            <w:tcW w:w="540" w:type="dxa"/>
          </w:tcPr>
          <w:p w14:paraId="5A5E15C0" w14:textId="32BF9DB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127</w:t>
            </w:r>
          </w:p>
        </w:tc>
        <w:tc>
          <w:tcPr>
            <w:tcW w:w="540" w:type="dxa"/>
          </w:tcPr>
          <w:p w14:paraId="667556B1" w14:textId="7471821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145</w:t>
            </w:r>
          </w:p>
        </w:tc>
        <w:tc>
          <w:tcPr>
            <w:tcW w:w="540" w:type="dxa"/>
          </w:tcPr>
          <w:p w14:paraId="3E8BAC60" w14:textId="7577566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163</w:t>
            </w:r>
          </w:p>
        </w:tc>
        <w:tc>
          <w:tcPr>
            <w:tcW w:w="540" w:type="dxa"/>
          </w:tcPr>
          <w:p w14:paraId="0F60C42E" w14:textId="5658B87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180</w:t>
            </w:r>
          </w:p>
        </w:tc>
        <w:tc>
          <w:tcPr>
            <w:tcW w:w="540" w:type="dxa"/>
          </w:tcPr>
          <w:p w14:paraId="0E52E25E" w14:textId="7D21358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198</w:t>
            </w:r>
          </w:p>
        </w:tc>
        <w:tc>
          <w:tcPr>
            <w:tcW w:w="625" w:type="dxa"/>
          </w:tcPr>
          <w:p w14:paraId="1CC2F8D5" w14:textId="585FE18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216</w:t>
            </w:r>
          </w:p>
        </w:tc>
        <w:tc>
          <w:tcPr>
            <w:tcW w:w="545" w:type="dxa"/>
          </w:tcPr>
          <w:p w14:paraId="7ED0BE32" w14:textId="6ED9AB5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231</w:t>
            </w:r>
          </w:p>
        </w:tc>
        <w:tc>
          <w:tcPr>
            <w:tcW w:w="540" w:type="dxa"/>
          </w:tcPr>
          <w:p w14:paraId="291D748F" w14:textId="4A16928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249</w:t>
            </w:r>
          </w:p>
        </w:tc>
        <w:tc>
          <w:tcPr>
            <w:tcW w:w="540" w:type="dxa"/>
          </w:tcPr>
          <w:p w14:paraId="6A0D571B" w14:textId="3DF97B6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264</w:t>
            </w:r>
          </w:p>
        </w:tc>
        <w:tc>
          <w:tcPr>
            <w:tcW w:w="540" w:type="dxa"/>
          </w:tcPr>
          <w:p w14:paraId="1CD399C0" w14:textId="274202F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274</w:t>
            </w:r>
          </w:p>
        </w:tc>
      </w:tr>
      <w:tr w:rsidR="00127C1A" w:rsidRPr="00127C1A" w14:paraId="34922D4C" w14:textId="77777777" w:rsidTr="00D20B01">
        <w:trPr>
          <w:trHeight w:val="227"/>
          <w:jc w:val="center"/>
        </w:trPr>
        <w:tc>
          <w:tcPr>
            <w:tcW w:w="1800" w:type="dxa"/>
          </w:tcPr>
          <w:p w14:paraId="25DDAE95" w14:textId="49D7DDC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305</w:t>
            </w:r>
          </w:p>
        </w:tc>
        <w:tc>
          <w:tcPr>
            <w:tcW w:w="540" w:type="dxa"/>
          </w:tcPr>
          <w:p w14:paraId="447F62C5" w14:textId="1B558C0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86</w:t>
            </w:r>
          </w:p>
        </w:tc>
        <w:tc>
          <w:tcPr>
            <w:tcW w:w="540" w:type="dxa"/>
          </w:tcPr>
          <w:p w14:paraId="65FCF4D5" w14:textId="76F7309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107</w:t>
            </w:r>
          </w:p>
        </w:tc>
        <w:tc>
          <w:tcPr>
            <w:tcW w:w="540" w:type="dxa"/>
          </w:tcPr>
          <w:p w14:paraId="34498458" w14:textId="1F53329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127</w:t>
            </w:r>
          </w:p>
        </w:tc>
        <w:tc>
          <w:tcPr>
            <w:tcW w:w="540" w:type="dxa"/>
          </w:tcPr>
          <w:p w14:paraId="0366EC34" w14:textId="72E6236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147</w:t>
            </w:r>
          </w:p>
        </w:tc>
        <w:tc>
          <w:tcPr>
            <w:tcW w:w="540" w:type="dxa"/>
          </w:tcPr>
          <w:p w14:paraId="1E803E44" w14:textId="764274E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168</w:t>
            </w:r>
          </w:p>
        </w:tc>
        <w:tc>
          <w:tcPr>
            <w:tcW w:w="540" w:type="dxa"/>
          </w:tcPr>
          <w:p w14:paraId="38E17319" w14:textId="7A45885B"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185</w:t>
            </w:r>
          </w:p>
        </w:tc>
        <w:tc>
          <w:tcPr>
            <w:tcW w:w="540" w:type="dxa"/>
          </w:tcPr>
          <w:p w14:paraId="3C0948FE" w14:textId="35C21D6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206</w:t>
            </w:r>
          </w:p>
        </w:tc>
        <w:tc>
          <w:tcPr>
            <w:tcW w:w="540" w:type="dxa"/>
          </w:tcPr>
          <w:p w14:paraId="4B4219FB" w14:textId="60DC922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224</w:t>
            </w:r>
          </w:p>
        </w:tc>
        <w:tc>
          <w:tcPr>
            <w:tcW w:w="625" w:type="dxa"/>
          </w:tcPr>
          <w:p w14:paraId="41EB86A1" w14:textId="063198F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241</w:t>
            </w:r>
          </w:p>
        </w:tc>
        <w:tc>
          <w:tcPr>
            <w:tcW w:w="545" w:type="dxa"/>
          </w:tcPr>
          <w:p w14:paraId="03989D2B" w14:textId="37C2AEA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257</w:t>
            </w:r>
          </w:p>
        </w:tc>
        <w:tc>
          <w:tcPr>
            <w:tcW w:w="540" w:type="dxa"/>
          </w:tcPr>
          <w:p w14:paraId="10D22376" w14:textId="5E1C648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274</w:t>
            </w:r>
          </w:p>
        </w:tc>
        <w:tc>
          <w:tcPr>
            <w:tcW w:w="540" w:type="dxa"/>
          </w:tcPr>
          <w:p w14:paraId="68A7191E" w14:textId="64440B4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290</w:t>
            </w:r>
          </w:p>
        </w:tc>
        <w:tc>
          <w:tcPr>
            <w:tcW w:w="540" w:type="dxa"/>
          </w:tcPr>
          <w:p w14:paraId="6D7B7707" w14:textId="757CDD8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300</w:t>
            </w:r>
          </w:p>
        </w:tc>
      </w:tr>
      <w:tr w:rsidR="00127C1A" w:rsidRPr="00127C1A" w14:paraId="6494ED6E" w14:textId="77777777" w:rsidTr="00D20B01">
        <w:trPr>
          <w:trHeight w:val="227"/>
          <w:jc w:val="center"/>
        </w:trPr>
        <w:tc>
          <w:tcPr>
            <w:tcW w:w="1800" w:type="dxa"/>
          </w:tcPr>
          <w:p w14:paraId="66E089DC" w14:textId="1345A7D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330</w:t>
            </w:r>
          </w:p>
        </w:tc>
        <w:tc>
          <w:tcPr>
            <w:tcW w:w="540" w:type="dxa"/>
          </w:tcPr>
          <w:p w14:paraId="4F15A12D" w14:textId="6AE4E3A5"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102</w:t>
            </w:r>
          </w:p>
        </w:tc>
        <w:tc>
          <w:tcPr>
            <w:tcW w:w="540" w:type="dxa"/>
          </w:tcPr>
          <w:p w14:paraId="0BD5168A" w14:textId="54B38C9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124</w:t>
            </w:r>
          </w:p>
        </w:tc>
        <w:tc>
          <w:tcPr>
            <w:tcW w:w="540" w:type="dxa"/>
          </w:tcPr>
          <w:p w14:paraId="08CE61C9" w14:textId="3D032D4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147</w:t>
            </w:r>
          </w:p>
        </w:tc>
        <w:tc>
          <w:tcPr>
            <w:tcW w:w="540" w:type="dxa"/>
          </w:tcPr>
          <w:p w14:paraId="708A1197" w14:textId="424BF28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168</w:t>
            </w:r>
          </w:p>
        </w:tc>
        <w:tc>
          <w:tcPr>
            <w:tcW w:w="540" w:type="dxa"/>
          </w:tcPr>
          <w:p w14:paraId="7BD1C92F" w14:textId="793FB30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188</w:t>
            </w:r>
          </w:p>
        </w:tc>
        <w:tc>
          <w:tcPr>
            <w:tcW w:w="540" w:type="dxa"/>
          </w:tcPr>
          <w:p w14:paraId="3A200FAE" w14:textId="67BE9B0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208</w:t>
            </w:r>
          </w:p>
        </w:tc>
        <w:tc>
          <w:tcPr>
            <w:tcW w:w="540" w:type="dxa"/>
          </w:tcPr>
          <w:p w14:paraId="7B064692" w14:textId="50127167"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229</w:t>
            </w:r>
          </w:p>
        </w:tc>
        <w:tc>
          <w:tcPr>
            <w:tcW w:w="540" w:type="dxa"/>
          </w:tcPr>
          <w:p w14:paraId="3ACE505E" w14:textId="754E2EC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246</w:t>
            </w:r>
          </w:p>
        </w:tc>
        <w:tc>
          <w:tcPr>
            <w:tcW w:w="625" w:type="dxa"/>
          </w:tcPr>
          <w:p w14:paraId="17EDED68" w14:textId="06D9A4A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264</w:t>
            </w:r>
          </w:p>
        </w:tc>
        <w:tc>
          <w:tcPr>
            <w:tcW w:w="545" w:type="dxa"/>
          </w:tcPr>
          <w:p w14:paraId="1DB97EA8" w14:textId="573C7E8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282</w:t>
            </w:r>
          </w:p>
        </w:tc>
        <w:tc>
          <w:tcPr>
            <w:tcW w:w="540" w:type="dxa"/>
          </w:tcPr>
          <w:p w14:paraId="703CBEA2" w14:textId="14493C2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300</w:t>
            </w:r>
          </w:p>
        </w:tc>
        <w:tc>
          <w:tcPr>
            <w:tcW w:w="540" w:type="dxa"/>
          </w:tcPr>
          <w:p w14:paraId="656A3141" w14:textId="226DB37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315</w:t>
            </w:r>
          </w:p>
        </w:tc>
        <w:tc>
          <w:tcPr>
            <w:tcW w:w="540" w:type="dxa"/>
          </w:tcPr>
          <w:p w14:paraId="35F073BD" w14:textId="1FDA8A96"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325</w:t>
            </w:r>
          </w:p>
        </w:tc>
      </w:tr>
      <w:tr w:rsidR="00127C1A" w:rsidRPr="00127C1A" w14:paraId="4A0034D7" w14:textId="77777777" w:rsidTr="00D20B01">
        <w:trPr>
          <w:trHeight w:val="227"/>
          <w:jc w:val="center"/>
        </w:trPr>
        <w:tc>
          <w:tcPr>
            <w:tcW w:w="1800" w:type="dxa"/>
          </w:tcPr>
          <w:p w14:paraId="406571A6" w14:textId="03B4A584"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356</w:t>
            </w:r>
          </w:p>
        </w:tc>
        <w:tc>
          <w:tcPr>
            <w:tcW w:w="540" w:type="dxa"/>
          </w:tcPr>
          <w:p w14:paraId="0EC5BB3C" w14:textId="28377C2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119</w:t>
            </w:r>
          </w:p>
        </w:tc>
        <w:tc>
          <w:tcPr>
            <w:tcW w:w="540" w:type="dxa"/>
          </w:tcPr>
          <w:p w14:paraId="52AC9CAD" w14:textId="1F247CC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142</w:t>
            </w:r>
          </w:p>
        </w:tc>
        <w:tc>
          <w:tcPr>
            <w:tcW w:w="540" w:type="dxa"/>
          </w:tcPr>
          <w:p w14:paraId="4303754F" w14:textId="126E9F18"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168</w:t>
            </w:r>
          </w:p>
        </w:tc>
        <w:tc>
          <w:tcPr>
            <w:tcW w:w="540" w:type="dxa"/>
          </w:tcPr>
          <w:p w14:paraId="76B83714" w14:textId="210FBCA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188</w:t>
            </w:r>
          </w:p>
        </w:tc>
        <w:tc>
          <w:tcPr>
            <w:tcW w:w="540" w:type="dxa"/>
          </w:tcPr>
          <w:p w14:paraId="1426033D" w14:textId="4AD3A14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211</w:t>
            </w:r>
          </w:p>
        </w:tc>
        <w:tc>
          <w:tcPr>
            <w:tcW w:w="540" w:type="dxa"/>
          </w:tcPr>
          <w:p w14:paraId="1156F023" w14:textId="3B8D49C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231</w:t>
            </w:r>
          </w:p>
        </w:tc>
        <w:tc>
          <w:tcPr>
            <w:tcW w:w="540" w:type="dxa"/>
          </w:tcPr>
          <w:p w14:paraId="4F47324D" w14:textId="7C7446D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251</w:t>
            </w:r>
          </w:p>
        </w:tc>
        <w:tc>
          <w:tcPr>
            <w:tcW w:w="540" w:type="dxa"/>
          </w:tcPr>
          <w:p w14:paraId="796187AA" w14:textId="5179C6F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272</w:t>
            </w:r>
          </w:p>
        </w:tc>
        <w:tc>
          <w:tcPr>
            <w:tcW w:w="625" w:type="dxa"/>
          </w:tcPr>
          <w:p w14:paraId="2D9E80D7" w14:textId="19C244B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290</w:t>
            </w:r>
          </w:p>
        </w:tc>
        <w:tc>
          <w:tcPr>
            <w:tcW w:w="545" w:type="dxa"/>
          </w:tcPr>
          <w:p w14:paraId="34C18A27" w14:textId="3A45FF9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307</w:t>
            </w:r>
          </w:p>
        </w:tc>
        <w:tc>
          <w:tcPr>
            <w:tcW w:w="540" w:type="dxa"/>
          </w:tcPr>
          <w:p w14:paraId="7FDDD008" w14:textId="54D89F41"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325</w:t>
            </w:r>
          </w:p>
        </w:tc>
        <w:tc>
          <w:tcPr>
            <w:tcW w:w="540" w:type="dxa"/>
          </w:tcPr>
          <w:p w14:paraId="7B82C940" w14:textId="78B94B5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340</w:t>
            </w:r>
          </w:p>
        </w:tc>
        <w:tc>
          <w:tcPr>
            <w:tcW w:w="540" w:type="dxa"/>
          </w:tcPr>
          <w:p w14:paraId="636F9050" w14:textId="078E274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351</w:t>
            </w:r>
          </w:p>
        </w:tc>
      </w:tr>
      <w:tr w:rsidR="00127C1A" w:rsidRPr="00127C1A" w14:paraId="458C5B74" w14:textId="77777777" w:rsidTr="00D20B01">
        <w:trPr>
          <w:trHeight w:val="227"/>
          <w:jc w:val="center"/>
        </w:trPr>
        <w:tc>
          <w:tcPr>
            <w:tcW w:w="1800" w:type="dxa"/>
          </w:tcPr>
          <w:p w14:paraId="04F7E58A" w14:textId="0611591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381</w:t>
            </w:r>
          </w:p>
        </w:tc>
        <w:tc>
          <w:tcPr>
            <w:tcW w:w="540" w:type="dxa"/>
          </w:tcPr>
          <w:p w14:paraId="352D92E9" w14:textId="37DD17E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135</w:t>
            </w:r>
          </w:p>
        </w:tc>
        <w:tc>
          <w:tcPr>
            <w:tcW w:w="540" w:type="dxa"/>
          </w:tcPr>
          <w:p w14:paraId="3069BBD4" w14:textId="52126A7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163</w:t>
            </w:r>
          </w:p>
        </w:tc>
        <w:tc>
          <w:tcPr>
            <w:tcW w:w="540" w:type="dxa"/>
          </w:tcPr>
          <w:p w14:paraId="63577CEB" w14:textId="4DC7D7CE"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188</w:t>
            </w:r>
          </w:p>
        </w:tc>
        <w:tc>
          <w:tcPr>
            <w:tcW w:w="540" w:type="dxa"/>
          </w:tcPr>
          <w:p w14:paraId="2E603976" w14:textId="7D09995C"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211</w:t>
            </w:r>
          </w:p>
        </w:tc>
        <w:tc>
          <w:tcPr>
            <w:tcW w:w="540" w:type="dxa"/>
          </w:tcPr>
          <w:p w14:paraId="3C892189" w14:textId="5692F91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234</w:t>
            </w:r>
          </w:p>
        </w:tc>
        <w:tc>
          <w:tcPr>
            <w:tcW w:w="540" w:type="dxa"/>
          </w:tcPr>
          <w:p w14:paraId="73D84B0D" w14:textId="4114D322"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254</w:t>
            </w:r>
          </w:p>
        </w:tc>
        <w:tc>
          <w:tcPr>
            <w:tcW w:w="540" w:type="dxa"/>
          </w:tcPr>
          <w:p w14:paraId="4BC41A19" w14:textId="7EC893F0"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277</w:t>
            </w:r>
          </w:p>
        </w:tc>
        <w:tc>
          <w:tcPr>
            <w:tcW w:w="540" w:type="dxa"/>
          </w:tcPr>
          <w:p w14:paraId="3D2A0BF8" w14:textId="0C897FF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295</w:t>
            </w:r>
          </w:p>
        </w:tc>
        <w:tc>
          <w:tcPr>
            <w:tcW w:w="625" w:type="dxa"/>
          </w:tcPr>
          <w:p w14:paraId="111A0F99" w14:textId="0A95AAAA"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315</w:t>
            </w:r>
          </w:p>
        </w:tc>
        <w:tc>
          <w:tcPr>
            <w:tcW w:w="545" w:type="dxa"/>
          </w:tcPr>
          <w:p w14:paraId="2FD526A4" w14:textId="4689E3C3"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333</w:t>
            </w:r>
          </w:p>
        </w:tc>
        <w:tc>
          <w:tcPr>
            <w:tcW w:w="540" w:type="dxa"/>
          </w:tcPr>
          <w:p w14:paraId="1F38350D" w14:textId="4451A5BF"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348</w:t>
            </w:r>
          </w:p>
        </w:tc>
        <w:tc>
          <w:tcPr>
            <w:tcW w:w="540" w:type="dxa"/>
          </w:tcPr>
          <w:p w14:paraId="4A57F489" w14:textId="2472E27D"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366</w:t>
            </w:r>
          </w:p>
        </w:tc>
        <w:tc>
          <w:tcPr>
            <w:tcW w:w="540" w:type="dxa"/>
          </w:tcPr>
          <w:p w14:paraId="2B4D0A2E" w14:textId="30FA9019" w:rsidR="00127C1A" w:rsidRPr="00127C1A" w:rsidRDefault="00127C1A" w:rsidP="00127C1A">
            <w:pPr>
              <w:spacing w:line="240" w:lineRule="auto"/>
              <w:ind w:firstLine="0"/>
              <w:jc w:val="center"/>
              <w:rPr>
                <w:rFonts w:cs="Times New Roman"/>
                <w:sz w:val="20"/>
                <w:szCs w:val="20"/>
                <w:lang w:val="en-US"/>
              </w:rPr>
            </w:pPr>
            <w:r w:rsidRPr="00127C1A">
              <w:rPr>
                <w:rFonts w:cs="Times New Roman"/>
                <w:sz w:val="20"/>
                <w:szCs w:val="20"/>
              </w:rPr>
              <w:t>376</w:t>
            </w:r>
          </w:p>
        </w:tc>
      </w:tr>
    </w:tbl>
    <w:p w14:paraId="13D35405" w14:textId="6D165E0F" w:rsidR="00051297" w:rsidRPr="00051297" w:rsidRDefault="00051297" w:rsidP="00F97DFC">
      <w:pPr>
        <w:pStyle w:val="4"/>
      </w:pPr>
      <w:bookmarkStart w:id="114" w:name="_bookmark42"/>
      <w:bookmarkStart w:id="115" w:name="_Toc97504724"/>
      <w:bookmarkStart w:id="116" w:name="_Toc103543857"/>
      <w:bookmarkStart w:id="117" w:name="_Toc104985181"/>
      <w:bookmarkEnd w:id="114"/>
      <w:r w:rsidRPr="00051297">
        <w:lastRenderedPageBreak/>
        <w:t>Design Storm Data</w:t>
      </w:r>
      <w:bookmarkEnd w:id="115"/>
      <w:bookmarkEnd w:id="116"/>
      <w:bookmarkEnd w:id="117"/>
    </w:p>
    <w:p w14:paraId="2D4AF891" w14:textId="08A788DE" w:rsidR="00051297" w:rsidRPr="00051297" w:rsidRDefault="00051297" w:rsidP="00051297">
      <w:pPr>
        <w:rPr>
          <w:rFonts w:cs="Times New Roman"/>
          <w:szCs w:val="24"/>
          <w:lang w:val="en-US"/>
        </w:rPr>
      </w:pPr>
      <w:r w:rsidRPr="00051297">
        <w:rPr>
          <w:rFonts w:cs="Times New Roman"/>
          <w:szCs w:val="24"/>
          <w:lang w:val="en-US"/>
        </w:rPr>
        <w:t xml:space="preserve">For various design storm recurrence intervals, the SCS approach is based on 24-hour rainfall levels (e.g., 1-year, 10-year, or 100-year storm events) </w:t>
      </w:r>
      <w:r w:rsidRPr="00051297">
        <w:rPr>
          <w:rFonts w:cs="Times New Roman"/>
          <w:szCs w:val="24"/>
        </w:rPr>
        <w:fldChar w:fldCharType="begin" w:fldLock="1"/>
      </w:r>
      <w:r w:rsidR="00FA5896">
        <w:rPr>
          <w:rFonts w:cs="Times New Roman"/>
          <w:szCs w:val="24"/>
          <w:lang w:val="en-US"/>
        </w:rPr>
        <w:instrText>ADDIN CSL_CITATION {"citationItems":[{"id":"ITEM-1","itemData":{"DOI":"10.51983/ajeat-2018.7.1.872","ISSN":"2249-068X","abstract":"Urban floods are caused due to increase in population density, development of urban infrastructure without paying due consideration to drainage aspects and increase in paved surfaces. Storm water modelling plays an important role in checking issues such as flash floods and urban water-quality problems. The SWMM (Storm Water Management Model) has been an effective tool for simulating floods in urban areas. In this study a SWMM model is developed to analyze drainage network for the campus of National Institute of Technology, Warangal in the city of Warangal, Telangana, India. The model is simulated for one real storm event and 2-year return period of interval 1-hour design storm intensity. Frequency analysis is performed using best fitted distribution i.e., Gumbel’s distribution for different return periods and the frequency values are used for development of IDF (intensity-duration-frequency) curves. Design storm intensity derived from IDF curves for different return periods is used to estimate peak runoff from each sub catchment which is used as input parameter in simulation of runoff in SWMM. GIS methodology is employed for handling spatial data simultaneously. From results, it is observed that some part of campus are commonly affected with flooding, when analysis is performed for two design storms and one day continuous rainfall/precipitation values.","author":[{"dropping-particle":"","family":"Rangari","given":"Vinay Ashok","non-dropping-particle":"","parse-names":false,"suffix":""},{"dropping-particle":"","family":"Sai Prashanth","given":"Sriramoju","non-dropping-particle":"","parse-names":false,"suffix":""}],"container-title":"Asian Journal of Engineering and Applied Technology","id":"ITEM-1","issue":"1","issued":{"date-parts":[["2018","3"]]},"page":"7-10","title":"Simulation of Urban Drainage System Using a Storm Water Management Model (SWMM)","type":"article-journal","volume":"7"},"uris":["http://www.mendeley.com/documents/?uuid=e9262366-09d2-4661-a54c-db0758e1d31f","http://www.mendeley.com/documents/?uuid=40ea46d6-2962-4551-97fc-a4d2969b45e7","http://www.mendeley.com/documents/?uuid=1979292a-f4b7-4be3-9dfb-7be9b2372adb"]}],"mendeley":{"formattedCitation":"[93]","plainTextFormattedCitation":"[93]","previouslyFormattedCitation":"[93]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[93]</w:t>
      </w:r>
      <w:r w:rsidRPr="00051297">
        <w:rPr>
          <w:rFonts w:cs="Times New Roman"/>
          <w:szCs w:val="24"/>
        </w:rPr>
        <w:fldChar w:fldCharType="end"/>
      </w:r>
      <w:r w:rsidRPr="00051297">
        <w:rPr>
          <w:rFonts w:cs="Times New Roman"/>
          <w:szCs w:val="24"/>
          <w:lang w:val="en-US"/>
        </w:rPr>
        <w:t>.</w:t>
      </w:r>
      <w:bookmarkStart w:id="118" w:name="_bookmark43"/>
      <w:bookmarkStart w:id="119" w:name="_bookmark44"/>
      <w:bookmarkEnd w:id="118"/>
      <w:bookmarkEnd w:id="119"/>
    </w:p>
    <w:p w14:paraId="302EA7B8" w14:textId="5B50238F" w:rsidR="00051297" w:rsidRPr="00051297" w:rsidRDefault="00051297" w:rsidP="00F97DFC">
      <w:pPr>
        <w:pStyle w:val="4"/>
        <w:rPr>
          <w:lang w:val="en-US"/>
        </w:rPr>
      </w:pPr>
      <w:bookmarkStart w:id="120" w:name="_Toc97504725"/>
      <w:bookmarkStart w:id="121" w:name="_Toc103543858"/>
      <w:bookmarkStart w:id="122" w:name="_Toc104985182"/>
      <w:r w:rsidRPr="00051297">
        <w:rPr>
          <w:lang w:val="en-US"/>
        </w:rPr>
        <w:t>Determination of Runoff Curve Number (CN)</w:t>
      </w:r>
      <w:bookmarkEnd w:id="120"/>
      <w:bookmarkEnd w:id="121"/>
      <w:bookmarkEnd w:id="122"/>
    </w:p>
    <w:p w14:paraId="08E51DE8" w14:textId="30BFBFAA" w:rsidR="00051297" w:rsidRPr="00051297" w:rsidRDefault="00051297" w:rsidP="00051297">
      <w:pPr>
        <w:rPr>
          <w:rFonts w:cs="Times New Roman"/>
          <w:szCs w:val="24"/>
        </w:rPr>
      </w:pPr>
      <w:r w:rsidRPr="00051297">
        <w:rPr>
          <w:rFonts w:cs="Times New Roman"/>
          <w:szCs w:val="24"/>
          <w:lang w:val="en-US"/>
        </w:rPr>
        <w:t xml:space="preserve">The CN determines how much runoff will occur, given a particular amount of rainfall. The CN value for a watershed is determined by the HSG, cover type and hydrologic state, and antecedent moisture condition </w:t>
      </w:r>
      <w:r w:rsidRPr="00051297">
        <w:rPr>
          <w:rFonts w:cs="Times New Roman"/>
          <w:szCs w:val="24"/>
        </w:rPr>
        <w:fldChar w:fldCharType="begin" w:fldLock="1"/>
      </w:r>
      <w:r w:rsidR="00FA5896">
        <w:rPr>
          <w:rFonts w:cs="Times New Roman"/>
          <w:szCs w:val="24"/>
          <w:lang w:val="en-US"/>
        </w:rPr>
        <w:instrText>ADDIN CSL_CITATION {"citationItems":[{"id":"ITEM-1","itemData":{"DOI":"10.14419/ijet.v7i3.12.16179","ISSN":"2227-524X","abstract":"In SCS-CN method, curve number is significant parameter in estimating runoff from the catchment of the reservoir or inflow to the reservoir. As this curve number is function of several parameters like hydrological soil group, LULC, land treatment, hydrologic conditions and AMC, the selection of CN for prediction of inflow to the lake or reservoir is considered as a crucial in the hydrological studies. LULC, micro-watershed, drainage density, and catchment slope are obtained using spatial analysis and also SCS Curve Number value for Ponnaniyaru dam catchment area is derived from the LULC data. Further, CN value is evaluated from actual rainfall data and runoff volume collected at the reservoir. The study reveals the significant variation of CN value among each event. The present case study highlights the sensitiveness of CN value in the computation of runoff from the watershed. Keywords: Curve number, LULC, AMC, drainage density.","author":[{"dropping-particle":"","family":"R","given":"Selvakumar","non-dropping-particle":"","parse-names":false,"suffix":""},{"dropping-particle":"","family":"N","given":"Nasir","non-dropping-particle":"","parse-names":false,"suffix":""},{"dropping-particle":"","family":"C R","given":"Suribabu","non-dropping-particle":"","parse-names":false,"suffix":""}],"container-title":"International Journal of Engineering &amp; Technology","id":"ITEM-1","issue":"3.12","issued":{"date-parts":[["2018","7"]]},"page":"558","title":"Determination of Watershed Characteristics and Curve Number (CN) for Ponnaniyaru Dam Catchment Area","type":"article-journal","volume":"7"},"uris":["http://www.mendeley.com/documents/?uuid=4ec49637-6521-45fb-80bd-0cfb5b9b5074","http://www.mendeley.com/documents/?uuid=0e7e082e-5689-46b4-b1ce-9e4d7cb95261","http://www.mendeley.com/documents/?uuid=624287c6-cd36-4576-8a40-f47ddd9893e1"]},{"id":"ITEM-2","itemData":{"DOI":"10.28991/cej-2021-03091711","ISSN":"2476-3055","abstract":"The Benanain Watershed is located in East Nusa Tenggara with an area of 3,181 km2 and is divided into 29 sub-watersheds. The East Nusa Tenggara itself is an eastern region of Indonesia with a unique climate condition called semi-arid. The high rainfall intensity occurring in short duration results in large surface runoff and erosion. Floods and erosion in semi-arid areas due to sensitive soils to drought and heavy rainfall extremely. This paper presents the application of the Soil Conservation Services-Curve Number (SCS-CN) real-flood flows through a digital map of soil type, land use, topography, and the heterogeneity of physical condition, especially for ungauged watersheds. The method used is an approach empirical to estimate runoff from the relationship between rainfall, land use, and soil hydrology groups. This watershed has a large area that must analyze every sub-watershed. The land-use of the Benanain watershed is secondary dryland forest by 44.26% and the hydrological soil group on the B group classification with medium to high absorption potential by 46.502% from the total area. The curve number value of the Benanain Watershed ranges from 56.54 to 73.90, where the mean CN value of 65.32. The rainfall (mm) for the 29 sub-watersheds in the Benanain Watershed has decreased by about 74.65% when being surface runoff or only 25.35% of water becomes surface runoff. The relationship between rainfall depth and CN is classified as standard response and trend line (flat slope) equilibrium occurs when rainfall depth value of 56.71 mm and CN is close to 66.30. The high variability of intense rainfall between the rainy season and the dry season had a significant influence on the curve number value in a large watershed area. Further analysis will be more accurate if it is supported by long rainfall data and observation runoff data as a control. Doi: 10.28991/cej-2021-03091711 Full Text: PDF","author":[{"dropping-particle":"","family":"Krisnayanti","given":"Denik Sri","non-dropping-particle":"","parse-names":false,"suffix":""},{"dropping-particle":"","family":"Bunganaen","given":"Wilhelmus","non-dropping-particle":"","parse-names":false,"suffix":""},{"dropping-particle":"","family":"Frans","given":"John H.","non-dropping-particle":"","parse-names":false,"suffix":""},{"dropping-particle":"","family":"Seran","given":"Yustinus A.","non-dropping-particle":"","parse-names":false,"suffix":""},{"dropping-particle":"","family":"Legono","given":"Djoko","non-dropping-particle":"","parse-names":false,"suffix":""}],"container-title":"Civil Engineering Journal","id":"ITEM-2","issue":"6","issued":{"date-parts":[["2021","6"]]},"page":"1070-1083","title":"Curve Number Estimation for Ungauged Watershed in Semi-Arid Region","type":"article-journal","volume":"7"},"uris":["http://www.mendeley.com/documents/?uuid=713bd314-130a-4aaf-bf72-2d67e75f2b9a","http://www.mendeley.com/documents/?uuid=8cb61c91-9370-4509-9b59-59fc5cc64399","http://www.mendeley.com/documents/?uuid=1606882f-421b-446d-aaab-d1011b5f24f2"]},{"id":"ITEM-3","itemData":{"DOI":"10.1061/(ASCE)HE.1943-5584.0000436","ISSN":"1084-0699","abstract":"Engineers and hydrologists use the curve number method to estimate runoff from rainfall for different land use and soil conditions; however, large uncertainties occur for estimates from forested watersheds. This investigation evaluates the accuracy and consistency of the method using rainfall-runoff series from 10 small forested-mountainous watersheds in the eastern United States, eight annual maximum series from New Hampshire,West Virginia, and North Carolina, and two partial duration series from Georgia. These series are the basis to compare tabulated curve numbers with values estimated using five methods. For nine of 10 watersheds, tabulated curve numbers do not accurately estimate runoff. One source of the large uncertainty is a consistent decrease in storm-event curve numbers with increasing rainfall. A cali- brated constant curve number is suitable for only two of 10 watersheds; the others require a variable watershed curve number associated with different magnitude rainfalls or probabilities of occurrence. Paired watersheds provide consistent curve numbers, indicating that regional values for forested-mountainous watersheds (locally calibrated and adjusted for storm frequency) may be feasible. DOI:","author":[{"dropping-particle":"","family":"Tedela","given":"Negussie H.","non-dropping-particle":"","parse-names":false,"suffix":""},{"dropping-particle":"","family":"McCutcheon","given":"Steven C.","non-dropping-particle":"","parse-names":false,"suffix":""},{"dropping-particle":"","family":"Rasmussen","given":"Todd C.","non-dropping-particle":"","parse-names":false,"suffix":""},{"dropping-particle":"","family":"Hawkins","given":"Richard H.","non-dropping-particle":"","parse-names":false,"suffix":""},{"dropping-particle":"","family":"Swank","given":"Wayne T.","non-dropping-particle":"","parse-names":false,"suffix":""},{"dropping-particle":"","family":"Campbell","given":"John L.","non-dropping-particle":"","parse-names":false,"suffix":""},{"dropping-particle":"","family":"Adams","given":"Mary Beth","non-dropping-particle":"","parse-names":false,"suffix":""},{"dropping-particle":"","family":"Jackson","given":"C. Rhett","non-dropping-particle":"","parse-names":false,"suffix":""},{"dropping-particle":"","family":"Tollner","given":"Ernest W.","non-dropping-particle":"","parse-names":false,"suffix":""}],"container-title":"Journal of Hydrologic Engineering","id":"ITEM-3","issue":"11","issued":{"date-parts":[["2012","11"]]},"page":"1188-1198","title":"Runoff Curve Numbers for 10 Small Forested Watersheds in the Mountains of the Eastern United States","type":"article-journal","volume":"17"},"uris":["http://www.mendeley.com/documents/?uuid=dfd266e3-3c56-4445-97d1-5ff7ab789858","http://www.mendeley.com/documents/?uuid=1be0846b-eb0f-412b-a2e7-2035b8b93ad2","http://www.mendeley.com/documents/?uuid=0e068076-a96c-4b6f-8476-749afb801fea"]}],"mendeley":{"formattedCitation":"[94–96]","plainTextFormattedCitation":"[94–96]","previouslyFormattedCitation":"[94–96]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[94–96]</w:t>
      </w:r>
      <w:r w:rsidRPr="00051297">
        <w:rPr>
          <w:rFonts w:cs="Times New Roman"/>
          <w:szCs w:val="24"/>
        </w:rPr>
        <w:fldChar w:fldCharType="end"/>
      </w:r>
      <w:r w:rsidRPr="00051297">
        <w:rPr>
          <w:rFonts w:cs="Times New Roman"/>
          <w:szCs w:val="24"/>
          <w:lang w:val="en-US"/>
        </w:rPr>
        <w:t xml:space="preserve">. An area-weighted CN should be determined for watersheds with diverse soil types or land uses. For modeling reasons, the watershed should be divided into separate drainage zones where there are major changes in land use or natural control points. The sections that follow go through the components that contribute to determining CN values and their link to runoff </w:t>
      </w:r>
      <w:r w:rsidRPr="00051297">
        <w:rPr>
          <w:rFonts w:cs="Times New Roman"/>
          <w:szCs w:val="24"/>
        </w:rPr>
        <w:fldChar w:fldCharType="begin" w:fldLock="1"/>
      </w:r>
      <w:r w:rsidR="00FA5896">
        <w:rPr>
          <w:rFonts w:cs="Times New Roman"/>
          <w:szCs w:val="24"/>
          <w:lang w:val="en-US"/>
        </w:rPr>
        <w:instrText>ADDIN CSL_CITATION {"citationItems":[{"id":"ITEM-1","itemData":{"DOI":"10.1061/(ASCE)HE.1943-5584.0001755","ISSN":"1084-0699","abstract":"The curve number (CN) rainfall-runoff method is described, with inferred extension to daily time-step models, which are the bases for most total maximum daily load (TMDL) assessments. Although originally developed for engineering design for extreme rainfall events, its flexibility, its basis in soils and land use, and its history of accepted use have encouraged adaptation and adjustment to the continuous daily time-step models needed for TMDL evaluations. The original event-based CN model itself, background assumptions, improvements, problems, and evolved usage are described. Included are the roles of the initial abstraction ratio (Ia S), antecedent conditions (ARC), the limits of application with different land types, model sensitivity, effects of land slope, and seasonality. Inconsistencies and recent improvements are stressed, including (1) the adjustment of the abstraction coefficient Ia S to 0.05 from the traditional value of 0.20; (2) awareness of the nonapplicability of the CN method in all cases and the preferred use of distributed/weighted runoffs from an array of CN source areas over the use of runoffs from averages CNs; and (3) use of local data and on-site inspections for calibration and perspective. The application of CN-based watershed hydrology models for TMDL studies should be conducted cautiously because it can produce a biased estimation of hydrograph components in certain soils and landscapes. Model parameter calibration in the application of CN method for continuous simulations of TMDLs is strongly suggested.","author":[{"dropping-particle":"","family":"Hawkins","given":"Richard H.","non-dropping-particle":"","parse-names":false,"suffix":""},{"dropping-particle":"","family":"Theurer","given":"Fred D.","non-dropping-particle":"","parse-names":false,"suffix":""},{"dropping-particle":"","family":"Rezaeianzadeh","given":"Mehdi","non-dropping-particle":"","parse-names":false,"suffix":""}],"container-title":"Journal of Hydrologic Engineering","id":"ITEM-1","issue":"7","issued":{"date-parts":[["2019","7"]]},"page":"06019003","title":"Understanding the Basis of the Curve Number Method for Watershed Models and TMDLs","type":"article-journal","volume":"24"},"uris":["http://www.mendeley.com/documents/?uuid=91b48d1d-b35c-40a3-9725-2a32772136c3","http://www.mendeley.com/documents/?uuid=8c22054d-7290-4bdd-b1ff-f448e3c6e137","http://www.mendeley.com/documents/?uuid=6f41c3ef-0ca0-4fd0-9bda-60aebd75565e"]}],"mendeley":{"formattedCitation":"[97]","plainTextFormattedCitation":"[97]","previouslyFormattedCitation":"[97]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[97]</w:t>
      </w:r>
      <w:r w:rsidRPr="00051297">
        <w:rPr>
          <w:rFonts w:cs="Times New Roman"/>
          <w:szCs w:val="24"/>
        </w:rPr>
        <w:fldChar w:fldCharType="end"/>
      </w:r>
      <w:r w:rsidRPr="00051297">
        <w:rPr>
          <w:rFonts w:cs="Times New Roman"/>
          <w:szCs w:val="24"/>
        </w:rPr>
        <w:t>.</w:t>
      </w:r>
    </w:p>
    <w:p w14:paraId="58B8FB83" w14:textId="75A3749A" w:rsidR="00051297" w:rsidRPr="00051297" w:rsidRDefault="00051297" w:rsidP="00F97DFC">
      <w:pPr>
        <w:pStyle w:val="4"/>
        <w:rPr>
          <w:lang w:val="en-US"/>
        </w:rPr>
      </w:pPr>
      <w:bookmarkStart w:id="123" w:name="_bookmark46"/>
      <w:bookmarkStart w:id="124" w:name="_Toc97504726"/>
      <w:bookmarkStart w:id="125" w:name="_Toc103543859"/>
      <w:bookmarkStart w:id="126" w:name="_Toc104985183"/>
      <w:bookmarkEnd w:id="123"/>
      <w:r w:rsidRPr="00051297">
        <w:rPr>
          <w:lang w:val="en-US"/>
        </w:rPr>
        <w:t>The perspective of the Hydrologic Soil Group</w:t>
      </w:r>
      <w:bookmarkEnd w:id="124"/>
      <w:bookmarkEnd w:id="125"/>
      <w:bookmarkEnd w:id="126"/>
    </w:p>
    <w:p w14:paraId="4B95AD33" w14:textId="041F8A2D" w:rsidR="00051297" w:rsidRPr="00051297" w:rsidRDefault="00051297" w:rsidP="00051297">
      <w:pPr>
        <w:numPr>
          <w:ilvl w:val="0"/>
          <w:numId w:val="16"/>
        </w:numPr>
        <w:tabs>
          <w:tab w:val="left" w:pos="993"/>
        </w:tabs>
        <w:ind w:left="0" w:firstLine="709"/>
        <w:rPr>
          <w:rFonts w:cs="Times New Roman"/>
          <w:szCs w:val="24"/>
        </w:rPr>
      </w:pPr>
      <w:r w:rsidRPr="00051297">
        <w:rPr>
          <w:rFonts w:cs="Times New Roman"/>
          <w:szCs w:val="24"/>
          <w:lang w:val="en-US"/>
        </w:rPr>
        <w:t xml:space="preserve">Soils are divided into four types based on their hydrologic properties (A, B, C, or D) (HSG). The HSG of soil reveals the bare-soil minimum rate of infiltration after prolonged wetness. Infiltration rates are highest in Group A soils and lowest in Group D soils. The pace </w:t>
      </w:r>
      <w:r w:rsidR="00F84999">
        <w:rPr>
          <w:rFonts w:cs="Times New Roman"/>
          <w:szCs w:val="24"/>
          <w:lang w:val="en-US"/>
        </w:rPr>
        <w:t>of</w:t>
      </w:r>
      <w:r w:rsidRPr="00051297">
        <w:rPr>
          <w:rFonts w:cs="Times New Roman"/>
          <w:szCs w:val="24"/>
          <w:lang w:val="en-US"/>
        </w:rPr>
        <w:t xml:space="preserve"> water penetrat</w:t>
      </w:r>
      <w:r w:rsidR="00F84999">
        <w:rPr>
          <w:rFonts w:cs="Times New Roman"/>
          <w:szCs w:val="24"/>
          <w:lang w:val="en-US"/>
        </w:rPr>
        <w:t>ion in</w:t>
      </w:r>
      <w:r w:rsidRPr="00051297">
        <w:rPr>
          <w:rFonts w:cs="Times New Roman"/>
          <w:szCs w:val="24"/>
          <w:lang w:val="en-US"/>
        </w:rPr>
        <w:t xml:space="preserve"> the soil is governed by the type of cover on the soil surface. </w:t>
      </w:r>
      <w:r w:rsidRPr="00051297">
        <w:rPr>
          <w:rFonts w:cs="Times New Roman"/>
          <w:szCs w:val="24"/>
        </w:rPr>
        <w:t xml:space="preserve">TR-55 defines the four HSGs as follows </w:t>
      </w:r>
      <w:r w:rsidRPr="00051297">
        <w:rPr>
          <w:rFonts w:cs="Times New Roman"/>
          <w:szCs w:val="24"/>
        </w:rPr>
        <w:fldChar w:fldCharType="begin" w:fldLock="1"/>
      </w:r>
      <w:r w:rsidR="00FA5896">
        <w:rPr>
          <w:rFonts w:cs="Times New Roman"/>
          <w:szCs w:val="24"/>
        </w:rPr>
        <w:instrText>ADDIN CSL_CITATION {"citationItems":[{"id":"ITEM-1","itemData":{"DOI":"10.3390/data5010002","ISSN":"2306-5729","abstract":"Hydrologic soil groups play an important role in the determination of surface runoff, which, in turn, is crucial for soil and water conservation efforts. Traditionally, placement of soil into appropriate hydrologic groups is based on the judgement of soil scientists, primarily relying on their interpretation of guidelines published by regional or national agencies. As a result, large-scale mapping of hydrologic soil groups results in widespread inconsistencies and inaccuracies. This paper presents an application of machine learning for classification of soil into hydrologic groups. Based on features such as percentages of sand, silt and clay, and the value of saturated hydraulic conductivity, machine learning models were trained to classify soil into four hydrologic groups. The results of the classification obtained using algorithms such as k-Nearest Neighbors, Support Vector Machine with Gaussian Kernel, Decision Trees, Classification Bagged Ensembles and TreeBagger (Random Forest) were compared to those obtained using estimation based on soil texture. The performance of these models was compared and evaluated using per-class metrics and micro- and macro-averages. Overall, performance metrics related to kNN, Decision Tree and TreeBagger exceeded those for SVM-Gaussian Kernel and Classification Bagged Ensemble. Among the four hydrologic groups, it was noticed that group B had the highest rate of false positives.","author":[{"dropping-particle":"","family":"Abraham","given":"Shiny","non-dropping-particle":"","parse-names":false,"suffix":""},{"dropping-particle":"","family":"Huynh","given":"Chau","non-dropping-particle":"","parse-names":false,"suffix":""},{"dropping-particle":"","family":"Vu","given":"Huy","non-dropping-particle":"","parse-names":false,"suffix":""}],"container-title":"Data","id":"ITEM-1","issue":"1","issued":{"date-parts":[["2019","12"]]},"page":"2","title":"Classification of Soils into Hydrologic Groups Using Machine Learning","type":"article-journal","volume":"5"},"uris":["http://www.mendeley.com/documents/?uuid=60cc672c-280b-4316-b383-f2a66e0d5de9","http://www.mendeley.com/documents/?uuid=6d2ea167-f565-4796-a606-8bd19f09f76e","http://www.mendeley.com/documents/?uuid=5350396b-30e7-4238-b701-4fdb821ed32d"]}],"mendeley":{"formattedCitation":"[98]","plainTextFormattedCitation":"[98]","previouslyFormattedCitation":"[98]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[98]</w:t>
      </w:r>
      <w:r w:rsidRPr="00051297">
        <w:rPr>
          <w:rFonts w:cs="Times New Roman"/>
          <w:szCs w:val="24"/>
        </w:rPr>
        <w:fldChar w:fldCharType="end"/>
      </w:r>
      <w:r w:rsidRPr="00051297">
        <w:rPr>
          <w:rFonts w:cs="Times New Roman"/>
          <w:szCs w:val="24"/>
        </w:rPr>
        <w:t xml:space="preserve">: </w:t>
      </w:r>
    </w:p>
    <w:p w14:paraId="48226AD9" w14:textId="13AB4D86" w:rsidR="00051297" w:rsidRPr="00051297" w:rsidRDefault="00F84999" w:rsidP="00051297">
      <w:pPr>
        <w:numPr>
          <w:ilvl w:val="0"/>
          <w:numId w:val="16"/>
        </w:numPr>
        <w:tabs>
          <w:tab w:val="left" w:pos="993"/>
        </w:tabs>
        <w:ind w:left="0" w:firstLine="709"/>
        <w:rPr>
          <w:rFonts w:cs="Times New Roman"/>
          <w:bCs/>
          <w:szCs w:val="24"/>
          <w:lang w:val="en-US"/>
        </w:rPr>
      </w:pPr>
      <w:r>
        <w:rPr>
          <w:rFonts w:cs="Times New Roman"/>
          <w:bCs/>
          <w:szCs w:val="24"/>
          <w:lang w:val="en-US"/>
        </w:rPr>
        <w:t>HSG</w:t>
      </w:r>
      <w:r w:rsidR="00051297" w:rsidRPr="00051297">
        <w:rPr>
          <w:rFonts w:cs="Times New Roman"/>
          <w:bCs/>
          <w:szCs w:val="24"/>
          <w:lang w:val="en-US"/>
        </w:rPr>
        <w:t xml:space="preserve"> A – Even when completely saturated, soils have minimal </w:t>
      </w:r>
      <w:r>
        <w:rPr>
          <w:rFonts w:cs="Times New Roman"/>
          <w:bCs/>
          <w:szCs w:val="24"/>
          <w:lang w:val="en-US"/>
        </w:rPr>
        <w:t xml:space="preserve">potential for surface </w:t>
      </w:r>
      <w:r w:rsidR="00051297" w:rsidRPr="00051297">
        <w:rPr>
          <w:rFonts w:cs="Times New Roman"/>
          <w:bCs/>
          <w:szCs w:val="24"/>
          <w:lang w:val="en-US"/>
        </w:rPr>
        <w:t xml:space="preserve">runoff </w:t>
      </w:r>
      <w:r>
        <w:rPr>
          <w:rFonts w:cs="Times New Roman"/>
          <w:bCs/>
          <w:szCs w:val="24"/>
          <w:lang w:val="en-US"/>
        </w:rPr>
        <w:t>as well as possessing</w:t>
      </w:r>
      <w:r w:rsidR="00051297" w:rsidRPr="00051297">
        <w:rPr>
          <w:rFonts w:cs="Times New Roman"/>
          <w:bCs/>
          <w:szCs w:val="24"/>
          <w:lang w:val="en-US"/>
        </w:rPr>
        <w:t xml:space="preserve"> high</w:t>
      </w:r>
      <w:r>
        <w:rPr>
          <w:rFonts w:cs="Times New Roman"/>
          <w:bCs/>
          <w:szCs w:val="24"/>
          <w:lang w:val="en-US"/>
        </w:rPr>
        <w:t xml:space="preserve"> rates of</w:t>
      </w:r>
      <w:r w:rsidR="00051297" w:rsidRPr="00051297">
        <w:rPr>
          <w:rFonts w:cs="Times New Roman"/>
          <w:bCs/>
          <w:szCs w:val="24"/>
          <w:lang w:val="en-US"/>
        </w:rPr>
        <w:t xml:space="preserve"> infiltration</w:t>
      </w:r>
      <w:r>
        <w:rPr>
          <w:rFonts w:cs="Times New Roman"/>
          <w:bCs/>
          <w:szCs w:val="24"/>
          <w:lang w:val="en-US"/>
        </w:rPr>
        <w:t xml:space="preserve"> or permeability</w:t>
      </w:r>
      <w:r w:rsidR="00051297" w:rsidRPr="00051297">
        <w:rPr>
          <w:rFonts w:cs="Times New Roman"/>
          <w:bCs/>
          <w:szCs w:val="24"/>
          <w:lang w:val="en-US"/>
        </w:rPr>
        <w:t xml:space="preserve">. They are primarily made up of deep, well-to-extremely well-drained sand or gravel with a high water transmission rate. </w:t>
      </w:r>
    </w:p>
    <w:p w14:paraId="6B69E131" w14:textId="1681E9CB" w:rsidR="00051297" w:rsidRPr="00051297" w:rsidRDefault="00F84999" w:rsidP="00051297">
      <w:pPr>
        <w:numPr>
          <w:ilvl w:val="0"/>
          <w:numId w:val="16"/>
        </w:numPr>
        <w:tabs>
          <w:tab w:val="left" w:pos="993"/>
        </w:tabs>
        <w:ind w:left="0" w:firstLine="709"/>
        <w:rPr>
          <w:rFonts w:cs="Times New Roman"/>
          <w:bCs/>
          <w:szCs w:val="24"/>
          <w:lang w:val="en-US"/>
        </w:rPr>
      </w:pPr>
      <w:r>
        <w:rPr>
          <w:rFonts w:cs="Times New Roman"/>
          <w:bCs/>
          <w:szCs w:val="24"/>
          <w:lang w:val="en-US"/>
        </w:rPr>
        <w:t xml:space="preserve">HSG </w:t>
      </w:r>
      <w:r w:rsidR="00051297" w:rsidRPr="00051297">
        <w:rPr>
          <w:rFonts w:cs="Times New Roman"/>
          <w:bCs/>
          <w:szCs w:val="24"/>
          <w:lang w:val="en-US"/>
        </w:rPr>
        <w:t>B – When thoroughly wetted, (silt loam or loam)</w:t>
      </w:r>
      <w:r>
        <w:rPr>
          <w:rFonts w:cs="Times New Roman"/>
          <w:bCs/>
          <w:szCs w:val="24"/>
          <w:lang w:val="en-US"/>
        </w:rPr>
        <w:t>, these types of HSGs</w:t>
      </w:r>
      <w:r w:rsidR="00051297" w:rsidRPr="00051297">
        <w:rPr>
          <w:rFonts w:cs="Times New Roman"/>
          <w:bCs/>
          <w:szCs w:val="24"/>
          <w:lang w:val="en-US"/>
        </w:rPr>
        <w:t xml:space="preserve"> </w:t>
      </w:r>
      <w:r>
        <w:rPr>
          <w:rFonts w:cs="Times New Roman"/>
          <w:bCs/>
          <w:szCs w:val="24"/>
          <w:lang w:val="en-US"/>
        </w:rPr>
        <w:t>are known to possess</w:t>
      </w:r>
      <w:r w:rsidR="00051297" w:rsidRPr="00051297">
        <w:rPr>
          <w:rFonts w:cs="Times New Roman"/>
          <w:bCs/>
          <w:szCs w:val="24"/>
          <w:lang w:val="en-US"/>
        </w:rPr>
        <w:t xml:space="preserve"> moderate </w:t>
      </w:r>
      <w:r>
        <w:rPr>
          <w:rFonts w:cs="Times New Roman"/>
          <w:bCs/>
          <w:szCs w:val="24"/>
          <w:lang w:val="en-US"/>
        </w:rPr>
        <w:t>permeability</w:t>
      </w:r>
      <w:r w:rsidR="00051297" w:rsidRPr="00051297">
        <w:rPr>
          <w:rFonts w:cs="Times New Roman"/>
          <w:bCs/>
          <w:szCs w:val="24"/>
          <w:lang w:val="en-US"/>
        </w:rPr>
        <w:t xml:space="preserve"> rates and are primarily composed of </w:t>
      </w:r>
      <w:r>
        <w:rPr>
          <w:rFonts w:cs="Times New Roman"/>
          <w:bCs/>
          <w:szCs w:val="24"/>
          <w:lang w:val="en-US"/>
        </w:rPr>
        <w:t>sufficeintly</w:t>
      </w:r>
      <w:r w:rsidR="00051297" w:rsidRPr="00051297">
        <w:rPr>
          <w:rFonts w:cs="Times New Roman"/>
          <w:bCs/>
          <w:szCs w:val="24"/>
          <w:lang w:val="en-US"/>
        </w:rPr>
        <w:t>-drained soils. The water transmission rate in these soils is moderate.</w:t>
      </w:r>
    </w:p>
    <w:p w14:paraId="57F11740" w14:textId="4B290164" w:rsidR="00051297" w:rsidRPr="00222B19" w:rsidRDefault="00F84999" w:rsidP="00051297">
      <w:pPr>
        <w:numPr>
          <w:ilvl w:val="0"/>
          <w:numId w:val="16"/>
        </w:numPr>
        <w:tabs>
          <w:tab w:val="left" w:pos="993"/>
        </w:tabs>
        <w:ind w:left="0" w:firstLine="709"/>
        <w:rPr>
          <w:rFonts w:cs="Times New Roman"/>
          <w:bCs/>
          <w:szCs w:val="24"/>
          <w:lang w:val="en-US"/>
        </w:rPr>
      </w:pPr>
      <w:r>
        <w:rPr>
          <w:rFonts w:cs="Times New Roman"/>
          <w:bCs/>
          <w:szCs w:val="24"/>
          <w:lang w:val="en-US"/>
        </w:rPr>
        <w:t>HSG</w:t>
      </w:r>
      <w:r w:rsidR="00051297" w:rsidRPr="00051297">
        <w:rPr>
          <w:rFonts w:cs="Times New Roman"/>
          <w:bCs/>
          <w:szCs w:val="24"/>
          <w:lang w:val="en-US"/>
        </w:rPr>
        <w:t xml:space="preserve"> C – When thoroughly wetted, (sandy clay loam)</w:t>
      </w:r>
      <w:r w:rsidR="00FB2AD9">
        <w:rPr>
          <w:rFonts w:cs="Times New Roman"/>
          <w:bCs/>
          <w:szCs w:val="24"/>
          <w:lang w:val="en-US"/>
        </w:rPr>
        <w:t>, these particular types of HSGs</w:t>
      </w:r>
      <w:r w:rsidR="00051297" w:rsidRPr="00051297">
        <w:rPr>
          <w:rFonts w:cs="Times New Roman"/>
          <w:bCs/>
          <w:szCs w:val="24"/>
          <w:lang w:val="en-US"/>
        </w:rPr>
        <w:t xml:space="preserve"> </w:t>
      </w:r>
      <w:r w:rsidR="00FB2AD9">
        <w:rPr>
          <w:rFonts w:cs="Times New Roman"/>
          <w:bCs/>
          <w:szCs w:val="24"/>
          <w:lang w:val="en-US"/>
        </w:rPr>
        <w:t xml:space="preserve">are well-known to be of </w:t>
      </w:r>
      <w:r w:rsidR="00051297" w:rsidRPr="00051297">
        <w:rPr>
          <w:rFonts w:cs="Times New Roman"/>
          <w:bCs/>
          <w:szCs w:val="24"/>
          <w:lang w:val="en-US"/>
        </w:rPr>
        <w:t xml:space="preserve">low </w:t>
      </w:r>
      <w:r w:rsidR="00FB2AD9">
        <w:rPr>
          <w:rFonts w:cs="Times New Roman"/>
          <w:bCs/>
          <w:szCs w:val="24"/>
          <w:lang w:val="en-US"/>
        </w:rPr>
        <w:t>permeability</w:t>
      </w:r>
      <w:r w:rsidR="00051297" w:rsidRPr="00051297">
        <w:rPr>
          <w:rFonts w:cs="Times New Roman"/>
          <w:bCs/>
          <w:szCs w:val="24"/>
          <w:lang w:val="en-US"/>
        </w:rPr>
        <w:t xml:space="preserve"> rates and are mostly composed of soils with a </w:t>
      </w:r>
      <w:r w:rsidR="00FB2AD9">
        <w:rPr>
          <w:rFonts w:cs="Times New Roman"/>
          <w:bCs/>
          <w:szCs w:val="24"/>
          <w:lang w:val="en-US"/>
        </w:rPr>
        <w:t>surface</w:t>
      </w:r>
      <w:r w:rsidR="00051297" w:rsidRPr="00051297">
        <w:rPr>
          <w:rFonts w:cs="Times New Roman"/>
          <w:bCs/>
          <w:szCs w:val="24"/>
          <w:lang w:val="en-US"/>
        </w:rPr>
        <w:t xml:space="preserve"> that </w:t>
      </w:r>
      <w:r w:rsidR="00FB2AD9">
        <w:rPr>
          <w:rFonts w:cs="Times New Roman"/>
          <w:bCs/>
          <w:szCs w:val="24"/>
          <w:lang w:val="en-US"/>
        </w:rPr>
        <w:t>hinders</w:t>
      </w:r>
      <w:r w:rsidR="00051297" w:rsidRPr="00051297">
        <w:rPr>
          <w:rFonts w:cs="Times New Roman"/>
          <w:bCs/>
          <w:szCs w:val="24"/>
          <w:lang w:val="en-US"/>
        </w:rPr>
        <w:t xml:space="preserve"> water from moving downhill</w:t>
      </w:r>
      <w:r w:rsidR="00051297" w:rsidRPr="00222B19">
        <w:rPr>
          <w:rFonts w:cs="Times New Roman"/>
          <w:bCs/>
          <w:szCs w:val="24"/>
          <w:lang w:val="en-US"/>
        </w:rPr>
        <w:t xml:space="preserve">. </w:t>
      </w:r>
    </w:p>
    <w:p w14:paraId="5715D53B" w14:textId="10F2BB62" w:rsidR="00051297" w:rsidRPr="00051297" w:rsidRDefault="00F84999" w:rsidP="00051297">
      <w:pPr>
        <w:numPr>
          <w:ilvl w:val="0"/>
          <w:numId w:val="16"/>
        </w:numPr>
        <w:tabs>
          <w:tab w:val="left" w:pos="993"/>
        </w:tabs>
        <w:ind w:left="0" w:firstLine="709"/>
        <w:rPr>
          <w:rFonts w:cs="Times New Roman"/>
          <w:szCs w:val="24"/>
          <w:lang w:val="en-US"/>
        </w:rPr>
      </w:pPr>
      <w:r>
        <w:rPr>
          <w:rFonts w:cs="Times New Roman"/>
          <w:bCs/>
          <w:szCs w:val="24"/>
          <w:lang w:val="en-US"/>
        </w:rPr>
        <w:t>HSG</w:t>
      </w:r>
      <w:r w:rsidR="00051297" w:rsidRPr="00051297">
        <w:rPr>
          <w:rFonts w:cs="Times New Roman"/>
          <w:bCs/>
          <w:szCs w:val="24"/>
          <w:lang w:val="en-US"/>
        </w:rPr>
        <w:t xml:space="preserve"> D – </w:t>
      </w:r>
      <w:r w:rsidR="00FB2AD9">
        <w:rPr>
          <w:rFonts w:cs="Times New Roman"/>
          <w:bCs/>
          <w:szCs w:val="24"/>
          <w:lang w:val="en-US"/>
        </w:rPr>
        <w:t>Have</w:t>
      </w:r>
      <w:r w:rsidR="00051297" w:rsidRPr="00051297">
        <w:rPr>
          <w:rFonts w:cs="Times New Roman"/>
          <w:bCs/>
          <w:szCs w:val="24"/>
          <w:lang w:val="en-US"/>
        </w:rPr>
        <w:t xml:space="preserve"> significant runoff potential</w:t>
      </w:r>
      <w:r w:rsidR="00051297" w:rsidRPr="00051297">
        <w:rPr>
          <w:rFonts w:cs="Times New Roman"/>
          <w:szCs w:val="24"/>
          <w:lang w:val="en-US"/>
        </w:rPr>
        <w:t>. They are generally chronic as well as shallow soils over extremely impermeable material, and when thoroughly wetted, they have very poor infiltration rates. The rate of water transport in these soils is extremely low.</w:t>
      </w:r>
    </w:p>
    <w:p w14:paraId="7BA2103F" w14:textId="2F3AD6EF" w:rsidR="00051297" w:rsidRPr="00051297" w:rsidRDefault="00051297" w:rsidP="00051297">
      <w:pPr>
        <w:rPr>
          <w:rFonts w:cs="Times New Roman"/>
          <w:szCs w:val="24"/>
        </w:rPr>
      </w:pPr>
      <w:r w:rsidRPr="00051297">
        <w:rPr>
          <w:rFonts w:cs="Times New Roman"/>
          <w:szCs w:val="24"/>
          <w:lang w:val="en-US"/>
        </w:rPr>
        <w:t xml:space="preserve">It should be remembered that any disturbance to a soil profile might alter infiltration properties dramatically. As a result, the HSG should be raised one level in places where the soil profile has been disrupted (i.e., from A to B, B to C, or C to D) </w:t>
      </w:r>
      <w:r w:rsidRPr="00051297">
        <w:rPr>
          <w:rFonts w:cs="Times New Roman"/>
          <w:szCs w:val="24"/>
        </w:rPr>
        <w:fldChar w:fldCharType="begin" w:fldLock="1"/>
      </w:r>
      <w:r w:rsidR="00FA5896">
        <w:rPr>
          <w:rFonts w:cs="Times New Roman"/>
          <w:szCs w:val="24"/>
          <w:lang w:val="en-US"/>
        </w:rPr>
        <w:instrText>ADDIN CSL_CITATION {"citationItems":[{"id":"ITEM-1","itemData":{"DOI":"10.1016/j.still.2021.105034","ISSN":"01671987","abstract":"The hydrologic soil group (HSG) is required for the determination of curve numbers (CN), which are used in a large number of hydrological models to calculate surface runoff during rain events of ungauged catchments. Despite the paramount importance of HSG, it is still based on an assumption made in 1955. We assessed HSG using 249 rainfall simulation experiments carried out in two sets of experiments examining seedbed conditions. One set analyzed the variation within a small (60 ha) catchment while the other examined 32 benchmark soils selected to cover the full range of arable soils on sloping land in temperate humid areas. The assumption made in 1955 that sandy and stony soils have a low HSG (A), while clayey soils of low permeability have a high HSG (D), cannot be supported. Instead, HSG appeared to be governed by surface sealing because CN increased with increasing silt content in the bulk soil and decreasing soil organic matter content in the fine earth fraction. An equation for calculating CN and, in turn, a HSG from these two parameters is provided. This equation also avoids classification-induced errors. The relation holds true for a wide range of rain properties (e.g., rain amount between 0.2 mm and 103 mm; event intensities between 2 mm h−1 and 80 mm h−1), slope gradients (2 %–24 %) and various soil properties (e. g., stone contents up to 40 %, clay contents up to 61 %, sand contents up to 87 %). The CN and, in turn, HSG remained constant throughout the events from the start of runoff until the end of the event, which was up to 49 h later in 32 cases. Autocorrelation within the catchment was strong and the full variation was found within 600 m. Even small catchments are, hence, heterogeneous and their runoff cannot be assigned to a single HSG or a single CN. Rejecting the assumption developed in 1955, which had not been verified since then, has important implications for hydrological modelling but also for the development, implementation and assessment of water conserving land use.","author":[{"dropping-particle":"","family":"Auerswald","given":"Karl","non-dropping-particle":"","parse-names":false,"suffix":""},{"dropping-particle":"","family":"Gu","given":"Qiao Lin","non-dropping-particle":"","parse-names":false,"suffix":""}],"container-title":"Soil and Tillage Research","id":"ITEM-1","issued":{"date-parts":[["2021"]]},"title":"Reassessment of the hydrologic soil group for runoff modelling","type":"article-journal"},"uris":["http://www.mendeley.com/documents/?uuid=90029b02-b368-41b3-be7f-80f12eb7572d","http://www.mendeley.com/documents/?uuid=edd36aa5-03ca-403a-b35b-c23e5b8464a3","http://www.mendeley.com/documents/?uuid=67ca712b-ce20-4a43-a6c3-843512ebf2ea"]}],"mendeley":{"formattedCitation":"[99]","plainTextFormattedCitation":"[99]","previouslyFormattedCitation":"[99]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[99]</w:t>
      </w:r>
      <w:r w:rsidRPr="00051297">
        <w:rPr>
          <w:rFonts w:cs="Times New Roman"/>
          <w:szCs w:val="24"/>
        </w:rPr>
        <w:fldChar w:fldCharType="end"/>
      </w:r>
      <w:r w:rsidRPr="00051297">
        <w:rPr>
          <w:rFonts w:cs="Times New Roman"/>
          <w:szCs w:val="24"/>
        </w:rPr>
        <w:t>.</w:t>
      </w:r>
    </w:p>
    <w:p w14:paraId="13563C99" w14:textId="5B9FE8EA" w:rsidR="00051297" w:rsidRPr="00051297" w:rsidRDefault="002F5E13" w:rsidP="00F97DFC">
      <w:pPr>
        <w:pStyle w:val="4"/>
        <w:rPr>
          <w:lang w:val="en-US"/>
        </w:rPr>
      </w:pPr>
      <w:bookmarkStart w:id="127" w:name="_bookmark47"/>
      <w:bookmarkStart w:id="128" w:name="_Toc104985184"/>
      <w:bookmarkEnd w:id="127"/>
      <w:r>
        <w:rPr>
          <w:lang w:val="en-US"/>
        </w:rPr>
        <w:lastRenderedPageBreak/>
        <w:t>Surface coverage and hydrologic pattern of a watershed</w:t>
      </w:r>
      <w:bookmarkEnd w:id="128"/>
    </w:p>
    <w:p w14:paraId="6E5F68DC" w14:textId="3C9366C7" w:rsidR="00051297" w:rsidRPr="00051297" w:rsidRDefault="00051297" w:rsidP="00051297">
      <w:pPr>
        <w:rPr>
          <w:rFonts w:cs="Times New Roman"/>
          <w:szCs w:val="24"/>
          <w:lang w:val="en-US"/>
        </w:rPr>
      </w:pPr>
      <w:r w:rsidRPr="00051297">
        <w:rPr>
          <w:rFonts w:cs="Times New Roman"/>
          <w:szCs w:val="24"/>
          <w:lang w:val="en-US"/>
        </w:rPr>
        <w:t xml:space="preserve">Field reconnaissance, aerial photography, and land use maps are some of the most frequent methods for assessing cover type. Predicted cover types should also be addressed in runoff analysis based on the current zoning and future land use plan </w:t>
      </w:r>
      <w:r w:rsidRPr="00051297">
        <w:rPr>
          <w:rFonts w:cs="Times New Roman"/>
          <w:szCs w:val="24"/>
        </w:rPr>
        <w:fldChar w:fldCharType="begin" w:fldLock="1"/>
      </w:r>
      <w:r w:rsidR="00FA5896">
        <w:rPr>
          <w:rFonts w:cs="Times New Roman"/>
          <w:szCs w:val="24"/>
          <w:lang w:val="en-US"/>
        </w:rPr>
        <w:instrText>ADDIN CSL_CITATION {"citationItems":[{"id":"ITEM-1","itemData":{"DOI":"10.35940/ijitee.L3544.1081219","ISSN":"2278-3075","abstract":"This research intends to accurately mapping the Curve Number (CN) that is as the function of cover type, land use treatment, hydrology condition, and hydrologic soil group in the Lesti sub-watershed,. The methodology consists of to build the suitable CN modeling for predicting discharge in the Lesti sub-watershed and then to evaluate the result accurately. The value of CN is obtained from the mathematical formula with the input is rainfall depth and discharge. The result of CN modeling for the Lesti sub-watershed is accurate enough as is made by the United States Department of Agriculture (USDA) in USA. In addition, the CN mapping can be directly used by the engineers of the manager and designer on the water resources structures in Lesti sub-watershed","author":[{"dropping-particle":"","family":"Hoesein","given":"Abdul Azis","non-dropping-particle":"","parse-names":false,"suffix":""},{"dropping-particle":"","family":"Bisri","given":"Mohammad","non-dropping-particle":"","parse-names":false,"suffix":""},{"dropping-particle":"","family":"Limantara","given":"Lily Montarcih","non-dropping-particle":"","parse-names":false,"suffix":""},{"dropping-particle":"","family":"Suhartanto","given":"Ery","non-dropping-particle":"","parse-names":false,"suffix":""}],"container-title":"International Journal of Innovative Technology and Exploring Engineering","id":"ITEM-1","issue":"12","issued":{"date-parts":[["2019","10"]]},"page":"4890-4896","title":"CN Modeling for Predicting Discharge in Lesti Sub-watershed","type":"article-journal","volume":"8"},"uris":["http://www.mendeley.com/documents/?uuid=d888d8c2-3977-4f25-88db-9a963c10fc99","http://www.mendeley.com/documents/?uuid=fc962c5f-e683-42d0-9498-8d99a9bb9098","http://www.mendeley.com/documents/?uuid=ad41d97c-b120-4d83-8b3e-edc9a902f54e"]}],"mendeley":{"formattedCitation":"[100]","plainTextFormattedCitation":"[100]","previouslyFormattedCitation":"[100]"},"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[100]</w:t>
      </w:r>
      <w:r w:rsidRPr="00051297">
        <w:rPr>
          <w:rFonts w:cs="Times New Roman"/>
          <w:szCs w:val="24"/>
        </w:rPr>
        <w:fldChar w:fldCharType="end"/>
      </w:r>
      <w:r w:rsidRPr="00051297">
        <w:rPr>
          <w:rFonts w:cs="Times New Roman"/>
          <w:szCs w:val="24"/>
          <w:lang w:val="en-US"/>
        </w:rPr>
        <w:t xml:space="preserve">. </w:t>
      </w:r>
    </w:p>
    <w:p w14:paraId="5D46B15D" w14:textId="6B309A0C" w:rsidR="00051297" w:rsidRPr="00051297" w:rsidRDefault="00051297" w:rsidP="00051297">
      <w:pPr>
        <w:rPr>
          <w:rFonts w:cs="Times New Roman"/>
          <w:szCs w:val="24"/>
          <w:lang w:val="en-US"/>
        </w:rPr>
      </w:pPr>
      <w:r w:rsidRPr="00051297">
        <w:rPr>
          <w:rFonts w:cs="Times New Roman"/>
          <w:szCs w:val="24"/>
          <w:lang w:val="en-US"/>
        </w:rPr>
        <w:t xml:space="preserve">The impacts of cover type on infiltration and runoff for a specific HSG are determined by plant density on sample sites, with higher plant density indicating higher infiltration rates. For that specific HSG and cover type, a "good" hydrologic condition means the soil has a low runoff potential </w:t>
      </w:r>
      <w:r w:rsidRPr="00051297">
        <w:rPr>
          <w:rFonts w:cs="Times New Roman"/>
          <w:szCs w:val="24"/>
        </w:rPr>
        <w:fldChar w:fldCharType="begin" w:fldLock="1"/>
      </w:r>
      <w:r w:rsidR="00FA5896">
        <w:rPr>
          <w:rFonts w:cs="Times New Roman"/>
          <w:szCs w:val="24"/>
          <w:lang w:val="en-US"/>
        </w:rPr>
        <w:instrText>ADDIN CSL_CITATION {"citationItems":[{"id":"ITEM-1","itemData":{"DOI":"10.1002/hyp.10981","ISSN":"08856087","abstract":"Land cover has been increasingly recognized as an important factor affecting hydrologic processes at the basin and regional level. Therefore, improved understanding of how land cover change affects hydrologic systems is needed for better management of water resources. The objective of this study is to investigate the effects of land cover change on the duration and severity of high and low flows by using the Soil Water Assessment Tool model, Bayesian model averaging and copulas. Two basins dominated by different land cover in the Ohio River basin are used as study area in this study. Two historic land covers from the 1950s and 1990s are considered as input to the Soil Water Assessment Tool model, thereby investigating the hydrologic high and low flow response of different land cover conditions of these two basins. The relationships between the duration and severity of both low and high flow are defined by applying the copula method; changes in the frequency of the duration and severity are investigated. The results show that land cover changes affect both the duration and severity of both high and low flows. An increase in forest area leads to a decrease in the duration and severity during both high and low flows, but its impact is highest during extreme flows. The results also show that the land cover changes have had significant influences on changes in the joint return periods of duration and severity of low and high flows. While this study sheds light on the role of land cover change on severity and duration of high and low flow conditions, more studies using various land cover conditions and climate types are required in order to draw more reliable conclusions in the future. Copyright © 2016 John Wiley &amp; Sons, Ltd.","author":[{"dropping-particle":"","family":"Ahn","given":"Kuk-Hyun","non-dropping-particle":"","parse-names":false,"suffix":""},{"dropping-particle":"","family":"Merwade","given":"Venkatesh","non-dropping-particle":"","parse-names":false,"suffix":""}],"container-title":"Hydrological Processes","id":"ITEM-1","issue":"1","issued":{"date-parts":[["2017","1"]]},"page":"133-149","title":"The effect of land cover change on duration and severity of high and low flows","type":"article-journal","volume":"31"},"uris":["http://www.mendeley.com/documents/?uuid=5a9dfec6-b2e2-4b0b-9241-f3384e87ccdd","http://www.mendeley.com/documents/?uuid=944d08be-6afc-49ea-8acd-1351e4535db4","http://www.mendeley.com/documents/?uuid=b29fb8ac-abb2-444a-8065-dc77d7a48ab5"]}],"mendeley":{"formattedCitation":"[101]","plainTextFormattedCitation":"[101]","previouslyFormattedCitation":"[101]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[101]</w:t>
      </w:r>
      <w:r w:rsidRPr="00051297">
        <w:rPr>
          <w:rFonts w:cs="Times New Roman"/>
          <w:szCs w:val="24"/>
        </w:rPr>
        <w:fldChar w:fldCharType="end"/>
      </w:r>
      <w:r w:rsidRPr="00051297">
        <w:rPr>
          <w:rFonts w:cs="Times New Roman"/>
          <w:szCs w:val="24"/>
          <w:lang w:val="en-US"/>
        </w:rPr>
        <w:t xml:space="preserve">. </w:t>
      </w:r>
    </w:p>
    <w:p w14:paraId="15D05895" w14:textId="2A950E87" w:rsidR="00051297" w:rsidRPr="00051297" w:rsidRDefault="00051297" w:rsidP="0079595C">
      <w:pPr>
        <w:pStyle w:val="4"/>
      </w:pPr>
      <w:bookmarkStart w:id="129" w:name="_bookmark48"/>
      <w:bookmarkStart w:id="130" w:name="_Toc97504728"/>
      <w:bookmarkStart w:id="131" w:name="_Toc103543861"/>
      <w:bookmarkStart w:id="132" w:name="_Toc104985185"/>
      <w:bookmarkEnd w:id="129"/>
      <w:r w:rsidRPr="00051297">
        <w:t>Antecedent Moisture Condition</w:t>
      </w:r>
      <w:bookmarkEnd w:id="130"/>
      <w:bookmarkEnd w:id="131"/>
      <w:bookmarkEnd w:id="132"/>
    </w:p>
    <w:p w14:paraId="74E31328" w14:textId="050AAE53" w:rsidR="00051297" w:rsidRPr="00051297" w:rsidRDefault="00051297" w:rsidP="00051297">
      <w:pPr>
        <w:rPr>
          <w:rFonts w:cs="Times New Roman"/>
          <w:szCs w:val="24"/>
        </w:rPr>
      </w:pPr>
      <w:r w:rsidRPr="00051297">
        <w:rPr>
          <w:rFonts w:cs="Times New Roman"/>
          <w:szCs w:val="24"/>
          <w:lang w:val="en-US"/>
        </w:rPr>
        <w:t xml:space="preserve">The gauge of </w:t>
      </w:r>
      <w:r w:rsidR="004C59A5">
        <w:rPr>
          <w:rFonts w:cs="Times New Roman"/>
          <w:szCs w:val="24"/>
          <w:lang w:val="en-US"/>
        </w:rPr>
        <w:t xml:space="preserve">surface </w:t>
      </w:r>
      <w:r w:rsidRPr="00051297">
        <w:rPr>
          <w:rFonts w:cs="Times New Roman"/>
          <w:szCs w:val="24"/>
          <w:lang w:val="en-US"/>
        </w:rPr>
        <w:t xml:space="preserve">runoff </w:t>
      </w:r>
      <w:r w:rsidR="004C59A5" w:rsidRPr="00051297">
        <w:rPr>
          <w:rFonts w:cs="Times New Roman"/>
          <w:szCs w:val="24"/>
          <w:lang w:val="en-US"/>
        </w:rPr>
        <w:t>beforehand</w:t>
      </w:r>
      <w:r w:rsidRPr="00051297">
        <w:rPr>
          <w:rFonts w:cs="Times New Roman"/>
          <w:szCs w:val="24"/>
          <w:lang w:val="en-US"/>
        </w:rPr>
        <w:t xml:space="preserve"> a storm is called the </w:t>
      </w:r>
      <w:bookmarkStart w:id="133" w:name="_Hlk97947628"/>
      <w:r w:rsidRPr="00051297">
        <w:rPr>
          <w:rFonts w:cs="Times New Roman"/>
          <w:szCs w:val="24"/>
          <w:lang w:val="en-US"/>
        </w:rPr>
        <w:t>antecedent moisture condition (AMC)</w:t>
      </w:r>
      <w:bookmarkEnd w:id="133"/>
      <w:r w:rsidRPr="00051297">
        <w:rPr>
          <w:rFonts w:cs="Times New Roman"/>
          <w:szCs w:val="24"/>
          <w:lang w:val="en-US"/>
        </w:rPr>
        <w:t xml:space="preserve">. Because the AMC takes into consideration the degree of soil saturation at the start of a rainstorm, the CN must be altered to reflect more accurate runoff conditions. All of the numbers in </w:t>
      </w:r>
      <w:r w:rsidRPr="00051297">
        <w:rPr>
          <w:rFonts w:cs="Times New Roman"/>
          <w:szCs w:val="24"/>
          <w:lang w:val="en-US"/>
        </w:rPr>
        <w:fldChar w:fldCharType="begin"/>
      </w:r>
      <w:r w:rsidRPr="00051297">
        <w:rPr>
          <w:rFonts w:cs="Times New Roman"/>
          <w:szCs w:val="24"/>
          <w:lang w:val="en-US"/>
        </w:rPr>
        <w:instrText xml:space="preserve"> REF _Ref98102515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1</w:t>
      </w:r>
      <w:r w:rsidR="004870F1" w:rsidRPr="00051297">
        <w:rPr>
          <w:rFonts w:cs="Times New Roman"/>
          <w:szCs w:val="24"/>
          <w:lang w:val="en-US" w:bidi="en-US"/>
        </w:rPr>
        <w:t>.</w:t>
      </w:r>
      <w:r w:rsidR="004870F1">
        <w:rPr>
          <w:rFonts w:cs="Times New Roman"/>
          <w:noProof/>
          <w:szCs w:val="24"/>
          <w:lang w:val="en-US" w:bidi="en-US"/>
        </w:rPr>
        <w:t>5</w:t>
      </w:r>
      <w:r w:rsidRPr="00051297">
        <w:rPr>
          <w:rFonts w:cs="Times New Roman"/>
          <w:szCs w:val="24"/>
          <w:lang w:val="en-US"/>
        </w:rPr>
        <w:fldChar w:fldCharType="end"/>
      </w:r>
      <w:r w:rsidRPr="00051297">
        <w:rPr>
          <w:rFonts w:cs="Times New Roman"/>
          <w:szCs w:val="24"/>
          <w:lang w:val="en-US"/>
        </w:rPr>
        <w:t xml:space="preserve"> and </w:t>
      </w:r>
      <w:r w:rsidRPr="00051297">
        <w:rPr>
          <w:rFonts w:cs="Times New Roman"/>
          <w:szCs w:val="24"/>
          <w:lang w:val="en-US"/>
        </w:rPr>
        <w:fldChar w:fldCharType="begin"/>
      </w:r>
      <w:r w:rsidRPr="00051297">
        <w:rPr>
          <w:rFonts w:cs="Times New Roman"/>
          <w:szCs w:val="24"/>
          <w:lang w:val="en-US"/>
        </w:rPr>
        <w:instrText xml:space="preserve"> REF _Ref98102690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1</w:t>
      </w:r>
      <w:r w:rsidR="004870F1" w:rsidRPr="00051297">
        <w:rPr>
          <w:rFonts w:cs="Times New Roman"/>
          <w:szCs w:val="24"/>
          <w:lang w:val="en-US" w:bidi="en-US"/>
        </w:rPr>
        <w:t>.</w:t>
      </w:r>
      <w:r w:rsidR="004870F1">
        <w:rPr>
          <w:rFonts w:cs="Times New Roman"/>
          <w:noProof/>
          <w:szCs w:val="24"/>
          <w:lang w:val="en-US" w:bidi="en-US"/>
        </w:rPr>
        <w:t>6</w:t>
      </w:r>
      <w:r w:rsidRPr="00051297">
        <w:rPr>
          <w:rFonts w:cs="Times New Roman"/>
          <w:szCs w:val="24"/>
          <w:lang w:val="en-US"/>
        </w:rPr>
        <w:fldChar w:fldCharType="end"/>
      </w:r>
      <w:r w:rsidRPr="00051297">
        <w:rPr>
          <w:rFonts w:cs="Times New Roman"/>
          <w:szCs w:val="24"/>
          <w:lang w:val="en-US"/>
        </w:rPr>
        <w:t xml:space="preserve"> are AMC II (median moisture conditions) and should be used for design purposes. If necessary, AMC I (dry circumstances) and AMC III (wet conditions) adjustments can be made </w:t>
      </w:r>
      <w:r w:rsidRPr="00051297">
        <w:rPr>
          <w:rFonts w:cs="Times New Roman"/>
          <w:szCs w:val="24"/>
        </w:rPr>
        <w:fldChar w:fldCharType="begin" w:fldLock="1"/>
      </w:r>
      <w:r w:rsidR="00FA5896">
        <w:rPr>
          <w:rFonts w:cs="Times New Roman"/>
          <w:szCs w:val="24"/>
          <w:lang w:val="en-US"/>
        </w:rPr>
        <w:instrText>ADDIN CSL_CITATION {"citationItems":[{"id":"ITEM-1","itemData":{"DOI":"10.1016/j.ejrh.2019.100629","ISSN":"22145818","abstract":"Study region: This study region is the Napa River basin in California whose antecedent soil moisture states and precipitation magnitudes are primary drivers to occur extreme floods. Study focus: This study assessed the influence of antecedent moisture condition on flood frequency, based on an experimental application scheme and pre-processing. For this purpose, T-year flood simulations were conducted using a distributed hydrologic model. Distributed precipitation patterns which have an amount of precipitation corresponding to a specific T-year return period were generated by representative radar-based precipitation fields and precipitation frequency analysis. Dry, normal, and wet of antecedent moisture condition were applied to each T-year flood simulation to reflect variable initial soil moisture states. New hydrological insights for the region: The relationship among flood frequency, antecedent moisture condition, and precipitation frequency was derived for a specific target storm event. For normal antecedent moisture states, the relation showed that T-year precipitation could generate floods having return intervals nearly identical to those derived using gage records. For saturated soil conditions, a 7-year precipitation event could trigger a 100-year flood. Conversely, a 200-year precipitation event with dry soil conditions might generate only a 15-year flood event. The results emphasize the importance of soil moisture to flood runoff and suggest that soil-moisture monitoring could aid in improving flood forecasting.","author":[{"dropping-particle":"","family":"Kim","given":"Jungho","non-dropping-particle":"","parse-names":false,"suffix":""},{"dropping-particle":"","family":"Johnson","given":"Lynn","non-dropping-particle":"","parse-names":false,"suffix":""},{"dropping-particle":"","family":"Cifelli","given":"Rob","non-dropping-particle":"","parse-names":false,"suffix":""},{"dropping-particle":"","family":"Thorstensen","given":"Andrea","non-dropping-particle":"","parse-names":false,"suffix":""},{"dropping-particle":"","family":"Chandrasekar","given":"V.","non-dropping-particle":"","parse-names":false,"suffix":""}],"container-title":"Journal of Hydrology: Regional Studies","id":"ITEM-1","issued":{"date-parts":[["2019","12"]]},"page":"100629","title":"Assessment of antecedent moisture condition on flood frequency: An experimental study in Napa River Basin, CA","type":"article-journal","volume":"26"},"uris":["http://www.mendeley.com/documents/?uuid=7bc7e3ed-a684-4b15-8ebc-615cc50c825f","http://www.mendeley.com/documents/?uuid=db6e859f-9c57-46fa-8c8e-c99769f84c92","http://www.mendeley.com/documents/?uuid=3ad1ae74-9001-45ee-93a9-d3a34ba49e5a"]}],"mendeley":{"formattedCitation":"[102]","plainTextFormattedCitation":"[102]","previouslyFormattedCitation":"[102]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[102]</w:t>
      </w:r>
      <w:r w:rsidRPr="00051297">
        <w:rPr>
          <w:rFonts w:cs="Times New Roman"/>
          <w:szCs w:val="24"/>
        </w:rPr>
        <w:fldChar w:fldCharType="end"/>
      </w:r>
      <w:r w:rsidRPr="00051297">
        <w:rPr>
          <w:rFonts w:cs="Times New Roman"/>
          <w:szCs w:val="24"/>
        </w:rPr>
        <w:t>.</w:t>
      </w:r>
    </w:p>
    <w:p w14:paraId="4662ED3A" w14:textId="2A867D80" w:rsidR="00051297" w:rsidRPr="00051297" w:rsidRDefault="00051297" w:rsidP="0079595C">
      <w:pPr>
        <w:pStyle w:val="4"/>
      </w:pPr>
      <w:bookmarkStart w:id="134" w:name="_bookmark49"/>
      <w:bookmarkStart w:id="135" w:name="_bookmark50"/>
      <w:bookmarkStart w:id="136" w:name="_Toc97504729"/>
      <w:bookmarkStart w:id="137" w:name="_Toc103543862"/>
      <w:bookmarkStart w:id="138" w:name="_Toc104985186"/>
      <w:bookmarkEnd w:id="134"/>
      <w:bookmarkEnd w:id="135"/>
      <w:r w:rsidRPr="00051297">
        <w:t>Connected impervious areas</w:t>
      </w:r>
      <w:bookmarkEnd w:id="136"/>
      <w:bookmarkEnd w:id="137"/>
      <w:bookmarkEnd w:id="138"/>
    </w:p>
    <w:p w14:paraId="5C33A21C" w14:textId="77777777" w:rsidR="00051297" w:rsidRPr="00051297" w:rsidRDefault="00051297" w:rsidP="00051297">
      <w:pPr>
        <w:rPr>
          <w:rFonts w:cs="Times New Roman"/>
          <w:szCs w:val="24"/>
          <w:lang w:val="en-US"/>
        </w:rPr>
      </w:pPr>
      <w:r w:rsidRPr="00051297">
        <w:rPr>
          <w:rFonts w:cs="Times New Roman"/>
          <w:szCs w:val="24"/>
          <w:lang w:val="en-US"/>
        </w:rPr>
        <w:t xml:space="preserve">If runoff from an impermeable region runs directly into the drainage system, it is considered linked. If runoff from the land occurs as a concentrated shallow flow that flows over an impervious area and subsequently into the drainage system, it is also termed linked. </w:t>
      </w:r>
    </w:p>
    <w:p w14:paraId="43DEF66C" w14:textId="64CA7CDC" w:rsidR="00051297" w:rsidRPr="00051297" w:rsidRDefault="00051297" w:rsidP="0079595C">
      <w:pPr>
        <w:pStyle w:val="4"/>
      </w:pPr>
      <w:bookmarkStart w:id="139" w:name="_bookmark51"/>
      <w:bookmarkStart w:id="140" w:name="_Toc97504730"/>
      <w:bookmarkStart w:id="141" w:name="_Toc103543863"/>
      <w:bookmarkStart w:id="142" w:name="_Toc104985187"/>
      <w:bookmarkEnd w:id="139"/>
      <w:r w:rsidRPr="00051297">
        <w:t>Unconnected impervious areas</w:t>
      </w:r>
      <w:bookmarkEnd w:id="140"/>
      <w:bookmarkEnd w:id="141"/>
      <w:bookmarkEnd w:id="142"/>
    </w:p>
    <w:p w14:paraId="5BA05670" w14:textId="36EACCFC" w:rsidR="00051297" w:rsidRPr="00051297" w:rsidRDefault="00051297" w:rsidP="00051297">
      <w:pPr>
        <w:rPr>
          <w:rFonts w:cs="Times New Roman"/>
          <w:szCs w:val="24"/>
          <w:lang w:val="en-US"/>
        </w:rPr>
      </w:pPr>
      <w:r w:rsidRPr="00051297">
        <w:rPr>
          <w:rFonts w:cs="Times New Roman"/>
          <w:szCs w:val="24"/>
          <w:lang w:val="en-US"/>
        </w:rPr>
        <w:t xml:space="preserve">Sheet flow is the dispersion of runoff from unconnected impermeable regions over a pervious area. When the impervious land, in whole or in part, is not immediately connected to the drainage system, </w:t>
      </w:r>
      <w:r w:rsidRPr="00051297">
        <w:rPr>
          <w:rFonts w:cs="Times New Roman"/>
          <w:szCs w:val="24"/>
          <w:lang w:val="en-US"/>
        </w:rPr>
        <w:fldChar w:fldCharType="begin"/>
      </w:r>
      <w:r w:rsidRPr="00051297">
        <w:rPr>
          <w:rFonts w:cs="Times New Roman"/>
          <w:szCs w:val="24"/>
          <w:lang w:val="en-US"/>
        </w:rPr>
        <w:instrText xml:space="preserve"> REF _Ref98102796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2</w:t>
      </w:r>
      <w:r w:rsidRPr="00051297">
        <w:rPr>
          <w:rFonts w:cs="Times New Roman"/>
          <w:szCs w:val="24"/>
          <w:lang w:val="en-US"/>
        </w:rPr>
        <w:fldChar w:fldCharType="end"/>
      </w:r>
      <w:r w:rsidRPr="00051297">
        <w:rPr>
          <w:rFonts w:cs="Times New Roman"/>
          <w:szCs w:val="24"/>
          <w:lang w:val="en-US"/>
        </w:rPr>
        <w:t xml:space="preserve"> is used for runoff estimation (the total impervious area is less than 30%) or </w:t>
      </w:r>
      <w:r w:rsidRPr="00051297">
        <w:rPr>
          <w:rFonts w:cs="Times New Roman"/>
          <w:szCs w:val="24"/>
          <w:lang w:val="en-US"/>
        </w:rPr>
        <w:fldChar w:fldCharType="begin"/>
      </w:r>
      <w:r w:rsidRPr="00051297">
        <w:rPr>
          <w:rFonts w:cs="Times New Roman"/>
          <w:szCs w:val="24"/>
          <w:lang w:val="en-US"/>
        </w:rPr>
        <w:instrText xml:space="preserve"> REF _Ref98102810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3</w:t>
      </w:r>
      <w:r w:rsidRPr="00051297">
        <w:rPr>
          <w:rFonts w:cs="Times New Roman"/>
          <w:szCs w:val="24"/>
          <w:lang w:val="en-US"/>
        </w:rPr>
        <w:fldChar w:fldCharType="end"/>
      </w:r>
      <w:r w:rsidRPr="00051297">
        <w:rPr>
          <w:rFonts w:cs="Times New Roman"/>
          <w:szCs w:val="24"/>
          <w:lang w:val="en-US"/>
        </w:rPr>
        <w:t xml:space="preserve"> when the total impervious area is equal to or greater than 30%, because the remaining pervious areas' absorptive capacity will not significantly affect runoff </w:t>
      </w:r>
      <w:r w:rsidRPr="00051297">
        <w:rPr>
          <w:rFonts w:cs="Times New Roman"/>
          <w:szCs w:val="24"/>
        </w:rPr>
        <w:fldChar w:fldCharType="begin" w:fldLock="1"/>
      </w:r>
      <w:r w:rsidR="00FA5896">
        <w:rPr>
          <w:rFonts w:cs="Times New Roman"/>
          <w:szCs w:val="24"/>
          <w:lang w:val="en-US"/>
        </w:rPr>
        <w:instrText>ADDIN CSL_CITATION {"citationItems":[{"id":"ITEM-1","itemData":{"DOI":"10.1061/(ASCE)HE.1943-5584.0001610","ISSN":"1084-0699","abstract":"© 2017 American Society of Civil Engineers. Impervious surfaces have long been recognized as one of the critical factors influencing the rainfall-runoff relationship in urban areas. Published guidance on how to treat urban imperviousness in hydrologic simulations varies, and few studies exist for the southwestern United States. In recent years, small-storm hydrology has become increasingly important to support water quality evaluations. Methods developed for large, infrequent storms are often applied to simulate runoff from smaller rain events, with questionable results. To test the impact of imperviousness on small-storm runoff, impervious cover in a 1.5-km2 urban basin in central New Mexico was mapped and differentiated into directly connected impervious areas (DCIAs) and unconnected impervious areas (UIAs) that are separated from the drainage system by a pervious buffer. Measured runoff from 25 small-magnitude storms was compared to model scenarios with varying treatment of imperviousness. Simulation results revealed that during small rain events, all runoff originated from DCIAs, while UIAs contributed no flow. For this particular basin with 28% DCIAs and 16% UIAs, losses from UIAs approached a constant value of approximately 4 mm. Findings were applied to a 142-km2 watershed to assess model performance for larger storms. The impact of losses from UIAs on the runoff response decreased with increasing storm magnitude. This study presents a modeling approach for DCIAs and UIAs that increased accuracy for small runoff events in urban areas without negatively affecting model performance for larger storms. Use of this method can improve model predictions, particularly when hydrologic simulations built with flood control in mind are used to assess the impact of more frequent storm events.","author":[{"dropping-particle":"","family":"Schoener","given":"Gerhard","non-dropping-particle":"","parse-names":false,"suffix":""}],"container-title":"Journal of Hydrologic Engineering","id":"ITEM-1","issue":"2","issued":{"date-parts":[["2018","2"]]},"page":"05017033","title":"Urban Runoff in the U.S. Southwest: Importance of Impervious Surfaces for Small-Storm Hydrology","type":"article-journal","volume":"23"},"uris":["http://www.mendeley.com/documents/?uuid=f2422170-a8bb-41be-95b9-c4e7230b1e7c","http://www.mendeley.com/documents/?uuid=ef452a28-79f6-42bf-886b-a770d85806c9","http://www.mendeley.com/documents/?uuid=3e5144d6-1912-465d-a4c5-ca634973a3c4"]}],"mendeley":{"formattedCitation":"[103]","plainTextFormattedCitation":"[103]","previouslyFormattedCitation":"[103]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[103]</w:t>
      </w:r>
      <w:r w:rsidRPr="00051297">
        <w:rPr>
          <w:rFonts w:cs="Times New Roman"/>
          <w:szCs w:val="24"/>
        </w:rPr>
        <w:fldChar w:fldCharType="end"/>
      </w:r>
      <w:r w:rsidRPr="00051297">
        <w:rPr>
          <w:rFonts w:cs="Times New Roman"/>
          <w:szCs w:val="24"/>
          <w:lang w:val="en-US"/>
        </w:rPr>
        <w:t xml:space="preserve">. </w:t>
      </w:r>
    </w:p>
    <w:p w14:paraId="3120F249" w14:textId="33C16502" w:rsidR="00051297" w:rsidRPr="00051297" w:rsidRDefault="00051297" w:rsidP="00051297">
      <w:pPr>
        <w:rPr>
          <w:rFonts w:cs="Times New Roman"/>
          <w:szCs w:val="24"/>
        </w:rPr>
      </w:pPr>
      <w:r w:rsidRPr="00051297">
        <w:rPr>
          <w:rFonts w:cs="Times New Roman"/>
          <w:szCs w:val="24"/>
          <w:lang w:val="en-US"/>
        </w:rPr>
        <w:t xml:space="preserve">As previously mentioned, </w:t>
      </w:r>
      <w:r w:rsidRPr="00051297">
        <w:rPr>
          <w:rFonts w:cs="Times New Roman"/>
          <w:szCs w:val="24"/>
          <w:lang w:val="en-US"/>
        </w:rPr>
        <w:fldChar w:fldCharType="begin"/>
      </w:r>
      <w:r w:rsidRPr="00051297">
        <w:rPr>
          <w:rFonts w:cs="Times New Roman"/>
          <w:szCs w:val="24"/>
          <w:lang w:val="en-US"/>
        </w:rPr>
        <w:instrText xml:space="preserve"> REF _Ref98102515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1</w:t>
      </w:r>
      <w:r w:rsidR="004870F1" w:rsidRPr="00051297">
        <w:rPr>
          <w:rFonts w:cs="Times New Roman"/>
          <w:szCs w:val="24"/>
          <w:lang w:val="en-US" w:bidi="en-US"/>
        </w:rPr>
        <w:t>.</w:t>
      </w:r>
      <w:r w:rsidR="004870F1">
        <w:rPr>
          <w:rFonts w:cs="Times New Roman"/>
          <w:noProof/>
          <w:szCs w:val="24"/>
          <w:lang w:val="en-US" w:bidi="en-US"/>
        </w:rPr>
        <w:t>5</w:t>
      </w:r>
      <w:r w:rsidRPr="00051297">
        <w:rPr>
          <w:rFonts w:cs="Times New Roman"/>
          <w:szCs w:val="24"/>
          <w:lang w:val="en-US"/>
        </w:rPr>
        <w:fldChar w:fldCharType="end"/>
      </w:r>
      <w:r w:rsidRPr="00051297">
        <w:rPr>
          <w:rFonts w:cs="Times New Roman"/>
          <w:szCs w:val="24"/>
          <w:lang w:val="en-US"/>
        </w:rPr>
        <w:t xml:space="preserve"> shows some estimated impervious area percentages</w:t>
      </w:r>
      <w:r w:rsidRPr="00051297">
        <w:rPr>
          <w:lang w:val="en-US"/>
        </w:rPr>
        <w:t xml:space="preserve"> </w:t>
      </w:r>
      <w:r w:rsidRPr="00051297">
        <w:rPr>
          <w:rFonts w:cs="Times New Roman"/>
          <w:szCs w:val="24"/>
          <w:lang w:val="en-US"/>
        </w:rPr>
        <w:t xml:space="preserve">for urban areas, while </w:t>
      </w:r>
      <w:r w:rsidRPr="00051297">
        <w:rPr>
          <w:rFonts w:cs="Times New Roman"/>
          <w:szCs w:val="24"/>
          <w:lang w:val="en-US"/>
        </w:rPr>
        <w:fldChar w:fldCharType="begin"/>
      </w:r>
      <w:r w:rsidRPr="00051297">
        <w:rPr>
          <w:rFonts w:cs="Times New Roman"/>
          <w:szCs w:val="24"/>
          <w:lang w:val="en-US"/>
        </w:rPr>
        <w:instrText xml:space="preserve"> REF _Ref98102690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1</w:t>
      </w:r>
      <w:r w:rsidR="004870F1" w:rsidRPr="00051297">
        <w:rPr>
          <w:rFonts w:cs="Times New Roman"/>
          <w:szCs w:val="24"/>
          <w:lang w:val="en-US" w:bidi="en-US"/>
        </w:rPr>
        <w:t>.</w:t>
      </w:r>
      <w:r w:rsidR="004870F1">
        <w:rPr>
          <w:rFonts w:cs="Times New Roman"/>
          <w:noProof/>
          <w:szCs w:val="24"/>
          <w:lang w:val="en-US" w:bidi="en-US"/>
        </w:rPr>
        <w:t>6</w:t>
      </w:r>
      <w:r w:rsidRPr="00051297">
        <w:rPr>
          <w:rFonts w:cs="Times New Roman"/>
          <w:szCs w:val="24"/>
          <w:lang w:val="en-US"/>
        </w:rPr>
        <w:fldChar w:fldCharType="end"/>
      </w:r>
      <w:r w:rsidRPr="00051297">
        <w:rPr>
          <w:rFonts w:cs="Times New Roman"/>
          <w:szCs w:val="24"/>
          <w:lang w:val="en-US"/>
        </w:rPr>
        <w:t xml:space="preserve"> shows some estimated impervious area percentages for non-urban areas </w:t>
      </w:r>
      <w:r w:rsidRPr="00051297">
        <w:rPr>
          <w:rFonts w:cs="Times New Roman"/>
          <w:szCs w:val="24"/>
        </w:rPr>
        <w:fldChar w:fldCharType="begin" w:fldLock="1"/>
      </w:r>
      <w:r w:rsidR="00FA5896">
        <w:rPr>
          <w:rFonts w:cs="Times New Roman"/>
          <w:szCs w:val="24"/>
          <w:lang w:val="en-US"/>
        </w:rPr>
        <w:instrText>ADDIN CSL_CITATION {"citationItems":[{"id":"ITEM-1","itemData":{"DOI":"10.3390/w9090696","ISSN":"20734441","abstract":"The existence of impervious areas is one of the most distinguishing characteristics of urban catchments. They decrease infiltration and increase direct runoffin urban catchments. The recent introduction of green infrastructure in urban catchments for the purpose of sustainable development has contributed to the decrease in directly connected impervious areas (DCIA) by isolating existing impervious areas, and consequently, has also contributed to flood risk mitigation. This study coupled the width function-based instantaneous hydrograph (WFIUH), which is able to handle the spatial distribution of the impervious areas, with the concept of the DCIA to assess the impact of decreasing DCIA on the shape of direct runoffhydrographs. Using several scenarios for typical green infrastructure and the corresponding changes of DCIA for a test catchment in Seoul, South Korea, this study evaluated the effect of green infrastructure on the shape of the resulting direct runoffhydrographs and reducing peak flows. The results showed that the changes in the DCIA immediately affect the shape of the direct runoffhydrograph, and decrease peak flows by up to 12% depending on spatial implementation scenarios in the test catchment. This study demonstrates the importance of the DCIA concept for the evaluation of green infrastructures in urban catchments, enabling quantitative assessment of the spatial distribution of impervious areas, and also changes to the DCIA by various types of green infrastructure. The results of this study also suggest that more effective and well-planned green infrastructures could be introduced in urban environments for the purpose of flood risk management.","author":[{"dropping-particle":"","family":"Hwang","given":"Junshik","non-dropping-particle":"","parse-names":false,"suffix":""},{"dropping-particle":"","family":"Rhee","given":"Dong Sop","non-dropping-particle":"","parse-names":false,"suffix":""},{"dropping-particle":"","family":"Seo","given":"Yongwon","non-dropping-particle":"","parse-names":false,"suffix":""}],"container-title":"Water (Switzerland)","id":"ITEM-1","issued":{"date-parts":[["2017"]]},"title":"Implication of directly connected impervious areas to the mitigation of peak flows in urban catchments","type":"article-journal"},"uris":["http://www.mendeley.com/documents/?uuid=a6fcd3b9-8468-44e0-95d0-b6ac8480f72a","http://www.mendeley.com/documents/?uuid=042a2257-95cb-45fa-8d64-02bac878fc9b","http://www.mendeley.com/documents/?uuid=6a46594e-5285-41db-b760-4e1817aa67c8"]}],"mendeley":{"formattedCitation":"[104]","plainTextFormattedCitation":"[104]","previouslyFormattedCitation":"[104]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[104]</w:t>
      </w:r>
      <w:r w:rsidRPr="00051297">
        <w:rPr>
          <w:rFonts w:cs="Times New Roman"/>
          <w:szCs w:val="24"/>
        </w:rPr>
        <w:fldChar w:fldCharType="end"/>
      </w:r>
      <w:r w:rsidRPr="00051297">
        <w:rPr>
          <w:rFonts w:cs="Times New Roman"/>
          <w:szCs w:val="24"/>
        </w:rPr>
        <w:t xml:space="preserve">. </w:t>
      </w:r>
    </w:p>
    <w:p w14:paraId="57FBAE10" w14:textId="11D62A89" w:rsidR="00051297" w:rsidRPr="00051297" w:rsidRDefault="00051297" w:rsidP="00051297">
      <w:pPr>
        <w:rPr>
          <w:rFonts w:cs="Times New Roman"/>
          <w:szCs w:val="24"/>
          <w:lang w:val="en-US" w:bidi="en-US"/>
        </w:rPr>
      </w:pPr>
      <w:bookmarkStart w:id="143" w:name="_bookmark52"/>
      <w:bookmarkStart w:id="144" w:name="_Ref98102515"/>
      <w:bookmarkStart w:id="145" w:name="_Toc104985562"/>
      <w:bookmarkStart w:id="146" w:name="_Toc97077186"/>
      <w:bookmarkStart w:id="147" w:name="_Toc103544236"/>
      <w:bookmarkEnd w:id="143"/>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1</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5</w:t>
      </w:r>
      <w:r w:rsidRPr="00051297">
        <w:rPr>
          <w:rFonts w:cs="Times New Roman"/>
          <w:szCs w:val="24"/>
          <w:lang w:val="en-US" w:bidi="en-US"/>
        </w:rPr>
        <w:fldChar w:fldCharType="end"/>
      </w:r>
      <w:bookmarkEnd w:id="144"/>
      <w:r w:rsidRPr="00051297">
        <w:rPr>
          <w:rFonts w:cs="Times New Roman"/>
          <w:szCs w:val="24"/>
          <w:lang w:val="en-US" w:bidi="en-US"/>
        </w:rPr>
        <w:t xml:space="preserve"> – Runoff Curve Numbers  for urban areas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{"citationItems":[{"id":"ITEM-1","itemData":{"ISBN":"220564635","ISSN":"0001-2351","PMID":"9100593","abstract":"nical Release 55 (TR-55) presents simplified procedures to calculate storm runoff volume, peak rate of discharge, hydrographs, and storage volumes required for floodwater reservoirs. These procedures are applicable in small watersheds, especially urbanizing watersheds, in the United States. Limits: NRCS type distributions, 24-hour duration rainfall, 10 subwatersheds, minimum 0.1 hour and maximum 10-hour time of concentration.","author":[{"dropping-particle":"","family":"NRCS","given":"","non-dropping-particle":"","parse-names":false,"suffix":""}],"container-title":"USDA Natural Resource Conservation Service Conservation Engeneering Division Technical Release 55","id":"ITEM-1","issued":{"date-parts":[["1986"]]},"title":"Urban Hydrology for Small Watersheds TR-55NRCS. (1986). Urban Hydrology for Small Watersheds TR-55. USDA Natural Resource Conservation Service Conservation Engeneering Division Technical Release 55. http://doi.org/Technical Release 55","type":"report"},"uris":["http://www.mendeley.com/documents/?uuid=a6428534-bbc0-4952-8a4c-fde80a48639b","http://www.mendeley.com/documents/?uuid=56bff0af-9efa-4f11-a193-43783f743fdb"]}],"mendeley":{"formattedCitation":"[92]","plainTextFormattedCitation":"[92]","previouslyFormattedCitation":"[92]"},"properties":{"noteIndex":0},"schema":"https://github.com/citation-style-language/schema/raw/master/csl-citation.json"}</w:instrText>
      </w:r>
      <w:r w:rsidRPr="00051297">
        <w:rPr>
          <w:rFonts w:cs="Times New Roman"/>
          <w:szCs w:val="24"/>
          <w:lang w:val="en-US" w:bidi="en-US"/>
        </w:rPr>
        <w:fldChar w:fldCharType="separate"/>
      </w:r>
      <w:bookmarkEnd w:id="146"/>
      <w:bookmarkEnd w:id="147"/>
      <w:r w:rsidR="0032684D" w:rsidRPr="0032684D">
        <w:rPr>
          <w:rFonts w:cs="Times New Roman"/>
          <w:noProof/>
          <w:szCs w:val="24"/>
          <w:lang w:val="en-US" w:bidi="en-US"/>
        </w:rPr>
        <w:t>[92]</w:t>
      </w:r>
      <w:bookmarkEnd w:id="145"/>
      <w:r w:rsidRPr="00051297">
        <w:rPr>
          <w:rFonts w:cs="Times New Roman"/>
          <w:szCs w:val="24"/>
          <w:lang w:val="en-US" w:bidi="en-US"/>
        </w:rPr>
        <w:fldChar w:fldCharType="end"/>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833"/>
        <w:gridCol w:w="1625"/>
        <w:gridCol w:w="478"/>
        <w:gridCol w:w="477"/>
        <w:gridCol w:w="477"/>
        <w:gridCol w:w="470"/>
      </w:tblGrid>
      <w:tr w:rsidR="00051297" w:rsidRPr="00425C78" w14:paraId="15C95071" w14:textId="77777777" w:rsidTr="004370EF">
        <w:trPr>
          <w:trHeight w:val="457"/>
          <w:jc w:val="center"/>
        </w:trPr>
        <w:tc>
          <w:tcPr>
            <w:tcW w:w="7458" w:type="dxa"/>
            <w:gridSpan w:val="2"/>
            <w:vAlign w:val="center"/>
          </w:tcPr>
          <w:p w14:paraId="6D5189F4"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Definition of cover</w:t>
            </w:r>
          </w:p>
        </w:tc>
        <w:tc>
          <w:tcPr>
            <w:tcW w:w="1902" w:type="dxa"/>
            <w:gridSpan w:val="4"/>
            <w:vAlign w:val="center"/>
          </w:tcPr>
          <w:p w14:paraId="6C26564A"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CN for Hydrologic Soil Group</w:t>
            </w:r>
          </w:p>
        </w:tc>
      </w:tr>
      <w:tr w:rsidR="00051297" w:rsidRPr="004370EF" w14:paraId="186988DE" w14:textId="77777777" w:rsidTr="00D20B01">
        <w:trPr>
          <w:trHeight w:val="710"/>
          <w:jc w:val="center"/>
        </w:trPr>
        <w:tc>
          <w:tcPr>
            <w:tcW w:w="5833" w:type="dxa"/>
            <w:vAlign w:val="center"/>
          </w:tcPr>
          <w:p w14:paraId="671FC6C1"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Type of cover</w:t>
            </w:r>
          </w:p>
        </w:tc>
        <w:tc>
          <w:tcPr>
            <w:tcW w:w="1625" w:type="dxa"/>
            <w:vAlign w:val="center"/>
          </w:tcPr>
          <w:p w14:paraId="4918D3CC" w14:textId="77777777" w:rsidR="00051297" w:rsidRPr="004370EF" w:rsidRDefault="00051297" w:rsidP="00051297">
            <w:pPr>
              <w:spacing w:line="240" w:lineRule="auto"/>
              <w:ind w:firstLine="0"/>
              <w:jc w:val="center"/>
              <w:rPr>
                <w:sz w:val="20"/>
                <w:szCs w:val="20"/>
                <w:vertAlign w:val="superscript"/>
                <w:lang w:val="en-US"/>
              </w:rPr>
            </w:pPr>
            <w:r w:rsidRPr="004370EF">
              <w:rPr>
                <w:sz w:val="20"/>
                <w:szCs w:val="20"/>
                <w:lang w:val="en-US"/>
              </w:rPr>
              <w:t xml:space="preserve">Percentage of impervious area on average </w:t>
            </w:r>
            <w:r w:rsidRPr="004370EF">
              <w:rPr>
                <w:sz w:val="20"/>
                <w:szCs w:val="20"/>
                <w:vertAlign w:val="superscript"/>
                <w:lang w:val="en-US"/>
              </w:rPr>
              <w:t>3</w:t>
            </w:r>
          </w:p>
        </w:tc>
        <w:tc>
          <w:tcPr>
            <w:tcW w:w="478" w:type="dxa"/>
            <w:vAlign w:val="center"/>
          </w:tcPr>
          <w:p w14:paraId="58821259" w14:textId="77777777" w:rsidR="00051297" w:rsidRPr="004370EF" w:rsidRDefault="00051297" w:rsidP="00051297">
            <w:pPr>
              <w:spacing w:line="240" w:lineRule="auto"/>
              <w:ind w:firstLine="0"/>
              <w:jc w:val="center"/>
              <w:rPr>
                <w:sz w:val="20"/>
                <w:szCs w:val="20"/>
                <w:lang w:val="en-US"/>
              </w:rPr>
            </w:pPr>
          </w:p>
          <w:p w14:paraId="1106C6FD"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A</w:t>
            </w:r>
          </w:p>
        </w:tc>
        <w:tc>
          <w:tcPr>
            <w:tcW w:w="477" w:type="dxa"/>
            <w:vAlign w:val="center"/>
          </w:tcPr>
          <w:p w14:paraId="4C0C858B" w14:textId="77777777" w:rsidR="00051297" w:rsidRPr="004370EF" w:rsidRDefault="00051297" w:rsidP="00051297">
            <w:pPr>
              <w:spacing w:line="240" w:lineRule="auto"/>
              <w:ind w:firstLine="0"/>
              <w:jc w:val="center"/>
              <w:rPr>
                <w:sz w:val="20"/>
                <w:szCs w:val="20"/>
                <w:lang w:val="en-US"/>
              </w:rPr>
            </w:pPr>
          </w:p>
          <w:p w14:paraId="176BF0BA"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B</w:t>
            </w:r>
          </w:p>
        </w:tc>
        <w:tc>
          <w:tcPr>
            <w:tcW w:w="477" w:type="dxa"/>
            <w:vAlign w:val="center"/>
          </w:tcPr>
          <w:p w14:paraId="22FED122" w14:textId="77777777" w:rsidR="00051297" w:rsidRPr="004370EF" w:rsidRDefault="00051297" w:rsidP="00051297">
            <w:pPr>
              <w:spacing w:line="240" w:lineRule="auto"/>
              <w:ind w:firstLine="0"/>
              <w:jc w:val="center"/>
              <w:rPr>
                <w:sz w:val="20"/>
                <w:szCs w:val="20"/>
                <w:lang w:val="en-US"/>
              </w:rPr>
            </w:pPr>
          </w:p>
          <w:p w14:paraId="24A9DCB8"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C</w:t>
            </w:r>
          </w:p>
        </w:tc>
        <w:tc>
          <w:tcPr>
            <w:tcW w:w="470" w:type="dxa"/>
            <w:vAlign w:val="center"/>
          </w:tcPr>
          <w:p w14:paraId="238550BE" w14:textId="77777777" w:rsidR="00051297" w:rsidRPr="004370EF" w:rsidRDefault="00051297" w:rsidP="00051297">
            <w:pPr>
              <w:spacing w:line="240" w:lineRule="auto"/>
              <w:ind w:firstLine="0"/>
              <w:jc w:val="center"/>
              <w:rPr>
                <w:sz w:val="20"/>
                <w:szCs w:val="20"/>
                <w:lang w:val="en-US"/>
              </w:rPr>
            </w:pPr>
          </w:p>
          <w:p w14:paraId="4C7750F4"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D</w:t>
            </w:r>
          </w:p>
        </w:tc>
      </w:tr>
      <w:tr w:rsidR="004370EF" w:rsidRPr="004370EF" w14:paraId="3D4C65E5" w14:textId="77777777" w:rsidTr="004370EF">
        <w:trPr>
          <w:trHeight w:val="262"/>
          <w:jc w:val="center"/>
        </w:trPr>
        <w:tc>
          <w:tcPr>
            <w:tcW w:w="5833" w:type="dxa"/>
            <w:vAlign w:val="center"/>
          </w:tcPr>
          <w:p w14:paraId="2CE8EB0F" w14:textId="36EDDF2E" w:rsidR="004370EF" w:rsidRPr="004370EF" w:rsidRDefault="004370EF" w:rsidP="00051297">
            <w:pPr>
              <w:spacing w:line="240" w:lineRule="auto"/>
              <w:ind w:firstLine="0"/>
              <w:jc w:val="center"/>
              <w:rPr>
                <w:sz w:val="20"/>
                <w:szCs w:val="20"/>
                <w:lang w:val="en-US"/>
              </w:rPr>
            </w:pPr>
            <w:r>
              <w:rPr>
                <w:sz w:val="20"/>
                <w:szCs w:val="20"/>
                <w:lang w:val="en-US"/>
              </w:rPr>
              <w:t>1</w:t>
            </w:r>
          </w:p>
        </w:tc>
        <w:tc>
          <w:tcPr>
            <w:tcW w:w="1625" w:type="dxa"/>
            <w:vAlign w:val="center"/>
          </w:tcPr>
          <w:p w14:paraId="7E8E68ED" w14:textId="5E97C226" w:rsidR="004370EF" w:rsidRPr="004370EF" w:rsidRDefault="004370EF" w:rsidP="00051297">
            <w:pPr>
              <w:spacing w:line="240" w:lineRule="auto"/>
              <w:ind w:firstLine="0"/>
              <w:jc w:val="center"/>
              <w:rPr>
                <w:sz w:val="20"/>
                <w:szCs w:val="20"/>
                <w:lang w:val="en-US"/>
              </w:rPr>
            </w:pPr>
            <w:r>
              <w:rPr>
                <w:sz w:val="20"/>
                <w:szCs w:val="20"/>
                <w:lang w:val="en-US"/>
              </w:rPr>
              <w:t>2</w:t>
            </w:r>
          </w:p>
        </w:tc>
        <w:tc>
          <w:tcPr>
            <w:tcW w:w="478" w:type="dxa"/>
            <w:vAlign w:val="center"/>
          </w:tcPr>
          <w:p w14:paraId="385C3B11" w14:textId="7F000EDB" w:rsidR="004370EF" w:rsidRPr="004370EF" w:rsidRDefault="004370EF" w:rsidP="00051297">
            <w:pPr>
              <w:spacing w:line="240" w:lineRule="auto"/>
              <w:ind w:firstLine="0"/>
              <w:jc w:val="center"/>
              <w:rPr>
                <w:sz w:val="20"/>
                <w:szCs w:val="20"/>
                <w:lang w:val="en-US"/>
              </w:rPr>
            </w:pPr>
            <w:r>
              <w:rPr>
                <w:sz w:val="20"/>
                <w:szCs w:val="20"/>
                <w:lang w:val="en-US"/>
              </w:rPr>
              <w:t>3</w:t>
            </w:r>
          </w:p>
        </w:tc>
        <w:tc>
          <w:tcPr>
            <w:tcW w:w="477" w:type="dxa"/>
            <w:vAlign w:val="center"/>
          </w:tcPr>
          <w:p w14:paraId="4552D577" w14:textId="4046ECB5" w:rsidR="004370EF" w:rsidRPr="004370EF" w:rsidRDefault="004370EF" w:rsidP="00051297">
            <w:pPr>
              <w:spacing w:line="240" w:lineRule="auto"/>
              <w:ind w:firstLine="0"/>
              <w:jc w:val="center"/>
              <w:rPr>
                <w:sz w:val="20"/>
                <w:szCs w:val="20"/>
                <w:lang w:val="en-US"/>
              </w:rPr>
            </w:pPr>
            <w:r>
              <w:rPr>
                <w:sz w:val="20"/>
                <w:szCs w:val="20"/>
                <w:lang w:val="en-US"/>
              </w:rPr>
              <w:t>4</w:t>
            </w:r>
          </w:p>
        </w:tc>
        <w:tc>
          <w:tcPr>
            <w:tcW w:w="477" w:type="dxa"/>
            <w:vAlign w:val="center"/>
          </w:tcPr>
          <w:p w14:paraId="15D40B5A" w14:textId="7BF3AD0C" w:rsidR="004370EF" w:rsidRPr="004370EF" w:rsidRDefault="004370EF" w:rsidP="00051297">
            <w:pPr>
              <w:spacing w:line="240" w:lineRule="auto"/>
              <w:ind w:firstLine="0"/>
              <w:jc w:val="center"/>
              <w:rPr>
                <w:sz w:val="20"/>
                <w:szCs w:val="20"/>
                <w:lang w:val="en-US"/>
              </w:rPr>
            </w:pPr>
            <w:r>
              <w:rPr>
                <w:sz w:val="20"/>
                <w:szCs w:val="20"/>
                <w:lang w:val="en-US"/>
              </w:rPr>
              <w:t>5</w:t>
            </w:r>
          </w:p>
        </w:tc>
        <w:tc>
          <w:tcPr>
            <w:tcW w:w="470" w:type="dxa"/>
            <w:vAlign w:val="center"/>
          </w:tcPr>
          <w:p w14:paraId="02C43C5D" w14:textId="4E42A8A2" w:rsidR="004370EF" w:rsidRPr="004370EF" w:rsidRDefault="004370EF" w:rsidP="00051297">
            <w:pPr>
              <w:spacing w:line="240" w:lineRule="auto"/>
              <w:ind w:firstLine="0"/>
              <w:jc w:val="center"/>
              <w:rPr>
                <w:sz w:val="20"/>
                <w:szCs w:val="20"/>
                <w:lang w:val="en-US"/>
              </w:rPr>
            </w:pPr>
            <w:r>
              <w:rPr>
                <w:sz w:val="20"/>
                <w:szCs w:val="20"/>
                <w:lang w:val="en-US"/>
              </w:rPr>
              <w:t>6</w:t>
            </w:r>
          </w:p>
        </w:tc>
      </w:tr>
    </w:tbl>
    <w:p w14:paraId="5FC0FD00" w14:textId="77777777" w:rsidR="004370EF" w:rsidRDefault="004370EF"/>
    <w:p w14:paraId="47799472" w14:textId="77777777" w:rsidR="004370EF" w:rsidRDefault="004370EF"/>
    <w:p w14:paraId="0DF964C2" w14:textId="137F347F" w:rsidR="004370EF" w:rsidRDefault="004370EF">
      <w:r>
        <w:rPr>
          <w:lang w:val="en-US"/>
        </w:rPr>
        <w:lastRenderedPageBreak/>
        <w:t>Continuation of table 1.5</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833"/>
        <w:gridCol w:w="1625"/>
        <w:gridCol w:w="478"/>
        <w:gridCol w:w="477"/>
        <w:gridCol w:w="477"/>
        <w:gridCol w:w="470"/>
      </w:tblGrid>
      <w:tr w:rsidR="004370EF" w:rsidRPr="004370EF" w14:paraId="48C532F4" w14:textId="77777777" w:rsidTr="00D20B01">
        <w:trPr>
          <w:trHeight w:val="227"/>
          <w:jc w:val="center"/>
        </w:trPr>
        <w:tc>
          <w:tcPr>
            <w:tcW w:w="5833" w:type="dxa"/>
            <w:vAlign w:val="center"/>
          </w:tcPr>
          <w:p w14:paraId="77DC0C3C" w14:textId="685522AD" w:rsidR="004370EF" w:rsidRPr="004370EF" w:rsidRDefault="004370EF" w:rsidP="004370EF">
            <w:pPr>
              <w:spacing w:line="240" w:lineRule="auto"/>
              <w:ind w:firstLine="0"/>
              <w:jc w:val="center"/>
              <w:rPr>
                <w:sz w:val="20"/>
                <w:szCs w:val="20"/>
                <w:lang w:val="en-US"/>
              </w:rPr>
            </w:pPr>
            <w:r>
              <w:rPr>
                <w:sz w:val="20"/>
                <w:szCs w:val="20"/>
                <w:lang w:val="en-US"/>
              </w:rPr>
              <w:t>1</w:t>
            </w:r>
          </w:p>
        </w:tc>
        <w:tc>
          <w:tcPr>
            <w:tcW w:w="1625" w:type="dxa"/>
            <w:vAlign w:val="center"/>
          </w:tcPr>
          <w:p w14:paraId="4FCE56A0" w14:textId="25202C27" w:rsidR="004370EF" w:rsidRPr="004370EF" w:rsidRDefault="004370EF" w:rsidP="004370EF">
            <w:pPr>
              <w:spacing w:line="240" w:lineRule="auto"/>
              <w:ind w:firstLine="0"/>
              <w:jc w:val="center"/>
              <w:rPr>
                <w:sz w:val="20"/>
                <w:szCs w:val="20"/>
                <w:lang w:val="en-US"/>
              </w:rPr>
            </w:pPr>
            <w:r>
              <w:rPr>
                <w:sz w:val="20"/>
                <w:szCs w:val="20"/>
                <w:lang w:val="en-US"/>
              </w:rPr>
              <w:t>2</w:t>
            </w:r>
          </w:p>
        </w:tc>
        <w:tc>
          <w:tcPr>
            <w:tcW w:w="478" w:type="dxa"/>
            <w:vAlign w:val="center"/>
          </w:tcPr>
          <w:p w14:paraId="39DE29A4" w14:textId="5E4A9DD2" w:rsidR="004370EF" w:rsidRPr="004370EF" w:rsidRDefault="004370EF" w:rsidP="004370EF">
            <w:pPr>
              <w:spacing w:line="240" w:lineRule="auto"/>
              <w:ind w:firstLine="0"/>
              <w:jc w:val="center"/>
              <w:rPr>
                <w:sz w:val="20"/>
                <w:szCs w:val="20"/>
                <w:lang w:val="en-US"/>
              </w:rPr>
            </w:pPr>
            <w:r>
              <w:rPr>
                <w:sz w:val="20"/>
                <w:szCs w:val="20"/>
                <w:lang w:val="en-US"/>
              </w:rPr>
              <w:t>3</w:t>
            </w:r>
          </w:p>
        </w:tc>
        <w:tc>
          <w:tcPr>
            <w:tcW w:w="477" w:type="dxa"/>
            <w:vAlign w:val="center"/>
          </w:tcPr>
          <w:p w14:paraId="1AF0598A" w14:textId="6F957055" w:rsidR="004370EF" w:rsidRPr="004370EF" w:rsidRDefault="004370EF" w:rsidP="004370EF">
            <w:pPr>
              <w:spacing w:line="240" w:lineRule="auto"/>
              <w:ind w:firstLine="0"/>
              <w:jc w:val="center"/>
              <w:rPr>
                <w:sz w:val="20"/>
                <w:szCs w:val="20"/>
                <w:lang w:val="en-US"/>
              </w:rPr>
            </w:pPr>
            <w:r>
              <w:rPr>
                <w:sz w:val="20"/>
                <w:szCs w:val="20"/>
                <w:lang w:val="en-US"/>
              </w:rPr>
              <w:t>4</w:t>
            </w:r>
          </w:p>
        </w:tc>
        <w:tc>
          <w:tcPr>
            <w:tcW w:w="477" w:type="dxa"/>
            <w:vAlign w:val="center"/>
          </w:tcPr>
          <w:p w14:paraId="11A7B843" w14:textId="53034E0F" w:rsidR="004370EF" w:rsidRPr="004370EF" w:rsidRDefault="004370EF" w:rsidP="004370EF">
            <w:pPr>
              <w:spacing w:line="240" w:lineRule="auto"/>
              <w:ind w:firstLine="0"/>
              <w:jc w:val="center"/>
              <w:rPr>
                <w:sz w:val="20"/>
                <w:szCs w:val="20"/>
                <w:lang w:val="en-US"/>
              </w:rPr>
            </w:pPr>
            <w:r>
              <w:rPr>
                <w:sz w:val="20"/>
                <w:szCs w:val="20"/>
                <w:lang w:val="en-US"/>
              </w:rPr>
              <w:t>5</w:t>
            </w:r>
          </w:p>
        </w:tc>
        <w:tc>
          <w:tcPr>
            <w:tcW w:w="470" w:type="dxa"/>
            <w:vAlign w:val="center"/>
          </w:tcPr>
          <w:p w14:paraId="6A548D7F" w14:textId="40D685EB" w:rsidR="004370EF" w:rsidRPr="004370EF" w:rsidRDefault="004370EF" w:rsidP="004370EF">
            <w:pPr>
              <w:spacing w:line="240" w:lineRule="auto"/>
              <w:ind w:firstLine="0"/>
              <w:jc w:val="center"/>
              <w:rPr>
                <w:sz w:val="20"/>
                <w:szCs w:val="20"/>
                <w:lang w:val="en-US"/>
              </w:rPr>
            </w:pPr>
            <w:r>
              <w:rPr>
                <w:sz w:val="20"/>
                <w:szCs w:val="20"/>
                <w:lang w:val="en-US"/>
              </w:rPr>
              <w:t>6</w:t>
            </w:r>
          </w:p>
        </w:tc>
      </w:tr>
      <w:tr w:rsidR="004370EF" w:rsidRPr="004370EF" w14:paraId="695DEFA7" w14:textId="77777777" w:rsidTr="00293891">
        <w:trPr>
          <w:trHeight w:val="227"/>
          <w:jc w:val="center"/>
        </w:trPr>
        <w:tc>
          <w:tcPr>
            <w:tcW w:w="9360" w:type="dxa"/>
            <w:gridSpan w:val="6"/>
            <w:vAlign w:val="center"/>
          </w:tcPr>
          <w:p w14:paraId="391803FE" w14:textId="7CCE9891" w:rsidR="004370EF" w:rsidRPr="004370EF" w:rsidRDefault="004370EF" w:rsidP="004370EF">
            <w:pPr>
              <w:spacing w:line="240" w:lineRule="auto"/>
              <w:ind w:firstLine="0"/>
              <w:jc w:val="center"/>
              <w:rPr>
                <w:sz w:val="20"/>
                <w:szCs w:val="20"/>
                <w:lang w:val="en-US"/>
              </w:rPr>
            </w:pPr>
            <w:r w:rsidRPr="004370EF">
              <w:rPr>
                <w:sz w:val="20"/>
                <w:szCs w:val="20"/>
                <w:lang w:val="en-US"/>
              </w:rPr>
              <w:t>Open Areas</w:t>
            </w:r>
          </w:p>
        </w:tc>
      </w:tr>
      <w:tr w:rsidR="004370EF" w:rsidRPr="004370EF" w14:paraId="21BA8604" w14:textId="77777777" w:rsidTr="00D20B01">
        <w:trPr>
          <w:trHeight w:val="227"/>
          <w:jc w:val="center"/>
        </w:trPr>
        <w:tc>
          <w:tcPr>
            <w:tcW w:w="5833" w:type="dxa"/>
            <w:vAlign w:val="center"/>
          </w:tcPr>
          <w:p w14:paraId="6889DEEE"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Relatively poor condition (grass cover less than 50%)</w:t>
            </w:r>
          </w:p>
        </w:tc>
        <w:tc>
          <w:tcPr>
            <w:tcW w:w="1625" w:type="dxa"/>
            <w:vAlign w:val="center"/>
          </w:tcPr>
          <w:p w14:paraId="0C3A50F7"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w:t>
            </w:r>
          </w:p>
        </w:tc>
        <w:tc>
          <w:tcPr>
            <w:tcW w:w="478" w:type="dxa"/>
            <w:vAlign w:val="center"/>
          </w:tcPr>
          <w:p w14:paraId="3440DAEA"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68</w:t>
            </w:r>
          </w:p>
        </w:tc>
        <w:tc>
          <w:tcPr>
            <w:tcW w:w="477" w:type="dxa"/>
            <w:vAlign w:val="center"/>
          </w:tcPr>
          <w:p w14:paraId="371B0BEA"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79</w:t>
            </w:r>
          </w:p>
        </w:tc>
        <w:tc>
          <w:tcPr>
            <w:tcW w:w="477" w:type="dxa"/>
            <w:vAlign w:val="center"/>
          </w:tcPr>
          <w:p w14:paraId="23A4DFBC"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86</w:t>
            </w:r>
          </w:p>
        </w:tc>
        <w:tc>
          <w:tcPr>
            <w:tcW w:w="470" w:type="dxa"/>
            <w:vAlign w:val="center"/>
          </w:tcPr>
          <w:p w14:paraId="0727ECF7"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89</w:t>
            </w:r>
          </w:p>
        </w:tc>
      </w:tr>
      <w:tr w:rsidR="004370EF" w:rsidRPr="004370EF" w14:paraId="57A78774" w14:textId="77777777" w:rsidTr="00D20B01">
        <w:trPr>
          <w:trHeight w:val="227"/>
          <w:jc w:val="center"/>
        </w:trPr>
        <w:tc>
          <w:tcPr>
            <w:tcW w:w="5833" w:type="dxa"/>
            <w:vAlign w:val="center"/>
          </w:tcPr>
          <w:p w14:paraId="0BB40978"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The surface occupied by grass cover ranging from 50% to 75% of the land is in fair condition</w:t>
            </w:r>
          </w:p>
        </w:tc>
        <w:tc>
          <w:tcPr>
            <w:tcW w:w="1625" w:type="dxa"/>
            <w:vAlign w:val="center"/>
          </w:tcPr>
          <w:p w14:paraId="14DBF50C"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w:t>
            </w:r>
          </w:p>
        </w:tc>
        <w:tc>
          <w:tcPr>
            <w:tcW w:w="478" w:type="dxa"/>
            <w:vAlign w:val="center"/>
          </w:tcPr>
          <w:p w14:paraId="55548687"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49</w:t>
            </w:r>
          </w:p>
        </w:tc>
        <w:tc>
          <w:tcPr>
            <w:tcW w:w="477" w:type="dxa"/>
            <w:vAlign w:val="center"/>
          </w:tcPr>
          <w:p w14:paraId="26B9D996"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69</w:t>
            </w:r>
          </w:p>
        </w:tc>
        <w:tc>
          <w:tcPr>
            <w:tcW w:w="477" w:type="dxa"/>
            <w:vAlign w:val="center"/>
          </w:tcPr>
          <w:p w14:paraId="42DD2296"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79</w:t>
            </w:r>
          </w:p>
        </w:tc>
        <w:tc>
          <w:tcPr>
            <w:tcW w:w="470" w:type="dxa"/>
            <w:vAlign w:val="center"/>
          </w:tcPr>
          <w:p w14:paraId="3884BF31"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84</w:t>
            </w:r>
          </w:p>
        </w:tc>
      </w:tr>
      <w:tr w:rsidR="004370EF" w:rsidRPr="004370EF" w14:paraId="3CC71878" w14:textId="77777777" w:rsidTr="00D20B01">
        <w:trPr>
          <w:trHeight w:val="227"/>
          <w:jc w:val="center"/>
        </w:trPr>
        <w:tc>
          <w:tcPr>
            <w:tcW w:w="5833" w:type="dxa"/>
            <w:vAlign w:val="center"/>
          </w:tcPr>
          <w:p w14:paraId="51044003" w14:textId="77777777" w:rsidR="004370EF" w:rsidRPr="004370EF" w:rsidRDefault="004370EF" w:rsidP="004370EF">
            <w:pPr>
              <w:spacing w:line="240" w:lineRule="auto"/>
              <w:ind w:firstLine="0"/>
              <w:jc w:val="center"/>
              <w:rPr>
                <w:sz w:val="20"/>
                <w:szCs w:val="20"/>
                <w:vertAlign w:val="superscript"/>
                <w:lang w:val="en-US"/>
              </w:rPr>
            </w:pPr>
            <w:r w:rsidRPr="004370EF">
              <w:rPr>
                <w:sz w:val="20"/>
                <w:szCs w:val="20"/>
                <w:lang w:val="en-US"/>
              </w:rPr>
              <w:t xml:space="preserve">75 % or more of the region has a decent grass cover </w:t>
            </w:r>
            <w:r w:rsidRPr="004370EF">
              <w:rPr>
                <w:sz w:val="20"/>
                <w:szCs w:val="20"/>
                <w:vertAlign w:val="superscript"/>
                <w:lang w:val="en-US"/>
              </w:rPr>
              <w:t>1</w:t>
            </w:r>
          </w:p>
        </w:tc>
        <w:tc>
          <w:tcPr>
            <w:tcW w:w="1625" w:type="dxa"/>
            <w:vAlign w:val="center"/>
          </w:tcPr>
          <w:p w14:paraId="2B1888E2"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w:t>
            </w:r>
          </w:p>
        </w:tc>
        <w:tc>
          <w:tcPr>
            <w:tcW w:w="478" w:type="dxa"/>
            <w:vAlign w:val="center"/>
          </w:tcPr>
          <w:p w14:paraId="67481F1D"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39</w:t>
            </w:r>
          </w:p>
        </w:tc>
        <w:tc>
          <w:tcPr>
            <w:tcW w:w="477" w:type="dxa"/>
            <w:vAlign w:val="center"/>
          </w:tcPr>
          <w:p w14:paraId="54DE93A5"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61</w:t>
            </w:r>
          </w:p>
        </w:tc>
        <w:tc>
          <w:tcPr>
            <w:tcW w:w="477" w:type="dxa"/>
            <w:vAlign w:val="center"/>
          </w:tcPr>
          <w:p w14:paraId="79D3014C"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74</w:t>
            </w:r>
          </w:p>
        </w:tc>
        <w:tc>
          <w:tcPr>
            <w:tcW w:w="470" w:type="dxa"/>
            <w:vAlign w:val="center"/>
          </w:tcPr>
          <w:p w14:paraId="2EE5B114"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80</w:t>
            </w:r>
          </w:p>
        </w:tc>
      </w:tr>
      <w:tr w:rsidR="004370EF" w:rsidRPr="004370EF" w14:paraId="24691EF9" w14:textId="77777777" w:rsidTr="00D20B01">
        <w:trPr>
          <w:trHeight w:val="237"/>
          <w:jc w:val="center"/>
        </w:trPr>
        <w:tc>
          <w:tcPr>
            <w:tcW w:w="9360" w:type="dxa"/>
            <w:gridSpan w:val="6"/>
            <w:vAlign w:val="center"/>
          </w:tcPr>
          <w:p w14:paraId="3D028305"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Areas that are impervious</w:t>
            </w:r>
          </w:p>
        </w:tc>
      </w:tr>
      <w:tr w:rsidR="004370EF" w:rsidRPr="004370EF" w14:paraId="1B336D24" w14:textId="77777777" w:rsidTr="00D20B01">
        <w:trPr>
          <w:trHeight w:val="227"/>
          <w:jc w:val="center"/>
        </w:trPr>
        <w:tc>
          <w:tcPr>
            <w:tcW w:w="5833" w:type="dxa"/>
            <w:vAlign w:val="center"/>
          </w:tcPr>
          <w:p w14:paraId="6FD60D39"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Paved parking lots, roofs, and driveways, among other things</w:t>
            </w:r>
          </w:p>
        </w:tc>
        <w:tc>
          <w:tcPr>
            <w:tcW w:w="1625" w:type="dxa"/>
            <w:vAlign w:val="center"/>
          </w:tcPr>
          <w:p w14:paraId="01C62A96"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w:t>
            </w:r>
          </w:p>
        </w:tc>
        <w:tc>
          <w:tcPr>
            <w:tcW w:w="478" w:type="dxa"/>
            <w:vAlign w:val="center"/>
          </w:tcPr>
          <w:p w14:paraId="2A5C7F1B"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98</w:t>
            </w:r>
          </w:p>
        </w:tc>
        <w:tc>
          <w:tcPr>
            <w:tcW w:w="477" w:type="dxa"/>
            <w:vAlign w:val="center"/>
          </w:tcPr>
          <w:p w14:paraId="3984F4A5"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98</w:t>
            </w:r>
          </w:p>
        </w:tc>
        <w:tc>
          <w:tcPr>
            <w:tcW w:w="477" w:type="dxa"/>
            <w:vAlign w:val="center"/>
          </w:tcPr>
          <w:p w14:paraId="3CAA3383"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98</w:t>
            </w:r>
          </w:p>
        </w:tc>
        <w:tc>
          <w:tcPr>
            <w:tcW w:w="470" w:type="dxa"/>
            <w:vAlign w:val="center"/>
          </w:tcPr>
          <w:p w14:paraId="6886ECB3"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98</w:t>
            </w:r>
          </w:p>
        </w:tc>
      </w:tr>
      <w:tr w:rsidR="004370EF" w:rsidRPr="004370EF" w14:paraId="46ED5CF2" w14:textId="77777777" w:rsidTr="00D20B01">
        <w:trPr>
          <w:trHeight w:val="237"/>
          <w:jc w:val="center"/>
        </w:trPr>
        <w:tc>
          <w:tcPr>
            <w:tcW w:w="9360" w:type="dxa"/>
            <w:gridSpan w:val="6"/>
            <w:vAlign w:val="center"/>
          </w:tcPr>
          <w:p w14:paraId="1EEEB6F3"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Streets and roads</w:t>
            </w:r>
          </w:p>
        </w:tc>
      </w:tr>
      <w:tr w:rsidR="004370EF" w:rsidRPr="004370EF" w14:paraId="0E76E02D" w14:textId="77777777" w:rsidTr="00D20B01">
        <w:trPr>
          <w:trHeight w:val="227"/>
          <w:jc w:val="center"/>
        </w:trPr>
        <w:tc>
          <w:tcPr>
            <w:tcW w:w="5833" w:type="dxa"/>
            <w:vAlign w:val="center"/>
          </w:tcPr>
          <w:p w14:paraId="1B13937F"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Curbs and storm sewers are paved</w:t>
            </w:r>
          </w:p>
        </w:tc>
        <w:tc>
          <w:tcPr>
            <w:tcW w:w="1625" w:type="dxa"/>
            <w:vAlign w:val="center"/>
          </w:tcPr>
          <w:p w14:paraId="590E31F9"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w:t>
            </w:r>
          </w:p>
        </w:tc>
        <w:tc>
          <w:tcPr>
            <w:tcW w:w="478" w:type="dxa"/>
            <w:vAlign w:val="center"/>
          </w:tcPr>
          <w:p w14:paraId="109FF833"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98</w:t>
            </w:r>
          </w:p>
        </w:tc>
        <w:tc>
          <w:tcPr>
            <w:tcW w:w="477" w:type="dxa"/>
            <w:vAlign w:val="center"/>
          </w:tcPr>
          <w:p w14:paraId="64016EBA"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98</w:t>
            </w:r>
          </w:p>
        </w:tc>
        <w:tc>
          <w:tcPr>
            <w:tcW w:w="477" w:type="dxa"/>
            <w:vAlign w:val="center"/>
          </w:tcPr>
          <w:p w14:paraId="2601CA3C"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98</w:t>
            </w:r>
          </w:p>
        </w:tc>
        <w:tc>
          <w:tcPr>
            <w:tcW w:w="470" w:type="dxa"/>
            <w:vAlign w:val="center"/>
          </w:tcPr>
          <w:p w14:paraId="2DB83285"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98</w:t>
            </w:r>
          </w:p>
        </w:tc>
      </w:tr>
      <w:tr w:rsidR="004370EF" w:rsidRPr="004370EF" w14:paraId="3B65FB41" w14:textId="77777777" w:rsidTr="00D20B01">
        <w:trPr>
          <w:trHeight w:val="227"/>
          <w:jc w:val="center"/>
        </w:trPr>
        <w:tc>
          <w:tcPr>
            <w:tcW w:w="5833" w:type="dxa"/>
            <w:vAlign w:val="center"/>
          </w:tcPr>
          <w:p w14:paraId="0182D93F"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Paved roads with open ditches</w:t>
            </w:r>
          </w:p>
        </w:tc>
        <w:tc>
          <w:tcPr>
            <w:tcW w:w="1625" w:type="dxa"/>
            <w:vAlign w:val="center"/>
          </w:tcPr>
          <w:p w14:paraId="13D4F086"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w:t>
            </w:r>
          </w:p>
        </w:tc>
        <w:tc>
          <w:tcPr>
            <w:tcW w:w="478" w:type="dxa"/>
            <w:vAlign w:val="center"/>
          </w:tcPr>
          <w:p w14:paraId="6B1C05B7"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83</w:t>
            </w:r>
          </w:p>
        </w:tc>
        <w:tc>
          <w:tcPr>
            <w:tcW w:w="477" w:type="dxa"/>
            <w:vAlign w:val="center"/>
          </w:tcPr>
          <w:p w14:paraId="2D143C4C"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89</w:t>
            </w:r>
          </w:p>
        </w:tc>
        <w:tc>
          <w:tcPr>
            <w:tcW w:w="477" w:type="dxa"/>
            <w:vAlign w:val="center"/>
          </w:tcPr>
          <w:p w14:paraId="7C5A06BF"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92</w:t>
            </w:r>
          </w:p>
        </w:tc>
        <w:tc>
          <w:tcPr>
            <w:tcW w:w="470" w:type="dxa"/>
            <w:vAlign w:val="center"/>
          </w:tcPr>
          <w:p w14:paraId="24C1D71B"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93</w:t>
            </w:r>
          </w:p>
        </w:tc>
      </w:tr>
      <w:tr w:rsidR="004370EF" w:rsidRPr="004370EF" w14:paraId="0018D2A4" w14:textId="77777777" w:rsidTr="00D20B01">
        <w:trPr>
          <w:trHeight w:val="227"/>
          <w:jc w:val="center"/>
        </w:trPr>
        <w:tc>
          <w:tcPr>
            <w:tcW w:w="5833" w:type="dxa"/>
            <w:vAlign w:val="center"/>
          </w:tcPr>
          <w:p w14:paraId="5264BB4A"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 xml:space="preserve">Gravel </w:t>
            </w:r>
          </w:p>
        </w:tc>
        <w:tc>
          <w:tcPr>
            <w:tcW w:w="1625" w:type="dxa"/>
            <w:vAlign w:val="center"/>
          </w:tcPr>
          <w:p w14:paraId="7D71D514"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w:t>
            </w:r>
          </w:p>
        </w:tc>
        <w:tc>
          <w:tcPr>
            <w:tcW w:w="478" w:type="dxa"/>
            <w:vAlign w:val="center"/>
          </w:tcPr>
          <w:p w14:paraId="1308603F"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76</w:t>
            </w:r>
          </w:p>
        </w:tc>
        <w:tc>
          <w:tcPr>
            <w:tcW w:w="477" w:type="dxa"/>
            <w:vAlign w:val="center"/>
          </w:tcPr>
          <w:p w14:paraId="43610DA7"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85</w:t>
            </w:r>
          </w:p>
        </w:tc>
        <w:tc>
          <w:tcPr>
            <w:tcW w:w="477" w:type="dxa"/>
            <w:vAlign w:val="center"/>
          </w:tcPr>
          <w:p w14:paraId="7D55A56B"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89</w:t>
            </w:r>
          </w:p>
        </w:tc>
        <w:tc>
          <w:tcPr>
            <w:tcW w:w="470" w:type="dxa"/>
            <w:vAlign w:val="center"/>
          </w:tcPr>
          <w:p w14:paraId="59B7ED56"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91</w:t>
            </w:r>
          </w:p>
        </w:tc>
      </w:tr>
      <w:tr w:rsidR="004370EF" w:rsidRPr="004370EF" w14:paraId="271242E6" w14:textId="77777777" w:rsidTr="00D20B01">
        <w:trPr>
          <w:trHeight w:val="227"/>
          <w:jc w:val="center"/>
        </w:trPr>
        <w:tc>
          <w:tcPr>
            <w:tcW w:w="5833" w:type="dxa"/>
            <w:vAlign w:val="center"/>
          </w:tcPr>
          <w:p w14:paraId="53557B40"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 xml:space="preserve">Dirt </w:t>
            </w:r>
          </w:p>
        </w:tc>
        <w:tc>
          <w:tcPr>
            <w:tcW w:w="1625" w:type="dxa"/>
            <w:vAlign w:val="center"/>
          </w:tcPr>
          <w:p w14:paraId="11661D65"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w:t>
            </w:r>
          </w:p>
        </w:tc>
        <w:tc>
          <w:tcPr>
            <w:tcW w:w="478" w:type="dxa"/>
            <w:vAlign w:val="center"/>
          </w:tcPr>
          <w:p w14:paraId="15827653"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72</w:t>
            </w:r>
          </w:p>
        </w:tc>
        <w:tc>
          <w:tcPr>
            <w:tcW w:w="477" w:type="dxa"/>
            <w:vAlign w:val="center"/>
          </w:tcPr>
          <w:p w14:paraId="4901FE55"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82</w:t>
            </w:r>
          </w:p>
        </w:tc>
        <w:tc>
          <w:tcPr>
            <w:tcW w:w="477" w:type="dxa"/>
            <w:vAlign w:val="center"/>
          </w:tcPr>
          <w:p w14:paraId="6C86D4D9"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87</w:t>
            </w:r>
          </w:p>
        </w:tc>
        <w:tc>
          <w:tcPr>
            <w:tcW w:w="470" w:type="dxa"/>
            <w:vAlign w:val="center"/>
          </w:tcPr>
          <w:p w14:paraId="0BA07E19"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89</w:t>
            </w:r>
          </w:p>
        </w:tc>
      </w:tr>
      <w:tr w:rsidR="004370EF" w:rsidRPr="004370EF" w14:paraId="668A9D10" w14:textId="77777777" w:rsidTr="00D20B01">
        <w:trPr>
          <w:trHeight w:val="237"/>
          <w:jc w:val="center"/>
        </w:trPr>
        <w:tc>
          <w:tcPr>
            <w:tcW w:w="9360" w:type="dxa"/>
            <w:gridSpan w:val="6"/>
            <w:vAlign w:val="center"/>
          </w:tcPr>
          <w:p w14:paraId="029D45C7"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Urban Districts</w:t>
            </w:r>
          </w:p>
        </w:tc>
      </w:tr>
      <w:tr w:rsidR="004370EF" w:rsidRPr="004370EF" w14:paraId="6B1C5062" w14:textId="77777777" w:rsidTr="00D20B01">
        <w:trPr>
          <w:trHeight w:val="227"/>
          <w:jc w:val="center"/>
        </w:trPr>
        <w:tc>
          <w:tcPr>
            <w:tcW w:w="5833" w:type="dxa"/>
            <w:vAlign w:val="center"/>
          </w:tcPr>
          <w:p w14:paraId="6EB84A60"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Business and Commercial</w:t>
            </w:r>
          </w:p>
        </w:tc>
        <w:tc>
          <w:tcPr>
            <w:tcW w:w="1625" w:type="dxa"/>
            <w:vAlign w:val="center"/>
          </w:tcPr>
          <w:p w14:paraId="2F0A345F"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85</w:t>
            </w:r>
          </w:p>
        </w:tc>
        <w:tc>
          <w:tcPr>
            <w:tcW w:w="478" w:type="dxa"/>
            <w:vAlign w:val="center"/>
          </w:tcPr>
          <w:p w14:paraId="3587DEC7"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89</w:t>
            </w:r>
          </w:p>
        </w:tc>
        <w:tc>
          <w:tcPr>
            <w:tcW w:w="477" w:type="dxa"/>
            <w:vAlign w:val="center"/>
          </w:tcPr>
          <w:p w14:paraId="387A4FF6"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92</w:t>
            </w:r>
          </w:p>
        </w:tc>
        <w:tc>
          <w:tcPr>
            <w:tcW w:w="477" w:type="dxa"/>
            <w:vAlign w:val="center"/>
          </w:tcPr>
          <w:p w14:paraId="475A57C6"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94</w:t>
            </w:r>
          </w:p>
        </w:tc>
        <w:tc>
          <w:tcPr>
            <w:tcW w:w="470" w:type="dxa"/>
            <w:vAlign w:val="center"/>
          </w:tcPr>
          <w:p w14:paraId="6FE624BD"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95</w:t>
            </w:r>
          </w:p>
        </w:tc>
      </w:tr>
      <w:tr w:rsidR="004370EF" w:rsidRPr="004370EF" w14:paraId="079F2EAB" w14:textId="77777777" w:rsidTr="00D20B01">
        <w:trPr>
          <w:trHeight w:val="227"/>
          <w:jc w:val="center"/>
        </w:trPr>
        <w:tc>
          <w:tcPr>
            <w:tcW w:w="5833" w:type="dxa"/>
            <w:vAlign w:val="center"/>
          </w:tcPr>
          <w:p w14:paraId="3844A4D5"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Industrial</w:t>
            </w:r>
          </w:p>
        </w:tc>
        <w:tc>
          <w:tcPr>
            <w:tcW w:w="1625" w:type="dxa"/>
            <w:vAlign w:val="center"/>
          </w:tcPr>
          <w:p w14:paraId="3C744224"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72</w:t>
            </w:r>
          </w:p>
        </w:tc>
        <w:tc>
          <w:tcPr>
            <w:tcW w:w="478" w:type="dxa"/>
            <w:vAlign w:val="center"/>
          </w:tcPr>
          <w:p w14:paraId="531A32D9"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81</w:t>
            </w:r>
          </w:p>
        </w:tc>
        <w:tc>
          <w:tcPr>
            <w:tcW w:w="477" w:type="dxa"/>
            <w:vAlign w:val="center"/>
          </w:tcPr>
          <w:p w14:paraId="2F1D8B85"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88</w:t>
            </w:r>
          </w:p>
        </w:tc>
        <w:tc>
          <w:tcPr>
            <w:tcW w:w="477" w:type="dxa"/>
            <w:vAlign w:val="center"/>
          </w:tcPr>
          <w:p w14:paraId="1B7E3B3F"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91</w:t>
            </w:r>
          </w:p>
        </w:tc>
        <w:tc>
          <w:tcPr>
            <w:tcW w:w="470" w:type="dxa"/>
            <w:vAlign w:val="center"/>
          </w:tcPr>
          <w:p w14:paraId="54B38FC4"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93</w:t>
            </w:r>
          </w:p>
        </w:tc>
      </w:tr>
      <w:tr w:rsidR="004370EF" w:rsidRPr="00425C78" w14:paraId="7C27BAAE" w14:textId="77777777" w:rsidTr="00D20B01">
        <w:trPr>
          <w:trHeight w:val="237"/>
          <w:jc w:val="center"/>
        </w:trPr>
        <w:tc>
          <w:tcPr>
            <w:tcW w:w="9360" w:type="dxa"/>
            <w:gridSpan w:val="6"/>
            <w:vAlign w:val="center"/>
          </w:tcPr>
          <w:p w14:paraId="00CE0F25" w14:textId="77777777" w:rsidR="004370EF" w:rsidRPr="004370EF" w:rsidRDefault="004370EF" w:rsidP="004370EF">
            <w:pPr>
              <w:spacing w:line="240" w:lineRule="auto"/>
              <w:ind w:firstLine="0"/>
              <w:jc w:val="center"/>
              <w:rPr>
                <w:sz w:val="20"/>
                <w:szCs w:val="20"/>
                <w:vertAlign w:val="superscript"/>
                <w:lang w:val="en-US"/>
              </w:rPr>
            </w:pPr>
            <w:r w:rsidRPr="004370EF">
              <w:rPr>
                <w:sz w:val="20"/>
                <w:szCs w:val="20"/>
                <w:lang w:val="en-US"/>
              </w:rPr>
              <w:t xml:space="preserve">Residential Districts by Lot Size Average </w:t>
            </w:r>
            <w:r w:rsidRPr="004370EF">
              <w:rPr>
                <w:sz w:val="20"/>
                <w:szCs w:val="20"/>
                <w:vertAlign w:val="superscript"/>
                <w:lang w:val="en-US"/>
              </w:rPr>
              <w:t>2</w:t>
            </w:r>
          </w:p>
        </w:tc>
      </w:tr>
      <w:tr w:rsidR="004370EF" w:rsidRPr="004370EF" w14:paraId="73F71EF1" w14:textId="77777777" w:rsidTr="00D20B01">
        <w:trPr>
          <w:trHeight w:val="227"/>
          <w:jc w:val="center"/>
        </w:trPr>
        <w:tc>
          <w:tcPr>
            <w:tcW w:w="5833" w:type="dxa"/>
            <w:vAlign w:val="center"/>
          </w:tcPr>
          <w:p w14:paraId="1B31A6EA"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A plot of land of no more than an eighth of an acre (townhouses)</w:t>
            </w:r>
          </w:p>
        </w:tc>
        <w:tc>
          <w:tcPr>
            <w:tcW w:w="1625" w:type="dxa"/>
            <w:vAlign w:val="center"/>
          </w:tcPr>
          <w:p w14:paraId="5ADD2E35"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65</w:t>
            </w:r>
          </w:p>
        </w:tc>
        <w:tc>
          <w:tcPr>
            <w:tcW w:w="478" w:type="dxa"/>
            <w:vAlign w:val="center"/>
          </w:tcPr>
          <w:p w14:paraId="724280DE"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77</w:t>
            </w:r>
          </w:p>
        </w:tc>
        <w:tc>
          <w:tcPr>
            <w:tcW w:w="477" w:type="dxa"/>
            <w:vAlign w:val="center"/>
          </w:tcPr>
          <w:p w14:paraId="7C56A7C6"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85</w:t>
            </w:r>
          </w:p>
        </w:tc>
        <w:tc>
          <w:tcPr>
            <w:tcW w:w="477" w:type="dxa"/>
            <w:vAlign w:val="center"/>
          </w:tcPr>
          <w:p w14:paraId="236F631F"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90</w:t>
            </w:r>
          </w:p>
        </w:tc>
        <w:tc>
          <w:tcPr>
            <w:tcW w:w="470" w:type="dxa"/>
            <w:vAlign w:val="center"/>
          </w:tcPr>
          <w:p w14:paraId="033A7069"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92</w:t>
            </w:r>
          </w:p>
        </w:tc>
      </w:tr>
      <w:tr w:rsidR="004370EF" w:rsidRPr="004370EF" w14:paraId="158CFE7F" w14:textId="77777777" w:rsidTr="00D20B01">
        <w:trPr>
          <w:trHeight w:val="227"/>
          <w:jc w:val="center"/>
        </w:trPr>
        <w:tc>
          <w:tcPr>
            <w:tcW w:w="5833" w:type="dxa"/>
            <w:vAlign w:val="center"/>
          </w:tcPr>
          <w:p w14:paraId="6A6B0999"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a quarter-acre</w:t>
            </w:r>
          </w:p>
        </w:tc>
        <w:tc>
          <w:tcPr>
            <w:tcW w:w="1625" w:type="dxa"/>
            <w:vAlign w:val="center"/>
          </w:tcPr>
          <w:p w14:paraId="275C21B4"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38</w:t>
            </w:r>
          </w:p>
        </w:tc>
        <w:tc>
          <w:tcPr>
            <w:tcW w:w="478" w:type="dxa"/>
            <w:vAlign w:val="center"/>
          </w:tcPr>
          <w:p w14:paraId="1485B82E"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61</w:t>
            </w:r>
          </w:p>
        </w:tc>
        <w:tc>
          <w:tcPr>
            <w:tcW w:w="477" w:type="dxa"/>
            <w:vAlign w:val="center"/>
          </w:tcPr>
          <w:p w14:paraId="68F7829E"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75</w:t>
            </w:r>
          </w:p>
        </w:tc>
        <w:tc>
          <w:tcPr>
            <w:tcW w:w="477" w:type="dxa"/>
            <w:vAlign w:val="center"/>
          </w:tcPr>
          <w:p w14:paraId="7A5AD34B"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83</w:t>
            </w:r>
          </w:p>
        </w:tc>
        <w:tc>
          <w:tcPr>
            <w:tcW w:w="470" w:type="dxa"/>
            <w:vAlign w:val="center"/>
          </w:tcPr>
          <w:p w14:paraId="0968D3AB"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87</w:t>
            </w:r>
          </w:p>
        </w:tc>
      </w:tr>
      <w:tr w:rsidR="004370EF" w:rsidRPr="004370EF" w14:paraId="2C8512F6" w14:textId="77777777" w:rsidTr="00D20B01">
        <w:trPr>
          <w:trHeight w:val="225"/>
          <w:jc w:val="center"/>
        </w:trPr>
        <w:tc>
          <w:tcPr>
            <w:tcW w:w="5833" w:type="dxa"/>
            <w:vAlign w:val="center"/>
          </w:tcPr>
          <w:p w14:paraId="5D0C0A87"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One-third of an acre</w:t>
            </w:r>
          </w:p>
        </w:tc>
        <w:tc>
          <w:tcPr>
            <w:tcW w:w="1625" w:type="dxa"/>
            <w:vAlign w:val="center"/>
          </w:tcPr>
          <w:p w14:paraId="31FCC652"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30</w:t>
            </w:r>
          </w:p>
        </w:tc>
        <w:tc>
          <w:tcPr>
            <w:tcW w:w="478" w:type="dxa"/>
            <w:vAlign w:val="center"/>
          </w:tcPr>
          <w:p w14:paraId="4950F322"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57</w:t>
            </w:r>
          </w:p>
        </w:tc>
        <w:tc>
          <w:tcPr>
            <w:tcW w:w="477" w:type="dxa"/>
            <w:vAlign w:val="center"/>
          </w:tcPr>
          <w:p w14:paraId="418C33CC"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72</w:t>
            </w:r>
          </w:p>
        </w:tc>
        <w:tc>
          <w:tcPr>
            <w:tcW w:w="477" w:type="dxa"/>
            <w:vAlign w:val="center"/>
          </w:tcPr>
          <w:p w14:paraId="3AABE7C9"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81</w:t>
            </w:r>
          </w:p>
        </w:tc>
        <w:tc>
          <w:tcPr>
            <w:tcW w:w="470" w:type="dxa"/>
            <w:vAlign w:val="center"/>
          </w:tcPr>
          <w:p w14:paraId="6FE7D937"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86</w:t>
            </w:r>
          </w:p>
        </w:tc>
      </w:tr>
      <w:tr w:rsidR="004370EF" w:rsidRPr="004370EF" w14:paraId="52638AC5" w14:textId="77777777" w:rsidTr="00D20B01">
        <w:trPr>
          <w:trHeight w:val="225"/>
          <w:jc w:val="center"/>
        </w:trPr>
        <w:tc>
          <w:tcPr>
            <w:tcW w:w="5833" w:type="dxa"/>
            <w:vAlign w:val="center"/>
          </w:tcPr>
          <w:p w14:paraId="08352423"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a half-acre</w:t>
            </w:r>
          </w:p>
        </w:tc>
        <w:tc>
          <w:tcPr>
            <w:tcW w:w="1625" w:type="dxa"/>
            <w:vAlign w:val="center"/>
          </w:tcPr>
          <w:p w14:paraId="79B8121A"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25</w:t>
            </w:r>
          </w:p>
        </w:tc>
        <w:tc>
          <w:tcPr>
            <w:tcW w:w="478" w:type="dxa"/>
            <w:vAlign w:val="center"/>
          </w:tcPr>
          <w:p w14:paraId="259B62E9"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54</w:t>
            </w:r>
          </w:p>
        </w:tc>
        <w:tc>
          <w:tcPr>
            <w:tcW w:w="477" w:type="dxa"/>
            <w:vAlign w:val="center"/>
          </w:tcPr>
          <w:p w14:paraId="552E5B09"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70</w:t>
            </w:r>
          </w:p>
        </w:tc>
        <w:tc>
          <w:tcPr>
            <w:tcW w:w="477" w:type="dxa"/>
            <w:vAlign w:val="center"/>
          </w:tcPr>
          <w:p w14:paraId="6E6752AA"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80</w:t>
            </w:r>
          </w:p>
        </w:tc>
        <w:tc>
          <w:tcPr>
            <w:tcW w:w="470" w:type="dxa"/>
            <w:vAlign w:val="center"/>
          </w:tcPr>
          <w:p w14:paraId="0CDB4144"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85</w:t>
            </w:r>
          </w:p>
        </w:tc>
      </w:tr>
      <w:tr w:rsidR="004370EF" w:rsidRPr="004370EF" w14:paraId="3C13D83A" w14:textId="77777777" w:rsidTr="00D20B01">
        <w:trPr>
          <w:trHeight w:val="227"/>
          <w:jc w:val="center"/>
        </w:trPr>
        <w:tc>
          <w:tcPr>
            <w:tcW w:w="5833" w:type="dxa"/>
            <w:vAlign w:val="center"/>
          </w:tcPr>
          <w:p w14:paraId="4FCF82D4"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One acre</w:t>
            </w:r>
          </w:p>
        </w:tc>
        <w:tc>
          <w:tcPr>
            <w:tcW w:w="1625" w:type="dxa"/>
            <w:vAlign w:val="center"/>
          </w:tcPr>
          <w:p w14:paraId="66DAE1FE"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20</w:t>
            </w:r>
          </w:p>
        </w:tc>
        <w:tc>
          <w:tcPr>
            <w:tcW w:w="478" w:type="dxa"/>
            <w:vAlign w:val="center"/>
          </w:tcPr>
          <w:p w14:paraId="761CCB73"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51</w:t>
            </w:r>
          </w:p>
        </w:tc>
        <w:tc>
          <w:tcPr>
            <w:tcW w:w="477" w:type="dxa"/>
            <w:vAlign w:val="center"/>
          </w:tcPr>
          <w:p w14:paraId="49B5F67C"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68</w:t>
            </w:r>
          </w:p>
        </w:tc>
        <w:tc>
          <w:tcPr>
            <w:tcW w:w="477" w:type="dxa"/>
            <w:vAlign w:val="center"/>
          </w:tcPr>
          <w:p w14:paraId="64BDC8B0"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79</w:t>
            </w:r>
          </w:p>
        </w:tc>
        <w:tc>
          <w:tcPr>
            <w:tcW w:w="470" w:type="dxa"/>
            <w:vAlign w:val="center"/>
          </w:tcPr>
          <w:p w14:paraId="5FC8F961"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84</w:t>
            </w:r>
          </w:p>
        </w:tc>
      </w:tr>
      <w:tr w:rsidR="004370EF" w:rsidRPr="004370EF" w14:paraId="3B5E6CE5" w14:textId="77777777" w:rsidTr="00D20B01">
        <w:trPr>
          <w:trHeight w:val="227"/>
          <w:jc w:val="center"/>
        </w:trPr>
        <w:tc>
          <w:tcPr>
            <w:tcW w:w="5833" w:type="dxa"/>
            <w:vAlign w:val="center"/>
          </w:tcPr>
          <w:p w14:paraId="605B08AD"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Two acres</w:t>
            </w:r>
          </w:p>
        </w:tc>
        <w:tc>
          <w:tcPr>
            <w:tcW w:w="1625" w:type="dxa"/>
            <w:vAlign w:val="center"/>
          </w:tcPr>
          <w:p w14:paraId="1F68CC5C"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12</w:t>
            </w:r>
          </w:p>
        </w:tc>
        <w:tc>
          <w:tcPr>
            <w:tcW w:w="478" w:type="dxa"/>
            <w:vAlign w:val="center"/>
          </w:tcPr>
          <w:p w14:paraId="1274B466"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46</w:t>
            </w:r>
          </w:p>
        </w:tc>
        <w:tc>
          <w:tcPr>
            <w:tcW w:w="477" w:type="dxa"/>
            <w:vAlign w:val="center"/>
          </w:tcPr>
          <w:p w14:paraId="223971C4"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65</w:t>
            </w:r>
          </w:p>
        </w:tc>
        <w:tc>
          <w:tcPr>
            <w:tcW w:w="477" w:type="dxa"/>
            <w:vAlign w:val="center"/>
          </w:tcPr>
          <w:p w14:paraId="10CE3556"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77</w:t>
            </w:r>
          </w:p>
        </w:tc>
        <w:tc>
          <w:tcPr>
            <w:tcW w:w="470" w:type="dxa"/>
            <w:vAlign w:val="center"/>
          </w:tcPr>
          <w:p w14:paraId="51E0E282"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82</w:t>
            </w:r>
          </w:p>
        </w:tc>
      </w:tr>
      <w:tr w:rsidR="004370EF" w:rsidRPr="004370EF" w14:paraId="5FAE4F64" w14:textId="77777777" w:rsidTr="00D20B01">
        <w:trPr>
          <w:trHeight w:val="237"/>
          <w:jc w:val="center"/>
        </w:trPr>
        <w:tc>
          <w:tcPr>
            <w:tcW w:w="9360" w:type="dxa"/>
            <w:gridSpan w:val="6"/>
            <w:vAlign w:val="center"/>
          </w:tcPr>
          <w:p w14:paraId="30845499"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Developing Urban Areas</w:t>
            </w:r>
          </w:p>
        </w:tc>
      </w:tr>
      <w:tr w:rsidR="004370EF" w:rsidRPr="004370EF" w14:paraId="08C189B2" w14:textId="77777777" w:rsidTr="00D20B01">
        <w:trPr>
          <w:trHeight w:val="227"/>
          <w:jc w:val="center"/>
        </w:trPr>
        <w:tc>
          <w:tcPr>
            <w:tcW w:w="5833" w:type="dxa"/>
            <w:vAlign w:val="center"/>
          </w:tcPr>
          <w:p w14:paraId="3D28990D"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Areas that have recently been graded (pervious areas only, no vegetation)</w:t>
            </w:r>
          </w:p>
        </w:tc>
        <w:tc>
          <w:tcPr>
            <w:tcW w:w="1625" w:type="dxa"/>
            <w:vAlign w:val="center"/>
          </w:tcPr>
          <w:p w14:paraId="59846CE0"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w:t>
            </w:r>
          </w:p>
        </w:tc>
        <w:tc>
          <w:tcPr>
            <w:tcW w:w="478" w:type="dxa"/>
            <w:vAlign w:val="center"/>
          </w:tcPr>
          <w:p w14:paraId="4851AF75"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77</w:t>
            </w:r>
          </w:p>
        </w:tc>
        <w:tc>
          <w:tcPr>
            <w:tcW w:w="477" w:type="dxa"/>
            <w:vAlign w:val="center"/>
          </w:tcPr>
          <w:p w14:paraId="00C4EC6E"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86</w:t>
            </w:r>
          </w:p>
        </w:tc>
        <w:tc>
          <w:tcPr>
            <w:tcW w:w="477" w:type="dxa"/>
            <w:vAlign w:val="center"/>
          </w:tcPr>
          <w:p w14:paraId="1DAEF208"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91</w:t>
            </w:r>
          </w:p>
        </w:tc>
        <w:tc>
          <w:tcPr>
            <w:tcW w:w="470" w:type="dxa"/>
            <w:vAlign w:val="center"/>
          </w:tcPr>
          <w:p w14:paraId="5B87EDFA" w14:textId="77777777" w:rsidR="004370EF" w:rsidRPr="004370EF" w:rsidRDefault="004370EF" w:rsidP="004370EF">
            <w:pPr>
              <w:spacing w:line="240" w:lineRule="auto"/>
              <w:ind w:firstLine="0"/>
              <w:jc w:val="center"/>
              <w:rPr>
                <w:sz w:val="20"/>
                <w:szCs w:val="20"/>
                <w:lang w:val="en-US"/>
              </w:rPr>
            </w:pPr>
            <w:r w:rsidRPr="004370EF">
              <w:rPr>
                <w:sz w:val="20"/>
                <w:szCs w:val="20"/>
                <w:lang w:val="en-US"/>
              </w:rPr>
              <w:t>94</w:t>
            </w:r>
          </w:p>
        </w:tc>
      </w:tr>
    </w:tbl>
    <w:p w14:paraId="03CC22D2" w14:textId="77777777" w:rsidR="00051297" w:rsidRPr="00051297" w:rsidRDefault="00051297" w:rsidP="00051297">
      <w:pPr>
        <w:rPr>
          <w:rFonts w:cs="Times New Roman"/>
          <w:szCs w:val="24"/>
          <w:lang w:val="en-US"/>
        </w:rPr>
      </w:pPr>
      <w:r w:rsidRPr="00051297">
        <w:rPr>
          <w:rFonts w:cs="Times New Roman"/>
          <w:szCs w:val="24"/>
          <w:lang w:val="en-US"/>
        </w:rPr>
        <w:t>Note:</w:t>
      </w:r>
    </w:p>
    <w:p w14:paraId="49608BC2" w14:textId="77777777" w:rsidR="00051297" w:rsidRPr="00051297" w:rsidRDefault="00051297" w:rsidP="00051297">
      <w:pPr>
        <w:rPr>
          <w:rFonts w:cs="Times New Roman"/>
          <w:sz w:val="20"/>
          <w:szCs w:val="20"/>
          <w:lang w:val="en-US"/>
        </w:rPr>
      </w:pPr>
      <w:r w:rsidRPr="00051297">
        <w:rPr>
          <w:rFonts w:cs="Times New Roman"/>
          <w:sz w:val="20"/>
          <w:szCs w:val="20"/>
          <w:lang w:val="en-US"/>
        </w:rPr>
        <w:t>AMC II as well as I</w:t>
      </w:r>
      <w:r w:rsidRPr="00051297">
        <w:rPr>
          <w:rFonts w:cs="Times New Roman"/>
          <w:sz w:val="20"/>
          <w:szCs w:val="20"/>
          <w:vertAlign w:val="subscript"/>
          <w:lang w:val="en-US"/>
        </w:rPr>
        <w:t>a</w:t>
      </w:r>
      <w:r w:rsidRPr="00051297">
        <w:rPr>
          <w:rFonts w:cs="Times New Roman"/>
          <w:sz w:val="20"/>
          <w:szCs w:val="20"/>
          <w:lang w:val="en-US"/>
        </w:rPr>
        <w:t xml:space="preserve"> = 0.2*S</w:t>
      </w:r>
    </w:p>
    <w:p w14:paraId="17DE7788" w14:textId="77777777" w:rsidR="00051297" w:rsidRPr="00051297" w:rsidRDefault="00051297" w:rsidP="00051297">
      <w:pPr>
        <w:rPr>
          <w:rFonts w:cs="Times New Roman"/>
          <w:sz w:val="20"/>
          <w:szCs w:val="20"/>
          <w:lang w:val="en-US"/>
        </w:rPr>
      </w:pPr>
      <w:r w:rsidRPr="00051297">
        <w:rPr>
          <w:rFonts w:cs="Times New Roman"/>
          <w:sz w:val="20"/>
          <w:szCs w:val="20"/>
          <w:vertAlign w:val="superscript"/>
          <w:lang w:val="en-US"/>
        </w:rPr>
        <w:t>1</w:t>
      </w:r>
      <w:r w:rsidRPr="00051297">
        <w:rPr>
          <w:rFonts w:cs="Times New Roman"/>
          <w:sz w:val="20"/>
          <w:szCs w:val="20"/>
          <w:lang w:val="en-US"/>
        </w:rPr>
        <w:t xml:space="preserve"> Grazing is kept at bay, and litter and brush cover the soil.</w:t>
      </w:r>
    </w:p>
    <w:p w14:paraId="4C9C5F04" w14:textId="77777777" w:rsidR="00051297" w:rsidRPr="00051297" w:rsidRDefault="00051297" w:rsidP="00051297">
      <w:pPr>
        <w:rPr>
          <w:rFonts w:cs="Times New Roman"/>
          <w:sz w:val="20"/>
          <w:szCs w:val="20"/>
          <w:lang w:val="en-US"/>
        </w:rPr>
      </w:pPr>
      <w:r w:rsidRPr="00051297">
        <w:rPr>
          <w:rFonts w:cs="Times New Roman"/>
          <w:sz w:val="20"/>
          <w:szCs w:val="20"/>
          <w:vertAlign w:val="superscript"/>
          <w:lang w:val="en-US"/>
        </w:rPr>
        <w:t>2</w:t>
      </w:r>
      <w:r w:rsidRPr="00051297">
        <w:rPr>
          <w:rFonts w:cs="Times New Roman"/>
          <w:sz w:val="20"/>
          <w:szCs w:val="20"/>
          <w:lang w:val="en-US"/>
        </w:rPr>
        <w:t xml:space="preserve"> The curve numbers are calculated assuming that all runoff from the home and driveway is diverted to the street, with just a little amount of roof water being directed to lawns, where extra infiltration may occur.</w:t>
      </w:r>
    </w:p>
    <w:p w14:paraId="25F608A7" w14:textId="77777777" w:rsidR="00051297" w:rsidRPr="00051297" w:rsidRDefault="00051297" w:rsidP="00051297">
      <w:pPr>
        <w:rPr>
          <w:rFonts w:cs="Times New Roman"/>
          <w:sz w:val="20"/>
          <w:szCs w:val="20"/>
          <w:lang w:val="en-US"/>
        </w:rPr>
      </w:pPr>
      <w:r w:rsidRPr="00051297">
        <w:rPr>
          <w:rFonts w:cs="Times New Roman"/>
          <w:sz w:val="20"/>
          <w:szCs w:val="20"/>
          <w:vertAlign w:val="superscript"/>
          <w:lang w:val="en-US"/>
        </w:rPr>
        <w:t>3</w:t>
      </w:r>
      <w:r w:rsidRPr="00051297">
        <w:rPr>
          <w:rFonts w:cs="Times New Roman"/>
          <w:sz w:val="20"/>
          <w:szCs w:val="20"/>
          <w:lang w:val="en-US"/>
        </w:rPr>
        <w:t xml:space="preserve"> For these curve numbers, the remaining pervious regions (lawn) are regarded to be in good pasture condition.</w:t>
      </w:r>
    </w:p>
    <w:p w14:paraId="6AB6AD3B" w14:textId="1B8CFE7E" w:rsidR="00051297" w:rsidRPr="00051297" w:rsidRDefault="00051297" w:rsidP="00051297">
      <w:pPr>
        <w:rPr>
          <w:rFonts w:cs="Times New Roman"/>
          <w:szCs w:val="24"/>
          <w:lang w:val="en-US" w:bidi="en-US"/>
        </w:rPr>
      </w:pPr>
      <w:bookmarkStart w:id="148" w:name="_bookmark53"/>
      <w:bookmarkStart w:id="149" w:name="_Ref98102690"/>
      <w:bookmarkStart w:id="150" w:name="_Toc97077187"/>
      <w:bookmarkStart w:id="151" w:name="_Toc103544237"/>
      <w:bookmarkStart w:id="152" w:name="_Toc104985563"/>
      <w:bookmarkEnd w:id="148"/>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1</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6</w:t>
      </w:r>
      <w:r w:rsidRPr="00051297">
        <w:rPr>
          <w:rFonts w:cs="Times New Roman"/>
          <w:szCs w:val="24"/>
          <w:lang w:val="en-US" w:bidi="en-US"/>
        </w:rPr>
        <w:fldChar w:fldCharType="end"/>
      </w:r>
      <w:bookmarkEnd w:id="149"/>
      <w:r w:rsidRPr="00051297">
        <w:rPr>
          <w:rFonts w:cs="Times New Roman"/>
          <w:szCs w:val="24"/>
          <w:lang w:val="en-US" w:bidi="en-US"/>
        </w:rPr>
        <w:t xml:space="preserve"> – Runoff CN for non-urban areas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{"citationItems":[{"id":"ITEM-1","itemData":{"ISBN":"220564635","ISSN":"0001-2351","PMID":"9100593","abstract":"nical Release 55 (TR-55) presents simplified procedures to calculate storm runoff volume, peak rate of discharge, hydrographs, and storage volumes required for floodwater reservoirs. These procedures are applicable in small watersheds, especially urbanizing watersheds, in the United States. Limits: NRCS type distributions, 24-hour duration rainfall, 10 subwatersheds, minimum 0.1 hour and maximum 10-hour time of concentration.","author":[{"dropping-particle":"","family":"NRCS","given":"","non-dropping-particle":"","parse-names":false,"suffix":""}],"container-title":"USDA Natural Resource Conservation Service Conservation Engeneering Division Technical Release 55","id":"ITEM-1","issued":{"date-parts":[["1986"]]},"title":"Urban Hydrology for Small Watersheds TR-55NRCS. (1986). Urban Hydrology for Small Watersheds TR-55. USDA Natural Resource Conservation Service Conservation Engeneering Division Technical Release 55. http://doi.org/Technical Release 55","type":"report"},"uris":["http://www.mendeley.com/documents/?uuid=a6428534-bbc0-4952-8a4c-fde80a48639b","http://www.mendeley.com/documents/?uuid=56bff0af-9efa-4f11-a193-43783f743fdb"]}],"mendeley":{"formattedCitation":"[92]","plainTextFormattedCitation":"[92]","previouslyFormattedCitation":"[92]"},"properties":{"noteIndex":0},"schema":"https://github.com/citation-style-language/schema/raw/master/csl-citation.json"}</w:instrText>
      </w:r>
      <w:r w:rsidRPr="00051297">
        <w:rPr>
          <w:rFonts w:cs="Times New Roman"/>
          <w:szCs w:val="24"/>
          <w:lang w:val="en-US" w:bidi="en-US"/>
        </w:rPr>
        <w:fldChar w:fldCharType="separate"/>
      </w:r>
      <w:bookmarkEnd w:id="150"/>
      <w:r w:rsidR="0032684D" w:rsidRPr="0032684D">
        <w:rPr>
          <w:rFonts w:cs="Times New Roman"/>
          <w:noProof/>
          <w:szCs w:val="24"/>
          <w:lang w:val="en-US" w:bidi="en-US"/>
        </w:rPr>
        <w:t>[92]</w:t>
      </w:r>
      <w:r w:rsidRPr="00051297">
        <w:rPr>
          <w:rFonts w:cs="Times New Roman"/>
          <w:szCs w:val="24"/>
          <w:lang w:val="en-US" w:bidi="en-US"/>
        </w:rPr>
        <w:fldChar w:fldCharType="end"/>
      </w:r>
      <w:r w:rsidRPr="00051297">
        <w:rPr>
          <w:rFonts w:cs="Times New Roman"/>
          <w:szCs w:val="24"/>
          <w:lang w:val="en-US" w:bidi="en-US"/>
        </w:rPr>
        <w:t>.</w:t>
      </w:r>
      <w:bookmarkEnd w:id="151"/>
      <w:bookmarkEnd w:id="15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850"/>
        <w:gridCol w:w="795"/>
        <w:gridCol w:w="883"/>
        <w:gridCol w:w="794"/>
        <w:gridCol w:w="795"/>
        <w:gridCol w:w="883"/>
      </w:tblGrid>
      <w:tr w:rsidR="00051297" w:rsidRPr="00425C78" w14:paraId="6308AC68" w14:textId="77777777" w:rsidTr="004370EF">
        <w:trPr>
          <w:trHeight w:val="337"/>
          <w:jc w:val="center"/>
        </w:trPr>
        <w:tc>
          <w:tcPr>
            <w:tcW w:w="5645" w:type="dxa"/>
            <w:gridSpan w:val="2"/>
            <w:vAlign w:val="center"/>
          </w:tcPr>
          <w:p w14:paraId="7D20A3F8"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Cover description</w:t>
            </w:r>
          </w:p>
        </w:tc>
        <w:tc>
          <w:tcPr>
            <w:tcW w:w="3355" w:type="dxa"/>
            <w:gridSpan w:val="4"/>
            <w:vAlign w:val="center"/>
          </w:tcPr>
          <w:p w14:paraId="683F64BE"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CN for Hydrologic Soil Group</w:t>
            </w:r>
          </w:p>
        </w:tc>
      </w:tr>
      <w:tr w:rsidR="00051297" w:rsidRPr="004370EF" w14:paraId="2B2C0CD9" w14:textId="77777777" w:rsidTr="00D20B01">
        <w:trPr>
          <w:trHeight w:val="236"/>
          <w:jc w:val="center"/>
        </w:trPr>
        <w:tc>
          <w:tcPr>
            <w:tcW w:w="4850" w:type="dxa"/>
            <w:vAlign w:val="center"/>
          </w:tcPr>
          <w:p w14:paraId="5ECAF463"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Cover type and hydrologic condition</w:t>
            </w:r>
          </w:p>
        </w:tc>
        <w:tc>
          <w:tcPr>
            <w:tcW w:w="795" w:type="dxa"/>
            <w:vAlign w:val="center"/>
          </w:tcPr>
          <w:p w14:paraId="2B0E554E" w14:textId="77777777" w:rsidR="00051297" w:rsidRPr="004370EF" w:rsidRDefault="00051297" w:rsidP="00051297">
            <w:pPr>
              <w:spacing w:line="240" w:lineRule="auto"/>
              <w:ind w:firstLine="0"/>
              <w:jc w:val="center"/>
              <w:rPr>
                <w:sz w:val="20"/>
                <w:szCs w:val="20"/>
                <w:lang w:val="en-US"/>
              </w:rPr>
            </w:pPr>
          </w:p>
        </w:tc>
        <w:tc>
          <w:tcPr>
            <w:tcW w:w="883" w:type="dxa"/>
            <w:vAlign w:val="center"/>
          </w:tcPr>
          <w:p w14:paraId="5FEB54EB"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A</w:t>
            </w:r>
          </w:p>
        </w:tc>
        <w:tc>
          <w:tcPr>
            <w:tcW w:w="794" w:type="dxa"/>
            <w:vAlign w:val="center"/>
          </w:tcPr>
          <w:p w14:paraId="6225B56D"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B</w:t>
            </w:r>
          </w:p>
        </w:tc>
        <w:tc>
          <w:tcPr>
            <w:tcW w:w="795" w:type="dxa"/>
            <w:vAlign w:val="center"/>
          </w:tcPr>
          <w:p w14:paraId="5BAE12AD"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C</w:t>
            </w:r>
          </w:p>
        </w:tc>
        <w:tc>
          <w:tcPr>
            <w:tcW w:w="883" w:type="dxa"/>
            <w:vAlign w:val="center"/>
          </w:tcPr>
          <w:p w14:paraId="400F6F42"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D</w:t>
            </w:r>
          </w:p>
        </w:tc>
      </w:tr>
      <w:tr w:rsidR="00051297" w:rsidRPr="00425C78" w14:paraId="54FF40A0" w14:textId="77777777" w:rsidTr="00D20B01">
        <w:trPr>
          <w:trHeight w:val="227"/>
          <w:jc w:val="center"/>
        </w:trPr>
        <w:tc>
          <w:tcPr>
            <w:tcW w:w="4850" w:type="dxa"/>
            <w:vAlign w:val="center"/>
          </w:tcPr>
          <w:p w14:paraId="53F59A73"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Idle Lands (not yet developed)</w:t>
            </w:r>
          </w:p>
        </w:tc>
        <w:tc>
          <w:tcPr>
            <w:tcW w:w="795" w:type="dxa"/>
            <w:vAlign w:val="center"/>
          </w:tcPr>
          <w:p w14:paraId="103321C5" w14:textId="77777777" w:rsidR="00051297" w:rsidRPr="004370EF" w:rsidRDefault="00051297" w:rsidP="00051297">
            <w:pPr>
              <w:spacing w:line="240" w:lineRule="auto"/>
              <w:ind w:firstLine="0"/>
              <w:jc w:val="center"/>
              <w:rPr>
                <w:sz w:val="20"/>
                <w:szCs w:val="20"/>
                <w:lang w:val="en-US"/>
              </w:rPr>
            </w:pPr>
          </w:p>
        </w:tc>
        <w:tc>
          <w:tcPr>
            <w:tcW w:w="883" w:type="dxa"/>
            <w:vAlign w:val="center"/>
          </w:tcPr>
          <w:p w14:paraId="14A33CF0" w14:textId="77777777" w:rsidR="00051297" w:rsidRPr="004370EF" w:rsidRDefault="00051297" w:rsidP="00051297">
            <w:pPr>
              <w:spacing w:line="240" w:lineRule="auto"/>
              <w:ind w:firstLine="0"/>
              <w:jc w:val="center"/>
              <w:rPr>
                <w:sz w:val="20"/>
                <w:szCs w:val="20"/>
                <w:lang w:val="en-US"/>
              </w:rPr>
            </w:pPr>
          </w:p>
        </w:tc>
        <w:tc>
          <w:tcPr>
            <w:tcW w:w="794" w:type="dxa"/>
            <w:vAlign w:val="center"/>
          </w:tcPr>
          <w:p w14:paraId="556589C5" w14:textId="77777777" w:rsidR="00051297" w:rsidRPr="004370EF" w:rsidRDefault="00051297" w:rsidP="00051297">
            <w:pPr>
              <w:spacing w:line="240" w:lineRule="auto"/>
              <w:ind w:firstLine="0"/>
              <w:jc w:val="center"/>
              <w:rPr>
                <w:sz w:val="20"/>
                <w:szCs w:val="20"/>
                <w:lang w:val="en-US"/>
              </w:rPr>
            </w:pPr>
          </w:p>
        </w:tc>
        <w:tc>
          <w:tcPr>
            <w:tcW w:w="795" w:type="dxa"/>
            <w:vAlign w:val="center"/>
          </w:tcPr>
          <w:p w14:paraId="33632874" w14:textId="77777777" w:rsidR="00051297" w:rsidRPr="004370EF" w:rsidRDefault="00051297" w:rsidP="00051297">
            <w:pPr>
              <w:spacing w:line="240" w:lineRule="auto"/>
              <w:ind w:firstLine="0"/>
              <w:jc w:val="center"/>
              <w:rPr>
                <w:sz w:val="20"/>
                <w:szCs w:val="20"/>
                <w:lang w:val="en-US"/>
              </w:rPr>
            </w:pPr>
          </w:p>
        </w:tc>
        <w:tc>
          <w:tcPr>
            <w:tcW w:w="883" w:type="dxa"/>
            <w:vAlign w:val="center"/>
          </w:tcPr>
          <w:p w14:paraId="7E13B477" w14:textId="77777777" w:rsidR="00051297" w:rsidRPr="004370EF" w:rsidRDefault="00051297" w:rsidP="00051297">
            <w:pPr>
              <w:spacing w:line="240" w:lineRule="auto"/>
              <w:ind w:firstLine="0"/>
              <w:jc w:val="center"/>
              <w:rPr>
                <w:sz w:val="20"/>
                <w:szCs w:val="20"/>
                <w:lang w:val="en-US"/>
              </w:rPr>
            </w:pPr>
          </w:p>
        </w:tc>
      </w:tr>
      <w:tr w:rsidR="00051297" w:rsidRPr="004370EF" w14:paraId="14F2DD0C" w14:textId="77777777" w:rsidTr="00D20B01">
        <w:trPr>
          <w:trHeight w:val="227"/>
          <w:jc w:val="center"/>
        </w:trPr>
        <w:tc>
          <w:tcPr>
            <w:tcW w:w="4850" w:type="dxa"/>
            <w:vMerge w:val="restart"/>
            <w:vAlign w:val="center"/>
          </w:tcPr>
          <w:p w14:paraId="5F5F1CA7"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Pasture, Grassland, or Range: continuous</w:t>
            </w:r>
          </w:p>
          <w:p w14:paraId="5EDB2D66"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forage for grazing</w:t>
            </w:r>
            <w:r w:rsidRPr="004370EF">
              <w:rPr>
                <w:sz w:val="20"/>
                <w:szCs w:val="20"/>
                <w:vertAlign w:val="superscript"/>
                <w:lang w:val="en-US"/>
              </w:rPr>
              <w:t>1</w:t>
            </w:r>
            <w:r w:rsidRPr="004370EF">
              <w:rPr>
                <w:sz w:val="20"/>
                <w:szCs w:val="20"/>
                <w:lang w:val="en-US"/>
              </w:rPr>
              <w:t>.</w:t>
            </w:r>
          </w:p>
        </w:tc>
        <w:tc>
          <w:tcPr>
            <w:tcW w:w="795" w:type="dxa"/>
            <w:vAlign w:val="center"/>
          </w:tcPr>
          <w:p w14:paraId="19699021"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Poor</w:t>
            </w:r>
          </w:p>
        </w:tc>
        <w:tc>
          <w:tcPr>
            <w:tcW w:w="883" w:type="dxa"/>
            <w:vAlign w:val="center"/>
          </w:tcPr>
          <w:p w14:paraId="01CAEEF3"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68</w:t>
            </w:r>
          </w:p>
        </w:tc>
        <w:tc>
          <w:tcPr>
            <w:tcW w:w="794" w:type="dxa"/>
            <w:vAlign w:val="center"/>
          </w:tcPr>
          <w:p w14:paraId="613D9327"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79</w:t>
            </w:r>
          </w:p>
        </w:tc>
        <w:tc>
          <w:tcPr>
            <w:tcW w:w="795" w:type="dxa"/>
            <w:vAlign w:val="center"/>
          </w:tcPr>
          <w:p w14:paraId="124325D3"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86</w:t>
            </w:r>
          </w:p>
        </w:tc>
        <w:tc>
          <w:tcPr>
            <w:tcW w:w="883" w:type="dxa"/>
            <w:vAlign w:val="center"/>
          </w:tcPr>
          <w:p w14:paraId="350ED44A"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89</w:t>
            </w:r>
          </w:p>
        </w:tc>
      </w:tr>
      <w:tr w:rsidR="00051297" w:rsidRPr="004370EF" w14:paraId="6189E3E1" w14:textId="77777777" w:rsidTr="00D20B01">
        <w:trPr>
          <w:trHeight w:val="227"/>
          <w:jc w:val="center"/>
        </w:trPr>
        <w:tc>
          <w:tcPr>
            <w:tcW w:w="4850" w:type="dxa"/>
            <w:vMerge/>
            <w:vAlign w:val="center"/>
          </w:tcPr>
          <w:p w14:paraId="4416D7BF" w14:textId="77777777" w:rsidR="00051297" w:rsidRPr="004370EF" w:rsidRDefault="00051297" w:rsidP="00051297">
            <w:pPr>
              <w:spacing w:line="240" w:lineRule="auto"/>
              <w:ind w:firstLine="0"/>
              <w:jc w:val="center"/>
              <w:rPr>
                <w:sz w:val="20"/>
                <w:szCs w:val="20"/>
                <w:lang w:val="en-US"/>
              </w:rPr>
            </w:pPr>
          </w:p>
        </w:tc>
        <w:tc>
          <w:tcPr>
            <w:tcW w:w="795" w:type="dxa"/>
            <w:vAlign w:val="center"/>
          </w:tcPr>
          <w:p w14:paraId="3B5F91AE"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Fair</w:t>
            </w:r>
          </w:p>
        </w:tc>
        <w:tc>
          <w:tcPr>
            <w:tcW w:w="883" w:type="dxa"/>
            <w:vAlign w:val="center"/>
          </w:tcPr>
          <w:p w14:paraId="5C648B23"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49</w:t>
            </w:r>
          </w:p>
        </w:tc>
        <w:tc>
          <w:tcPr>
            <w:tcW w:w="794" w:type="dxa"/>
            <w:vAlign w:val="center"/>
          </w:tcPr>
          <w:p w14:paraId="183AB022"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69</w:t>
            </w:r>
          </w:p>
        </w:tc>
        <w:tc>
          <w:tcPr>
            <w:tcW w:w="795" w:type="dxa"/>
            <w:vAlign w:val="center"/>
          </w:tcPr>
          <w:p w14:paraId="1E83C9D7"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79</w:t>
            </w:r>
          </w:p>
        </w:tc>
        <w:tc>
          <w:tcPr>
            <w:tcW w:w="883" w:type="dxa"/>
            <w:vAlign w:val="center"/>
          </w:tcPr>
          <w:p w14:paraId="40E30D81"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84</w:t>
            </w:r>
          </w:p>
        </w:tc>
      </w:tr>
      <w:tr w:rsidR="00051297" w:rsidRPr="004370EF" w14:paraId="17257658" w14:textId="77777777" w:rsidTr="00D20B01">
        <w:trPr>
          <w:trHeight w:val="227"/>
          <w:jc w:val="center"/>
        </w:trPr>
        <w:tc>
          <w:tcPr>
            <w:tcW w:w="4850" w:type="dxa"/>
            <w:vMerge/>
            <w:vAlign w:val="center"/>
          </w:tcPr>
          <w:p w14:paraId="01F81CAA" w14:textId="77777777" w:rsidR="00051297" w:rsidRPr="004370EF" w:rsidRDefault="00051297" w:rsidP="00051297">
            <w:pPr>
              <w:spacing w:line="240" w:lineRule="auto"/>
              <w:ind w:firstLine="0"/>
              <w:jc w:val="center"/>
              <w:rPr>
                <w:sz w:val="20"/>
                <w:szCs w:val="20"/>
                <w:lang w:val="en-US"/>
              </w:rPr>
            </w:pPr>
          </w:p>
        </w:tc>
        <w:tc>
          <w:tcPr>
            <w:tcW w:w="795" w:type="dxa"/>
            <w:vAlign w:val="center"/>
          </w:tcPr>
          <w:p w14:paraId="267044C8"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Good</w:t>
            </w:r>
          </w:p>
        </w:tc>
        <w:tc>
          <w:tcPr>
            <w:tcW w:w="883" w:type="dxa"/>
            <w:vAlign w:val="center"/>
          </w:tcPr>
          <w:p w14:paraId="3C0B67C7"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39</w:t>
            </w:r>
          </w:p>
        </w:tc>
        <w:tc>
          <w:tcPr>
            <w:tcW w:w="794" w:type="dxa"/>
            <w:vAlign w:val="center"/>
          </w:tcPr>
          <w:p w14:paraId="1C9913D6"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61</w:t>
            </w:r>
          </w:p>
        </w:tc>
        <w:tc>
          <w:tcPr>
            <w:tcW w:w="795" w:type="dxa"/>
            <w:vAlign w:val="center"/>
          </w:tcPr>
          <w:p w14:paraId="379ACAB7"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74</w:t>
            </w:r>
          </w:p>
        </w:tc>
        <w:tc>
          <w:tcPr>
            <w:tcW w:w="883" w:type="dxa"/>
            <w:vAlign w:val="center"/>
          </w:tcPr>
          <w:p w14:paraId="485F9D61"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80</w:t>
            </w:r>
          </w:p>
        </w:tc>
      </w:tr>
      <w:tr w:rsidR="00051297" w:rsidRPr="004370EF" w14:paraId="186F974F" w14:textId="77777777" w:rsidTr="00D20B01">
        <w:trPr>
          <w:trHeight w:val="455"/>
          <w:jc w:val="center"/>
        </w:trPr>
        <w:tc>
          <w:tcPr>
            <w:tcW w:w="4850" w:type="dxa"/>
            <w:vAlign w:val="center"/>
          </w:tcPr>
          <w:p w14:paraId="1339DB39"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Meadow: continuous grass, protected from</w:t>
            </w:r>
          </w:p>
          <w:p w14:paraId="2D9BD799"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grazing and generally mowed for hay.</w:t>
            </w:r>
          </w:p>
        </w:tc>
        <w:tc>
          <w:tcPr>
            <w:tcW w:w="795" w:type="dxa"/>
            <w:vAlign w:val="center"/>
          </w:tcPr>
          <w:p w14:paraId="4EAAE3C5" w14:textId="6B2C54ED" w:rsidR="00051297" w:rsidRPr="004370EF" w:rsidRDefault="00051297" w:rsidP="00051297">
            <w:pPr>
              <w:spacing w:line="240" w:lineRule="auto"/>
              <w:ind w:firstLine="0"/>
              <w:jc w:val="center"/>
              <w:rPr>
                <w:sz w:val="20"/>
                <w:szCs w:val="20"/>
                <w:lang w:val="en-US"/>
              </w:rPr>
            </w:pPr>
            <w:r w:rsidRPr="004370EF">
              <w:rPr>
                <w:sz w:val="20"/>
                <w:szCs w:val="20"/>
                <w:lang w:val="en-US"/>
              </w:rPr>
              <w:t>-</w:t>
            </w:r>
          </w:p>
        </w:tc>
        <w:tc>
          <w:tcPr>
            <w:tcW w:w="883" w:type="dxa"/>
            <w:vAlign w:val="center"/>
          </w:tcPr>
          <w:p w14:paraId="0CF0D895"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30</w:t>
            </w:r>
          </w:p>
        </w:tc>
        <w:tc>
          <w:tcPr>
            <w:tcW w:w="794" w:type="dxa"/>
            <w:vAlign w:val="center"/>
          </w:tcPr>
          <w:p w14:paraId="0EB181B5"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58</w:t>
            </w:r>
          </w:p>
        </w:tc>
        <w:tc>
          <w:tcPr>
            <w:tcW w:w="795" w:type="dxa"/>
            <w:vAlign w:val="center"/>
          </w:tcPr>
          <w:p w14:paraId="4AC9AB5C"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71</w:t>
            </w:r>
          </w:p>
        </w:tc>
        <w:tc>
          <w:tcPr>
            <w:tcW w:w="883" w:type="dxa"/>
            <w:vAlign w:val="center"/>
          </w:tcPr>
          <w:p w14:paraId="35BFC183"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78</w:t>
            </w:r>
          </w:p>
        </w:tc>
      </w:tr>
      <w:tr w:rsidR="00051297" w:rsidRPr="004370EF" w14:paraId="3A367E95" w14:textId="77777777" w:rsidTr="00D20B01">
        <w:trPr>
          <w:trHeight w:val="227"/>
          <w:jc w:val="center"/>
        </w:trPr>
        <w:tc>
          <w:tcPr>
            <w:tcW w:w="4850" w:type="dxa"/>
            <w:vMerge w:val="restart"/>
            <w:vAlign w:val="center"/>
          </w:tcPr>
          <w:p w14:paraId="0C0C6793"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Brush: brush-weed-grass mixture</w:t>
            </w:r>
            <w:r w:rsidRPr="004370EF">
              <w:rPr>
                <w:sz w:val="20"/>
                <w:szCs w:val="20"/>
                <w:vertAlign w:val="superscript"/>
                <w:lang w:val="en-US"/>
              </w:rPr>
              <w:t>2</w:t>
            </w:r>
            <w:r w:rsidRPr="004370EF">
              <w:rPr>
                <w:sz w:val="20"/>
                <w:szCs w:val="20"/>
                <w:lang w:val="en-US"/>
              </w:rPr>
              <w:t>.</w:t>
            </w:r>
          </w:p>
        </w:tc>
        <w:tc>
          <w:tcPr>
            <w:tcW w:w="795" w:type="dxa"/>
            <w:vAlign w:val="center"/>
          </w:tcPr>
          <w:p w14:paraId="52EE3CE1"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Poor</w:t>
            </w:r>
          </w:p>
        </w:tc>
        <w:tc>
          <w:tcPr>
            <w:tcW w:w="883" w:type="dxa"/>
            <w:vAlign w:val="center"/>
          </w:tcPr>
          <w:p w14:paraId="18A272B6"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48</w:t>
            </w:r>
          </w:p>
        </w:tc>
        <w:tc>
          <w:tcPr>
            <w:tcW w:w="794" w:type="dxa"/>
            <w:vAlign w:val="center"/>
          </w:tcPr>
          <w:p w14:paraId="2B1763F8"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67</w:t>
            </w:r>
          </w:p>
        </w:tc>
        <w:tc>
          <w:tcPr>
            <w:tcW w:w="795" w:type="dxa"/>
            <w:vAlign w:val="center"/>
          </w:tcPr>
          <w:p w14:paraId="3B62EF3F"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77</w:t>
            </w:r>
          </w:p>
        </w:tc>
        <w:tc>
          <w:tcPr>
            <w:tcW w:w="883" w:type="dxa"/>
            <w:vAlign w:val="center"/>
          </w:tcPr>
          <w:p w14:paraId="5D8108AB"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83</w:t>
            </w:r>
          </w:p>
        </w:tc>
      </w:tr>
      <w:tr w:rsidR="00051297" w:rsidRPr="004370EF" w14:paraId="4B052936" w14:textId="77777777" w:rsidTr="00D20B01">
        <w:trPr>
          <w:trHeight w:val="227"/>
          <w:jc w:val="center"/>
        </w:trPr>
        <w:tc>
          <w:tcPr>
            <w:tcW w:w="4850" w:type="dxa"/>
            <w:vMerge/>
            <w:vAlign w:val="center"/>
          </w:tcPr>
          <w:p w14:paraId="57A2FAA3" w14:textId="77777777" w:rsidR="00051297" w:rsidRPr="004370EF" w:rsidRDefault="00051297" w:rsidP="00051297">
            <w:pPr>
              <w:spacing w:line="240" w:lineRule="auto"/>
              <w:ind w:firstLine="0"/>
              <w:jc w:val="center"/>
              <w:rPr>
                <w:sz w:val="20"/>
                <w:szCs w:val="20"/>
                <w:lang w:val="en-US"/>
              </w:rPr>
            </w:pPr>
          </w:p>
        </w:tc>
        <w:tc>
          <w:tcPr>
            <w:tcW w:w="795" w:type="dxa"/>
            <w:vAlign w:val="center"/>
          </w:tcPr>
          <w:p w14:paraId="22761742"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Fair</w:t>
            </w:r>
          </w:p>
        </w:tc>
        <w:tc>
          <w:tcPr>
            <w:tcW w:w="883" w:type="dxa"/>
            <w:vAlign w:val="center"/>
          </w:tcPr>
          <w:p w14:paraId="276702DD"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35</w:t>
            </w:r>
          </w:p>
        </w:tc>
        <w:tc>
          <w:tcPr>
            <w:tcW w:w="794" w:type="dxa"/>
            <w:vAlign w:val="center"/>
          </w:tcPr>
          <w:p w14:paraId="35E5A17E"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56</w:t>
            </w:r>
          </w:p>
        </w:tc>
        <w:tc>
          <w:tcPr>
            <w:tcW w:w="795" w:type="dxa"/>
            <w:vAlign w:val="center"/>
          </w:tcPr>
          <w:p w14:paraId="45712402"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70</w:t>
            </w:r>
          </w:p>
        </w:tc>
        <w:tc>
          <w:tcPr>
            <w:tcW w:w="883" w:type="dxa"/>
            <w:vAlign w:val="center"/>
          </w:tcPr>
          <w:p w14:paraId="207F3446"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77</w:t>
            </w:r>
          </w:p>
        </w:tc>
      </w:tr>
      <w:tr w:rsidR="00051297" w:rsidRPr="004370EF" w14:paraId="24668A9A" w14:textId="77777777" w:rsidTr="00D20B01">
        <w:trPr>
          <w:trHeight w:val="228"/>
          <w:jc w:val="center"/>
        </w:trPr>
        <w:tc>
          <w:tcPr>
            <w:tcW w:w="4850" w:type="dxa"/>
            <w:vMerge/>
            <w:vAlign w:val="center"/>
          </w:tcPr>
          <w:p w14:paraId="200AD6E8" w14:textId="77777777" w:rsidR="00051297" w:rsidRPr="004370EF" w:rsidRDefault="00051297" w:rsidP="00051297">
            <w:pPr>
              <w:spacing w:line="240" w:lineRule="auto"/>
              <w:ind w:firstLine="0"/>
              <w:jc w:val="center"/>
              <w:rPr>
                <w:sz w:val="20"/>
                <w:szCs w:val="20"/>
                <w:lang w:val="en-US"/>
              </w:rPr>
            </w:pPr>
          </w:p>
        </w:tc>
        <w:tc>
          <w:tcPr>
            <w:tcW w:w="795" w:type="dxa"/>
            <w:vAlign w:val="center"/>
          </w:tcPr>
          <w:p w14:paraId="5AE35766"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Good</w:t>
            </w:r>
          </w:p>
        </w:tc>
        <w:tc>
          <w:tcPr>
            <w:tcW w:w="883" w:type="dxa"/>
            <w:vAlign w:val="center"/>
          </w:tcPr>
          <w:p w14:paraId="5E9CCB14"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30 3</w:t>
            </w:r>
          </w:p>
        </w:tc>
        <w:tc>
          <w:tcPr>
            <w:tcW w:w="794" w:type="dxa"/>
            <w:vAlign w:val="center"/>
          </w:tcPr>
          <w:p w14:paraId="4027B51A"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48</w:t>
            </w:r>
          </w:p>
        </w:tc>
        <w:tc>
          <w:tcPr>
            <w:tcW w:w="795" w:type="dxa"/>
            <w:vAlign w:val="center"/>
          </w:tcPr>
          <w:p w14:paraId="4E5B836E"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65</w:t>
            </w:r>
          </w:p>
        </w:tc>
        <w:tc>
          <w:tcPr>
            <w:tcW w:w="883" w:type="dxa"/>
            <w:vAlign w:val="center"/>
          </w:tcPr>
          <w:p w14:paraId="27CDFCC3"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73</w:t>
            </w:r>
          </w:p>
        </w:tc>
      </w:tr>
      <w:tr w:rsidR="00051297" w:rsidRPr="004370EF" w14:paraId="23B4CE0A" w14:textId="77777777" w:rsidTr="00D20B01">
        <w:trPr>
          <w:trHeight w:val="227"/>
          <w:jc w:val="center"/>
        </w:trPr>
        <w:tc>
          <w:tcPr>
            <w:tcW w:w="4850" w:type="dxa"/>
            <w:vMerge w:val="restart"/>
            <w:vAlign w:val="center"/>
          </w:tcPr>
          <w:p w14:paraId="0CDFED8C"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Woods: grass combination (orchard or tree</w:t>
            </w:r>
          </w:p>
          <w:p w14:paraId="05A8BECC" w14:textId="77777777" w:rsidR="00051297" w:rsidRPr="004370EF" w:rsidRDefault="00051297" w:rsidP="00051297">
            <w:pPr>
              <w:spacing w:line="240" w:lineRule="auto"/>
              <w:ind w:firstLine="0"/>
              <w:jc w:val="center"/>
              <w:rPr>
                <w:sz w:val="20"/>
                <w:szCs w:val="20"/>
                <w:vertAlign w:val="superscript"/>
                <w:lang w:val="en-US"/>
              </w:rPr>
            </w:pPr>
            <w:r w:rsidRPr="004370EF">
              <w:rPr>
                <w:sz w:val="20"/>
                <w:szCs w:val="20"/>
                <w:lang w:val="en-US"/>
              </w:rPr>
              <w:t>farm)</w:t>
            </w:r>
            <w:r w:rsidRPr="004370EF">
              <w:rPr>
                <w:sz w:val="20"/>
                <w:szCs w:val="20"/>
                <w:vertAlign w:val="superscript"/>
                <w:lang w:val="en-US"/>
              </w:rPr>
              <w:t>4</w:t>
            </w:r>
          </w:p>
        </w:tc>
        <w:tc>
          <w:tcPr>
            <w:tcW w:w="795" w:type="dxa"/>
            <w:vAlign w:val="center"/>
          </w:tcPr>
          <w:p w14:paraId="35AC4EA8"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Poor</w:t>
            </w:r>
          </w:p>
        </w:tc>
        <w:tc>
          <w:tcPr>
            <w:tcW w:w="883" w:type="dxa"/>
            <w:vAlign w:val="center"/>
          </w:tcPr>
          <w:p w14:paraId="2E5265DD"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57</w:t>
            </w:r>
          </w:p>
        </w:tc>
        <w:tc>
          <w:tcPr>
            <w:tcW w:w="794" w:type="dxa"/>
            <w:vAlign w:val="center"/>
          </w:tcPr>
          <w:p w14:paraId="2A1A992B"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73</w:t>
            </w:r>
          </w:p>
        </w:tc>
        <w:tc>
          <w:tcPr>
            <w:tcW w:w="795" w:type="dxa"/>
            <w:vAlign w:val="center"/>
          </w:tcPr>
          <w:p w14:paraId="5972BDD8"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82</w:t>
            </w:r>
          </w:p>
        </w:tc>
        <w:tc>
          <w:tcPr>
            <w:tcW w:w="883" w:type="dxa"/>
            <w:vAlign w:val="center"/>
          </w:tcPr>
          <w:p w14:paraId="21E9DC4A"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86</w:t>
            </w:r>
          </w:p>
        </w:tc>
      </w:tr>
      <w:tr w:rsidR="00051297" w:rsidRPr="004370EF" w14:paraId="1D62FAA8" w14:textId="77777777" w:rsidTr="00D20B01">
        <w:trPr>
          <w:trHeight w:val="227"/>
          <w:jc w:val="center"/>
        </w:trPr>
        <w:tc>
          <w:tcPr>
            <w:tcW w:w="4850" w:type="dxa"/>
            <w:vMerge/>
            <w:vAlign w:val="center"/>
          </w:tcPr>
          <w:p w14:paraId="6A511039" w14:textId="77777777" w:rsidR="00051297" w:rsidRPr="004370EF" w:rsidRDefault="00051297" w:rsidP="00051297">
            <w:pPr>
              <w:spacing w:line="240" w:lineRule="auto"/>
              <w:ind w:firstLine="0"/>
              <w:jc w:val="center"/>
              <w:rPr>
                <w:sz w:val="20"/>
                <w:szCs w:val="20"/>
                <w:lang w:val="en-US"/>
              </w:rPr>
            </w:pPr>
          </w:p>
        </w:tc>
        <w:tc>
          <w:tcPr>
            <w:tcW w:w="795" w:type="dxa"/>
            <w:vAlign w:val="center"/>
          </w:tcPr>
          <w:p w14:paraId="42E85C8F"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Fair</w:t>
            </w:r>
          </w:p>
        </w:tc>
        <w:tc>
          <w:tcPr>
            <w:tcW w:w="883" w:type="dxa"/>
            <w:vAlign w:val="center"/>
          </w:tcPr>
          <w:p w14:paraId="6733AB78"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43</w:t>
            </w:r>
          </w:p>
        </w:tc>
        <w:tc>
          <w:tcPr>
            <w:tcW w:w="794" w:type="dxa"/>
            <w:vAlign w:val="center"/>
          </w:tcPr>
          <w:p w14:paraId="44460C69"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65</w:t>
            </w:r>
          </w:p>
        </w:tc>
        <w:tc>
          <w:tcPr>
            <w:tcW w:w="795" w:type="dxa"/>
            <w:vAlign w:val="center"/>
          </w:tcPr>
          <w:p w14:paraId="4E56EE9C"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76</w:t>
            </w:r>
          </w:p>
        </w:tc>
        <w:tc>
          <w:tcPr>
            <w:tcW w:w="883" w:type="dxa"/>
            <w:vAlign w:val="center"/>
          </w:tcPr>
          <w:p w14:paraId="780CC809"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82</w:t>
            </w:r>
          </w:p>
        </w:tc>
      </w:tr>
      <w:tr w:rsidR="00051297" w:rsidRPr="004370EF" w14:paraId="293FADDA" w14:textId="77777777" w:rsidTr="00D20B01">
        <w:trPr>
          <w:trHeight w:val="227"/>
          <w:jc w:val="center"/>
        </w:trPr>
        <w:tc>
          <w:tcPr>
            <w:tcW w:w="4850" w:type="dxa"/>
            <w:vMerge/>
            <w:vAlign w:val="center"/>
          </w:tcPr>
          <w:p w14:paraId="7936BC65" w14:textId="77777777" w:rsidR="00051297" w:rsidRPr="004370EF" w:rsidRDefault="00051297" w:rsidP="00051297">
            <w:pPr>
              <w:spacing w:line="240" w:lineRule="auto"/>
              <w:ind w:firstLine="0"/>
              <w:jc w:val="center"/>
              <w:rPr>
                <w:sz w:val="20"/>
                <w:szCs w:val="20"/>
                <w:lang w:val="en-US"/>
              </w:rPr>
            </w:pPr>
          </w:p>
        </w:tc>
        <w:tc>
          <w:tcPr>
            <w:tcW w:w="795" w:type="dxa"/>
            <w:vAlign w:val="center"/>
          </w:tcPr>
          <w:p w14:paraId="43E665D4"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Good</w:t>
            </w:r>
          </w:p>
        </w:tc>
        <w:tc>
          <w:tcPr>
            <w:tcW w:w="883" w:type="dxa"/>
            <w:vAlign w:val="center"/>
          </w:tcPr>
          <w:p w14:paraId="78DD48A9"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32</w:t>
            </w:r>
          </w:p>
        </w:tc>
        <w:tc>
          <w:tcPr>
            <w:tcW w:w="794" w:type="dxa"/>
            <w:vAlign w:val="center"/>
          </w:tcPr>
          <w:p w14:paraId="5C3962A5"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58</w:t>
            </w:r>
          </w:p>
        </w:tc>
        <w:tc>
          <w:tcPr>
            <w:tcW w:w="795" w:type="dxa"/>
            <w:vAlign w:val="center"/>
          </w:tcPr>
          <w:p w14:paraId="208A3979"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72</w:t>
            </w:r>
          </w:p>
        </w:tc>
        <w:tc>
          <w:tcPr>
            <w:tcW w:w="883" w:type="dxa"/>
            <w:vAlign w:val="center"/>
          </w:tcPr>
          <w:p w14:paraId="71CB8F27"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79</w:t>
            </w:r>
          </w:p>
        </w:tc>
      </w:tr>
      <w:tr w:rsidR="00051297" w:rsidRPr="004370EF" w14:paraId="4762C9A7" w14:textId="77777777" w:rsidTr="00D20B01">
        <w:trPr>
          <w:trHeight w:val="227"/>
          <w:jc w:val="center"/>
        </w:trPr>
        <w:tc>
          <w:tcPr>
            <w:tcW w:w="4850" w:type="dxa"/>
            <w:vMerge w:val="restart"/>
            <w:vAlign w:val="center"/>
          </w:tcPr>
          <w:p w14:paraId="0AFD4037" w14:textId="77777777" w:rsidR="00051297" w:rsidRPr="004370EF" w:rsidRDefault="00051297" w:rsidP="00051297">
            <w:pPr>
              <w:spacing w:line="240" w:lineRule="auto"/>
              <w:ind w:firstLine="0"/>
              <w:jc w:val="center"/>
              <w:rPr>
                <w:sz w:val="20"/>
                <w:szCs w:val="20"/>
                <w:vertAlign w:val="superscript"/>
                <w:lang w:val="en-US"/>
              </w:rPr>
            </w:pPr>
            <w:r w:rsidRPr="004370EF">
              <w:rPr>
                <w:sz w:val="20"/>
                <w:szCs w:val="20"/>
                <w:lang w:val="en-US"/>
              </w:rPr>
              <w:t>Woods</w:t>
            </w:r>
            <w:r w:rsidRPr="004370EF">
              <w:rPr>
                <w:sz w:val="20"/>
                <w:szCs w:val="20"/>
                <w:vertAlign w:val="superscript"/>
                <w:lang w:val="en-US"/>
              </w:rPr>
              <w:t>5</w:t>
            </w:r>
          </w:p>
        </w:tc>
        <w:tc>
          <w:tcPr>
            <w:tcW w:w="795" w:type="dxa"/>
            <w:vAlign w:val="center"/>
          </w:tcPr>
          <w:p w14:paraId="3095446A"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Poor</w:t>
            </w:r>
          </w:p>
        </w:tc>
        <w:tc>
          <w:tcPr>
            <w:tcW w:w="883" w:type="dxa"/>
            <w:vAlign w:val="center"/>
          </w:tcPr>
          <w:p w14:paraId="696E6674"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45</w:t>
            </w:r>
          </w:p>
        </w:tc>
        <w:tc>
          <w:tcPr>
            <w:tcW w:w="794" w:type="dxa"/>
            <w:vAlign w:val="center"/>
          </w:tcPr>
          <w:p w14:paraId="4B5D6913"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66</w:t>
            </w:r>
          </w:p>
        </w:tc>
        <w:tc>
          <w:tcPr>
            <w:tcW w:w="795" w:type="dxa"/>
            <w:vAlign w:val="center"/>
          </w:tcPr>
          <w:p w14:paraId="5994DE2F"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77</w:t>
            </w:r>
          </w:p>
        </w:tc>
        <w:tc>
          <w:tcPr>
            <w:tcW w:w="883" w:type="dxa"/>
            <w:vAlign w:val="center"/>
          </w:tcPr>
          <w:p w14:paraId="3F1C9A93"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83</w:t>
            </w:r>
          </w:p>
        </w:tc>
      </w:tr>
      <w:tr w:rsidR="00051297" w:rsidRPr="004370EF" w14:paraId="39652D56" w14:textId="77777777" w:rsidTr="00D20B01">
        <w:trPr>
          <w:trHeight w:val="227"/>
          <w:jc w:val="center"/>
        </w:trPr>
        <w:tc>
          <w:tcPr>
            <w:tcW w:w="4850" w:type="dxa"/>
            <w:vMerge/>
            <w:vAlign w:val="center"/>
          </w:tcPr>
          <w:p w14:paraId="33DED3C0" w14:textId="77777777" w:rsidR="00051297" w:rsidRPr="004370EF" w:rsidRDefault="00051297" w:rsidP="00051297">
            <w:pPr>
              <w:spacing w:line="240" w:lineRule="auto"/>
              <w:ind w:firstLine="0"/>
              <w:jc w:val="center"/>
              <w:rPr>
                <w:sz w:val="20"/>
                <w:szCs w:val="20"/>
                <w:lang w:val="en-US"/>
              </w:rPr>
            </w:pPr>
          </w:p>
        </w:tc>
        <w:tc>
          <w:tcPr>
            <w:tcW w:w="795" w:type="dxa"/>
            <w:vAlign w:val="center"/>
          </w:tcPr>
          <w:p w14:paraId="066E3C8D"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Fair</w:t>
            </w:r>
          </w:p>
        </w:tc>
        <w:tc>
          <w:tcPr>
            <w:tcW w:w="883" w:type="dxa"/>
            <w:vAlign w:val="center"/>
          </w:tcPr>
          <w:p w14:paraId="4E15B1DB"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36</w:t>
            </w:r>
          </w:p>
        </w:tc>
        <w:tc>
          <w:tcPr>
            <w:tcW w:w="794" w:type="dxa"/>
            <w:vAlign w:val="center"/>
          </w:tcPr>
          <w:p w14:paraId="31550716"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60</w:t>
            </w:r>
          </w:p>
        </w:tc>
        <w:tc>
          <w:tcPr>
            <w:tcW w:w="795" w:type="dxa"/>
            <w:vAlign w:val="center"/>
          </w:tcPr>
          <w:p w14:paraId="25FD9961"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73</w:t>
            </w:r>
          </w:p>
        </w:tc>
        <w:tc>
          <w:tcPr>
            <w:tcW w:w="883" w:type="dxa"/>
            <w:vAlign w:val="center"/>
          </w:tcPr>
          <w:p w14:paraId="0CF1F588"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79</w:t>
            </w:r>
          </w:p>
        </w:tc>
      </w:tr>
      <w:tr w:rsidR="00051297" w:rsidRPr="004370EF" w14:paraId="3767D29D" w14:textId="77777777" w:rsidTr="00D20B01">
        <w:trPr>
          <w:trHeight w:val="227"/>
          <w:jc w:val="center"/>
        </w:trPr>
        <w:tc>
          <w:tcPr>
            <w:tcW w:w="4850" w:type="dxa"/>
            <w:vMerge/>
            <w:vAlign w:val="center"/>
          </w:tcPr>
          <w:p w14:paraId="7989084B" w14:textId="77777777" w:rsidR="00051297" w:rsidRPr="004370EF" w:rsidRDefault="00051297" w:rsidP="00051297">
            <w:pPr>
              <w:spacing w:line="240" w:lineRule="auto"/>
              <w:ind w:firstLine="0"/>
              <w:jc w:val="center"/>
              <w:rPr>
                <w:sz w:val="20"/>
                <w:szCs w:val="20"/>
                <w:lang w:val="en-US"/>
              </w:rPr>
            </w:pPr>
          </w:p>
        </w:tc>
        <w:tc>
          <w:tcPr>
            <w:tcW w:w="795" w:type="dxa"/>
            <w:vAlign w:val="center"/>
          </w:tcPr>
          <w:p w14:paraId="19100D19"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Good</w:t>
            </w:r>
          </w:p>
        </w:tc>
        <w:tc>
          <w:tcPr>
            <w:tcW w:w="883" w:type="dxa"/>
            <w:vAlign w:val="center"/>
          </w:tcPr>
          <w:p w14:paraId="17D348A2"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30 3</w:t>
            </w:r>
          </w:p>
        </w:tc>
        <w:tc>
          <w:tcPr>
            <w:tcW w:w="794" w:type="dxa"/>
            <w:vAlign w:val="center"/>
          </w:tcPr>
          <w:p w14:paraId="1F962C72"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55</w:t>
            </w:r>
          </w:p>
        </w:tc>
        <w:tc>
          <w:tcPr>
            <w:tcW w:w="795" w:type="dxa"/>
            <w:vAlign w:val="center"/>
          </w:tcPr>
          <w:p w14:paraId="5F33D0BA"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70</w:t>
            </w:r>
          </w:p>
        </w:tc>
        <w:tc>
          <w:tcPr>
            <w:tcW w:w="883" w:type="dxa"/>
            <w:vAlign w:val="center"/>
          </w:tcPr>
          <w:p w14:paraId="61DB5C11"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77</w:t>
            </w:r>
          </w:p>
        </w:tc>
      </w:tr>
      <w:tr w:rsidR="00051297" w:rsidRPr="004370EF" w14:paraId="5C0A54F4" w14:textId="77777777" w:rsidTr="00D20B01">
        <w:trPr>
          <w:trHeight w:val="455"/>
          <w:jc w:val="center"/>
        </w:trPr>
        <w:tc>
          <w:tcPr>
            <w:tcW w:w="4850" w:type="dxa"/>
            <w:vAlign w:val="center"/>
          </w:tcPr>
          <w:p w14:paraId="2507B418"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Farmsteads: buildings, lanes, driveways, and surrounding lots.</w:t>
            </w:r>
          </w:p>
        </w:tc>
        <w:tc>
          <w:tcPr>
            <w:tcW w:w="795" w:type="dxa"/>
            <w:vAlign w:val="center"/>
          </w:tcPr>
          <w:p w14:paraId="3394B524" w14:textId="726C5486" w:rsidR="00051297" w:rsidRPr="004370EF" w:rsidRDefault="00051297" w:rsidP="00051297">
            <w:pPr>
              <w:spacing w:line="240" w:lineRule="auto"/>
              <w:ind w:firstLine="0"/>
              <w:jc w:val="center"/>
              <w:rPr>
                <w:sz w:val="20"/>
                <w:szCs w:val="20"/>
                <w:lang w:val="en-US"/>
              </w:rPr>
            </w:pPr>
            <w:r w:rsidRPr="004370EF">
              <w:rPr>
                <w:sz w:val="20"/>
                <w:szCs w:val="20"/>
                <w:lang w:val="en-US"/>
              </w:rPr>
              <w:t>-</w:t>
            </w:r>
          </w:p>
        </w:tc>
        <w:tc>
          <w:tcPr>
            <w:tcW w:w="883" w:type="dxa"/>
            <w:vAlign w:val="center"/>
          </w:tcPr>
          <w:p w14:paraId="6AF5F74C"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59</w:t>
            </w:r>
          </w:p>
        </w:tc>
        <w:tc>
          <w:tcPr>
            <w:tcW w:w="794" w:type="dxa"/>
            <w:vAlign w:val="center"/>
          </w:tcPr>
          <w:p w14:paraId="791D1AEA"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74</w:t>
            </w:r>
          </w:p>
        </w:tc>
        <w:tc>
          <w:tcPr>
            <w:tcW w:w="795" w:type="dxa"/>
            <w:vAlign w:val="center"/>
          </w:tcPr>
          <w:p w14:paraId="6C9E6A08"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82</w:t>
            </w:r>
          </w:p>
        </w:tc>
        <w:tc>
          <w:tcPr>
            <w:tcW w:w="883" w:type="dxa"/>
            <w:vAlign w:val="center"/>
          </w:tcPr>
          <w:p w14:paraId="1456ABD2" w14:textId="77777777" w:rsidR="00051297" w:rsidRPr="004370EF" w:rsidRDefault="00051297" w:rsidP="00051297">
            <w:pPr>
              <w:spacing w:line="240" w:lineRule="auto"/>
              <w:ind w:firstLine="0"/>
              <w:jc w:val="center"/>
              <w:rPr>
                <w:sz w:val="20"/>
                <w:szCs w:val="20"/>
                <w:lang w:val="en-US"/>
              </w:rPr>
            </w:pPr>
            <w:r w:rsidRPr="004370EF">
              <w:rPr>
                <w:sz w:val="20"/>
                <w:szCs w:val="20"/>
                <w:lang w:val="en-US"/>
              </w:rPr>
              <w:t>86</w:t>
            </w:r>
          </w:p>
        </w:tc>
      </w:tr>
    </w:tbl>
    <w:p w14:paraId="136A014A" w14:textId="77777777" w:rsidR="00051297" w:rsidRPr="00051297" w:rsidRDefault="00051297" w:rsidP="00051297">
      <w:pPr>
        <w:spacing w:line="240" w:lineRule="auto"/>
        <w:rPr>
          <w:rFonts w:cs="Times New Roman"/>
          <w:szCs w:val="24"/>
          <w:lang w:val="en-US"/>
        </w:rPr>
      </w:pPr>
      <w:r w:rsidRPr="00051297">
        <w:rPr>
          <w:rFonts w:cs="Times New Roman"/>
          <w:szCs w:val="24"/>
          <w:lang w:val="en-US"/>
        </w:rPr>
        <w:lastRenderedPageBreak/>
        <w:t>Note:</w:t>
      </w:r>
    </w:p>
    <w:p w14:paraId="64C035E5" w14:textId="77777777" w:rsidR="00051297" w:rsidRPr="00051297" w:rsidRDefault="00051297" w:rsidP="00051297">
      <w:pPr>
        <w:spacing w:line="240" w:lineRule="auto"/>
        <w:rPr>
          <w:rFonts w:cs="Times New Roman"/>
          <w:sz w:val="20"/>
          <w:szCs w:val="20"/>
          <w:lang w:val="en-US"/>
        </w:rPr>
      </w:pPr>
      <w:r w:rsidRPr="00051297">
        <w:rPr>
          <w:rFonts w:cs="Times New Roman"/>
          <w:sz w:val="20"/>
          <w:szCs w:val="20"/>
          <w:lang w:val="en-US"/>
        </w:rPr>
        <w:t>AMC II as well as  I</w:t>
      </w:r>
      <w:r w:rsidRPr="00051297">
        <w:rPr>
          <w:rFonts w:cs="Times New Roman"/>
          <w:sz w:val="20"/>
          <w:szCs w:val="20"/>
          <w:vertAlign w:val="subscript"/>
          <w:lang w:val="en-US"/>
        </w:rPr>
        <w:t>a</w:t>
      </w:r>
      <w:r w:rsidRPr="00051297">
        <w:rPr>
          <w:rFonts w:cs="Times New Roman"/>
          <w:sz w:val="20"/>
          <w:szCs w:val="20"/>
          <w:lang w:val="en-US"/>
        </w:rPr>
        <w:t xml:space="preserve"> = 0.2*S</w:t>
      </w:r>
    </w:p>
    <w:p w14:paraId="3CE06D01" w14:textId="77777777" w:rsidR="00051297" w:rsidRPr="00051297" w:rsidRDefault="00051297" w:rsidP="00051297">
      <w:pPr>
        <w:spacing w:line="240" w:lineRule="auto"/>
        <w:rPr>
          <w:rFonts w:cs="Times New Roman"/>
          <w:sz w:val="20"/>
          <w:szCs w:val="20"/>
          <w:lang w:val="en-US"/>
        </w:rPr>
      </w:pPr>
      <w:r w:rsidRPr="00051297">
        <w:rPr>
          <w:rFonts w:cs="Times New Roman"/>
          <w:sz w:val="20"/>
          <w:szCs w:val="20"/>
          <w:vertAlign w:val="superscript"/>
          <w:lang w:val="en-US"/>
        </w:rPr>
        <w:t>1</w:t>
      </w:r>
      <w:r w:rsidRPr="00051297">
        <w:rPr>
          <w:rFonts w:cs="Times New Roman"/>
          <w:sz w:val="20"/>
          <w:szCs w:val="20"/>
          <w:lang w:val="en-US"/>
        </w:rPr>
        <w:t xml:space="preserve"> </w:t>
      </w:r>
      <w:r w:rsidRPr="00051297">
        <w:rPr>
          <w:rFonts w:cs="Times New Roman"/>
          <w:i/>
          <w:sz w:val="20"/>
          <w:szCs w:val="20"/>
          <w:lang w:val="en-US"/>
        </w:rPr>
        <w:t>Poor</w:t>
      </w:r>
      <w:r w:rsidRPr="00051297">
        <w:rPr>
          <w:rFonts w:cs="Times New Roman"/>
          <w:sz w:val="20"/>
          <w:szCs w:val="20"/>
          <w:lang w:val="en-US"/>
        </w:rPr>
        <w:t>:  approximately 50% ground cover or extensively grazed with no mulch.</w:t>
      </w:r>
    </w:p>
    <w:p w14:paraId="08C29EE7" w14:textId="77777777" w:rsidR="00051297" w:rsidRPr="00051297" w:rsidRDefault="00051297" w:rsidP="00051297">
      <w:pPr>
        <w:spacing w:line="240" w:lineRule="auto"/>
        <w:rPr>
          <w:rFonts w:cs="Times New Roman"/>
          <w:sz w:val="20"/>
          <w:szCs w:val="20"/>
          <w:lang w:val="en-US"/>
        </w:rPr>
      </w:pPr>
      <w:r w:rsidRPr="00051297">
        <w:rPr>
          <w:rFonts w:cs="Times New Roman"/>
          <w:i/>
          <w:sz w:val="20"/>
          <w:szCs w:val="20"/>
          <w:lang w:val="en-US"/>
        </w:rPr>
        <w:t>Fair:</w:t>
      </w:r>
      <w:r w:rsidRPr="00051297">
        <w:rPr>
          <w:rFonts w:cs="Times New Roman"/>
          <w:i/>
          <w:sz w:val="20"/>
          <w:szCs w:val="20"/>
          <w:lang w:val="en-US"/>
        </w:rPr>
        <w:tab/>
      </w:r>
      <w:r w:rsidRPr="00051297">
        <w:rPr>
          <w:rFonts w:cs="Times New Roman"/>
          <w:sz w:val="20"/>
          <w:szCs w:val="20"/>
          <w:lang w:val="en-US"/>
        </w:rPr>
        <w:t>ground cover of 50 to 75 % and not extensively grazed.</w:t>
      </w:r>
    </w:p>
    <w:p w14:paraId="2D56A7BC" w14:textId="77777777" w:rsidR="00051297" w:rsidRPr="00051297" w:rsidRDefault="00051297" w:rsidP="00051297">
      <w:pPr>
        <w:spacing w:line="240" w:lineRule="auto"/>
        <w:rPr>
          <w:rFonts w:cs="Times New Roman"/>
          <w:sz w:val="20"/>
          <w:szCs w:val="20"/>
          <w:lang w:val="en-US"/>
        </w:rPr>
      </w:pPr>
      <w:r w:rsidRPr="00051297">
        <w:rPr>
          <w:rFonts w:cs="Times New Roman"/>
          <w:i/>
          <w:sz w:val="20"/>
          <w:szCs w:val="20"/>
          <w:lang w:val="en-US"/>
        </w:rPr>
        <w:t xml:space="preserve">Good: </w:t>
      </w:r>
      <w:r w:rsidRPr="00051297">
        <w:rPr>
          <w:rFonts w:cs="Times New Roman"/>
          <w:sz w:val="20"/>
          <w:szCs w:val="20"/>
          <w:lang w:val="en-US"/>
        </w:rPr>
        <w:t>&gt;75% ground cover and only moderately or infrequently grazed.</w:t>
      </w:r>
    </w:p>
    <w:p w14:paraId="706DAA64" w14:textId="77777777" w:rsidR="00051297" w:rsidRPr="00051297" w:rsidRDefault="00051297" w:rsidP="00051297">
      <w:pPr>
        <w:spacing w:line="240" w:lineRule="auto"/>
        <w:rPr>
          <w:rFonts w:cs="Times New Roman"/>
          <w:sz w:val="20"/>
          <w:szCs w:val="20"/>
          <w:lang w:val="en-US"/>
        </w:rPr>
      </w:pPr>
      <w:r w:rsidRPr="00051297">
        <w:rPr>
          <w:rFonts w:cs="Times New Roman"/>
          <w:sz w:val="20"/>
          <w:szCs w:val="20"/>
          <w:vertAlign w:val="superscript"/>
          <w:lang w:val="en-US"/>
        </w:rPr>
        <w:t>2</w:t>
      </w:r>
      <w:r w:rsidRPr="00051297">
        <w:rPr>
          <w:rFonts w:cs="Times New Roman"/>
          <w:sz w:val="20"/>
          <w:szCs w:val="20"/>
          <w:lang w:val="en-US"/>
        </w:rPr>
        <w:t xml:space="preserve"> </w:t>
      </w:r>
      <w:r w:rsidRPr="00051297">
        <w:rPr>
          <w:rFonts w:cs="Times New Roman"/>
          <w:i/>
          <w:sz w:val="20"/>
          <w:szCs w:val="20"/>
          <w:lang w:val="en-US"/>
        </w:rPr>
        <w:t>Poor</w:t>
      </w:r>
      <w:r w:rsidRPr="00051297">
        <w:rPr>
          <w:rFonts w:cs="Times New Roman"/>
          <w:sz w:val="20"/>
          <w:szCs w:val="20"/>
          <w:lang w:val="en-US"/>
        </w:rPr>
        <w:t>: a ground cover of at least 50%.</w:t>
      </w:r>
    </w:p>
    <w:p w14:paraId="3A2EA907" w14:textId="77777777" w:rsidR="00051297" w:rsidRPr="00051297" w:rsidRDefault="00051297" w:rsidP="00051297">
      <w:pPr>
        <w:spacing w:line="240" w:lineRule="auto"/>
        <w:rPr>
          <w:rFonts w:cs="Times New Roman"/>
          <w:sz w:val="20"/>
          <w:szCs w:val="20"/>
          <w:lang w:val="en-US"/>
        </w:rPr>
      </w:pPr>
      <w:r w:rsidRPr="00051297">
        <w:rPr>
          <w:rFonts w:cs="Times New Roman"/>
          <w:i/>
          <w:sz w:val="20"/>
          <w:szCs w:val="20"/>
          <w:lang w:val="en-US"/>
        </w:rPr>
        <w:t>Fair:</w:t>
      </w:r>
      <w:r w:rsidRPr="00051297">
        <w:rPr>
          <w:rFonts w:cs="Times New Roman"/>
          <w:i/>
          <w:sz w:val="20"/>
          <w:szCs w:val="20"/>
          <w:lang w:val="en-US"/>
        </w:rPr>
        <w:tab/>
      </w:r>
      <w:r w:rsidRPr="00051297">
        <w:rPr>
          <w:rFonts w:cs="Times New Roman"/>
          <w:sz w:val="20"/>
          <w:szCs w:val="20"/>
          <w:lang w:val="en-US"/>
        </w:rPr>
        <w:t>between 50 and 75 % of the earth is covered.</w:t>
      </w:r>
    </w:p>
    <w:p w14:paraId="2B173E32" w14:textId="77777777" w:rsidR="00051297" w:rsidRPr="00051297" w:rsidRDefault="00051297" w:rsidP="00051297">
      <w:pPr>
        <w:spacing w:line="240" w:lineRule="auto"/>
        <w:rPr>
          <w:rFonts w:cs="Times New Roman"/>
          <w:sz w:val="20"/>
          <w:szCs w:val="20"/>
          <w:lang w:val="en-US"/>
        </w:rPr>
      </w:pPr>
      <w:r w:rsidRPr="00051297">
        <w:rPr>
          <w:rFonts w:cs="Times New Roman"/>
          <w:i/>
          <w:sz w:val="20"/>
          <w:szCs w:val="20"/>
          <w:lang w:val="en-US"/>
        </w:rPr>
        <w:t xml:space="preserve">Good: </w:t>
      </w:r>
      <w:r w:rsidRPr="00051297">
        <w:rPr>
          <w:rFonts w:cs="Times New Roman"/>
          <w:sz w:val="20"/>
          <w:szCs w:val="20"/>
          <w:lang w:val="en-US"/>
        </w:rPr>
        <w:t>&gt;75% of the ground is covered.</w:t>
      </w:r>
    </w:p>
    <w:p w14:paraId="35B9D709" w14:textId="77777777" w:rsidR="00051297" w:rsidRPr="00051297" w:rsidRDefault="00051297" w:rsidP="00051297">
      <w:pPr>
        <w:spacing w:line="240" w:lineRule="auto"/>
        <w:rPr>
          <w:rFonts w:cs="Times New Roman"/>
          <w:sz w:val="20"/>
          <w:szCs w:val="20"/>
          <w:lang w:val="en-US"/>
        </w:rPr>
      </w:pPr>
      <w:r w:rsidRPr="00051297">
        <w:rPr>
          <w:rFonts w:cs="Times New Roman"/>
          <w:sz w:val="20"/>
          <w:szCs w:val="20"/>
          <w:vertAlign w:val="superscript"/>
          <w:lang w:val="en-US"/>
        </w:rPr>
        <w:t>3</w:t>
      </w:r>
      <w:r w:rsidRPr="00051297">
        <w:rPr>
          <w:rFonts w:cs="Times New Roman"/>
          <w:sz w:val="20"/>
          <w:szCs w:val="20"/>
          <w:lang w:val="en-US"/>
        </w:rPr>
        <w:t xml:space="preserve"> Use CN = 30 for runoff calculations if the actual CN is less than 30.</w:t>
      </w:r>
    </w:p>
    <w:p w14:paraId="357B4A10" w14:textId="77777777" w:rsidR="00051297" w:rsidRPr="00051297" w:rsidRDefault="00051297" w:rsidP="00051297">
      <w:pPr>
        <w:spacing w:line="240" w:lineRule="auto"/>
        <w:rPr>
          <w:rFonts w:cs="Times New Roman"/>
          <w:sz w:val="20"/>
          <w:szCs w:val="20"/>
          <w:lang w:val="en-US"/>
        </w:rPr>
      </w:pPr>
      <w:r w:rsidRPr="00051297">
        <w:rPr>
          <w:rFonts w:cs="Times New Roman"/>
          <w:sz w:val="20"/>
          <w:szCs w:val="20"/>
          <w:vertAlign w:val="superscript"/>
          <w:lang w:val="en-US"/>
        </w:rPr>
        <w:t>4</w:t>
      </w:r>
      <w:r w:rsidRPr="00051297">
        <w:rPr>
          <w:rFonts w:cs="Times New Roman"/>
          <w:sz w:val="20"/>
          <w:szCs w:val="20"/>
          <w:lang w:val="en-US"/>
        </w:rPr>
        <w:t xml:space="preserve"> The CNs displayed were calculated for areas with 50% wood and 50% grass (pasture) cover. From the CNs for forests and pasture, other combinations of circumstances can be calculated.</w:t>
      </w:r>
    </w:p>
    <w:p w14:paraId="55D520D4" w14:textId="77777777" w:rsidR="00051297" w:rsidRPr="00051297" w:rsidRDefault="00051297" w:rsidP="00051297">
      <w:pPr>
        <w:spacing w:line="240" w:lineRule="auto"/>
        <w:rPr>
          <w:rFonts w:cs="Times New Roman"/>
          <w:sz w:val="20"/>
          <w:szCs w:val="20"/>
          <w:lang w:val="en-US"/>
        </w:rPr>
      </w:pPr>
      <w:r w:rsidRPr="00051297">
        <w:rPr>
          <w:rFonts w:cs="Times New Roman"/>
          <w:sz w:val="20"/>
          <w:szCs w:val="20"/>
          <w:vertAlign w:val="superscript"/>
          <w:lang w:val="en-US"/>
        </w:rPr>
        <w:t>5</w:t>
      </w:r>
      <w:r w:rsidRPr="00051297">
        <w:rPr>
          <w:rFonts w:cs="Times New Roman"/>
          <w:sz w:val="20"/>
          <w:szCs w:val="20"/>
          <w:lang w:val="en-US"/>
        </w:rPr>
        <w:t xml:space="preserve"> </w:t>
      </w:r>
      <w:r w:rsidRPr="00051297">
        <w:rPr>
          <w:rFonts w:cs="Times New Roman"/>
          <w:i/>
          <w:sz w:val="20"/>
          <w:szCs w:val="20"/>
          <w:lang w:val="en-US"/>
        </w:rPr>
        <w:t>Poor</w:t>
      </w:r>
      <w:r w:rsidRPr="00051297">
        <w:rPr>
          <w:rFonts w:cs="Times New Roman"/>
          <w:sz w:val="20"/>
          <w:szCs w:val="20"/>
          <w:lang w:val="en-US"/>
        </w:rPr>
        <w:t>: heavy grazing or regular burning destroys forest trash, tiny trees, and bushes.</w:t>
      </w:r>
    </w:p>
    <w:p w14:paraId="6C5936C3" w14:textId="77777777" w:rsidR="00051297" w:rsidRPr="00051297" w:rsidRDefault="00051297" w:rsidP="00051297">
      <w:pPr>
        <w:spacing w:line="240" w:lineRule="auto"/>
        <w:rPr>
          <w:rFonts w:cs="Times New Roman"/>
          <w:sz w:val="20"/>
          <w:szCs w:val="20"/>
          <w:lang w:val="en-US"/>
        </w:rPr>
      </w:pPr>
      <w:r w:rsidRPr="00051297">
        <w:rPr>
          <w:rFonts w:cs="Times New Roman"/>
          <w:i/>
          <w:sz w:val="20"/>
          <w:szCs w:val="20"/>
          <w:lang w:val="en-US"/>
        </w:rPr>
        <w:t>Fair:</w:t>
      </w:r>
      <w:r w:rsidRPr="00051297">
        <w:rPr>
          <w:rFonts w:cs="Times New Roman"/>
          <w:i/>
          <w:sz w:val="20"/>
          <w:szCs w:val="20"/>
          <w:lang w:val="en-US"/>
        </w:rPr>
        <w:tab/>
      </w:r>
      <w:r w:rsidRPr="00051297">
        <w:rPr>
          <w:rFonts w:cs="Times New Roman"/>
          <w:sz w:val="20"/>
          <w:szCs w:val="20"/>
          <w:lang w:val="en-US"/>
        </w:rPr>
        <w:t>The woods are grazed but not burned, and the land is covered in forest litter.</w:t>
      </w:r>
    </w:p>
    <w:p w14:paraId="3596B733" w14:textId="77777777" w:rsidR="00051297" w:rsidRPr="00051297" w:rsidRDefault="00051297" w:rsidP="00051297">
      <w:pPr>
        <w:spacing w:line="240" w:lineRule="auto"/>
        <w:rPr>
          <w:rFonts w:cs="Times New Roman"/>
          <w:sz w:val="20"/>
          <w:szCs w:val="20"/>
          <w:lang w:val="en-US"/>
        </w:rPr>
      </w:pPr>
      <w:r w:rsidRPr="00051297">
        <w:rPr>
          <w:rFonts w:cs="Times New Roman"/>
          <w:i/>
          <w:sz w:val="20"/>
          <w:szCs w:val="20"/>
          <w:lang w:val="en-US"/>
        </w:rPr>
        <w:t xml:space="preserve">Good: </w:t>
      </w:r>
      <w:r w:rsidRPr="00051297">
        <w:rPr>
          <w:rFonts w:cs="Times New Roman"/>
          <w:sz w:val="20"/>
          <w:szCs w:val="20"/>
          <w:lang w:val="en-US"/>
        </w:rPr>
        <w:t>Grazing is prohibited in the woods, and litter and brush adequately cover the soil.</w:t>
      </w:r>
    </w:p>
    <w:p w14:paraId="71FEE9C7" w14:textId="77777777" w:rsidR="00051297" w:rsidRPr="00051297" w:rsidRDefault="00051297" w:rsidP="00051297">
      <w:pPr>
        <w:spacing w:line="240" w:lineRule="auto"/>
        <w:rPr>
          <w:rFonts w:cs="Times New Roman"/>
          <w:sz w:val="20"/>
          <w:szCs w:val="20"/>
          <w:lang w:val="en-US"/>
        </w:rPr>
      </w:pPr>
    </w:p>
    <w:p w14:paraId="21D0A693" w14:textId="77777777" w:rsidR="00D009EB" w:rsidRPr="00051297" w:rsidRDefault="00D009EB" w:rsidP="00D009EB">
      <w:pPr>
        <w:keepNext/>
        <w:ind w:firstLine="0"/>
        <w:jc w:val="center"/>
        <w:rPr>
          <w:rFonts w:cs="Times New Roman"/>
          <w:szCs w:val="24"/>
        </w:rPr>
      </w:pPr>
      <w:r w:rsidRPr="00051297">
        <w:rPr>
          <w:rFonts w:cs="Times New Roman"/>
          <w:noProof/>
          <w:szCs w:val="24"/>
        </w:rPr>
        <w:drawing>
          <wp:inline distT="0" distB="0" distL="0" distR="0" wp14:anchorId="1007AE91" wp14:editId="6CAB2634">
            <wp:extent cx="5245967" cy="2880000"/>
            <wp:effectExtent l="0" t="0" r="0" b="0"/>
            <wp:docPr id="416"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45967" cy="2880000"/>
                    </a:xfrm>
                    <a:prstGeom prst="rect">
                      <a:avLst/>
                    </a:prstGeom>
                  </pic:spPr>
                </pic:pic>
              </a:graphicData>
            </a:graphic>
          </wp:inline>
        </w:drawing>
      </w:r>
    </w:p>
    <w:p w14:paraId="5C930A86" w14:textId="540513AB" w:rsidR="00D009EB" w:rsidRPr="00051297" w:rsidRDefault="00D009EB" w:rsidP="00D009EB">
      <w:pPr>
        <w:ind w:firstLine="0"/>
        <w:jc w:val="center"/>
        <w:rPr>
          <w:rFonts w:cs="Times New Roman"/>
          <w:szCs w:val="24"/>
          <w:lang w:val="en-US" w:bidi="en-US"/>
        </w:rPr>
      </w:pPr>
      <w:bookmarkStart w:id="153" w:name="_Ref98102796"/>
      <w:bookmarkStart w:id="154" w:name="_Toc104985389"/>
      <w:bookmarkStart w:id="155" w:name="_Toc98085872"/>
      <w:bookmarkStart w:id="156" w:name="_Toc97428197"/>
      <w:bookmarkStart w:id="157" w:name="_Toc103544067"/>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bookmarkEnd w:id="153"/>
      <w:r w:rsidRPr="00051297">
        <w:rPr>
          <w:rFonts w:cs="Times New Roman"/>
          <w:szCs w:val="24"/>
          <w:lang w:val="en-US" w:bidi="en-US"/>
        </w:rPr>
        <w:t xml:space="preserve"> – Composite CN with Unconnected Impervious Areas and Total Impervious Areas Less than 30%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{"citationItems":[{"id":"ITEM-1","itemData":{"ISBN":"220564635","ISSN":"0001-2351","PMID":"9100593","abstract":"nical Release 55 (TR-55) presents simplified procedures to calculate storm runoff volume, peak rate of discharge, hydrographs, and storage volumes required for floodwater reservoirs. These procedures are applicable in small watersheds, especially urbanizing watersheds, in the United States. Limits: NRCS type distributions, 24-hour duration rainfall, 10 subwatersheds, minimum 0.1 hour and maximum 10-hour time of concentration.","author":[{"dropping-particle":"","family":"NRCS","given":"","non-dropping-particle":"","parse-names":false,"suffix":""}],"container-title":"USDA Natural Resource Conservation Service Conservation Engeneering Division Technical Release 55","id":"ITEM-1","issued":{"date-parts":[["1986"]]},"title":"Urban Hydrology for Small Watersheds TR-55NRCS. (1986). Urban Hydrology for Small Watersheds TR-55. USDA Natural Resource Conservation Service Conservation Engeneering Division Technical Release 55. http://doi.org/Technical Release 55","type":"report"},"uris":["http://www.mendeley.com/documents/?uuid=a6428534-bbc0-4952-8a4c-fde80a48639b","http://www.mendeley.com/documents/?uuid=56bff0af-9efa-4f11-a193-43783f743fdb"]}],"mendeley":{"formattedCitation":"[92]","plainTextFormattedCitation":"[92]","previouslyFormattedCitation":"[92]"},"properties":{"noteIndex":0},"schema":"https://github.com/citation-style-language/schema/raw/master/csl-citation.json"}</w:instrText>
      </w:r>
      <w:r w:rsidRPr="00051297">
        <w:rPr>
          <w:rFonts w:cs="Times New Roman"/>
          <w:szCs w:val="24"/>
          <w:lang w:val="en-US" w:bidi="en-US"/>
        </w:rPr>
        <w:fldChar w:fldCharType="separate"/>
      </w:r>
      <w:bookmarkEnd w:id="155"/>
      <w:bookmarkEnd w:id="156"/>
      <w:bookmarkEnd w:id="157"/>
      <w:r w:rsidR="0032684D" w:rsidRPr="0032684D">
        <w:rPr>
          <w:rFonts w:cs="Times New Roman"/>
          <w:noProof/>
          <w:szCs w:val="24"/>
          <w:lang w:val="en-US" w:bidi="en-US"/>
        </w:rPr>
        <w:t>[92]</w:t>
      </w:r>
      <w:bookmarkEnd w:id="154"/>
      <w:r w:rsidRPr="00051297">
        <w:rPr>
          <w:rFonts w:cs="Times New Roman"/>
          <w:szCs w:val="24"/>
          <w:lang w:val="en-US" w:bidi="en-US"/>
        </w:rPr>
        <w:fldChar w:fldCharType="end"/>
      </w:r>
    </w:p>
    <w:p w14:paraId="5F0CB492" w14:textId="77777777" w:rsidR="00051297" w:rsidRPr="00051297" w:rsidRDefault="00051297" w:rsidP="00051297">
      <w:pPr>
        <w:keepNext/>
        <w:ind w:firstLine="0"/>
        <w:jc w:val="center"/>
        <w:rPr>
          <w:rFonts w:cs="Times New Roman"/>
          <w:szCs w:val="24"/>
        </w:rPr>
      </w:pPr>
      <w:bookmarkStart w:id="158" w:name="_bookmark54"/>
      <w:bookmarkEnd w:id="158"/>
      <w:r w:rsidRPr="00051297">
        <w:rPr>
          <w:rFonts w:cs="Times New Roman"/>
          <w:noProof/>
          <w:szCs w:val="24"/>
        </w:rPr>
        <w:drawing>
          <wp:inline distT="0" distB="0" distL="0" distR="0" wp14:anchorId="11F0CBF7" wp14:editId="71218619">
            <wp:extent cx="4855301" cy="3060000"/>
            <wp:effectExtent l="0" t="0" r="2540" b="7620"/>
            <wp:docPr id="41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55301" cy="3060000"/>
                    </a:xfrm>
                    <a:prstGeom prst="rect">
                      <a:avLst/>
                    </a:prstGeom>
                  </pic:spPr>
                </pic:pic>
              </a:graphicData>
            </a:graphic>
          </wp:inline>
        </w:drawing>
      </w:r>
    </w:p>
    <w:p w14:paraId="05782002" w14:textId="3452CE90" w:rsidR="00051297" w:rsidRPr="00051297" w:rsidRDefault="00051297" w:rsidP="00051297">
      <w:pPr>
        <w:ind w:firstLine="0"/>
        <w:jc w:val="center"/>
        <w:rPr>
          <w:rFonts w:cs="Times New Roman"/>
          <w:szCs w:val="24"/>
          <w:lang w:val="en-US" w:bidi="en-US"/>
        </w:rPr>
      </w:pPr>
      <w:bookmarkStart w:id="159" w:name="_Ref98102810"/>
      <w:bookmarkStart w:id="160" w:name="_Toc104985390"/>
      <w:bookmarkStart w:id="161" w:name="_Toc98085871"/>
      <w:bookmarkStart w:id="162" w:name="_Toc97428196"/>
      <w:bookmarkStart w:id="163" w:name="_Toc103544066"/>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3</w:t>
      </w:r>
      <w:r w:rsidR="00527861">
        <w:rPr>
          <w:rFonts w:cs="Times New Roman"/>
          <w:szCs w:val="24"/>
          <w:lang w:val="en-US" w:bidi="en-US"/>
        </w:rPr>
        <w:fldChar w:fldCharType="end"/>
      </w:r>
      <w:bookmarkEnd w:id="159"/>
      <w:r w:rsidRPr="00051297">
        <w:rPr>
          <w:rFonts w:cs="Times New Roman"/>
          <w:szCs w:val="24"/>
          <w:lang w:val="en-US" w:bidi="en-US"/>
        </w:rPr>
        <w:t xml:space="preserve"> – Composite CN with Connected Impervious Area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{"citationItems":[{"id":"ITEM-1","itemData":{"ISBN":"220564635","ISSN":"0001-2351","PMID":"9100593","abstract":"nical Release 55 (TR-55) presents simplified procedures to calculate storm runoff volume, peak rate of discharge, hydrographs, and storage volumes required for floodwater reservoirs. These procedures are applicable in small watersheds, especially urbanizing watersheds, in the United States. Limits: NRCS type distributions, 24-hour duration rainfall, 10 subwatersheds, minimum 0.1 hour and maximum 10-hour time of concentration.","author":[{"dropping-particle":"","family":"NRCS","given":"","non-dropping-particle":"","parse-names":false,"suffix":""}],"container-title":"USDA Natural Resource Conservation Service Conservation Engeneering Division Technical Release 55","id":"ITEM-1","issued":{"date-parts":[["1986"]]},"title":"Urban Hydrology for Small Watersheds TR-55NRCS. (1986). Urban Hydrology for Small Watersheds TR-55. USDA Natural Resource Conservation Service Conservation Engeneering Division Technical Release 55. http://doi.org/Technical Release 55","type":"report"},"uris":["http://www.mendeley.com/documents/?uuid=a6428534-bbc0-4952-8a4c-fde80a48639b","http://www.mendeley.com/documents/?uuid=56bff0af-9efa-4f11-a193-43783f743fdb"]}],"mendeley":{"formattedCitation":"[92]","plainTextFormattedCitation":"[92]","previouslyFormattedCitation":"[92]"},"properties":{"noteIndex":0},"schema":"https://github.com/citation-style-language/schema/raw/master/csl-citation.json"}</w:instrText>
      </w:r>
      <w:r w:rsidRPr="00051297">
        <w:rPr>
          <w:rFonts w:cs="Times New Roman"/>
          <w:szCs w:val="24"/>
          <w:lang w:val="en-US" w:bidi="en-US"/>
        </w:rPr>
        <w:fldChar w:fldCharType="separate"/>
      </w:r>
      <w:bookmarkEnd w:id="161"/>
      <w:bookmarkEnd w:id="162"/>
      <w:bookmarkEnd w:id="163"/>
      <w:r w:rsidR="0032684D" w:rsidRPr="0032684D">
        <w:rPr>
          <w:rFonts w:cs="Times New Roman"/>
          <w:noProof/>
          <w:szCs w:val="24"/>
          <w:lang w:val="en-US" w:bidi="en-US"/>
        </w:rPr>
        <w:t>[92]</w:t>
      </w:r>
      <w:bookmarkEnd w:id="160"/>
      <w:r w:rsidRPr="00051297">
        <w:rPr>
          <w:rFonts w:cs="Times New Roman"/>
          <w:szCs w:val="24"/>
          <w:lang w:val="en-US" w:bidi="en-US"/>
        </w:rPr>
        <w:fldChar w:fldCharType="end"/>
      </w:r>
    </w:p>
    <w:p w14:paraId="7A915108" w14:textId="56A3A255" w:rsidR="00051297" w:rsidRPr="00051297" w:rsidRDefault="00051297" w:rsidP="0079595C">
      <w:pPr>
        <w:pStyle w:val="4"/>
        <w:rPr>
          <w:lang w:val="en-US"/>
        </w:rPr>
      </w:pPr>
      <w:bookmarkStart w:id="164" w:name="_bookmark55"/>
      <w:bookmarkStart w:id="165" w:name="_bookmark56"/>
      <w:bookmarkStart w:id="166" w:name="_Toc97504731"/>
      <w:bookmarkStart w:id="167" w:name="_Toc103543864"/>
      <w:bookmarkStart w:id="168" w:name="_Toc104985188"/>
      <w:bookmarkEnd w:id="164"/>
      <w:bookmarkEnd w:id="165"/>
      <w:r w:rsidRPr="00051297">
        <w:rPr>
          <w:lang w:val="en-US"/>
        </w:rPr>
        <w:lastRenderedPageBreak/>
        <w:t xml:space="preserve">Limitations on </w:t>
      </w:r>
      <w:r w:rsidR="00C86748">
        <w:rPr>
          <w:lang w:val="en-US"/>
        </w:rPr>
        <w:t>u</w:t>
      </w:r>
      <w:r w:rsidRPr="00051297">
        <w:rPr>
          <w:lang w:val="en-US"/>
        </w:rPr>
        <w:t xml:space="preserve">se of SCS </w:t>
      </w:r>
      <w:r w:rsidR="00C86748">
        <w:rPr>
          <w:lang w:val="en-US"/>
        </w:rPr>
        <w:t>m</w:t>
      </w:r>
      <w:r w:rsidRPr="00051297">
        <w:rPr>
          <w:lang w:val="en-US"/>
        </w:rPr>
        <w:t>ethod</w:t>
      </w:r>
      <w:bookmarkEnd w:id="166"/>
      <w:bookmarkEnd w:id="167"/>
      <w:bookmarkEnd w:id="168"/>
    </w:p>
    <w:p w14:paraId="33DEA9ED" w14:textId="4B0B5FA4" w:rsidR="00051297" w:rsidRPr="00051297" w:rsidRDefault="00051297" w:rsidP="00051297">
      <w:pPr>
        <w:numPr>
          <w:ilvl w:val="0"/>
          <w:numId w:val="22"/>
        </w:numPr>
        <w:tabs>
          <w:tab w:val="clear" w:pos="720"/>
          <w:tab w:val="num" w:pos="993"/>
        </w:tabs>
        <w:ind w:left="0" w:firstLine="709"/>
        <w:rPr>
          <w:rFonts w:cs="Times New Roman"/>
          <w:szCs w:val="24"/>
          <w:lang w:val="en-US"/>
        </w:rPr>
      </w:pPr>
      <w:r w:rsidRPr="00051297">
        <w:rPr>
          <w:rFonts w:cs="Times New Roman"/>
          <w:szCs w:val="24"/>
          <w:lang w:val="en-US"/>
        </w:rPr>
        <w:t xml:space="preserve">When there are considerable differences in CN values between watershed subareas and runoff volumes are smaller for CN values less than 60, do not utilize the SCS approach. </w:t>
      </w:r>
    </w:p>
    <w:p w14:paraId="0029B30E" w14:textId="77777777" w:rsidR="00051297" w:rsidRPr="00051297" w:rsidRDefault="00051297" w:rsidP="00051297">
      <w:pPr>
        <w:numPr>
          <w:ilvl w:val="0"/>
          <w:numId w:val="22"/>
        </w:numPr>
        <w:tabs>
          <w:tab w:val="clear" w:pos="720"/>
          <w:tab w:val="num" w:pos="993"/>
        </w:tabs>
        <w:ind w:left="0" w:firstLine="709"/>
        <w:rPr>
          <w:rFonts w:cs="Times New Roman"/>
          <w:szCs w:val="24"/>
          <w:lang w:val="en-US"/>
        </w:rPr>
      </w:pPr>
      <w:r w:rsidRPr="00051297">
        <w:rPr>
          <w:rFonts w:cs="Times New Roman"/>
          <w:szCs w:val="24"/>
          <w:lang w:val="en-US"/>
        </w:rPr>
        <w:t xml:space="preserve">When runoff is less than 1/2-inch, the CN technique is less precise. When this happens, utilize another approach to determine runoff as a precaution. </w:t>
      </w:r>
    </w:p>
    <w:p w14:paraId="5AC6DE46" w14:textId="77777777" w:rsidR="00051297" w:rsidRPr="00051297" w:rsidRDefault="00051297" w:rsidP="00051297">
      <w:pPr>
        <w:numPr>
          <w:ilvl w:val="0"/>
          <w:numId w:val="22"/>
        </w:numPr>
        <w:tabs>
          <w:tab w:val="clear" w:pos="720"/>
          <w:tab w:val="num" w:pos="993"/>
        </w:tabs>
        <w:ind w:left="0" w:firstLine="709"/>
        <w:rPr>
          <w:rFonts w:cs="Times New Roman"/>
          <w:szCs w:val="24"/>
          <w:lang w:val="en-US"/>
        </w:rPr>
      </w:pPr>
      <w:r w:rsidRPr="00051297">
        <w:rPr>
          <w:rFonts w:cs="Times New Roman"/>
          <w:szCs w:val="24"/>
          <w:lang w:val="en-US"/>
        </w:rPr>
        <w:t xml:space="preserve">For watersheds with many subareas with concentration durations less than 6 minutes, the SCS approach should not be used. Subareas should be pooled in these circumstances to achieve a concentration time of at least 6 minutes (0.10 hours) for the combined areas. </w:t>
      </w:r>
    </w:p>
    <w:p w14:paraId="1A4A1A7F" w14:textId="77777777" w:rsidR="00051297" w:rsidRPr="00051297" w:rsidRDefault="00051297" w:rsidP="00051297">
      <w:pPr>
        <w:numPr>
          <w:ilvl w:val="0"/>
          <w:numId w:val="22"/>
        </w:numPr>
        <w:tabs>
          <w:tab w:val="clear" w:pos="720"/>
          <w:tab w:val="num" w:pos="993"/>
        </w:tabs>
        <w:ind w:left="0" w:firstLine="709"/>
        <w:rPr>
          <w:rFonts w:cs="Times New Roman"/>
          <w:szCs w:val="24"/>
          <w:lang w:val="en-US"/>
        </w:rPr>
      </w:pPr>
      <w:r w:rsidRPr="00051297">
        <w:rPr>
          <w:rFonts w:cs="Times New Roman"/>
          <w:szCs w:val="24"/>
          <w:lang w:val="en-US"/>
        </w:rPr>
        <w:t xml:space="preserve">Curve numbers are used to describe average conditions for design purposes. When a historical storm is used as a rainfall event, the modeling accuracy suffers. </w:t>
      </w:r>
    </w:p>
    <w:p w14:paraId="27E72DB0" w14:textId="77777777" w:rsidR="00051297" w:rsidRPr="00051297" w:rsidRDefault="00051297" w:rsidP="00051297">
      <w:pPr>
        <w:numPr>
          <w:ilvl w:val="0"/>
          <w:numId w:val="22"/>
        </w:numPr>
        <w:tabs>
          <w:tab w:val="clear" w:pos="720"/>
          <w:tab w:val="num" w:pos="993"/>
        </w:tabs>
        <w:ind w:left="0" w:firstLine="709"/>
        <w:rPr>
          <w:rFonts w:cs="Times New Roman"/>
          <w:szCs w:val="24"/>
          <w:lang w:val="en-US"/>
        </w:rPr>
      </w:pPr>
      <w:r w:rsidRPr="00051297">
        <w:rPr>
          <w:rFonts w:cs="Times New Roman"/>
          <w:szCs w:val="24"/>
          <w:lang w:val="en-US"/>
        </w:rPr>
        <w:t xml:space="preserve">While re-creating certain elements of a real storm, use caution when using the runoff curve number equation. Because the equation lacks a time expression, it is unable to account for rainfall duration or intensity. </w:t>
      </w:r>
    </w:p>
    <w:p w14:paraId="6AD09193" w14:textId="77777777" w:rsidR="00051297" w:rsidRPr="00051297" w:rsidRDefault="00051297" w:rsidP="00051297">
      <w:pPr>
        <w:numPr>
          <w:ilvl w:val="0"/>
          <w:numId w:val="22"/>
        </w:numPr>
        <w:tabs>
          <w:tab w:val="clear" w:pos="720"/>
          <w:tab w:val="num" w:pos="993"/>
        </w:tabs>
        <w:ind w:left="0" w:firstLine="709"/>
        <w:rPr>
          <w:rFonts w:cs="Times New Roman"/>
          <w:szCs w:val="24"/>
          <w:lang w:val="en-US"/>
        </w:rPr>
      </w:pPr>
      <w:r w:rsidRPr="00051297">
        <w:rPr>
          <w:rFonts w:cs="Times New Roman"/>
          <w:szCs w:val="24"/>
          <w:lang w:val="en-US"/>
        </w:rPr>
        <w:t>The USDA NRCS developed the initial abstraction relationship, I</w:t>
      </w:r>
      <w:r w:rsidRPr="00051297">
        <w:rPr>
          <w:rFonts w:cs="Times New Roman"/>
          <w:szCs w:val="24"/>
          <w:vertAlign w:val="subscript"/>
          <w:lang w:val="en-US"/>
        </w:rPr>
        <w:t>a</w:t>
      </w:r>
      <w:r w:rsidRPr="00051297">
        <w:rPr>
          <w:rFonts w:cs="Times New Roman"/>
          <w:szCs w:val="24"/>
          <w:lang w:val="en-US"/>
        </w:rPr>
        <w:t xml:space="preserve"> = 0.2*S (which covers interception, initial infiltration, surface depression storage, evapotranspiration, and other parameters) using data from agricultural watersheds (where S is the potential maximum retention after runoff begins). In actuality, different combinations of impervious and pervious areas, as well as different storage features, do not result in all watersheds (urban and non-urban) having the same I</w:t>
      </w:r>
      <w:r w:rsidRPr="00051297">
        <w:rPr>
          <w:rFonts w:cs="Times New Roman"/>
          <w:szCs w:val="24"/>
          <w:vertAlign w:val="subscript"/>
          <w:lang w:val="en-US"/>
        </w:rPr>
        <w:t>a</w:t>
      </w:r>
      <w:r w:rsidRPr="00051297">
        <w:rPr>
          <w:rFonts w:cs="Times New Roman"/>
          <w:szCs w:val="24"/>
          <w:lang w:val="en-US"/>
        </w:rPr>
        <w:t xml:space="preserve">. </w:t>
      </w:r>
    </w:p>
    <w:p w14:paraId="5E6DB008" w14:textId="77777777" w:rsidR="00051297" w:rsidRPr="00051297" w:rsidRDefault="00051297" w:rsidP="00051297">
      <w:pPr>
        <w:numPr>
          <w:ilvl w:val="0"/>
          <w:numId w:val="22"/>
        </w:numPr>
        <w:tabs>
          <w:tab w:val="clear" w:pos="720"/>
          <w:tab w:val="num" w:pos="993"/>
        </w:tabs>
        <w:ind w:left="0" w:firstLine="709"/>
        <w:rPr>
          <w:rFonts w:cs="Times New Roman"/>
          <w:szCs w:val="24"/>
          <w:lang w:val="en-US"/>
        </w:rPr>
      </w:pPr>
      <w:r w:rsidRPr="00051297">
        <w:rPr>
          <w:rFonts w:cs="Times New Roman"/>
          <w:szCs w:val="24"/>
          <w:lang w:val="en-US"/>
        </w:rPr>
        <w:t xml:space="preserve">These methods cannot be used to estimate runoff from snowmelt or rain on frozen ground. </w:t>
      </w:r>
    </w:p>
    <w:p w14:paraId="31071805" w14:textId="4FEFFFA0" w:rsidR="00051297" w:rsidRPr="00051297" w:rsidRDefault="00051297" w:rsidP="00051297">
      <w:pPr>
        <w:numPr>
          <w:ilvl w:val="0"/>
          <w:numId w:val="22"/>
        </w:numPr>
        <w:tabs>
          <w:tab w:val="clear" w:pos="720"/>
          <w:tab w:val="num" w:pos="993"/>
        </w:tabs>
        <w:ind w:left="0" w:firstLine="709"/>
        <w:rPr>
          <w:rFonts w:cs="Times New Roman"/>
          <w:szCs w:val="24"/>
          <w:lang w:val="en-US"/>
        </w:rPr>
      </w:pPr>
      <w:r w:rsidRPr="00051297">
        <w:rPr>
          <w:rFonts w:cs="Times New Roman"/>
          <w:szCs w:val="24"/>
          <w:lang w:val="en-US"/>
        </w:rPr>
        <w:t xml:space="preserve">The techniques of the SCS approach are only applicable to direct surface runoff. Large sources of subsurface flow or high groundwater levels that contribute to runoff should not be overlooked. These circumstances are frequently linked to </w:t>
      </w:r>
      <w:bookmarkStart w:id="169" w:name="_Hlk97947807"/>
      <w:r w:rsidRPr="00051297">
        <w:rPr>
          <w:rFonts w:cs="Times New Roman"/>
          <w:szCs w:val="24"/>
          <w:lang w:val="en-US"/>
        </w:rPr>
        <w:t>HSG</w:t>
      </w:r>
      <w:bookmarkEnd w:id="169"/>
      <w:r w:rsidRPr="00051297">
        <w:rPr>
          <w:rFonts w:cs="Times New Roman"/>
          <w:szCs w:val="24"/>
          <w:lang w:val="en-US"/>
        </w:rPr>
        <w:t xml:space="preserve"> A soils and forest regions with low CN values in </w:t>
      </w:r>
      <w:r w:rsidRPr="00051297">
        <w:rPr>
          <w:rFonts w:cs="Times New Roman"/>
          <w:szCs w:val="24"/>
          <w:lang w:val="en-US"/>
        </w:rPr>
        <w:fldChar w:fldCharType="begin"/>
      </w:r>
      <w:r w:rsidRPr="00051297">
        <w:rPr>
          <w:rFonts w:cs="Times New Roman"/>
          <w:szCs w:val="24"/>
          <w:lang w:val="en-US"/>
        </w:rPr>
        <w:instrText xml:space="preserve"> REF _Ref98102515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1</w:t>
      </w:r>
      <w:r w:rsidR="004870F1" w:rsidRPr="00051297">
        <w:rPr>
          <w:rFonts w:cs="Times New Roman"/>
          <w:szCs w:val="24"/>
          <w:lang w:val="en-US" w:bidi="en-US"/>
        </w:rPr>
        <w:t>.</w:t>
      </w:r>
      <w:r w:rsidR="004870F1">
        <w:rPr>
          <w:rFonts w:cs="Times New Roman"/>
          <w:noProof/>
          <w:szCs w:val="24"/>
          <w:lang w:val="en-US" w:bidi="en-US"/>
        </w:rPr>
        <w:t>5</w:t>
      </w:r>
      <w:r w:rsidRPr="00051297">
        <w:rPr>
          <w:rFonts w:cs="Times New Roman"/>
          <w:szCs w:val="24"/>
          <w:lang w:val="en-US"/>
        </w:rPr>
        <w:fldChar w:fldCharType="end"/>
      </w:r>
      <w:r w:rsidRPr="00051297">
        <w:rPr>
          <w:rFonts w:cs="Times New Roman"/>
          <w:szCs w:val="24"/>
          <w:lang w:val="en-US"/>
        </w:rPr>
        <w:t xml:space="preserve"> and </w:t>
      </w:r>
      <w:r w:rsidRPr="00051297">
        <w:rPr>
          <w:rFonts w:cs="Times New Roman"/>
          <w:szCs w:val="24"/>
          <w:lang w:val="en-US"/>
        </w:rPr>
        <w:fldChar w:fldCharType="begin"/>
      </w:r>
      <w:r w:rsidRPr="00051297">
        <w:rPr>
          <w:rFonts w:cs="Times New Roman"/>
          <w:szCs w:val="24"/>
          <w:lang w:val="en-US"/>
        </w:rPr>
        <w:instrText xml:space="preserve"> REF _Ref98102690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1</w:t>
      </w:r>
      <w:r w:rsidR="004870F1" w:rsidRPr="00051297">
        <w:rPr>
          <w:rFonts w:cs="Times New Roman"/>
          <w:szCs w:val="24"/>
          <w:lang w:val="en-US" w:bidi="en-US"/>
        </w:rPr>
        <w:t>.</w:t>
      </w:r>
      <w:r w:rsidR="004870F1">
        <w:rPr>
          <w:rFonts w:cs="Times New Roman"/>
          <w:noProof/>
          <w:szCs w:val="24"/>
          <w:lang w:val="en-US" w:bidi="en-US"/>
        </w:rPr>
        <w:t>6</w:t>
      </w:r>
      <w:r w:rsidRPr="00051297">
        <w:rPr>
          <w:rFonts w:cs="Times New Roman"/>
          <w:szCs w:val="24"/>
          <w:lang w:val="en-US"/>
        </w:rPr>
        <w:fldChar w:fldCharType="end"/>
      </w:r>
      <w:r w:rsidRPr="00051297">
        <w:rPr>
          <w:rFonts w:cs="Times New Roman"/>
          <w:szCs w:val="24"/>
          <w:lang w:val="en-US"/>
        </w:rPr>
        <w:t xml:space="preserve">. Adjusting CNs when conditions warrant requires good judgment and experience based on stream gauge information. </w:t>
      </w:r>
    </w:p>
    <w:p w14:paraId="78314DFB" w14:textId="77777777" w:rsidR="00051297" w:rsidRPr="00051297" w:rsidRDefault="00051297" w:rsidP="00051297">
      <w:pPr>
        <w:numPr>
          <w:ilvl w:val="0"/>
          <w:numId w:val="22"/>
        </w:numPr>
        <w:tabs>
          <w:tab w:val="clear" w:pos="720"/>
          <w:tab w:val="num" w:pos="993"/>
        </w:tabs>
        <w:ind w:left="0" w:firstLine="709"/>
        <w:rPr>
          <w:rFonts w:cs="Times New Roman"/>
          <w:szCs w:val="24"/>
          <w:lang w:val="en-US"/>
        </w:rPr>
      </w:pPr>
      <w:r w:rsidRPr="00051297">
        <w:rPr>
          <w:rFonts w:cs="Times New Roman"/>
          <w:szCs w:val="24"/>
          <w:lang w:val="en-US"/>
        </w:rPr>
        <w:t>Use a different approach to determine runoff when the weighted CN is less than 40.</w:t>
      </w:r>
    </w:p>
    <w:p w14:paraId="1689920B" w14:textId="5F2CE987" w:rsidR="00051297" w:rsidRPr="00051297" w:rsidRDefault="00051297" w:rsidP="0079595C">
      <w:pPr>
        <w:pStyle w:val="4"/>
      </w:pPr>
      <w:bookmarkStart w:id="170" w:name="_bookmark57"/>
      <w:bookmarkStart w:id="171" w:name="_Toc97504732"/>
      <w:bookmarkStart w:id="172" w:name="_Toc103543865"/>
      <w:bookmarkStart w:id="173" w:name="_Toc104985189"/>
      <w:bookmarkEnd w:id="170"/>
      <w:r w:rsidRPr="00051297">
        <w:t xml:space="preserve">Computer </w:t>
      </w:r>
      <w:r w:rsidRPr="00051297">
        <w:rPr>
          <w:lang w:val="en-US"/>
        </w:rPr>
        <w:t>Modeling</w:t>
      </w:r>
      <w:bookmarkEnd w:id="171"/>
      <w:bookmarkEnd w:id="172"/>
      <w:bookmarkEnd w:id="173"/>
    </w:p>
    <w:p w14:paraId="36B46D37" w14:textId="2F696D48" w:rsidR="00051297" w:rsidRPr="00051297" w:rsidRDefault="00051297" w:rsidP="00051297">
      <w:pPr>
        <w:rPr>
          <w:rFonts w:cs="Times New Roman"/>
          <w:szCs w:val="24"/>
          <w:lang w:val="en-US"/>
        </w:rPr>
      </w:pPr>
      <w:r w:rsidRPr="00051297">
        <w:rPr>
          <w:rFonts w:cs="Times New Roman"/>
          <w:szCs w:val="24"/>
          <w:lang w:val="en-US"/>
        </w:rPr>
        <w:t xml:space="preserve">For the drainage calculations/methods previously stated, the use of contemporary computer models by qualified engineers is allowed due to the high number of computations needed in runoff calculations and routing. The Hydrologic Engineering Center (HEC) of the </w:t>
      </w:r>
      <w:bookmarkStart w:id="174" w:name="_Hlk97947832"/>
      <w:r w:rsidRPr="00051297">
        <w:rPr>
          <w:rFonts w:cs="Times New Roman"/>
          <w:szCs w:val="24"/>
          <w:lang w:val="en-US"/>
        </w:rPr>
        <w:t>United States Army Corps of Engineers</w:t>
      </w:r>
      <w:bookmarkEnd w:id="174"/>
      <w:r w:rsidRPr="00051297">
        <w:rPr>
          <w:rFonts w:cs="Times New Roman"/>
          <w:szCs w:val="24"/>
          <w:lang w:val="en-US"/>
        </w:rPr>
        <w:t xml:space="preserve"> (</w:t>
      </w:r>
      <w:bookmarkStart w:id="175" w:name="_Hlk97947846"/>
      <w:r w:rsidRPr="00051297">
        <w:rPr>
          <w:rFonts w:cs="Times New Roman"/>
          <w:szCs w:val="24"/>
          <w:lang w:val="en-US"/>
        </w:rPr>
        <w:t>USACE</w:t>
      </w:r>
      <w:bookmarkEnd w:id="175"/>
      <w:r w:rsidRPr="00051297">
        <w:rPr>
          <w:rFonts w:cs="Times New Roman"/>
          <w:szCs w:val="24"/>
          <w:lang w:val="en-US"/>
        </w:rPr>
        <w:t xml:space="preserve">) has developed computer programs that can be downloaded from the USACE hydrologic website (http://www.hec.usace.army.mil/) and applied to some of the drainage methods. The USACE offers a program called HEC-HMS </w:t>
      </w:r>
      <w:r w:rsidRPr="00051297">
        <w:rPr>
          <w:rFonts w:cs="Times New Roman"/>
          <w:szCs w:val="24"/>
        </w:rPr>
        <w:fldChar w:fldCharType="begin" w:fldLock="1"/>
      </w:r>
      <w:r w:rsidR="00FA5896">
        <w:rPr>
          <w:rFonts w:cs="Times New Roman"/>
          <w:szCs w:val="24"/>
          <w:lang w:val="en-US"/>
        </w:rPr>
        <w:instrText>ADDIN CSL_CITATION {"citationItems":[{"id":"ITEM-1","itemData":{"DOI":"10.1007/s40808-020-00792-z","ISSN":"2363-6203","abstract":"Accurate measurement of precipitation is vital to investigate the spatial and temporal patterns of precipitation at various scales for rainfall-runoff modeling. However, accurate and consistent precipitation measurement is relatively sparse in many developing countries like Ethiopia. Nevertheless, satellite precipitation products may serve as important inputs for modeling in an area with scarce field data for a wide range of hydrological applications. In this study we evaluate the high-resolution satellite rainfall products for hydrological simulation, the Climate Hazards Group Infrared Precipitation with Stations (CHIRPS) and Tropical Rainfall Measuring Mission Multisatellite Precipitation Analysis (TMPA_3B42v7) satellite rainfall products for stream flow simulation at daily temporal and 0.25° × 0.25° spatial resolution. The study area is located in Dabus watershed, Abbay basin, Ethiopia. We applied a nonlinear power law to remove the systematic error of satellite precipitation estimates for input into HEC-HMS hydrological model for runoff generation. The performance of the satellite rainfall and hydrological model was evaluated using Nash–Sutcliffe efficiency ( E NS ), coefficient of determination ( R 2 ), relative volume error (RVE), and percentage error of peak flow objective functions. The result of HEC-HMS model performance revealed R 2 of 0.78, E NS of 0.69 for CHIRPS_2 and R 2 of 0.79, E NS of 0.76 for TMPA_3B42v7 satellite rainfall products during calibration periods. Our result indicated that the HEC-HMS model well predicated catchment runoff for both satellite precipitation products. The study shows that the model performance was significantly improved when bias-corrected satellite rainfall input replaced than the original uncorrected satellite products. Overall, our study showed that gauge-based simulation outperformed than satellite in terms of all objective functions over the study area.","author":[{"dropping-particle":"","family":"Belayneh","given":"Alemshet","non-dropping-particle":"","parse-names":false,"suffix":""},{"dropping-particle":"","family":"Sintayehu","given":"Gashaw","non-dropping-particle":"","parse-names":false,"suffix":""},{"dropping-particle":"","family":"Gedam","given":"Kibrit","non-dropping-particle":"","parse-names":false,"suffix":""},{"dropping-particle":"","family":"Muluken","given":"Tirunesh","non-dropping-particle":"","parse-names":false,"suffix":""}],"container-title":"Modeling Earth Systems and Environment","id":"ITEM-1","issue":"4","issued":{"date-parts":[["2020","12"]]},"page":"2015-2032","title":"Evaluation of satellite precipitation products using HEC-HMS model","type":"article-journal","volume":"6"},"uris":["http://www.mendeley.com/documents/?uuid=e736c193-cfa6-4b28-8a30-cae4754ccae5","http://www.mendeley.com/documents/?uuid=ff815275-cf1d-4417-94a3-ae1477963d3f","http://www.mendeley.com/documents/?uuid=22537089-6b08-4ef0-86e5-03a30cfbbc9a"]}],"mendeley":{"formattedCitation":"[105]","plainTextFormattedCitation":"[105]","previouslyFormattedCitation":"[105]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[105]</w:t>
      </w:r>
      <w:r w:rsidRPr="00051297">
        <w:rPr>
          <w:rFonts w:cs="Times New Roman"/>
          <w:szCs w:val="24"/>
        </w:rPr>
        <w:fldChar w:fldCharType="end"/>
      </w:r>
      <w:r w:rsidRPr="00051297">
        <w:rPr>
          <w:rFonts w:cs="Times New Roman"/>
          <w:szCs w:val="24"/>
          <w:lang w:val="en-US"/>
        </w:rPr>
        <w:t xml:space="preserve">. The NRCS also offers versions </w:t>
      </w:r>
      <w:r w:rsidRPr="00051297">
        <w:rPr>
          <w:rFonts w:cs="Times New Roman"/>
          <w:szCs w:val="24"/>
          <w:lang w:val="en-US"/>
        </w:rPr>
        <w:lastRenderedPageBreak/>
        <w:t xml:space="preserve">of TR-20 and TR-55 that allow users to input rainfall distributions and execute appropriate detention and channel routing processes </w:t>
      </w:r>
      <w:r w:rsidRPr="00051297">
        <w:rPr>
          <w:rFonts w:cs="Times New Roman"/>
          <w:szCs w:val="24"/>
        </w:rPr>
        <w:fldChar w:fldCharType="begin" w:fldLock="1"/>
      </w:r>
      <w:r w:rsidR="00FA5896">
        <w:rPr>
          <w:rFonts w:cs="Times New Roman"/>
          <w:szCs w:val="24"/>
          <w:lang w:val="en-US"/>
        </w:rPr>
        <w:instrText>ADDIN CSL_CITATION {"citationItems":[{"id":"ITEM-1","itemData":{"DOI":"10.1111/j.1752-1688.2001.tb05521.x","ISSN":"1093474X","abstract":"In the last 30 years, the National Resource Conservation Service's TR-55 and TR-20 models have seen a dramatic increase in use for stormwater management purposes. This paper reviews some of the data that were originally used to develop these models and tests how well the models estimate annual series peak runoff rates for the same watersheds using longer historical data record lengths. The paper also explores differences between TR-55 and TR-20 peak runoff rate estimates and time of concentration methods. It was found that of the 37 watersheds tested, 25 were either over- or under-predicting the actual historical watershed runoff rates by more than 30 percent. The results of this study indicate that these NRCS models should not be used to model small wooded watersheds less than 20 acres. This would be especially true if the watershed consisted of an area without a clearly defined outlet channel. This study also supports the need for regulators to allow educated hydrologists to alter pre-packaged model parameters or results more easily than is currently permitted.","author":[{"dropping-particle":"","family":"Fennessey","given":"Lawrence A. J.","non-dropping-particle":"","parse-names":false,"suffix":""},{"dropping-particle":"","family":"Miller","given":"Arthur C.","non-dropping-particle":"","parse-names":false,"suffix":""},{"dropping-particle":"","family":"Hamlett","given":"James M.","non-dropping-particle":"","parse-names":false,"suffix":""}],"container-title":"JAWRA Journal of the American Water Resources Association","id":"ITEM-1","issue":"4","issued":{"date-parts":[["2001","8"]]},"page":"899-912","title":"ACCURACY AND PRECISION OF NRCS MODELS FOR SMALL WATERSHEDS1","type":"article-journal","volume":"37"},"uris":["http://www.mendeley.com/documents/?uuid=18ea9c83-3058-427f-b0ba-1a0ac2588847","http://www.mendeley.com/documents/?uuid=56b2fc72-061e-41db-8f2c-b2f321fbf494","http://www.mendeley.com/documents/?uuid=43ac2a86-b201-47f6-85dd-593477c27d99"]}],"mendeley":{"formattedCitation":"[106]","plainTextFormattedCitation":"[106]","previouslyFormattedCitation":"[106]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[106]</w:t>
      </w:r>
      <w:r w:rsidRPr="00051297">
        <w:rPr>
          <w:rFonts w:cs="Times New Roman"/>
          <w:szCs w:val="24"/>
        </w:rPr>
        <w:fldChar w:fldCharType="end"/>
      </w:r>
      <w:r w:rsidRPr="00051297">
        <w:rPr>
          <w:rFonts w:cs="Times New Roman"/>
          <w:szCs w:val="24"/>
          <w:lang w:val="en-US"/>
        </w:rPr>
        <w:t xml:space="preserve">. The HEC-HMS, TR-55, and TR-20 models are free to download from the organizations that created them. </w:t>
      </w:r>
      <w:r w:rsidRPr="00051297">
        <w:rPr>
          <w:rFonts w:cs="Times New Roman"/>
          <w:szCs w:val="24"/>
        </w:rPr>
        <w:t xml:space="preserve">Commercial tools like StormCAD </w:t>
      </w:r>
      <w:r w:rsidRPr="00051297">
        <w:rPr>
          <w:rFonts w:cs="Times New Roman"/>
          <w:szCs w:val="24"/>
        </w:rPr>
        <w:fldChar w:fldCharType="begin" w:fldLock="1"/>
      </w:r>
      <w:r w:rsidR="00FA5896">
        <w:rPr>
          <w:rFonts w:cs="Times New Roman"/>
          <w:szCs w:val="24"/>
        </w:rPr>
        <w:instrText>ADDIN CSL_CITATION {"citationItems":[{"id":"ITEM-1","itemData":{"DOI":"10.3390/w12061572","ISSN":"2073-4441","abstract":"Urban growth is one of the major causes of flooding in urban areas. This affects the runoff coefficients, which is among the most important factors that affect the design of storm water drainage systems. Changing the runoff coefficient will affect the design parameters of the drainage network, including outfall discharge, velocity, lag time and cost of construction. This study aims to assess the effect of changing the runoff coefficient due to urban growth on the design of a storm water drainage system. The hydrological models Hyfran, StormCAD and GIS are used to analyze different runoff coefficients. This study examines three zones in Dammam in the Kingdom of Saudi Arabia (KSA). The data developed from the models for the current case studies are used to develop an empirical equation to predict the max discharge for other catchments. The discharge is a function of the return period, runoff coefficient, drainage density, longest path, rainfall intensity and catchment area. To validate the developed equation, we use it to estimate the discharge in a real case study in South Korea. A comparison between the measured discharge and estimated discharge shows that the empirical equation is capable of predicting the maximum discharge for different catchments with high accuracy. Then, the validation of the models is carried out to determine the effect of the runoff coefficient on the design of a storm water drainage system in a case study in KSA. The results show that an increasing runoff coefficient due to urban growth increases the outfall discharge and velocity of storm water drainage systems, as well as affecting the cost of construction and decreasing the lag time. The cost increases by two to three times with increasing urbanization. This study provides a new perspective on the hydrologic im</w:instrText>
      </w:r>
      <w:r w:rsidR="00FA5896" w:rsidRPr="00FA5896">
        <w:rPr>
          <w:rFonts w:cs="Times New Roman"/>
          <w:szCs w:val="24"/>
          <w:lang w:val="en-US"/>
        </w:rPr>
        <w:instrText>pact of urban growth on the design of storm water drainage systems, which are essential for flood management. Moreover, the relationship between urban growth and the cost of storm drainage networks is explored, which could help decision makers to make appropriate judgements.","author":[{"dropping-particle":"","family":"Abd-Elhamid","given":"Hany F.","non-dropping-particle":"","parse-names":false,"suffix":""},{"dropping-particle":"","family":"Zeleňáková","given":"Martina","non-dropping-particle":"","parse-names":false,"suffix":""},{"dropping-particle":"","family":"Vranayová","given":"Zuzana","non-dropping-particle":"","parse-names":false,"suffix":""},{"dropping-particle":"","family":"Fathy","given":"Ismail","non-dropping-particle":"","parse-names":false,"suffix":""}],"container-title":"Water","id":"ITEM-1","issue":"6","issued":{"date-parts":[["2020","5"]]},"page":"1572","title":"Evaluating the Impact of Urban Growth on the Design of Storm Water Drainage Systems","type":"article-journal","volume":"12"},"uris":["http://www.mendeley.com/documents/?uuid=fcd8fef0-29ef-4ff9-900c-dcf48d129d77","http://www.mendeley.com/documents/?uuid=ed244230-1232-4d79-bf83-f39478fd92d2","http://www.mendeley.com/documents/?uuid=3b673376-05e7-4035-8013-3d21eab26ec3"]}],"mendeley":{"formattedCitation":"[107]","plainTextFormattedCitation":"[107]","previouslyFormattedCitation":"[107]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[107]</w:t>
      </w:r>
      <w:r w:rsidRPr="00051297">
        <w:rPr>
          <w:rFonts w:cs="Times New Roman"/>
          <w:szCs w:val="24"/>
        </w:rPr>
        <w:fldChar w:fldCharType="end"/>
      </w:r>
      <w:r w:rsidRPr="00051297">
        <w:rPr>
          <w:rFonts w:cs="Times New Roman"/>
          <w:szCs w:val="24"/>
          <w:lang w:val="en-US"/>
        </w:rPr>
        <w:t xml:space="preserve">, StormNET </w:t>
      </w:r>
      <w:r w:rsidRPr="00051297">
        <w:rPr>
          <w:rFonts w:cs="Times New Roman"/>
          <w:szCs w:val="24"/>
        </w:rPr>
        <w:fldChar w:fldCharType="begin" w:fldLock="1"/>
      </w:r>
      <w:r w:rsidR="00FA5896">
        <w:rPr>
          <w:rFonts w:cs="Times New Roman"/>
          <w:szCs w:val="24"/>
          <w:lang w:val="en-US"/>
        </w:rPr>
        <w:instrText>ADDIN CSL_CITATION {"citationItems":[{"id":"ITEM-1","itemData":{"DOI":"10.2175/106143005X89553","ISSN":"10614303","PMID":"16566517","abstract":"Estimation of the water flow from rainfall intensity during storm events is important in hydrology, sewer system control, and environmental protection. The runoff-producing behavior of a sewer system changes from one storm event to another because rainfall loss depends not only on rainfall intensities, but also on the state of the soil and vegetation, the general condition of the climate, and so on. As such, it would be difficult to obtain a precise flowrate estimation without sufficient a priori knowledge of these factors. To establish a model for flow estimation, one can also use statistical methods, such as the neural network STORMNET, software developed at Lyonnaise des Eaux, France, analyzing the relation between rainfall intensity and flowrate data of the known storm events registered in the past for a given sewer system. In this study, the authors propose a fuzzy neural network to estimate the flowrate from rainfall intensity. The fuzzy neural network combines four STORMNETs and fuzzy deduction to better estimate the flowrates. This study's system for flow estimation can be calibrated automatically by using known storm events; no data regarding the physical characteristics of the drainage basins are required. Compared with the neural network STORMNET, this method reduces the mean square error of the flow estimates by approximately 20%. Experimental results are reported herein.","author":[{"dropping-particle":"","family":"Shen","given":"Jun","non-dropping-particle":"","parse-names":false,"suffix":""},{"dropping-particle":"","family":"Shen","given":"Wei","non-dropping-particle":"","parse-names":false,"suffix":""},{"dropping-particle":"","family":"Chang","given":"Jian","non-dropping-particle":"","parse-names":false,"suffix":""},{"dropping-particle":"","family":"Gong","given":"Ning","non-dropping-particle":"","parse-names":false,"suffix":""}],"container-title":"Water Environment Research","id":"ITEM-1","issue":"2","issued":{"date-parts":[["2006","2"]]},"page":"100-109","title":"Fuzzy Neural Network for Flow Estimation in Sewer Systems During Wet Weather","type":"article-journal","volume":"78"},"uris":["http://www.mendeley.com/documents/?uuid=944ab62c-2032-4726-b4f9-fcf540b7a5d7","http://www.mendeley.com/documents/?uuid=06f78baa-1712-4c88-a2b0-aa02d32dcfae","http://www.mendeley.com/documents/?uuid=139098da-adef-4f84-a9f7-b4a82c69fa31"]}],"mendeley":{"formattedCitation":"[108]","plainTextFormattedCitation":"[108]","previouslyFormattedCitation":"[108]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[108]</w:t>
      </w:r>
      <w:r w:rsidRPr="00051297">
        <w:rPr>
          <w:rFonts w:cs="Times New Roman"/>
          <w:szCs w:val="24"/>
        </w:rPr>
        <w:fldChar w:fldCharType="end"/>
      </w:r>
      <w:r w:rsidRPr="00051297">
        <w:rPr>
          <w:rFonts w:cs="Times New Roman"/>
          <w:szCs w:val="24"/>
          <w:lang w:val="en-US"/>
        </w:rPr>
        <w:t xml:space="preserve">, and others can be used to evaluate the drainage strategies discussed in this chapter. The design engineer is responsible for understanding the methodologies used in the commercial software and ensuring that the software's outcomes match and correspond to the approach. </w:t>
      </w:r>
    </w:p>
    <w:p w14:paraId="42CE99D1" w14:textId="5CEAF2C8" w:rsidR="00051297" w:rsidRPr="00051297" w:rsidRDefault="00051297" w:rsidP="0079595C">
      <w:pPr>
        <w:pStyle w:val="2"/>
      </w:pPr>
      <w:bookmarkStart w:id="176" w:name="_Toc97504733"/>
      <w:bookmarkStart w:id="177" w:name="_Toc103543866"/>
      <w:bookmarkStart w:id="178" w:name="_Toc104985190"/>
      <w:r w:rsidRPr="00051297">
        <w:t>Embankment dams</w:t>
      </w:r>
      <w:bookmarkEnd w:id="176"/>
      <w:bookmarkEnd w:id="177"/>
      <w:bookmarkEnd w:id="178"/>
    </w:p>
    <w:p w14:paraId="0AEFC1AB" w14:textId="33D5E56B" w:rsidR="00051297" w:rsidRPr="00051297" w:rsidRDefault="00051297" w:rsidP="0079595C">
      <w:pPr>
        <w:pStyle w:val="3"/>
        <w:rPr>
          <w:lang w:val="en-US"/>
        </w:rPr>
      </w:pPr>
      <w:bookmarkStart w:id="179" w:name="_Toc103543867"/>
      <w:bookmarkStart w:id="180" w:name="_Toc104985191"/>
      <w:r w:rsidRPr="00051297">
        <w:rPr>
          <w:lang w:val="en-US"/>
        </w:rPr>
        <w:t>General overview</w:t>
      </w:r>
      <w:bookmarkEnd w:id="179"/>
      <w:bookmarkEnd w:id="180"/>
    </w:p>
    <w:p w14:paraId="2AE56F53" w14:textId="1C71563C" w:rsidR="00051297" w:rsidRPr="00051297" w:rsidRDefault="00051297" w:rsidP="00051297">
      <w:pPr>
        <w:rPr>
          <w:rFonts w:cs="Times New Roman"/>
          <w:szCs w:val="24"/>
          <w:lang w:val="en-US"/>
        </w:rPr>
      </w:pPr>
      <w:r w:rsidRPr="00051297">
        <w:rPr>
          <w:rFonts w:cs="Times New Roman"/>
          <w:szCs w:val="24"/>
          <w:lang w:val="en-US"/>
        </w:rPr>
        <w:t xml:space="preserve">Dams should have a top width of at least </w:t>
      </w:r>
      <w:r w:rsidR="00F82554">
        <w:rPr>
          <w:rFonts w:cs="Times New Roman"/>
          <w:szCs w:val="24"/>
          <w:lang w:val="en-US"/>
        </w:rPr>
        <w:t>2.4 m</w:t>
      </w:r>
      <w:r w:rsidRPr="00051297">
        <w:rPr>
          <w:rFonts w:cs="Times New Roman"/>
          <w:szCs w:val="24"/>
          <w:lang w:val="en-US"/>
        </w:rPr>
        <w:t xml:space="preserve"> to </w:t>
      </w:r>
      <w:r w:rsidR="00F82554">
        <w:rPr>
          <w:rFonts w:cs="Times New Roman"/>
          <w:szCs w:val="24"/>
          <w:lang w:val="en-US"/>
        </w:rPr>
        <w:t>3.7</w:t>
      </w:r>
      <w:r w:rsidRPr="00051297">
        <w:rPr>
          <w:rFonts w:cs="Times New Roman"/>
          <w:szCs w:val="24"/>
          <w:lang w:val="en-US"/>
        </w:rPr>
        <w:t xml:space="preserve"> </w:t>
      </w:r>
      <w:r w:rsidR="00F82554">
        <w:rPr>
          <w:rFonts w:cs="Times New Roman"/>
          <w:szCs w:val="24"/>
          <w:lang w:val="en-US"/>
        </w:rPr>
        <w:t>m</w:t>
      </w:r>
      <w:r w:rsidRPr="00051297">
        <w:rPr>
          <w:rFonts w:cs="Times New Roman"/>
          <w:szCs w:val="24"/>
          <w:lang w:val="en-US"/>
        </w:rPr>
        <w:t xml:space="preserve">, depending on their height. Dams that are less than </w:t>
      </w:r>
      <w:r w:rsidR="00F82554" w:rsidRPr="00F82554">
        <w:rPr>
          <w:rFonts w:cs="Times New Roman"/>
          <w:szCs w:val="24"/>
          <w:lang w:val="en-US"/>
        </w:rPr>
        <w:t>3.7</w:t>
      </w:r>
      <w:r w:rsidRPr="00051297">
        <w:rPr>
          <w:rFonts w:cs="Times New Roman"/>
          <w:szCs w:val="24"/>
          <w:lang w:val="en-US"/>
        </w:rPr>
        <w:t xml:space="preserve"> </w:t>
      </w:r>
      <w:r w:rsidR="00F82554">
        <w:rPr>
          <w:rFonts w:cs="Times New Roman"/>
          <w:szCs w:val="24"/>
          <w:lang w:val="en-US"/>
        </w:rPr>
        <w:t>m</w:t>
      </w:r>
      <w:r w:rsidRPr="00051297">
        <w:rPr>
          <w:rFonts w:cs="Times New Roman"/>
          <w:szCs w:val="24"/>
          <w:lang w:val="en-US"/>
        </w:rPr>
        <w:t xml:space="preserve"> tall must have a </w:t>
      </w:r>
      <w:r w:rsidR="00F82554">
        <w:rPr>
          <w:rFonts w:cs="Times New Roman"/>
          <w:szCs w:val="24"/>
          <w:lang w:val="en-US"/>
        </w:rPr>
        <w:t>2.4 m</w:t>
      </w:r>
      <w:r w:rsidRPr="00051297">
        <w:rPr>
          <w:rFonts w:cs="Times New Roman"/>
          <w:szCs w:val="24"/>
          <w:lang w:val="en-US"/>
        </w:rPr>
        <w:t xml:space="preserve"> top width. Dams between </w:t>
      </w:r>
      <w:r w:rsidR="00F82554">
        <w:rPr>
          <w:rFonts w:cs="Times New Roman"/>
          <w:szCs w:val="24"/>
          <w:lang w:val="en-US"/>
        </w:rPr>
        <w:t>3.7 m</w:t>
      </w:r>
      <w:r w:rsidRPr="00051297">
        <w:rPr>
          <w:rFonts w:cs="Times New Roman"/>
          <w:szCs w:val="24"/>
          <w:lang w:val="en-US"/>
        </w:rPr>
        <w:t xml:space="preserve"> and </w:t>
      </w:r>
      <w:r w:rsidR="00F82554">
        <w:rPr>
          <w:rFonts w:cs="Times New Roman"/>
          <w:szCs w:val="24"/>
          <w:lang w:val="en-US"/>
        </w:rPr>
        <w:t>4.6 m</w:t>
      </w:r>
      <w:r w:rsidRPr="00051297">
        <w:rPr>
          <w:rFonts w:cs="Times New Roman"/>
          <w:szCs w:val="24"/>
          <w:lang w:val="en-US"/>
        </w:rPr>
        <w:t xml:space="preserve"> tall require a </w:t>
      </w:r>
      <w:r w:rsidR="00F82554">
        <w:rPr>
          <w:rFonts w:cs="Times New Roman"/>
          <w:szCs w:val="24"/>
          <w:lang w:val="en-US"/>
        </w:rPr>
        <w:t>3 m</w:t>
      </w:r>
      <w:r w:rsidRPr="00051297">
        <w:rPr>
          <w:rFonts w:cs="Times New Roman"/>
          <w:szCs w:val="24"/>
          <w:lang w:val="en-US"/>
        </w:rPr>
        <w:t xml:space="preserve"> top width, whereas those over </w:t>
      </w:r>
      <w:r w:rsidR="00F82554">
        <w:rPr>
          <w:rFonts w:cs="Times New Roman"/>
          <w:szCs w:val="24"/>
          <w:lang w:val="en-US"/>
        </w:rPr>
        <w:t>4.6 m</w:t>
      </w:r>
      <w:r w:rsidRPr="00051297">
        <w:rPr>
          <w:rFonts w:cs="Times New Roman"/>
          <w:szCs w:val="24"/>
          <w:lang w:val="en-US"/>
        </w:rPr>
        <w:t xml:space="preserve"> tall require a </w:t>
      </w:r>
      <w:r w:rsidR="00F82554">
        <w:rPr>
          <w:rFonts w:cs="Times New Roman"/>
          <w:szCs w:val="24"/>
          <w:lang w:val="en-US"/>
        </w:rPr>
        <w:t>3.7 m</w:t>
      </w:r>
      <w:r w:rsidRPr="00051297">
        <w:rPr>
          <w:rFonts w:cs="Times New Roman"/>
          <w:szCs w:val="24"/>
          <w:lang w:val="en-US"/>
        </w:rPr>
        <w:t xml:space="preserve"> top width. The dam should be at least </w:t>
      </w:r>
      <w:r w:rsidR="00F82554">
        <w:rPr>
          <w:rFonts w:cs="Times New Roman"/>
          <w:szCs w:val="24"/>
          <w:lang w:val="en-US"/>
        </w:rPr>
        <w:t>4.9 m</w:t>
      </w:r>
      <w:r w:rsidRPr="00051297">
        <w:rPr>
          <w:rFonts w:cs="Times New Roman"/>
          <w:szCs w:val="24"/>
          <w:lang w:val="en-US"/>
        </w:rPr>
        <w:t xml:space="preserve"> wide at the top if it is to be used as a road </w:t>
      </w:r>
      <w:r w:rsidRPr="00051297">
        <w:rPr>
          <w:rFonts w:cs="Times New Roman"/>
          <w:szCs w:val="24"/>
        </w:rPr>
        <w:fldChar w:fldCharType="begin" w:fldLock="1"/>
      </w:r>
      <w:r w:rsidR="00FA5896">
        <w:rPr>
          <w:rFonts w:cs="Times New Roman"/>
          <w:szCs w:val="24"/>
          <w:lang w:val="en-US"/>
        </w:rPr>
        <w:instrText>ADDIN CSL_CITATION {"citationItems":[{"id":"ITEM-1","itemData":{"ISBN":"EM 1110-2-2300","abstract":"US Army Corps of Engineers® ENGINEERING AND DESIGN EM 1110-2-2300 30 July 2004 General Design and Construction Considerations for Earth and Rock-Fill Dams ENGINEER MANUAL AVAILABILITY Electronic copies of this and other U.S.","author":[{"dropping-particle":"","family":"shano","given":"","non-dropping-particle":"","parse-names":false,"suffix":""}],"container-title":"Em 1110-2-2300","id":"ITEM-1","issued":{"date-parts":[["1994"]]},"title":"Earth and Rock-Fill Dams -- General Design and Construction Considerations","type":"article-journal"},"uris":["http://www.mendeley.com/documents/?uuid=5ed218f3-b2ad-4802-8765-4d88032fc892","http://www.mendeley.com/documents/?uuid=4007fdcf-a93b-4d11-a171-55e6a518c2aa"]}],"mendeley":{"formattedCitation":"[109]","plainTextFormattedCitation":"[109]","previouslyFormattedCitation":"[109]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[109]</w:t>
      </w:r>
      <w:r w:rsidRPr="00051297">
        <w:rPr>
          <w:rFonts w:cs="Times New Roman"/>
          <w:szCs w:val="24"/>
        </w:rPr>
        <w:fldChar w:fldCharType="end"/>
      </w:r>
      <w:r w:rsidRPr="00051297">
        <w:rPr>
          <w:rFonts w:cs="Times New Roman"/>
          <w:szCs w:val="24"/>
          <w:lang w:val="en-US"/>
        </w:rPr>
        <w:t xml:space="preserve">. </w:t>
      </w:r>
    </w:p>
    <w:p w14:paraId="3EEC9174" w14:textId="291D359D" w:rsidR="00051297" w:rsidRPr="00051297" w:rsidRDefault="00051297" w:rsidP="00051297">
      <w:pPr>
        <w:rPr>
          <w:rFonts w:cs="Times New Roman"/>
          <w:szCs w:val="24"/>
          <w:lang w:val="en-US"/>
        </w:rPr>
      </w:pPr>
      <w:r w:rsidRPr="00051297">
        <w:rPr>
          <w:rFonts w:cs="Times New Roman"/>
          <w:szCs w:val="24"/>
          <w:lang w:val="en-US"/>
        </w:rPr>
        <w:t>Dams must be cored with clay to avoid seepage in various regions due to soil characteristics (</w:t>
      </w:r>
      <w:r w:rsidRPr="00051297">
        <w:rPr>
          <w:rFonts w:cs="Times New Roman"/>
          <w:szCs w:val="24"/>
          <w:lang w:val="en-US"/>
        </w:rPr>
        <w:fldChar w:fldCharType="begin"/>
      </w:r>
      <w:r w:rsidRPr="00051297">
        <w:rPr>
          <w:rFonts w:cs="Times New Roman"/>
          <w:szCs w:val="24"/>
          <w:lang w:val="en-US"/>
        </w:rPr>
        <w:instrText xml:space="preserve"> REF _Ref98102845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4</w:t>
      </w:r>
      <w:r w:rsidRPr="00051297">
        <w:rPr>
          <w:rFonts w:cs="Times New Roman"/>
          <w:szCs w:val="24"/>
          <w:lang w:val="en-US"/>
        </w:rPr>
        <w:fldChar w:fldCharType="end"/>
      </w:r>
      <w:r w:rsidRPr="00051297">
        <w:rPr>
          <w:rFonts w:cs="Times New Roman"/>
          <w:szCs w:val="24"/>
          <w:lang w:val="en-US"/>
        </w:rPr>
        <w:t xml:space="preserve">). On the waterside, the dam should have a slope of no more than 3:1. A 4:1 slope on the rear allows it to be mowed and maintained securely. A dam with a 3:1 slope, for example, will rise </w:t>
      </w:r>
      <w:r w:rsidR="003B0341" w:rsidRPr="003B0341">
        <w:rPr>
          <w:rFonts w:cs="Times New Roman"/>
          <w:szCs w:val="24"/>
          <w:lang w:val="en-US"/>
        </w:rPr>
        <w:t>0.3</w:t>
      </w:r>
      <w:r w:rsidR="003B0341">
        <w:rPr>
          <w:rFonts w:cs="Times New Roman"/>
          <w:szCs w:val="24"/>
          <w:lang w:val="en-US"/>
        </w:rPr>
        <w:t xml:space="preserve"> m</w:t>
      </w:r>
      <w:r w:rsidRPr="00051297">
        <w:rPr>
          <w:rFonts w:cs="Times New Roman"/>
          <w:szCs w:val="24"/>
          <w:lang w:val="en-US"/>
        </w:rPr>
        <w:t xml:space="preserve"> for every </w:t>
      </w:r>
      <w:r w:rsidR="003B0341">
        <w:rPr>
          <w:rFonts w:cs="Times New Roman"/>
          <w:szCs w:val="24"/>
          <w:lang w:val="en-US"/>
        </w:rPr>
        <w:t>0.9 m</w:t>
      </w:r>
      <w:r w:rsidRPr="00051297">
        <w:rPr>
          <w:rFonts w:cs="Times New Roman"/>
          <w:szCs w:val="24"/>
          <w:lang w:val="en-US"/>
        </w:rPr>
        <w:t xml:space="preserve"> of horizontal measurement </w:t>
      </w:r>
      <w:r w:rsidRPr="00051297">
        <w:rPr>
          <w:rFonts w:cs="Times New Roman"/>
          <w:szCs w:val="24"/>
        </w:rPr>
        <w:fldChar w:fldCharType="begin" w:fldLock="1"/>
      </w:r>
      <w:r w:rsidR="00FA5896">
        <w:rPr>
          <w:rFonts w:cs="Times New Roman"/>
          <w:szCs w:val="24"/>
          <w:lang w:val="en-US"/>
        </w:rPr>
        <w:instrText>ADDIN CSL_CITATION {"citationItems":[{"id":"ITEM-1","itemData":{"ISBN":"EM 1110-2-2300","abstract":"US Army Corps of Engineers® ENGINEERING AND DESIGN EM 1110-2-2300 30 July 2004 General Design and Construction Considerations for Earth and Rock-Fill Dams ENGINEER MANUAL AVAILABILITY Electronic copies of this and other U.S.","author":[{"dropping-particle":"","family":"shano","given":"","non-dropping-particle":"","parse-names":false,"suffix":""}],"container-title":"Em 1110-2-2300","id":"ITEM-1","issued":{"date-parts":[["1994"]]},"title":"Earth and Rock-Fill Dams -- General Design and Construction Considerations","type":"article-journal"},"uris":["http://www.mendeley.com/documents/?uuid=4007fdcf-a93b-4d11-a171-55e6a518c2aa","http://www.mendeley.com/documents/?uuid=bc1fb2a0-da0c-47bf-b81b-b3abfd8fa305","http://www.mendeley.com/documents/?uuid=5ed218f3-b2ad-4802-8765-4d88032fc892"]}],"mendeley":{"formattedCitation":"[109]","plainTextFormattedCitation":"[109]","previouslyFormattedCitation":"[109]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[109]</w:t>
      </w:r>
      <w:r w:rsidRPr="00051297">
        <w:rPr>
          <w:rFonts w:cs="Times New Roman"/>
          <w:szCs w:val="24"/>
        </w:rPr>
        <w:fldChar w:fldCharType="end"/>
      </w:r>
      <w:r w:rsidRPr="00051297">
        <w:rPr>
          <w:rFonts w:cs="Times New Roman"/>
          <w:szCs w:val="24"/>
          <w:lang w:val="en-US"/>
        </w:rPr>
        <w:t>.</w:t>
      </w:r>
    </w:p>
    <w:p w14:paraId="1494E1DD"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6AE15722" wp14:editId="61D89163">
            <wp:extent cx="5943600" cy="2294255"/>
            <wp:effectExtent l="0" t="0" r="0" b="0"/>
            <wp:docPr id="111" name="Picture 111" descr="Image described in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described in text.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294255"/>
                    </a:xfrm>
                    <a:prstGeom prst="rect">
                      <a:avLst/>
                    </a:prstGeom>
                    <a:noFill/>
                    <a:ln>
                      <a:noFill/>
                    </a:ln>
                  </pic:spPr>
                </pic:pic>
              </a:graphicData>
            </a:graphic>
          </wp:inline>
        </w:drawing>
      </w:r>
    </w:p>
    <w:p w14:paraId="2EA9A325" w14:textId="3B204413" w:rsidR="00051297" w:rsidRPr="00051297" w:rsidRDefault="00051297" w:rsidP="00051297">
      <w:pPr>
        <w:ind w:firstLine="0"/>
        <w:jc w:val="center"/>
        <w:rPr>
          <w:rFonts w:cs="Times New Roman"/>
          <w:szCs w:val="24"/>
          <w:lang w:val="en-US" w:bidi="en-US"/>
        </w:rPr>
      </w:pPr>
      <w:bookmarkStart w:id="181" w:name="_Ref98102845"/>
      <w:bookmarkStart w:id="182" w:name="_Toc104985391"/>
      <w:bookmarkStart w:id="183" w:name="_Toc98085873"/>
      <w:bookmarkStart w:id="184" w:name="_Toc97428198"/>
      <w:bookmarkStart w:id="185" w:name="_Toc103544068"/>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bookmarkEnd w:id="181"/>
      <w:r w:rsidRPr="00051297">
        <w:rPr>
          <w:rFonts w:cs="Times New Roman"/>
          <w:szCs w:val="24"/>
          <w:lang w:val="en-US" w:bidi="en-US"/>
        </w:rPr>
        <w:t xml:space="preserve"> – A typical example of an embankment dam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{"citationItems":[{"id":"ITEM-1","itemData":{"DOI":"10.1016/B978-0-08-098330-1.00008-9","author":[{"dropping-particle":"","family":"Breeze","given":"Paul","non-dropping-particle":"","parse-names":false,"suffix":""}],"container-title":"Power Generation Technologies","id":"ITEM-1","issued":{"date-parts":[["2014"]]},"page":"153-179","publisher":"Elsevier","title":"Hydropower","type":"chapter"},"uris":["http://www.mendeley.com/documents/?uuid=dbc50db9-b5ac-41af-8ea6-c4a5dd02ed89","http://www.mendeley.com/documents/?uuid=fd06d558-84e7-49c0-82db-60622f6a9215"]}],"mendeley":{"formattedCitation":"[110]","plainTextFormattedCitation":"[110]","previouslyFormattedCitation":"[110]"},"properties":{"noteIndex":0},"schema":"https://github.com/citation-style-language/schema/raw/master/csl-citation.json"}</w:instrText>
      </w:r>
      <w:r w:rsidRPr="00051297">
        <w:rPr>
          <w:rFonts w:cs="Times New Roman"/>
          <w:szCs w:val="24"/>
          <w:lang w:val="en-US" w:bidi="en-US"/>
        </w:rPr>
        <w:fldChar w:fldCharType="separate"/>
      </w:r>
      <w:bookmarkEnd w:id="183"/>
      <w:bookmarkEnd w:id="184"/>
      <w:bookmarkEnd w:id="185"/>
      <w:r w:rsidR="0032684D" w:rsidRPr="0032684D">
        <w:rPr>
          <w:rFonts w:cs="Times New Roman"/>
          <w:noProof/>
          <w:szCs w:val="24"/>
          <w:lang w:val="en-US" w:bidi="en-US"/>
        </w:rPr>
        <w:t>[110]</w:t>
      </w:r>
      <w:bookmarkEnd w:id="182"/>
      <w:r w:rsidRPr="00051297">
        <w:rPr>
          <w:rFonts w:cs="Times New Roman"/>
          <w:szCs w:val="24"/>
          <w:lang w:val="en-US" w:bidi="en-US"/>
        </w:rPr>
        <w:fldChar w:fldCharType="end"/>
      </w:r>
    </w:p>
    <w:p w14:paraId="3CE47D56" w14:textId="392A63C1" w:rsidR="00051297" w:rsidRPr="00051297" w:rsidRDefault="00051297" w:rsidP="00051297">
      <w:pPr>
        <w:rPr>
          <w:rFonts w:cs="Times New Roman"/>
          <w:szCs w:val="24"/>
          <w:lang w:val="en-US"/>
        </w:rPr>
      </w:pPr>
      <w:r w:rsidRPr="00051297">
        <w:rPr>
          <w:rFonts w:cs="Times New Roman"/>
          <w:szCs w:val="24"/>
          <w:lang w:val="en-US"/>
        </w:rPr>
        <w:t xml:space="preserve">For proper management, a combination drain and overflow pipe, as well as an emergency spillway, are required. It is critical that the drainpipe be installed on the pond's bottom so that the pond may be entirely drained. A drain is required to effectively manage the pond. The overflow pipe is where the pond's typical water flow exits. The emergency spillway is an area on one side of the dam that is lower than the top of the dam and is used to safely release excess runoff from heavy rainfall </w:t>
      </w:r>
      <w:r w:rsidRPr="00051297">
        <w:rPr>
          <w:rFonts w:cs="Times New Roman"/>
          <w:szCs w:val="24"/>
        </w:rPr>
        <w:fldChar w:fldCharType="begin" w:fldLock="1"/>
      </w:r>
      <w:r w:rsidR="00FA5896">
        <w:rPr>
          <w:rFonts w:cs="Times New Roman"/>
          <w:szCs w:val="24"/>
          <w:lang w:val="en-US"/>
        </w:rPr>
        <w:instrText>ADDIN CSL_CITATION {"citationItems":[{"id":"ITEM-1","itemData":{"DOI":"10.1080/23249676.2019.1611496","ISSN":"2324-9676","abstract":"In this paper, the SPH (Smoothed Particle Hydrodynamics) method is applied to predict the flow features in dam spillways and energy dissipators. Two study cases were simulated using the 3D WCSPH code, GPUSPH: the hydraulic jump in the Crestuma dam and the flow in the new spillway of the Caniçada dam, both located in the North of Portugal. An extensive quantitative validation was carried out - water depths were computed with a reasonable accuracy, yet, its accuracy seemed to be dependent upon the existing flow features, and the evolution of pressures in the spillway channel was generally well captured, thanks to the Unified Semi-Analytical Wall boundary conditions technique. Comparison between SPH and a finite-volume approach results is also presented. Lastly, a set of practical recommendations for the application of SPH to model dam spillways is given, based on the experience attained.","author":[{"dropping-particle":"","family":"Moreira","given":"Andreia","non-dropping-particle":"","parse-names":false,"suffix":""},{"dropping-particle":"","family":"Leroy","given":"Agnès","non-dropping-particle":"","parse-names":false,"suffix":""},{"dropping-particle":"","family":"Violeau","given":"Damien","non-dropping-particle":"","parse-names":false,"suffix":""},{"dropping-particle":"","family":"Taveira-Pinto","given":"Francisco","non-dropping-particle":"","parse-names":false,"suffix":""}],"container-title":"Journal of Applied Water Engineering and Research","id":"ITEM-1","issue":"3","issued":{"date-parts":[["2019","7"]]},"page":"228-245","title":"Dam spillways and the SPH method: two case studies in Portugal","type":"article-journal","volume":"7"},"uris":["http://www.mendeley.com/documents/?uuid=87f87e4a-bf26-46dc-b84b-e16558f4f503","http://www.mendeley.com/documents/?uuid=3af2f7c1-03ce-4e01-98d5-75eec1cf8298","http://www.mendeley.com/documents/?uuid=061cf8a3-6515-4084-adad-03e722f6fd1b"]}],"mendeley":{"formattedCitation":"[111]","plainTextFormattedCitation":"[111]","previouslyFormattedCitation":"[111]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[111]</w:t>
      </w:r>
      <w:r w:rsidRPr="00051297">
        <w:rPr>
          <w:rFonts w:cs="Times New Roman"/>
          <w:szCs w:val="24"/>
        </w:rPr>
        <w:fldChar w:fldCharType="end"/>
      </w:r>
      <w:r w:rsidRPr="00051297">
        <w:rPr>
          <w:rFonts w:cs="Times New Roman"/>
          <w:szCs w:val="24"/>
          <w:lang w:val="en-US"/>
        </w:rPr>
        <w:t>. Corrugated metal, aluminum, steel, or polyvinyl chloride can be used for overflow and drainpipes (</w:t>
      </w:r>
      <w:bookmarkStart w:id="186" w:name="_Hlk97947883"/>
      <w:r w:rsidRPr="00051297">
        <w:rPr>
          <w:rFonts w:cs="Times New Roman"/>
          <w:szCs w:val="24"/>
          <w:lang w:val="en-US"/>
        </w:rPr>
        <w:t>PVC</w:t>
      </w:r>
      <w:bookmarkEnd w:id="186"/>
      <w:r w:rsidRPr="00051297">
        <w:rPr>
          <w:rFonts w:cs="Times New Roman"/>
          <w:szCs w:val="24"/>
          <w:lang w:val="en-US"/>
        </w:rPr>
        <w:t>) (</w:t>
      </w:r>
      <w:r w:rsidRPr="00051297">
        <w:rPr>
          <w:rFonts w:cs="Times New Roman"/>
          <w:szCs w:val="24"/>
          <w:lang w:val="en-US"/>
        </w:rPr>
        <w:fldChar w:fldCharType="begin"/>
      </w:r>
      <w:r w:rsidRPr="00051297">
        <w:rPr>
          <w:rFonts w:cs="Times New Roman"/>
          <w:szCs w:val="24"/>
          <w:lang w:val="en-US"/>
        </w:rPr>
        <w:instrText xml:space="preserve"> REF _Ref98102897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5</w:t>
      </w:r>
      <w:r w:rsidRPr="00051297">
        <w:rPr>
          <w:rFonts w:cs="Times New Roman"/>
          <w:szCs w:val="24"/>
          <w:lang w:val="en-US"/>
        </w:rPr>
        <w:fldChar w:fldCharType="end"/>
      </w:r>
      <w:r w:rsidRPr="00051297">
        <w:rPr>
          <w:rFonts w:cs="Times New Roman"/>
          <w:szCs w:val="24"/>
          <w:lang w:val="en-US"/>
        </w:rPr>
        <w:t xml:space="preserve">). PVC pipe, for example, is affordable yet prone to breakage and vandalism </w:t>
      </w:r>
      <w:r w:rsidRPr="00051297">
        <w:rPr>
          <w:rFonts w:cs="Times New Roman"/>
          <w:szCs w:val="24"/>
        </w:rPr>
        <w:fldChar w:fldCharType="begin" w:fldLock="1"/>
      </w:r>
      <w:r w:rsidR="00FA5896">
        <w:rPr>
          <w:rFonts w:cs="Times New Roman"/>
          <w:szCs w:val="24"/>
          <w:lang w:val="en-US"/>
        </w:rPr>
        <w:instrText>ADDIN CSL_CITATION {"citationItems":[{"id":"ITEM-1","itemData":{"DOI":"10.1007/978-94-011-3206-0","ISBN":"0792312678","abstract":"Proceedings of the NATO Advanced Study Institute on Advances in Rockfill Structures, held in Lisbon, 18-19 June, 1990. The objective of the meeting was the discussion and updating of concepts related to the design, construction, operation and monitoring of rockfill structures. The 20 separately authored chapters cover the following: overview; the use of index properties; rockfill modelling; laboratory shear strength tests and slope stability; laboratory compression tests and the deformation of rockfill structures; collapse; test fills and in situ tests; laboratory testing and quality control; creep; filters and drains; stress-strain laws and parameter values; finite element methods; concrete and asphalt faced rockfill dams; static behaviour, dynamic behaviour, monitoring and safety evaluation of rockfill dams; rockfill hydraulics; through and overflow rockfill dams; specifications and control of natural rockfill. Lists of participants and contributors are included. -S.J.Stone","author":[{"dropping-particle":"","family":"Maranha Das Neves","given":"E.","non-dropping-particle":"","parse-names":false,"suffix":""}],"container-title":"Advances in rockfill structures","id":"ITEM-1","issued":{"date-parts":[["1991"]]},"title":"Advances in rockfill structures","type":"article-journal"},"uris":["http://www.mendeley.com/documents/?uuid=01f92bd6-44ee-49d9-835a-e028c32cd1d1","http://www.mendeley.com/documents/?uuid=3cdf08bf-e7e4-4c32-bd6c-8c00ecc676b0","http://www.mendeley.com/documents/?uuid=41813db8-6a49-4f75-a34b-83dd2c371aff"]}],"mendeley":{"formattedCitation":"[112]","plainTextFormattedCitation":"[112]","previouslyFormattedCitation":"[112]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[112]</w:t>
      </w:r>
      <w:r w:rsidRPr="00051297">
        <w:rPr>
          <w:rFonts w:cs="Times New Roman"/>
          <w:szCs w:val="24"/>
        </w:rPr>
        <w:fldChar w:fldCharType="end"/>
      </w:r>
      <w:r w:rsidRPr="00051297">
        <w:rPr>
          <w:rFonts w:cs="Times New Roman"/>
          <w:szCs w:val="24"/>
          <w:lang w:val="en-US"/>
        </w:rPr>
        <w:t xml:space="preserve">. </w:t>
      </w:r>
    </w:p>
    <w:p w14:paraId="24A91D3E" w14:textId="77777777" w:rsidR="00051297" w:rsidRPr="00051297" w:rsidRDefault="00051297" w:rsidP="00051297">
      <w:pPr>
        <w:keepNext/>
        <w:ind w:firstLine="0"/>
        <w:jc w:val="center"/>
        <w:rPr>
          <w:rFonts w:cs="Times New Roman"/>
          <w:szCs w:val="24"/>
        </w:rPr>
      </w:pPr>
      <w:r w:rsidRPr="00051297">
        <w:rPr>
          <w:rFonts w:cs="Times New Roman"/>
          <w:noProof/>
          <w:szCs w:val="24"/>
        </w:rPr>
        <w:lastRenderedPageBreak/>
        <w:drawing>
          <wp:inline distT="0" distB="0" distL="0" distR="0" wp14:anchorId="4C4E5B4E" wp14:editId="75119F17">
            <wp:extent cx="5734050" cy="3314700"/>
            <wp:effectExtent l="0" t="0" r="0" b="0"/>
            <wp:docPr id="112" name="Picture 112" descr="Image described in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described in text.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4050" cy="3314700"/>
                    </a:xfrm>
                    <a:prstGeom prst="rect">
                      <a:avLst/>
                    </a:prstGeom>
                    <a:noFill/>
                    <a:ln>
                      <a:noFill/>
                    </a:ln>
                  </pic:spPr>
                </pic:pic>
              </a:graphicData>
            </a:graphic>
          </wp:inline>
        </w:drawing>
      </w:r>
    </w:p>
    <w:p w14:paraId="06D39491" w14:textId="20B400B4" w:rsidR="00051297" w:rsidRPr="00051297" w:rsidRDefault="00051297" w:rsidP="00051297">
      <w:pPr>
        <w:ind w:firstLine="0"/>
        <w:jc w:val="center"/>
        <w:rPr>
          <w:rFonts w:cs="Times New Roman"/>
          <w:szCs w:val="24"/>
          <w:lang w:val="en-US" w:bidi="en-US"/>
        </w:rPr>
      </w:pPr>
      <w:bookmarkStart w:id="187" w:name="_Ref98102897"/>
      <w:bookmarkStart w:id="188" w:name="_Toc104985392"/>
      <w:bookmarkStart w:id="189" w:name="_Toc98085874"/>
      <w:bookmarkStart w:id="190" w:name="_Toc97428199"/>
      <w:bookmarkStart w:id="191" w:name="_Toc103544069"/>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bookmarkEnd w:id="187"/>
      <w:r w:rsidRPr="00051297">
        <w:rPr>
          <w:rFonts w:cs="Times New Roman"/>
          <w:szCs w:val="24"/>
          <w:lang w:val="en-US" w:bidi="en-US"/>
        </w:rPr>
        <w:t xml:space="preserve"> – Overflow pipe description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{"citationItems":[{"id":"ITEM-1","itemData":{"DOI":"10.1007/978-94-011-3206-0","ISBN":"0792312678","abstract":"Proceedings of the NATO Advanced Study Institute on Advances in Rockfill Structures, held in Lisbon, 18-19 June, 1990. The objective of the meeting was the discussion and updating of concepts related to the design, construction, operation and monitoring of rockfill structures. The 20 separately authored chapters cover the following: overview; the use of index properties; rockfill modelling; laboratory shear strength tests and slope stability; laboratory compression tests and the deformation of rockfill structures; collapse; test fills and in situ tests; laboratory testing and quality control; creep; filters and drains; stress-strain laws and parameter values; finite element methods; concrete and asphalt faced rockfill dams; static behaviour, dynamic behaviour, monitoring and safety evaluation of rockfill dams; rockfill hydraulics; through and overflow rockfill dams; specifications and control of natural rockfill. Lists of participants and contributors are included. -S.J.Stone","author":[{"dropping-particle":"","family":"Maranha Das Neves","given":"E.","non-dropping-particle":"","parse-names":false,"suffix":""}],"container-title":"Advances in rockfill structures","id":"ITEM-1","issued":{"date-parts":[["1991"]]},"title":"Advances in rockfill structures","type":"article-journal"},"uris":["http://www.mendeley.com/documents/?uuid=41813db8-6a49-4f75-a34b-83dd2c371aff","http://www.mendeley.com/documents/?uuid=01f92bd6-44ee-49d9-835a-e028c32cd1d1","http://www.mendeley.com/documents/?uuid=3cdf08bf-e7e4-4c32-bd6c-8c00ecc676b0"]}],"mendeley":{"formattedCitation":"[112]","plainTextFormattedCitation":"[112]","previouslyFormattedCitation":"[112]"},"properties":{"noteIndex":0},"schema":"https://github.com/citation-style-language/schema/raw/master/csl-citation.json"}</w:instrText>
      </w:r>
      <w:r w:rsidRPr="00051297">
        <w:rPr>
          <w:rFonts w:cs="Times New Roman"/>
          <w:szCs w:val="24"/>
          <w:lang w:val="en-US" w:bidi="en-US"/>
        </w:rPr>
        <w:fldChar w:fldCharType="separate"/>
      </w:r>
      <w:bookmarkEnd w:id="189"/>
      <w:bookmarkEnd w:id="190"/>
      <w:bookmarkEnd w:id="191"/>
      <w:r w:rsidR="0032684D" w:rsidRPr="0032684D">
        <w:rPr>
          <w:rFonts w:cs="Times New Roman"/>
          <w:noProof/>
          <w:szCs w:val="24"/>
          <w:lang w:val="en-US" w:bidi="en-US"/>
        </w:rPr>
        <w:t>[112]</w:t>
      </w:r>
      <w:bookmarkEnd w:id="188"/>
      <w:r w:rsidRPr="00051297">
        <w:rPr>
          <w:rFonts w:cs="Times New Roman"/>
          <w:szCs w:val="24"/>
          <w:lang w:val="en-US" w:bidi="en-US"/>
        </w:rPr>
        <w:fldChar w:fldCharType="end"/>
      </w:r>
    </w:p>
    <w:p w14:paraId="7DF72543" w14:textId="11AA135F" w:rsidR="00051297" w:rsidRPr="00051297" w:rsidRDefault="00051297" w:rsidP="0079595C">
      <w:pPr>
        <w:pStyle w:val="3"/>
        <w:rPr>
          <w:lang w:val="en-US"/>
        </w:rPr>
      </w:pPr>
      <w:bookmarkStart w:id="192" w:name="_Toc97504734"/>
      <w:bookmarkStart w:id="193" w:name="_Toc103543868"/>
      <w:bookmarkStart w:id="194" w:name="_Toc104985192"/>
      <w:r w:rsidRPr="00051297">
        <w:rPr>
          <w:lang w:val="en-US"/>
        </w:rPr>
        <w:t xml:space="preserve">Design of </w:t>
      </w:r>
      <w:r w:rsidR="00C86748">
        <w:rPr>
          <w:lang w:val="en-US"/>
        </w:rPr>
        <w:t>e</w:t>
      </w:r>
      <w:r w:rsidRPr="00051297">
        <w:rPr>
          <w:lang w:val="en-US"/>
        </w:rPr>
        <w:t xml:space="preserve">arthen </w:t>
      </w:r>
      <w:r w:rsidR="00C86748">
        <w:rPr>
          <w:lang w:val="en-US"/>
        </w:rPr>
        <w:t>d</w:t>
      </w:r>
      <w:r w:rsidRPr="00051297">
        <w:rPr>
          <w:lang w:val="en-US"/>
        </w:rPr>
        <w:t xml:space="preserve">am </w:t>
      </w:r>
      <w:r w:rsidR="00C86748">
        <w:rPr>
          <w:lang w:val="en-US"/>
        </w:rPr>
        <w:t>c</w:t>
      </w:r>
      <w:r w:rsidRPr="00051297">
        <w:rPr>
          <w:lang w:val="en-US"/>
        </w:rPr>
        <w:t>omponents</w:t>
      </w:r>
      <w:bookmarkEnd w:id="192"/>
      <w:bookmarkEnd w:id="193"/>
      <w:bookmarkEnd w:id="194"/>
    </w:p>
    <w:p w14:paraId="0D5D6A16" w14:textId="4265923E" w:rsidR="00051297" w:rsidRPr="00051297" w:rsidRDefault="00051297" w:rsidP="00051297">
      <w:pPr>
        <w:rPr>
          <w:rFonts w:cs="Times New Roman"/>
          <w:szCs w:val="24"/>
          <w:lang w:val="en-US"/>
        </w:rPr>
      </w:pPr>
      <w:r w:rsidRPr="00051297">
        <w:rPr>
          <w:rFonts w:cs="Times New Roman"/>
          <w:szCs w:val="24"/>
          <w:lang w:val="en-US"/>
        </w:rPr>
        <w:t xml:space="preserve">An earthen dam's preliminary design is based on previous experience with comparable types of dams. For this aim, empirical formulae are also used. Prior to construction, the following components of an earthen dam are given top priority </w:t>
      </w:r>
      <w:r w:rsidRPr="00051297">
        <w:rPr>
          <w:rFonts w:cs="Times New Roman"/>
          <w:szCs w:val="24"/>
        </w:rPr>
        <w:fldChar w:fldCharType="begin" w:fldLock="1"/>
      </w:r>
      <w:r w:rsidR="00FA5896">
        <w:rPr>
          <w:rFonts w:cs="Times New Roman"/>
          <w:szCs w:val="24"/>
          <w:lang w:val="en-US"/>
        </w:rPr>
        <w:instrText>ADDIN CSL_CITATION {"citationItems":[{"id":"ITEM-1","itemData":{"DOI":"10.1061/(ASCE)HY.1943-7900.0001745","ISSN":"0733-9429","abstract":"© 2020 American Society of Civil Engineers. Early in their career, engineering students sometimes have difficulty linking academic concepts between courses and the interests that led to their enrollment. We present a design \"interlude\" event that is intended to improve experiential inductive learning and the vertical and horizontal integration of engineering courses. In this exercise, second year engineering students design, build, and test a scaled model of an earthen dam. The method integrates content from technical courses in which they are currently enrolled, such as statistics and fluid mechanics, and previews future courses in their curriculum, such as soil mechanics, hydrology, and hydraulics. Students consult with a range of experts, mock stakeholders, and mock protestors. Projects are evaluated for social/environmental impacts, technical design, cost, and performance, including stability, power generation, and spillway overflow. Student feedback was positive and highlights the intended benefits for the students, including interaction with industry partners, team building for the students, hands-on learning, and a better understanding of the impact of engineering projects.","author":[{"dropping-particle":"","family":"MacVicar","given":"Bruce","non-dropping-particle":"","parse-names":false,"suffix":""},{"dropping-particle":"","family":"Clow","given":"Andrew","non-dropping-particle":"","parse-names":false,"suffix":""},{"dropping-particle":"","family":"Muirhead","given":"Chris","non-dropping-particle":"","parse-names":false,"suffix":""},{"dropping-particle":"","family":"Al-Hammoud","given":"Rania","non-dropping-particle":"","parse-names":false,"suffix":""},{"dropping-particle":"","family":"Craig","given":"James","non-dropping-particle":"","parse-names":false,"suffix":""}],"container-title":"Journal of Hydraulic Engineering","id":"ITEM-1","issue":"6","issued":{"date-parts":[["2020","6"]]},"page":"04020037","title":"Design, Construction, and Destruction in the Classroom: Experiential Learning with Earthen Dams","type":"article-journal","volume":"146"},"uris":["http://www.mendeley.com/documents/?uuid=14860a81-ea02-49db-8809-f6d8cbf660bf","http://www.mendeley.com/documents/?uuid=04c288d6-b5ff-4016-9336-383efdea57aa","http://www.mendeley.com/documents/?uuid=b6e175b1-51fd-4512-9ae2-1ca77faac7e5"]}],"mendeley":{"formattedCitation":"[113]","plainTextFormattedCitation":"[113]","previouslyFormattedCitation":"[113]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[113]</w:t>
      </w:r>
      <w:r w:rsidRPr="00051297">
        <w:rPr>
          <w:rFonts w:cs="Times New Roman"/>
          <w:szCs w:val="24"/>
        </w:rPr>
        <w:fldChar w:fldCharType="end"/>
      </w:r>
      <w:r w:rsidRPr="00051297">
        <w:rPr>
          <w:rFonts w:cs="Times New Roman"/>
          <w:szCs w:val="24"/>
          <w:lang w:val="en-US"/>
        </w:rPr>
        <w:t xml:space="preserve">. </w:t>
      </w:r>
    </w:p>
    <w:p w14:paraId="53BB9373" w14:textId="77777777" w:rsidR="00051297" w:rsidRPr="00051297" w:rsidRDefault="00051297" w:rsidP="00051297">
      <w:pPr>
        <w:rPr>
          <w:rFonts w:cs="Times New Roman"/>
          <w:szCs w:val="24"/>
          <w:lang w:val="en-US"/>
        </w:rPr>
      </w:pPr>
      <w:r w:rsidRPr="00051297">
        <w:rPr>
          <w:rFonts w:cs="Times New Roman"/>
          <w:szCs w:val="24"/>
          <w:lang w:val="en-US"/>
        </w:rPr>
        <w:t xml:space="preserve">The following are the key components of the earth dam: </w:t>
      </w:r>
    </w:p>
    <w:p w14:paraId="5E148B3A" w14:textId="77777777" w:rsidR="00051297" w:rsidRPr="00051297" w:rsidRDefault="00051297" w:rsidP="00051297">
      <w:pPr>
        <w:numPr>
          <w:ilvl w:val="0"/>
          <w:numId w:val="23"/>
        </w:numPr>
        <w:tabs>
          <w:tab w:val="clear" w:pos="720"/>
          <w:tab w:val="num" w:pos="993"/>
        </w:tabs>
        <w:ind w:left="0" w:firstLine="709"/>
        <w:rPr>
          <w:rFonts w:cs="Times New Roman"/>
          <w:szCs w:val="24"/>
        </w:rPr>
      </w:pPr>
      <w:r w:rsidRPr="00051297">
        <w:rPr>
          <w:rFonts w:cs="Times New Roman"/>
          <w:szCs w:val="24"/>
        </w:rPr>
        <w:t>Width at the top</w:t>
      </w:r>
      <w:r w:rsidRPr="00051297">
        <w:rPr>
          <w:rFonts w:cs="Times New Roman"/>
          <w:szCs w:val="24"/>
          <w:lang w:val="en-US"/>
        </w:rPr>
        <w:t>.</w:t>
      </w:r>
      <w:r w:rsidRPr="00051297">
        <w:rPr>
          <w:rFonts w:cs="Times New Roman"/>
          <w:szCs w:val="24"/>
        </w:rPr>
        <w:t xml:space="preserve"> </w:t>
      </w:r>
    </w:p>
    <w:p w14:paraId="552E11DA" w14:textId="77777777" w:rsidR="00051297" w:rsidRPr="00051297" w:rsidRDefault="00051297" w:rsidP="00051297">
      <w:pPr>
        <w:numPr>
          <w:ilvl w:val="0"/>
          <w:numId w:val="23"/>
        </w:numPr>
        <w:tabs>
          <w:tab w:val="clear" w:pos="720"/>
          <w:tab w:val="num" w:pos="993"/>
        </w:tabs>
        <w:ind w:left="0" w:firstLine="709"/>
        <w:rPr>
          <w:rFonts w:cs="Times New Roman"/>
          <w:szCs w:val="24"/>
          <w:lang w:val="en-US"/>
        </w:rPr>
      </w:pPr>
      <w:r w:rsidRPr="00051297">
        <w:rPr>
          <w:rFonts w:cs="Times New Roman"/>
          <w:szCs w:val="24"/>
          <w:lang w:val="en-US"/>
        </w:rPr>
        <w:t xml:space="preserve">Boarding is available for free. </w:t>
      </w:r>
    </w:p>
    <w:p w14:paraId="636FB39B" w14:textId="77777777" w:rsidR="00051297" w:rsidRPr="00051297" w:rsidRDefault="00051297" w:rsidP="00051297">
      <w:pPr>
        <w:numPr>
          <w:ilvl w:val="0"/>
          <w:numId w:val="23"/>
        </w:numPr>
        <w:tabs>
          <w:tab w:val="clear" w:pos="720"/>
          <w:tab w:val="num" w:pos="993"/>
        </w:tabs>
        <w:ind w:left="0" w:firstLine="709"/>
        <w:rPr>
          <w:rFonts w:cs="Times New Roman"/>
          <w:szCs w:val="24"/>
          <w:lang w:val="en-US"/>
        </w:rPr>
      </w:pPr>
      <w:r w:rsidRPr="00051297">
        <w:rPr>
          <w:rFonts w:cs="Times New Roman"/>
          <w:szCs w:val="24"/>
          <w:lang w:val="en-US"/>
        </w:rPr>
        <w:t xml:space="preserve">A trench that has been cut off. </w:t>
      </w:r>
    </w:p>
    <w:p w14:paraId="4F4A323A" w14:textId="77777777" w:rsidR="00051297" w:rsidRPr="00051297" w:rsidRDefault="00051297" w:rsidP="00051297">
      <w:pPr>
        <w:numPr>
          <w:ilvl w:val="0"/>
          <w:numId w:val="23"/>
        </w:numPr>
        <w:tabs>
          <w:tab w:val="clear" w:pos="720"/>
          <w:tab w:val="num" w:pos="993"/>
        </w:tabs>
        <w:ind w:left="0" w:firstLine="709"/>
        <w:rPr>
          <w:rFonts w:cs="Times New Roman"/>
          <w:szCs w:val="24"/>
          <w:lang w:val="en-US"/>
        </w:rPr>
      </w:pPr>
      <w:r w:rsidRPr="00051297">
        <w:rPr>
          <w:rFonts w:cs="Times New Roman"/>
          <w:szCs w:val="24"/>
          <w:lang w:val="en-US"/>
        </w:rPr>
        <w:t xml:space="preserve">The impenetrable core in the center. </w:t>
      </w:r>
    </w:p>
    <w:p w14:paraId="6C75AAA4" w14:textId="77777777" w:rsidR="00051297" w:rsidRPr="00051297" w:rsidRDefault="00051297" w:rsidP="00051297">
      <w:pPr>
        <w:numPr>
          <w:ilvl w:val="0"/>
          <w:numId w:val="23"/>
        </w:numPr>
        <w:tabs>
          <w:tab w:val="clear" w:pos="720"/>
          <w:tab w:val="num" w:pos="993"/>
        </w:tabs>
        <w:ind w:left="0" w:firstLine="709"/>
        <w:rPr>
          <w:rFonts w:cs="Times New Roman"/>
          <w:szCs w:val="24"/>
        </w:rPr>
      </w:pPr>
      <w:r w:rsidRPr="00051297">
        <w:rPr>
          <w:rFonts w:cs="Times New Roman"/>
          <w:szCs w:val="24"/>
        </w:rPr>
        <w:t>Outer shell or casing</w:t>
      </w:r>
      <w:r w:rsidRPr="00051297">
        <w:rPr>
          <w:rFonts w:cs="Times New Roman"/>
          <w:szCs w:val="24"/>
          <w:lang w:val="en-US"/>
        </w:rPr>
        <w:t>.</w:t>
      </w:r>
      <w:r w:rsidRPr="00051297">
        <w:rPr>
          <w:rFonts w:cs="Times New Roman"/>
          <w:szCs w:val="24"/>
        </w:rPr>
        <w:t xml:space="preserve"> </w:t>
      </w:r>
    </w:p>
    <w:p w14:paraId="79205208" w14:textId="77777777" w:rsidR="00051297" w:rsidRPr="00051297" w:rsidRDefault="00051297" w:rsidP="00051297">
      <w:pPr>
        <w:numPr>
          <w:ilvl w:val="0"/>
          <w:numId w:val="23"/>
        </w:numPr>
        <w:tabs>
          <w:tab w:val="clear" w:pos="720"/>
          <w:tab w:val="num" w:pos="993"/>
        </w:tabs>
        <w:ind w:left="0" w:firstLine="709"/>
        <w:rPr>
          <w:rFonts w:cs="Times New Roman"/>
          <w:szCs w:val="24"/>
          <w:lang w:val="en-US"/>
        </w:rPr>
      </w:pPr>
      <w:r w:rsidRPr="00051297">
        <w:rPr>
          <w:rFonts w:cs="Times New Roman"/>
          <w:szCs w:val="24"/>
          <w:lang w:val="en-US"/>
        </w:rPr>
        <w:t xml:space="preserve">Foundations and internal drainage system. </w:t>
      </w:r>
    </w:p>
    <w:p w14:paraId="67F7F1DE" w14:textId="77777777" w:rsidR="00051297" w:rsidRPr="00051297" w:rsidRDefault="00051297" w:rsidP="00051297">
      <w:pPr>
        <w:numPr>
          <w:ilvl w:val="0"/>
          <w:numId w:val="23"/>
        </w:numPr>
        <w:tabs>
          <w:tab w:val="clear" w:pos="720"/>
          <w:tab w:val="num" w:pos="993"/>
        </w:tabs>
        <w:ind w:left="0" w:firstLine="709"/>
        <w:rPr>
          <w:rFonts w:cs="Times New Roman"/>
          <w:szCs w:val="24"/>
        </w:rPr>
      </w:pPr>
      <w:r w:rsidRPr="00051297">
        <w:rPr>
          <w:rFonts w:cs="Times New Roman"/>
          <w:szCs w:val="24"/>
        </w:rPr>
        <w:t>Surface drainage Slope protection</w:t>
      </w:r>
      <w:r w:rsidRPr="00051297">
        <w:rPr>
          <w:rFonts w:cs="Times New Roman"/>
          <w:szCs w:val="24"/>
          <w:lang w:val="en-US"/>
        </w:rPr>
        <w:t>.</w:t>
      </w:r>
      <w:r w:rsidRPr="00051297">
        <w:rPr>
          <w:rFonts w:cs="Times New Roman"/>
          <w:szCs w:val="24"/>
        </w:rPr>
        <w:t xml:space="preserve"> </w:t>
      </w:r>
    </w:p>
    <w:p w14:paraId="2E06C052" w14:textId="77777777" w:rsidR="00051297" w:rsidRPr="00051297" w:rsidRDefault="00051297" w:rsidP="00051297">
      <w:pPr>
        <w:numPr>
          <w:ilvl w:val="0"/>
          <w:numId w:val="23"/>
        </w:numPr>
        <w:tabs>
          <w:tab w:val="clear" w:pos="720"/>
          <w:tab w:val="num" w:pos="993"/>
        </w:tabs>
        <w:ind w:left="0" w:firstLine="709"/>
        <w:rPr>
          <w:rFonts w:cs="Times New Roman"/>
          <w:szCs w:val="24"/>
          <w:lang w:val="en-US"/>
        </w:rPr>
      </w:pPr>
      <w:r w:rsidRPr="00051297">
        <w:rPr>
          <w:rFonts w:cs="Times New Roman"/>
          <w:szCs w:val="24"/>
          <w:lang w:val="en-US"/>
        </w:rPr>
        <w:t xml:space="preserve">A blanket that is impenetrable. </w:t>
      </w:r>
    </w:p>
    <w:p w14:paraId="540CC821" w14:textId="77777777" w:rsidR="00051297" w:rsidRPr="00051297" w:rsidRDefault="00051297" w:rsidP="00051297">
      <w:pPr>
        <w:numPr>
          <w:ilvl w:val="0"/>
          <w:numId w:val="23"/>
        </w:numPr>
        <w:tabs>
          <w:tab w:val="clear" w:pos="720"/>
          <w:tab w:val="num" w:pos="993"/>
        </w:tabs>
        <w:ind w:left="0" w:firstLine="709"/>
        <w:rPr>
          <w:rFonts w:cs="Times New Roman"/>
          <w:szCs w:val="24"/>
        </w:rPr>
      </w:pPr>
      <w:r w:rsidRPr="00051297">
        <w:rPr>
          <w:rFonts w:cs="Times New Roman"/>
          <w:szCs w:val="24"/>
        </w:rPr>
        <w:t>The spillway's design</w:t>
      </w:r>
      <w:r w:rsidRPr="00051297">
        <w:rPr>
          <w:rFonts w:cs="Times New Roman"/>
          <w:szCs w:val="24"/>
          <w:lang w:val="en-US"/>
        </w:rPr>
        <w:t>.</w:t>
      </w:r>
    </w:p>
    <w:p w14:paraId="096678A0" w14:textId="6E72A862" w:rsidR="00051297" w:rsidRPr="00051297" w:rsidRDefault="00051297" w:rsidP="0079595C">
      <w:pPr>
        <w:pStyle w:val="4"/>
      </w:pPr>
      <w:r w:rsidRPr="00051297">
        <w:rPr>
          <w:b/>
          <w:bCs/>
        </w:rPr>
        <w:t xml:space="preserve"> </w:t>
      </w:r>
      <w:bookmarkStart w:id="195" w:name="_Toc97504735"/>
      <w:bookmarkStart w:id="196" w:name="_Toc103543869"/>
      <w:bookmarkStart w:id="197" w:name="_Toc104985193"/>
      <w:r w:rsidRPr="00051297">
        <w:t xml:space="preserve">Top </w:t>
      </w:r>
      <w:r w:rsidR="00C86748">
        <w:rPr>
          <w:lang w:val="en-US"/>
        </w:rPr>
        <w:t>w</w:t>
      </w:r>
      <w:r w:rsidRPr="00051297">
        <w:t>idth</w:t>
      </w:r>
      <w:bookmarkEnd w:id="195"/>
      <w:bookmarkEnd w:id="196"/>
      <w:bookmarkEnd w:id="197"/>
    </w:p>
    <w:p w14:paraId="3B2E5569" w14:textId="77777777" w:rsidR="00051297" w:rsidRPr="00051297" w:rsidRDefault="00051297" w:rsidP="00051297">
      <w:pPr>
        <w:rPr>
          <w:rFonts w:cs="Times New Roman"/>
          <w:szCs w:val="24"/>
          <w:lang w:val="en-US"/>
        </w:rPr>
      </w:pPr>
      <w:r w:rsidRPr="00051297">
        <w:rPr>
          <w:rFonts w:cs="Times New Roman"/>
          <w:szCs w:val="24"/>
          <w:lang w:val="en-US"/>
        </w:rPr>
        <w:t xml:space="preserve">The following factors are used to determine the top width of an earthen dam: </w:t>
      </w:r>
    </w:p>
    <w:p w14:paraId="7B8F7B53" w14:textId="77777777" w:rsidR="00051297" w:rsidRPr="00F97DFC" w:rsidRDefault="00051297" w:rsidP="00051297">
      <w:pPr>
        <w:numPr>
          <w:ilvl w:val="0"/>
          <w:numId w:val="23"/>
        </w:numPr>
        <w:tabs>
          <w:tab w:val="clear" w:pos="720"/>
          <w:tab w:val="num" w:pos="993"/>
        </w:tabs>
        <w:ind w:left="0" w:firstLine="709"/>
        <w:rPr>
          <w:rFonts w:cs="Times New Roman"/>
          <w:szCs w:val="24"/>
          <w:lang w:val="en-US"/>
        </w:rPr>
      </w:pPr>
      <w:r w:rsidRPr="00F97DFC">
        <w:rPr>
          <w:rFonts w:cs="Times New Roman"/>
          <w:szCs w:val="24"/>
          <w:lang w:val="en-US"/>
        </w:rPr>
        <w:t xml:space="preserve">The type of fill material utilized in the construction of the embankment, as well as the maximum permissible percolation through the embankment at normal reservoir levels. </w:t>
      </w:r>
    </w:p>
    <w:p w14:paraId="4A7B2BB8" w14:textId="77777777" w:rsidR="00051297" w:rsidRPr="00051297" w:rsidRDefault="00051297" w:rsidP="00051297">
      <w:pPr>
        <w:numPr>
          <w:ilvl w:val="0"/>
          <w:numId w:val="23"/>
        </w:numPr>
        <w:tabs>
          <w:tab w:val="clear" w:pos="720"/>
          <w:tab w:val="num" w:pos="993"/>
        </w:tabs>
        <w:ind w:left="0" w:firstLine="709"/>
        <w:rPr>
          <w:rFonts w:cs="Times New Roman"/>
          <w:szCs w:val="24"/>
          <w:lang w:val="en-US"/>
        </w:rPr>
      </w:pPr>
      <w:r w:rsidRPr="00051297">
        <w:rPr>
          <w:rFonts w:cs="Times New Roman"/>
          <w:szCs w:val="24"/>
          <w:lang w:val="en-US"/>
        </w:rPr>
        <w:t xml:space="preserve">The dam's height and significance. </w:t>
      </w:r>
    </w:p>
    <w:p w14:paraId="72490264" w14:textId="77777777" w:rsidR="00051297" w:rsidRPr="00051297" w:rsidRDefault="00051297" w:rsidP="00051297">
      <w:pPr>
        <w:numPr>
          <w:ilvl w:val="0"/>
          <w:numId w:val="23"/>
        </w:numPr>
        <w:tabs>
          <w:tab w:val="clear" w:pos="720"/>
          <w:tab w:val="num" w:pos="993"/>
        </w:tabs>
        <w:ind w:left="0" w:firstLine="709"/>
        <w:rPr>
          <w:rFonts w:cs="Times New Roman"/>
          <w:szCs w:val="24"/>
        </w:rPr>
      </w:pPr>
      <w:r w:rsidRPr="00051297">
        <w:rPr>
          <w:rFonts w:cs="Times New Roman"/>
          <w:szCs w:val="24"/>
        </w:rPr>
        <w:t>The dam's practicability</w:t>
      </w:r>
      <w:r w:rsidRPr="00051297">
        <w:rPr>
          <w:rFonts w:cs="Times New Roman"/>
          <w:szCs w:val="24"/>
          <w:lang w:val="en-US"/>
        </w:rPr>
        <w:t>.</w:t>
      </w:r>
      <w:r w:rsidRPr="00051297">
        <w:rPr>
          <w:rFonts w:cs="Times New Roman"/>
          <w:szCs w:val="24"/>
        </w:rPr>
        <w:t xml:space="preserve"> </w:t>
      </w:r>
    </w:p>
    <w:p w14:paraId="75ED9A48" w14:textId="77777777" w:rsidR="00051297" w:rsidRPr="00051297" w:rsidRDefault="00051297" w:rsidP="00051297">
      <w:pPr>
        <w:numPr>
          <w:ilvl w:val="0"/>
          <w:numId w:val="23"/>
        </w:numPr>
        <w:tabs>
          <w:tab w:val="clear" w:pos="720"/>
          <w:tab w:val="num" w:pos="993"/>
        </w:tabs>
        <w:ind w:left="0" w:firstLine="709"/>
        <w:rPr>
          <w:rFonts w:cs="Times New Roman"/>
          <w:szCs w:val="24"/>
          <w:lang w:val="en-US"/>
        </w:rPr>
      </w:pPr>
      <w:r w:rsidRPr="00051297">
        <w:rPr>
          <w:rFonts w:cs="Times New Roman"/>
          <w:szCs w:val="24"/>
          <w:lang w:val="en-US"/>
        </w:rPr>
        <w:lastRenderedPageBreak/>
        <w:t xml:space="preserve">Shielding against earthquakes and tidal waves. </w:t>
      </w:r>
    </w:p>
    <w:p w14:paraId="3744A1FC" w14:textId="2ED57320" w:rsidR="00051297" w:rsidRPr="00051297" w:rsidRDefault="00051297" w:rsidP="00051297">
      <w:pPr>
        <w:rPr>
          <w:rFonts w:cs="Times New Roman"/>
          <w:szCs w:val="24"/>
          <w:lang w:val="en-US"/>
        </w:rPr>
      </w:pPr>
      <w:r w:rsidRPr="00051297">
        <w:rPr>
          <w:rFonts w:cs="Times New Roman"/>
          <w:szCs w:val="24"/>
          <w:lang w:val="en-US"/>
        </w:rPr>
        <w:t xml:space="preserve">The dam's top width is determined by its height. At full reservoir capacity, the minimum top width should be able to produce a safe percolation gradient. The width of the embankment is calculated using the method below, which is based on the height of the dam </w:t>
      </w:r>
      <w:r w:rsidRPr="00051297">
        <w:rPr>
          <w:rFonts w:cs="Times New Roman"/>
          <w:szCs w:val="24"/>
        </w:rPr>
        <w:fldChar w:fldCharType="begin" w:fldLock="1"/>
      </w:r>
      <w:r w:rsidR="00FA5896">
        <w:rPr>
          <w:rFonts w:cs="Times New Roman"/>
          <w:szCs w:val="24"/>
          <w:lang w:val="en-US"/>
        </w:rPr>
        <w:instrText>ADDIN CSL_CITATION {"citationItems":[{"id":"ITEM-1","itemData":{"abstract":"Petains to earthquake hazard assessment for earthquake-resistant desigh of: (1) buildinds, (2) liquid retaining structures. (3) bridges, (4) embankments and retaining walls, (5) industrials and stack-like structures, and (6) concrete. masonry and earth dams.","author":[{"dropping-particle":"","family":"Bureau of Indian Standards","given":"","non-dropping-particle":"","parse-names":false,"suffix":""}],"container-title":"Bureau of Indian Standards, New Delhi","id":"ITEM-1","issued":{"date-parts":[["2016"]]},"title":"IS 1893:Part-I-2016 Criteria for Earthquake resistant design of structures,Part 1:General Provisions and buildings","type":"article-journal"},"uris":["http://www.mendeley.com/documents/?uuid=6cf9fe01-3d7e-4eb6-8602-8af7fad711c5","http://www.mendeley.com/documents/?uuid=0d25dba4-144a-4073-b319-8602ad11ebf0","http://www.mendeley.com/documents/?uuid=2dcd29eb-c5bc-4235-9a84-e73d358b1dfa"]}],"mendeley":{"formattedCitation":"[114]","plainTextFormattedCitation":"[114]","previouslyFormattedCitation":"[114]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[114]</w:t>
      </w:r>
      <w:r w:rsidRPr="00051297">
        <w:rPr>
          <w:rFonts w:cs="Times New Roman"/>
          <w:szCs w:val="24"/>
        </w:rPr>
        <w:fldChar w:fldCharType="end"/>
      </w:r>
      <w:r w:rsidRPr="00051297">
        <w:rPr>
          <w:rFonts w:cs="Times New Roman"/>
          <w:szCs w:val="24"/>
          <w:lang w:val="en-US"/>
        </w:rPr>
        <w:t xml:space="preserve">. </w:t>
      </w:r>
    </w:p>
    <w:p w14:paraId="5F0714B1" w14:textId="77777777" w:rsidR="00051297" w:rsidRPr="00051297" w:rsidRDefault="00051297" w:rsidP="00051297">
      <w:pPr>
        <w:rPr>
          <w:rFonts w:cs="Times New Roman"/>
          <w:szCs w:val="24"/>
          <w:lang w:val="en-US"/>
        </w:rPr>
      </w:pPr>
      <w:r w:rsidRPr="00051297">
        <w:rPr>
          <w:rFonts w:cs="Times New Roman"/>
          <w:szCs w:val="24"/>
          <w:lang w:val="en-US"/>
        </w:rPr>
        <w:t>Dams with a relatively low embankment: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
        <w:gridCol w:w="7710"/>
        <w:gridCol w:w="1385"/>
      </w:tblGrid>
      <w:tr w:rsidR="00051297" w:rsidRPr="00051297" w14:paraId="5EDEBE7A" w14:textId="77777777" w:rsidTr="00D20B01">
        <w:tc>
          <w:tcPr>
            <w:tcW w:w="259" w:type="dxa"/>
          </w:tcPr>
          <w:p w14:paraId="2DB1A378" w14:textId="77777777" w:rsidR="00051297" w:rsidRPr="00051297" w:rsidRDefault="00051297" w:rsidP="00051297">
            <w:pPr>
              <w:spacing w:after="160"/>
              <w:rPr>
                <w:szCs w:val="24"/>
                <w:lang w:val="en-US"/>
              </w:rPr>
            </w:pPr>
          </w:p>
        </w:tc>
        <w:tc>
          <w:tcPr>
            <w:tcW w:w="7710" w:type="dxa"/>
          </w:tcPr>
          <w:p w14:paraId="12D8EBEB" w14:textId="77777777" w:rsidR="00051297" w:rsidRPr="00051297" w:rsidRDefault="00051297" w:rsidP="00051297">
            <w:pPr>
              <w:spacing w:after="160"/>
              <w:rPr>
                <w:szCs w:val="24"/>
              </w:rPr>
            </w:pPr>
            <m:oMathPara>
              <m:oMath>
                <m:r>
                  <w:rPr>
                    <w:rFonts w:ascii="Cambria Math" w:hAnsi="Cambria Math"/>
                    <w:szCs w:val="24"/>
                  </w:rPr>
                  <m:t>W=</m:t>
                </m:r>
                <m:f>
                  <m:fPr>
                    <m:ctrlPr>
                      <w:rPr>
                        <w:rFonts w:ascii="Cambria Math" w:hAnsi="Cambria Math"/>
                        <w:i/>
                        <w:szCs w:val="24"/>
                      </w:rPr>
                    </m:ctrlPr>
                  </m:fPr>
                  <m:num>
                    <m:r>
                      <w:rPr>
                        <w:rFonts w:ascii="Cambria Math" w:hAnsi="Cambria Math"/>
                        <w:szCs w:val="24"/>
                      </w:rPr>
                      <m:t>H</m:t>
                    </m:r>
                  </m:num>
                  <m:den>
                    <m:r>
                      <w:rPr>
                        <w:rFonts w:ascii="Cambria Math" w:hAnsi="Cambria Math"/>
                        <w:szCs w:val="24"/>
                      </w:rPr>
                      <m:t>5</m:t>
                    </m:r>
                  </m:den>
                </m:f>
                <m:r>
                  <w:rPr>
                    <w:rFonts w:ascii="Cambria Math" w:hAnsi="Cambria Math"/>
                    <w:szCs w:val="24"/>
                  </w:rPr>
                  <m:t>+3</m:t>
                </m:r>
              </m:oMath>
            </m:oMathPara>
          </w:p>
        </w:tc>
        <w:tc>
          <w:tcPr>
            <w:tcW w:w="1385" w:type="dxa"/>
          </w:tcPr>
          <w:p w14:paraId="26DF4820" w14:textId="739D844D" w:rsidR="00051297" w:rsidRPr="00051297" w:rsidRDefault="00051297" w:rsidP="00051297">
            <w:pPr>
              <w:spacing w:after="160"/>
            </w:pPr>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1</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7</w:t>
            </w:r>
            <w:r w:rsidRPr="00051297">
              <w:rPr>
                <w:szCs w:val="24"/>
              </w:rPr>
              <w:fldChar w:fldCharType="end"/>
            </w:r>
            <w:r w:rsidRPr="00051297">
              <w:rPr>
                <w:szCs w:val="24"/>
              </w:rPr>
              <w:t>)</w:t>
            </w:r>
          </w:p>
        </w:tc>
      </w:tr>
    </w:tbl>
    <w:p w14:paraId="223E39C5" w14:textId="77777777" w:rsidR="00051297" w:rsidRPr="00051297" w:rsidRDefault="00051297" w:rsidP="00051297">
      <w:pPr>
        <w:rPr>
          <w:rFonts w:cs="Times New Roman"/>
          <w:szCs w:val="24"/>
          <w:lang w:val="en-US"/>
        </w:rPr>
      </w:pPr>
      <w:r w:rsidRPr="00051297">
        <w:rPr>
          <w:rFonts w:cs="Times New Roman"/>
          <w:szCs w:val="24"/>
          <w:lang w:val="en-US"/>
        </w:rPr>
        <w:t>Dams having a height of less than 30 m are eligible:</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
        <w:gridCol w:w="7710"/>
        <w:gridCol w:w="1385"/>
      </w:tblGrid>
      <w:tr w:rsidR="00051297" w:rsidRPr="00051297" w14:paraId="1E814AE3" w14:textId="77777777" w:rsidTr="00D20B01">
        <w:tc>
          <w:tcPr>
            <w:tcW w:w="259" w:type="dxa"/>
          </w:tcPr>
          <w:p w14:paraId="483B002D" w14:textId="77777777" w:rsidR="00051297" w:rsidRPr="00051297" w:rsidRDefault="00051297" w:rsidP="00051297">
            <w:pPr>
              <w:spacing w:after="160"/>
              <w:rPr>
                <w:szCs w:val="24"/>
                <w:lang w:val="en-US"/>
              </w:rPr>
            </w:pPr>
          </w:p>
        </w:tc>
        <w:tc>
          <w:tcPr>
            <w:tcW w:w="7710" w:type="dxa"/>
          </w:tcPr>
          <w:p w14:paraId="1A828E60" w14:textId="77777777" w:rsidR="00051297" w:rsidRPr="00051297" w:rsidRDefault="00051297" w:rsidP="00051297">
            <w:pPr>
              <w:spacing w:after="160"/>
              <w:rPr>
                <w:szCs w:val="24"/>
              </w:rPr>
            </w:pPr>
            <m:oMathPara>
              <m:oMath>
                <m:r>
                  <w:rPr>
                    <w:rFonts w:ascii="Cambria Math" w:hAnsi="Cambria Math"/>
                    <w:szCs w:val="24"/>
                  </w:rPr>
                  <m:t>W=0.55</m:t>
                </m:r>
                <m:rad>
                  <m:radPr>
                    <m:degHide m:val="1"/>
                    <m:ctrlPr>
                      <w:rPr>
                        <w:rFonts w:ascii="Cambria Math" w:hAnsi="Cambria Math"/>
                        <w:i/>
                        <w:szCs w:val="24"/>
                      </w:rPr>
                    </m:ctrlPr>
                  </m:radPr>
                  <m:deg/>
                  <m:e>
                    <m:r>
                      <w:rPr>
                        <w:rFonts w:ascii="Cambria Math" w:hAnsi="Cambria Math"/>
                        <w:szCs w:val="24"/>
                      </w:rPr>
                      <m:t>H</m:t>
                    </m:r>
                  </m:e>
                </m:rad>
                <m:r>
                  <w:rPr>
                    <w:rFonts w:ascii="Cambria Math" w:hAnsi="Cambria Math"/>
                    <w:szCs w:val="24"/>
                  </w:rPr>
                  <m:t>+0.2H</m:t>
                </m:r>
              </m:oMath>
            </m:oMathPara>
          </w:p>
        </w:tc>
        <w:tc>
          <w:tcPr>
            <w:tcW w:w="1385" w:type="dxa"/>
          </w:tcPr>
          <w:p w14:paraId="1D9CAC0E" w14:textId="76E40F7C" w:rsidR="00051297" w:rsidRPr="00051297" w:rsidRDefault="00051297" w:rsidP="00051297">
            <w:pPr>
              <w:spacing w:after="160"/>
            </w:pPr>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1</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8</w:t>
            </w:r>
            <w:r w:rsidRPr="00051297">
              <w:rPr>
                <w:szCs w:val="24"/>
              </w:rPr>
              <w:fldChar w:fldCharType="end"/>
            </w:r>
            <w:r w:rsidRPr="00051297">
              <w:rPr>
                <w:szCs w:val="24"/>
              </w:rPr>
              <w:t>)</w:t>
            </w:r>
          </w:p>
        </w:tc>
      </w:tr>
    </w:tbl>
    <w:p w14:paraId="6122A9F9" w14:textId="77777777" w:rsidR="00051297" w:rsidRPr="00051297" w:rsidRDefault="00051297" w:rsidP="00051297">
      <w:pPr>
        <w:rPr>
          <w:rFonts w:cs="Times New Roman"/>
          <w:szCs w:val="24"/>
          <w:lang w:val="en-US"/>
        </w:rPr>
      </w:pPr>
      <w:r w:rsidRPr="00051297">
        <w:rPr>
          <w:rFonts w:cs="Times New Roman"/>
          <w:szCs w:val="24"/>
          <w:lang w:val="en-US"/>
        </w:rPr>
        <w:t xml:space="preserve">Embankment dams with H&gt;30: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
        <w:gridCol w:w="7710"/>
        <w:gridCol w:w="1385"/>
      </w:tblGrid>
      <w:tr w:rsidR="00051297" w:rsidRPr="00051297" w14:paraId="3297FC6B" w14:textId="77777777" w:rsidTr="00D20B01">
        <w:tc>
          <w:tcPr>
            <w:tcW w:w="265" w:type="dxa"/>
          </w:tcPr>
          <w:p w14:paraId="09DFA88D" w14:textId="77777777" w:rsidR="00051297" w:rsidRPr="00051297" w:rsidRDefault="00051297" w:rsidP="00051297">
            <w:pPr>
              <w:spacing w:after="160"/>
              <w:rPr>
                <w:szCs w:val="24"/>
                <w:lang w:val="en-US"/>
              </w:rPr>
            </w:pPr>
          </w:p>
        </w:tc>
        <w:tc>
          <w:tcPr>
            <w:tcW w:w="8820" w:type="dxa"/>
          </w:tcPr>
          <w:p w14:paraId="6451DCB2" w14:textId="77777777" w:rsidR="00051297" w:rsidRPr="00051297" w:rsidRDefault="00051297" w:rsidP="00051297">
            <w:pPr>
              <w:spacing w:after="160"/>
              <w:rPr>
                <w:szCs w:val="24"/>
              </w:rPr>
            </w:pPr>
            <m:oMathPara>
              <m:oMath>
                <m:r>
                  <w:rPr>
                    <w:rFonts w:ascii="Cambria Math" w:hAnsi="Cambria Math"/>
                    <w:szCs w:val="24"/>
                  </w:rPr>
                  <m:t>W=1.65 (</m:t>
                </m:r>
                <m:sSup>
                  <m:sSupPr>
                    <m:ctrlPr>
                      <w:rPr>
                        <w:rFonts w:ascii="Cambria Math" w:hAnsi="Cambria Math"/>
                        <w:i/>
                        <w:szCs w:val="24"/>
                      </w:rPr>
                    </m:ctrlPr>
                  </m:sSupPr>
                  <m:e>
                    <m:r>
                      <w:rPr>
                        <w:rFonts w:ascii="Cambria Math" w:hAnsi="Cambria Math"/>
                        <w:szCs w:val="24"/>
                      </w:rPr>
                      <m:t>H+1.5)</m:t>
                    </m:r>
                  </m:e>
                  <m:sup>
                    <m:f>
                      <m:fPr>
                        <m:ctrlPr>
                          <w:rPr>
                            <w:rFonts w:ascii="Cambria Math" w:hAnsi="Cambria Math"/>
                            <w:i/>
                            <w:szCs w:val="24"/>
                          </w:rPr>
                        </m:ctrlPr>
                      </m:fPr>
                      <m:num>
                        <m:r>
                          <w:rPr>
                            <w:rFonts w:ascii="Cambria Math" w:hAnsi="Cambria Math"/>
                            <w:szCs w:val="24"/>
                          </w:rPr>
                          <m:t>1</m:t>
                        </m:r>
                      </m:num>
                      <m:den>
                        <m:r>
                          <w:rPr>
                            <w:rFonts w:ascii="Cambria Math" w:hAnsi="Cambria Math"/>
                            <w:szCs w:val="24"/>
                          </w:rPr>
                          <m:t>3</m:t>
                        </m:r>
                      </m:den>
                    </m:f>
                  </m:sup>
                </m:sSup>
              </m:oMath>
            </m:oMathPara>
          </w:p>
        </w:tc>
        <w:tc>
          <w:tcPr>
            <w:tcW w:w="265" w:type="dxa"/>
          </w:tcPr>
          <w:p w14:paraId="338C90B3" w14:textId="2B9B1E3F" w:rsidR="00051297" w:rsidRPr="00051297" w:rsidRDefault="00051297" w:rsidP="00051297">
            <w:pPr>
              <w:spacing w:after="160"/>
            </w:pPr>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1</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9</w:t>
            </w:r>
            <w:r w:rsidRPr="00051297">
              <w:rPr>
                <w:szCs w:val="24"/>
              </w:rPr>
              <w:fldChar w:fldCharType="end"/>
            </w:r>
            <w:r w:rsidRPr="00051297">
              <w:rPr>
                <w:szCs w:val="24"/>
              </w:rPr>
              <w:t>)</w:t>
            </w:r>
          </w:p>
        </w:tc>
      </w:tr>
    </w:tbl>
    <w:p w14:paraId="0BBB631A" w14:textId="05E4E08B" w:rsidR="00051297" w:rsidRPr="00051297" w:rsidRDefault="00051297" w:rsidP="00051297">
      <w:pPr>
        <w:rPr>
          <w:rFonts w:cs="Times New Roman"/>
          <w:szCs w:val="24"/>
          <w:lang w:val="en-US"/>
        </w:rPr>
      </w:pPr>
      <w:r w:rsidRPr="00051297">
        <w:rPr>
          <w:rFonts w:cs="Times New Roman"/>
          <w:szCs w:val="24"/>
          <w:lang w:val="en-US"/>
        </w:rPr>
        <w:t>Where</w:t>
      </w:r>
      <w:bookmarkStart w:id="198" w:name="_Hlk97947908"/>
      <w:r w:rsidR="004370EF">
        <w:rPr>
          <w:rFonts w:cs="Times New Roman"/>
          <w:szCs w:val="24"/>
          <w:lang w:val="en-US"/>
        </w:rPr>
        <w:t>by</w:t>
      </w:r>
      <w:r w:rsidRPr="00051297">
        <w:rPr>
          <w:rFonts w:cs="Times New Roman"/>
          <w:szCs w:val="24"/>
          <w:lang w:val="en-US"/>
        </w:rPr>
        <w:t>: W</w:t>
      </w:r>
      <w:bookmarkEnd w:id="198"/>
      <w:r w:rsidRPr="00051297">
        <w:rPr>
          <w:rFonts w:cs="Times New Roman"/>
          <w:szCs w:val="24"/>
          <w:lang w:val="en-US"/>
        </w:rPr>
        <w:t xml:space="preserve"> – Top width of the dam, m; H – Height of the dam, m. The top breadth of the dam should be at least 6 meters, according to Indian standards </w:t>
      </w:r>
      <w:r w:rsidRPr="00051297">
        <w:rPr>
          <w:rFonts w:cs="Times New Roman"/>
          <w:szCs w:val="24"/>
        </w:rPr>
        <w:fldChar w:fldCharType="begin" w:fldLock="1"/>
      </w:r>
      <w:r w:rsidR="00FA5896">
        <w:rPr>
          <w:rFonts w:cs="Times New Roman"/>
          <w:szCs w:val="24"/>
          <w:lang w:val="en-US"/>
        </w:rPr>
        <w:instrText>ADDIN CSL_CITATION {"citationItems":[{"id":"ITEM-1","itemData":{"abstract":"Petains to earthquake hazard assessment for earthquake-resistant desigh of: (1) buildinds, (2) liquid retaining structures. (3) bridges, (4) embankments and retaining walls, (5) industrials and stack-like structures, and (6) concrete. masonry and earth dams.","author":[{"dropping-particle":"","family":"Bureau of Indian Standards","given":"","non-dropping-particle":"","parse-names":false,"suffix":""}],"container-title":"Bureau of Indian Standards, New Delhi","id":"ITEM-1","issued":{"date-parts":[["2016"]]},"title":"IS 1893:Part-I-2016 Criteria for Earthquake resistant design of structures,Part 1:General Provisions and buildings","type":"article-journal"},"uris":["http://www.mendeley.com/documents/?uuid=2dcd29eb-c5bc-4235-9a84-e73d358b1dfa","http://www.mendeley.com/documents/?uuid=6cf9fe01-3d7e-4eb6-8602-8af7fad711c5","http://www.mendeley.com/documents/?uuid=0d25dba4-144a-4073-b319-8602ad11ebf0"]}],"mendeley":{"formattedCitation":"[114]","plainTextFormattedCitation":"[114]","previouslyFormattedCitation":"[114]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[114]</w:t>
      </w:r>
      <w:r w:rsidRPr="00051297">
        <w:rPr>
          <w:rFonts w:cs="Times New Roman"/>
          <w:szCs w:val="24"/>
        </w:rPr>
        <w:fldChar w:fldCharType="end"/>
      </w:r>
      <w:r w:rsidRPr="00051297">
        <w:rPr>
          <w:rFonts w:cs="Times New Roman"/>
          <w:szCs w:val="24"/>
          <w:lang w:val="en-US"/>
        </w:rPr>
        <w:t>.</w:t>
      </w:r>
    </w:p>
    <w:p w14:paraId="2ED581D6" w14:textId="10026E34" w:rsidR="00051297" w:rsidRPr="00051297" w:rsidRDefault="00051297" w:rsidP="0079595C">
      <w:pPr>
        <w:pStyle w:val="4"/>
      </w:pPr>
      <w:bookmarkStart w:id="199" w:name="_Toc97504736"/>
      <w:bookmarkStart w:id="200" w:name="_Toc103543870"/>
      <w:bookmarkStart w:id="201" w:name="_Toc104985194"/>
      <w:r w:rsidRPr="00051297">
        <w:t xml:space="preserve">Free </w:t>
      </w:r>
      <w:r w:rsidR="00C86748">
        <w:rPr>
          <w:lang w:val="en-US"/>
        </w:rPr>
        <w:t>b</w:t>
      </w:r>
      <w:r w:rsidRPr="00051297">
        <w:t>oard</w:t>
      </w:r>
      <w:bookmarkEnd w:id="199"/>
      <w:bookmarkEnd w:id="200"/>
      <w:bookmarkEnd w:id="201"/>
    </w:p>
    <w:p w14:paraId="4FE2BAB8" w14:textId="2EA57942" w:rsidR="00051297" w:rsidRPr="00051297" w:rsidRDefault="00051297" w:rsidP="00051297">
      <w:pPr>
        <w:rPr>
          <w:rFonts w:cs="Times New Roman"/>
          <w:szCs w:val="24"/>
          <w:lang w:val="en-US"/>
        </w:rPr>
      </w:pPr>
      <w:r w:rsidRPr="00051297">
        <w:rPr>
          <w:rFonts w:cs="Times New Roman"/>
          <w:szCs w:val="24"/>
          <w:lang w:val="en-US"/>
        </w:rPr>
        <w:t xml:space="preserve">The freeboard can be defined as the vertical distance between the top of the embankment and the highest water level in the reservoir. Based on the water level, the freeboard is separated into two categories: normal freeboard and minimum freeboard. A normal freeboard is a difference in elevation between the top of the embankment and the ordinary reservoir level. The minimum freeboard is the elevation difference between the top of the embankment and the highest water level in the reservoir </w:t>
      </w:r>
      <w:r w:rsidRPr="00051297">
        <w:rPr>
          <w:rFonts w:cs="Times New Roman"/>
          <w:szCs w:val="24"/>
        </w:rPr>
        <w:fldChar w:fldCharType="begin" w:fldLock="1"/>
      </w:r>
      <w:r w:rsidR="00FA5896">
        <w:rPr>
          <w:rFonts w:cs="Times New Roman"/>
          <w:szCs w:val="24"/>
          <w:lang w:val="en-US"/>
        </w:rPr>
        <w:instrText>ADDIN CSL_CITATION {"citationItems":[{"id":"ITEM-1","itemData":{"author":[{"dropping-particle":"","family":"Kisan","given":"Mazdoor","non-dropping-particle":"","parse-names":false,"suffix":""},{"dropping-particle":"","family":"Sangathan","given":"Shakti","non-dropping-particle":"","parse-names":false,"suffix":""},{"dropping-particle":"","family":"Nehru","given":"Jawaharlal","non-dropping-particle":"","parse-names":false,"suffix":""},{"dropping-particle":"","family":"Pitroda","given":"Satyanarayan Gangaram","non-dropping-particle":"","parse-names":false,"suffix":""}],"id":"ITEM-1","issued":{"date-parts":[["1978"]]},"title":"Indian Standard (IS 8826): Guidelines for design of large earth and rockfill dams [WRD 9: Dams and Spillways]","type":"chapter"},"uris":["http://www.mendeley.com/documents/?uuid=24d5b6e3-d49d-4106-84bb-e47b8c69daca","http://www.mendeley.com/documents/?uuid=d38af422-0980-41ef-ad51-03b65a2e64af"]}],"mendeley":{"formattedCitation":"[115]","plainTextFormattedCitation":"[115]","previouslyFormattedCitation":"[115]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[115]</w:t>
      </w:r>
      <w:r w:rsidRPr="00051297">
        <w:rPr>
          <w:rFonts w:cs="Times New Roman"/>
          <w:szCs w:val="24"/>
        </w:rPr>
        <w:fldChar w:fldCharType="end"/>
      </w:r>
      <w:r w:rsidRPr="00051297">
        <w:rPr>
          <w:rFonts w:cs="Times New Roman"/>
          <w:szCs w:val="24"/>
          <w:lang w:val="en-US"/>
        </w:rPr>
        <w:t xml:space="preserve">. </w:t>
      </w:r>
    </w:p>
    <w:p w14:paraId="482205BA" w14:textId="2F6EF156" w:rsidR="00051297" w:rsidRPr="00051297" w:rsidRDefault="00051297" w:rsidP="00051297">
      <w:pPr>
        <w:rPr>
          <w:rFonts w:cs="Times New Roman"/>
          <w:szCs w:val="24"/>
          <w:lang w:val="en-US"/>
        </w:rPr>
      </w:pPr>
      <w:r w:rsidRPr="00051297">
        <w:rPr>
          <w:rFonts w:cs="Times New Roman"/>
          <w:szCs w:val="24"/>
          <w:lang w:val="en-US"/>
        </w:rPr>
        <w:t xml:space="preserve">Surcharge head is the difference between the usual and the minimal freeboard. To reduce the risk of overtopping, a sufficient freeboard must be provided while determining the height of the dam </w:t>
      </w:r>
      <w:r w:rsidRPr="00051297">
        <w:rPr>
          <w:rFonts w:cs="Times New Roman"/>
          <w:szCs w:val="24"/>
        </w:rPr>
        <w:fldChar w:fldCharType="begin" w:fldLock="1"/>
      </w:r>
      <w:r w:rsidR="00FA5896">
        <w:rPr>
          <w:rFonts w:cs="Times New Roman"/>
          <w:szCs w:val="24"/>
          <w:lang w:val="en-US"/>
        </w:rPr>
        <w:instrText>ADDIN CSL_CITATION {"citationItems":[{"id":"ITEM-1","itemData":{"author":[{"dropping-particle":"","family":"Kisan","given":"Mazdoor","non-dropping-particle":"","parse-names":false,"suffix":""},{"dropping-particle":"","family":"Sangathan","given":"Shakti","non-dropping-particle":"","parse-names":false,"suffix":""},{"dropping-particle":"","family":"Nehru","given":"Jawaharlal","non-dropping-particle":"","parse-names":false,"suffix":""},{"dropping-particle":"","family":"Pitroda","given":"Satyanarayan Gangaram","non-dropping-particle":"","parse-names":false,"suffix":""}],"id":"ITEM-1","issued":{"date-parts":[["1978"]]},"title":"Indian Standard (IS 8826): Guidelines for design of large earth and rockfill dams [WRD 9: Dams and Spillways]","type":"chapter"},"uris":["http://www.mendeley.com/documents/?uuid=d38af422-0980-41ef-ad51-03b65a2e64af","http://www.mendeley.com/documents/?uuid=24d5b6e3-d49d-4106-84bb-e47b8c69daca"]}],"mendeley":{"formattedCitation":"[115]","plainTextFormattedCitation":"[115]","previouslyFormattedCitation":"[115]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[115]</w:t>
      </w:r>
      <w:r w:rsidRPr="00051297">
        <w:rPr>
          <w:rFonts w:cs="Times New Roman"/>
          <w:szCs w:val="24"/>
        </w:rPr>
        <w:fldChar w:fldCharType="end"/>
      </w:r>
      <w:r w:rsidRPr="00051297">
        <w:rPr>
          <w:rFonts w:cs="Times New Roman"/>
          <w:szCs w:val="24"/>
          <w:lang w:val="en-US"/>
        </w:rPr>
        <w:t xml:space="preserve">. </w:t>
      </w:r>
    </w:p>
    <w:p w14:paraId="5C428517" w14:textId="64E69515" w:rsidR="00051297" w:rsidRPr="00051297" w:rsidRDefault="00051297" w:rsidP="00051297">
      <w:pPr>
        <w:rPr>
          <w:rFonts w:cs="Times New Roman"/>
          <w:szCs w:val="24"/>
          <w:lang w:val="en-US"/>
        </w:rPr>
      </w:pPr>
      <w:r w:rsidRPr="00051297">
        <w:rPr>
          <w:rFonts w:cs="Times New Roman"/>
          <w:szCs w:val="24"/>
          <w:lang w:val="en-US"/>
        </w:rPr>
        <w:fldChar w:fldCharType="begin"/>
      </w:r>
      <w:r w:rsidRPr="00051297">
        <w:rPr>
          <w:rFonts w:cs="Times New Roman"/>
          <w:szCs w:val="24"/>
          <w:lang w:val="en-US"/>
        </w:rPr>
        <w:instrText xml:space="preserve"> REF _Ref98102924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1</w:t>
      </w:r>
      <w:r w:rsidR="004870F1" w:rsidRPr="00051297">
        <w:rPr>
          <w:rFonts w:cs="Times New Roman"/>
          <w:szCs w:val="24"/>
          <w:lang w:val="en-US" w:bidi="en-US"/>
        </w:rPr>
        <w:t>.</w:t>
      </w:r>
      <w:r w:rsidR="004870F1">
        <w:rPr>
          <w:rFonts w:cs="Times New Roman"/>
          <w:noProof/>
          <w:szCs w:val="24"/>
          <w:lang w:val="en-US" w:bidi="en-US"/>
        </w:rPr>
        <w:t>7</w:t>
      </w:r>
      <w:r w:rsidR="004870F1" w:rsidRPr="00051297">
        <w:rPr>
          <w:lang w:val="en-US"/>
        </w:rPr>
        <w:t xml:space="preserve"> </w:t>
      </w:r>
      <w:r w:rsidR="004870F1" w:rsidRPr="00051297">
        <w:rPr>
          <w:rFonts w:cs="Times New Roman"/>
          <w:szCs w:val="24"/>
          <w:lang w:val="en-US" w:bidi="en-US"/>
        </w:rPr>
        <w:t xml:space="preserve">– Recommended values of freeboard </w:t>
      </w:r>
      <w:r w:rsidR="004870F1" w:rsidRPr="0032684D">
        <w:rPr>
          <w:rFonts w:cs="Times New Roman"/>
          <w:noProof/>
          <w:szCs w:val="24"/>
          <w:lang w:val="en-US" w:bidi="en-US"/>
        </w:rPr>
        <w:t>[115]</w:t>
      </w:r>
      <w:r w:rsidRPr="00051297">
        <w:rPr>
          <w:rFonts w:cs="Times New Roman"/>
          <w:szCs w:val="24"/>
          <w:lang w:val="en-US"/>
        </w:rPr>
        <w:fldChar w:fldCharType="end"/>
      </w:r>
      <w:r w:rsidRPr="00051297">
        <w:rPr>
          <w:rFonts w:cs="Times New Roman"/>
          <w:szCs w:val="24"/>
          <w:lang w:val="en-US"/>
        </w:rPr>
        <w:t xml:space="preserve"> shows the recommended freeboard values based on the nature of the spillway and the height of the dam. </w:t>
      </w:r>
    </w:p>
    <w:p w14:paraId="7EF898FF" w14:textId="5CB788ED" w:rsidR="00051297" w:rsidRPr="00051297" w:rsidRDefault="00051297" w:rsidP="00051297">
      <w:pPr>
        <w:rPr>
          <w:rFonts w:cs="Times New Roman"/>
          <w:szCs w:val="24"/>
          <w:lang w:val="en-US" w:bidi="en-US"/>
        </w:rPr>
      </w:pPr>
      <w:bookmarkStart w:id="202" w:name="_Toc104985564"/>
      <w:bookmarkStart w:id="203" w:name="_Toc97077188"/>
      <w:bookmarkStart w:id="204" w:name="_Toc103544238"/>
      <w:bookmarkStart w:id="205" w:name="_Ref98102924"/>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1</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7</w:t>
      </w:r>
      <w:r w:rsidRPr="00051297">
        <w:rPr>
          <w:rFonts w:cs="Times New Roman"/>
          <w:szCs w:val="24"/>
          <w:lang w:val="en-US" w:bidi="en-US"/>
        </w:rPr>
        <w:fldChar w:fldCharType="end"/>
      </w:r>
      <w:r w:rsidRPr="00051297">
        <w:rPr>
          <w:lang w:val="en-US"/>
        </w:rPr>
        <w:t xml:space="preserve"> </w:t>
      </w:r>
      <w:r w:rsidRPr="00051297">
        <w:rPr>
          <w:rFonts w:cs="Times New Roman"/>
          <w:szCs w:val="24"/>
          <w:lang w:val="en-US" w:bidi="en-US"/>
        </w:rPr>
        <w:t xml:space="preserve">– Recommended values of freeboard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Kisan","given":"Mazdoor","non-dropping-particle":"","parse-names":false,"suffix":""},{"dropping-particle":"","family":"Sangathan","given":"Shakti","non-dropping-particle":"","parse-names":false,"suffix":""},{"dropping-particle":"","family":"Nehru","given":"Jawaharlal","non-dropping-particle":"","parse-names":false,"suffix":""},{"dropping-particle":"","family":"Pitroda","given":"Satyanarayan Gangaram","non-dropping-particle":"","parse-names":false,"suffix":""}],"id":"ITEM-1","issued":{"date-parts":[["1978"]]},"title":"Indian Standard (IS 8826): Guidelines for design of large earth and rockfill dams [WRD 9: Dams and Spillways]","type":"chapter"},"uris":["http://www.mendeley.com/documents/?uuid=d38af422-0980-41ef-ad51-03b65a2e64af","http://www.mendeley.com/documents/?uuid=24d5b6e3-d49d-4106-84bb-e47b8c69daca"]}],"mendeley":{"formattedCitation":"[115]","plainTextFormattedCitation":"[115]","previouslyFormattedCitation":"[115]"},"properties":{"noteIndex":0},"schema":"https://github.com/citation-style-language/schema/raw/master/csl-citation.json"}</w:instrText>
      </w:r>
      <w:r w:rsidRPr="00051297">
        <w:rPr>
          <w:rFonts w:cs="Times New Roman"/>
          <w:szCs w:val="24"/>
          <w:lang w:val="en-US" w:bidi="en-US"/>
        </w:rPr>
        <w:fldChar w:fldCharType="separate"/>
      </w:r>
      <w:bookmarkEnd w:id="203"/>
      <w:bookmarkEnd w:id="204"/>
      <w:r w:rsidR="0032684D" w:rsidRPr="0032684D">
        <w:rPr>
          <w:rFonts w:cs="Times New Roman"/>
          <w:noProof/>
          <w:szCs w:val="24"/>
          <w:lang w:val="en-US" w:bidi="en-US"/>
        </w:rPr>
        <w:t>[115]</w:t>
      </w:r>
      <w:bookmarkEnd w:id="202"/>
      <w:r w:rsidRPr="00051297">
        <w:rPr>
          <w:rFonts w:cs="Times New Roman"/>
          <w:szCs w:val="24"/>
          <w:lang w:val="en-US" w:bidi="en-US"/>
        </w:rPr>
        <w:fldChar w:fldCharType="end"/>
      </w:r>
      <w:bookmarkEnd w:id="20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65"/>
        <w:gridCol w:w="1797"/>
        <w:gridCol w:w="5482"/>
      </w:tblGrid>
      <w:tr w:rsidR="00051297" w:rsidRPr="00051297" w14:paraId="292979A3" w14:textId="77777777" w:rsidTr="00D20B01">
        <w:trPr>
          <w:trHeight w:val="20"/>
          <w:jc w:val="center"/>
        </w:trPr>
        <w:tc>
          <w:tcPr>
            <w:tcW w:w="2065" w:type="dxa"/>
            <w:tcMar>
              <w:top w:w="120" w:type="dxa"/>
              <w:left w:w="120" w:type="dxa"/>
              <w:bottom w:w="120" w:type="dxa"/>
              <w:right w:w="120" w:type="dxa"/>
            </w:tcMar>
            <w:vAlign w:val="center"/>
            <w:hideMark/>
          </w:tcPr>
          <w:p w14:paraId="22126015" w14:textId="77777777" w:rsidR="00051297" w:rsidRPr="00051297" w:rsidRDefault="00051297" w:rsidP="00051297">
            <w:pPr>
              <w:spacing w:line="240" w:lineRule="auto"/>
              <w:ind w:firstLine="0"/>
              <w:jc w:val="center"/>
              <w:rPr>
                <w:lang w:val="en-US"/>
              </w:rPr>
            </w:pPr>
            <w:r w:rsidRPr="00051297">
              <w:rPr>
                <w:lang w:val="en-US"/>
              </w:rPr>
              <w:t>Nature of spillway</w:t>
            </w:r>
          </w:p>
        </w:tc>
        <w:tc>
          <w:tcPr>
            <w:tcW w:w="1797" w:type="dxa"/>
            <w:tcMar>
              <w:top w:w="120" w:type="dxa"/>
              <w:left w:w="120" w:type="dxa"/>
              <w:bottom w:w="120" w:type="dxa"/>
              <w:right w:w="120" w:type="dxa"/>
            </w:tcMar>
            <w:vAlign w:val="center"/>
            <w:hideMark/>
          </w:tcPr>
          <w:p w14:paraId="35FCB968" w14:textId="77777777" w:rsidR="00051297" w:rsidRPr="00051297" w:rsidRDefault="00051297" w:rsidP="00051297">
            <w:pPr>
              <w:spacing w:line="240" w:lineRule="auto"/>
              <w:ind w:firstLine="0"/>
              <w:jc w:val="center"/>
              <w:rPr>
                <w:lang w:val="en-US"/>
              </w:rPr>
            </w:pPr>
            <w:r w:rsidRPr="00051297">
              <w:rPr>
                <w:lang w:val="en-US"/>
              </w:rPr>
              <w:t>Height of dam</w:t>
            </w:r>
          </w:p>
        </w:tc>
        <w:tc>
          <w:tcPr>
            <w:tcW w:w="5482" w:type="dxa"/>
            <w:tcMar>
              <w:top w:w="120" w:type="dxa"/>
              <w:left w:w="120" w:type="dxa"/>
              <w:bottom w:w="120" w:type="dxa"/>
              <w:right w:w="120" w:type="dxa"/>
            </w:tcMar>
            <w:vAlign w:val="center"/>
            <w:hideMark/>
          </w:tcPr>
          <w:p w14:paraId="3B6191F7" w14:textId="77777777" w:rsidR="00051297" w:rsidRPr="00051297" w:rsidRDefault="00051297" w:rsidP="00051297">
            <w:pPr>
              <w:spacing w:line="240" w:lineRule="auto"/>
              <w:ind w:firstLine="0"/>
              <w:jc w:val="center"/>
              <w:rPr>
                <w:lang w:val="en-US"/>
              </w:rPr>
            </w:pPr>
            <w:r w:rsidRPr="00051297">
              <w:rPr>
                <w:lang w:val="en-US"/>
              </w:rPr>
              <w:t>Freeboard</w:t>
            </w:r>
          </w:p>
        </w:tc>
      </w:tr>
      <w:tr w:rsidR="00051297" w:rsidRPr="00425C78" w14:paraId="63410C80" w14:textId="77777777" w:rsidTr="00D20B01">
        <w:trPr>
          <w:trHeight w:val="383"/>
          <w:jc w:val="center"/>
        </w:trPr>
        <w:tc>
          <w:tcPr>
            <w:tcW w:w="2065" w:type="dxa"/>
            <w:tcMar>
              <w:top w:w="120" w:type="dxa"/>
              <w:left w:w="120" w:type="dxa"/>
              <w:bottom w:w="120" w:type="dxa"/>
              <w:right w:w="120" w:type="dxa"/>
            </w:tcMar>
            <w:vAlign w:val="center"/>
            <w:hideMark/>
          </w:tcPr>
          <w:p w14:paraId="372C31F0" w14:textId="77777777" w:rsidR="00051297" w:rsidRPr="00051297" w:rsidRDefault="00051297" w:rsidP="00051297">
            <w:pPr>
              <w:spacing w:line="240" w:lineRule="auto"/>
              <w:ind w:firstLine="0"/>
              <w:jc w:val="center"/>
              <w:rPr>
                <w:lang w:val="en-US"/>
              </w:rPr>
            </w:pPr>
            <w:r w:rsidRPr="00051297">
              <w:rPr>
                <w:lang w:val="en-US"/>
              </w:rPr>
              <w:t>Free</w:t>
            </w:r>
            <w:r w:rsidRPr="00051297">
              <w:t xml:space="preserve"> </w:t>
            </w:r>
            <w:r w:rsidRPr="00051297">
              <w:rPr>
                <w:lang w:val="en-US"/>
              </w:rPr>
              <w:t>spillway</w:t>
            </w:r>
          </w:p>
        </w:tc>
        <w:tc>
          <w:tcPr>
            <w:tcW w:w="1797" w:type="dxa"/>
            <w:tcMar>
              <w:top w:w="120" w:type="dxa"/>
              <w:left w:w="120" w:type="dxa"/>
              <w:bottom w:w="120" w:type="dxa"/>
              <w:right w:w="120" w:type="dxa"/>
            </w:tcMar>
            <w:vAlign w:val="center"/>
            <w:hideMark/>
          </w:tcPr>
          <w:p w14:paraId="3584A838" w14:textId="77777777" w:rsidR="00051297" w:rsidRPr="00051297" w:rsidRDefault="00051297" w:rsidP="00051297">
            <w:pPr>
              <w:spacing w:line="240" w:lineRule="auto"/>
              <w:ind w:firstLine="0"/>
              <w:jc w:val="center"/>
              <w:rPr>
                <w:lang w:val="en-US"/>
              </w:rPr>
            </w:pPr>
            <w:r w:rsidRPr="00051297">
              <w:rPr>
                <w:lang w:val="en-US"/>
              </w:rPr>
              <w:t>Any</w:t>
            </w:r>
          </w:p>
        </w:tc>
        <w:tc>
          <w:tcPr>
            <w:tcW w:w="5482" w:type="dxa"/>
            <w:tcMar>
              <w:top w:w="120" w:type="dxa"/>
              <w:left w:w="120" w:type="dxa"/>
              <w:bottom w:w="120" w:type="dxa"/>
              <w:right w:w="120" w:type="dxa"/>
            </w:tcMar>
            <w:vAlign w:val="center"/>
            <w:hideMark/>
          </w:tcPr>
          <w:p w14:paraId="3D3632A1" w14:textId="77777777" w:rsidR="00051297" w:rsidRPr="00051297" w:rsidRDefault="00051297" w:rsidP="00051297">
            <w:pPr>
              <w:spacing w:line="240" w:lineRule="auto"/>
              <w:ind w:firstLine="0"/>
              <w:jc w:val="center"/>
              <w:rPr>
                <w:lang w:val="en-US"/>
              </w:rPr>
            </w:pPr>
            <w:r w:rsidRPr="00051297">
              <w:rPr>
                <w:lang w:val="en-US"/>
              </w:rPr>
              <w:t>Over the maximum flood level by a minimum of 2 m and a maximum of 3 m</w:t>
            </w:r>
          </w:p>
        </w:tc>
      </w:tr>
      <w:tr w:rsidR="00051297" w:rsidRPr="00425C78" w14:paraId="36D53BF0" w14:textId="77777777" w:rsidTr="00D20B01">
        <w:trPr>
          <w:trHeight w:val="20"/>
          <w:jc w:val="center"/>
        </w:trPr>
        <w:tc>
          <w:tcPr>
            <w:tcW w:w="2065" w:type="dxa"/>
            <w:tcMar>
              <w:top w:w="120" w:type="dxa"/>
              <w:left w:w="120" w:type="dxa"/>
              <w:bottom w:w="120" w:type="dxa"/>
              <w:right w:w="120" w:type="dxa"/>
            </w:tcMar>
            <w:vAlign w:val="center"/>
            <w:hideMark/>
          </w:tcPr>
          <w:p w14:paraId="51896550" w14:textId="77777777" w:rsidR="00051297" w:rsidRPr="00051297" w:rsidRDefault="00051297" w:rsidP="00051297">
            <w:pPr>
              <w:spacing w:line="240" w:lineRule="auto"/>
              <w:ind w:firstLine="0"/>
              <w:jc w:val="center"/>
              <w:rPr>
                <w:lang w:val="en-US"/>
              </w:rPr>
            </w:pPr>
            <w:r w:rsidRPr="00051297">
              <w:rPr>
                <w:lang w:val="en-US"/>
              </w:rPr>
              <w:t>Controlled spillway</w:t>
            </w:r>
          </w:p>
        </w:tc>
        <w:tc>
          <w:tcPr>
            <w:tcW w:w="1797" w:type="dxa"/>
            <w:tcMar>
              <w:top w:w="120" w:type="dxa"/>
              <w:left w:w="120" w:type="dxa"/>
              <w:bottom w:w="120" w:type="dxa"/>
              <w:right w:w="120" w:type="dxa"/>
            </w:tcMar>
            <w:vAlign w:val="center"/>
            <w:hideMark/>
          </w:tcPr>
          <w:p w14:paraId="1F008D99" w14:textId="77777777" w:rsidR="00051297" w:rsidRPr="00051297" w:rsidRDefault="00051297" w:rsidP="00051297">
            <w:pPr>
              <w:spacing w:line="240" w:lineRule="auto"/>
              <w:ind w:firstLine="0"/>
              <w:jc w:val="center"/>
              <w:rPr>
                <w:lang w:val="en-US"/>
              </w:rPr>
            </w:pPr>
            <w:r w:rsidRPr="00051297">
              <w:rPr>
                <w:lang w:val="en-US"/>
              </w:rPr>
              <w:t>60 m or less</w:t>
            </w:r>
          </w:p>
        </w:tc>
        <w:tc>
          <w:tcPr>
            <w:tcW w:w="5482" w:type="dxa"/>
            <w:tcMar>
              <w:top w:w="120" w:type="dxa"/>
              <w:left w:w="120" w:type="dxa"/>
              <w:bottom w:w="120" w:type="dxa"/>
              <w:right w:w="120" w:type="dxa"/>
            </w:tcMar>
            <w:vAlign w:val="center"/>
            <w:hideMark/>
          </w:tcPr>
          <w:p w14:paraId="7344F0C2" w14:textId="77777777" w:rsidR="00051297" w:rsidRPr="00051297" w:rsidRDefault="00051297" w:rsidP="00051297">
            <w:pPr>
              <w:spacing w:line="240" w:lineRule="auto"/>
              <w:ind w:firstLine="0"/>
              <w:jc w:val="center"/>
              <w:rPr>
                <w:lang w:val="en-US"/>
              </w:rPr>
            </w:pPr>
            <w:r w:rsidRPr="00051297">
              <w:rPr>
                <w:lang w:val="en-US"/>
              </w:rPr>
              <w:t>2.5 meters above the gates' tops</w:t>
            </w:r>
          </w:p>
        </w:tc>
      </w:tr>
      <w:tr w:rsidR="00051297" w:rsidRPr="00425C78" w14:paraId="5DC459BF" w14:textId="77777777" w:rsidTr="00D20B01">
        <w:trPr>
          <w:jc w:val="center"/>
        </w:trPr>
        <w:tc>
          <w:tcPr>
            <w:tcW w:w="2065" w:type="dxa"/>
            <w:tcMar>
              <w:top w:w="120" w:type="dxa"/>
              <w:left w:w="120" w:type="dxa"/>
              <w:bottom w:w="120" w:type="dxa"/>
              <w:right w:w="120" w:type="dxa"/>
            </w:tcMar>
            <w:vAlign w:val="center"/>
            <w:hideMark/>
          </w:tcPr>
          <w:p w14:paraId="2D692A99" w14:textId="77777777" w:rsidR="00051297" w:rsidRPr="00051297" w:rsidRDefault="00051297" w:rsidP="00051297">
            <w:pPr>
              <w:spacing w:line="240" w:lineRule="auto"/>
              <w:ind w:firstLine="0"/>
              <w:jc w:val="center"/>
              <w:rPr>
                <w:lang w:val="en-US"/>
              </w:rPr>
            </w:pPr>
            <w:r w:rsidRPr="00051297">
              <w:rPr>
                <w:lang w:val="en-US"/>
              </w:rPr>
              <w:t>Controlled</w:t>
            </w:r>
            <w:r w:rsidRPr="00051297">
              <w:t xml:space="preserve"> </w:t>
            </w:r>
            <w:r w:rsidRPr="00051297">
              <w:rPr>
                <w:lang w:val="en-US"/>
              </w:rPr>
              <w:t>spillway</w:t>
            </w:r>
          </w:p>
        </w:tc>
        <w:tc>
          <w:tcPr>
            <w:tcW w:w="1797" w:type="dxa"/>
            <w:tcMar>
              <w:top w:w="120" w:type="dxa"/>
              <w:left w:w="120" w:type="dxa"/>
              <w:bottom w:w="120" w:type="dxa"/>
              <w:right w:w="120" w:type="dxa"/>
            </w:tcMar>
            <w:vAlign w:val="center"/>
            <w:hideMark/>
          </w:tcPr>
          <w:p w14:paraId="36940334" w14:textId="77777777" w:rsidR="00051297" w:rsidRPr="00051297" w:rsidRDefault="00051297" w:rsidP="00051297">
            <w:pPr>
              <w:spacing w:line="240" w:lineRule="auto"/>
              <w:ind w:firstLine="0"/>
              <w:jc w:val="center"/>
              <w:rPr>
                <w:lang w:val="en-US"/>
              </w:rPr>
            </w:pPr>
            <w:r w:rsidRPr="00051297">
              <w:rPr>
                <w:lang w:val="en-US"/>
              </w:rPr>
              <w:t>More than 60 m</w:t>
            </w:r>
          </w:p>
        </w:tc>
        <w:tc>
          <w:tcPr>
            <w:tcW w:w="5482" w:type="dxa"/>
            <w:tcMar>
              <w:top w:w="120" w:type="dxa"/>
              <w:left w:w="120" w:type="dxa"/>
              <w:bottom w:w="120" w:type="dxa"/>
              <w:right w:w="120" w:type="dxa"/>
            </w:tcMar>
            <w:vAlign w:val="center"/>
            <w:hideMark/>
          </w:tcPr>
          <w:p w14:paraId="674BB0A3" w14:textId="77777777" w:rsidR="00051297" w:rsidRPr="00051297" w:rsidRDefault="00051297" w:rsidP="00051297">
            <w:pPr>
              <w:spacing w:line="240" w:lineRule="auto"/>
              <w:ind w:firstLine="0"/>
              <w:jc w:val="center"/>
              <w:rPr>
                <w:lang w:val="en-US"/>
              </w:rPr>
            </w:pPr>
            <w:r w:rsidRPr="00051297">
              <w:rPr>
                <w:lang w:val="en-US"/>
              </w:rPr>
              <w:t>3 m above the gates' tops</w:t>
            </w:r>
          </w:p>
        </w:tc>
      </w:tr>
    </w:tbl>
    <w:p w14:paraId="1C54A03F" w14:textId="43B2C912" w:rsidR="00051297" w:rsidRPr="00051297" w:rsidRDefault="00051297" w:rsidP="0079595C">
      <w:pPr>
        <w:pStyle w:val="4"/>
      </w:pPr>
      <w:bookmarkStart w:id="206" w:name="_Toc97504737"/>
      <w:bookmarkStart w:id="207" w:name="_Toc103543871"/>
      <w:bookmarkStart w:id="208" w:name="_Toc104985195"/>
      <w:r w:rsidRPr="00051297">
        <w:lastRenderedPageBreak/>
        <w:t xml:space="preserve">Cutoff </w:t>
      </w:r>
      <w:r w:rsidR="00C86748">
        <w:rPr>
          <w:lang w:val="en-US"/>
        </w:rPr>
        <w:t>t</w:t>
      </w:r>
      <w:r w:rsidRPr="00051297">
        <w:t>rench</w:t>
      </w:r>
      <w:bookmarkEnd w:id="206"/>
      <w:bookmarkEnd w:id="207"/>
      <w:bookmarkEnd w:id="208"/>
    </w:p>
    <w:p w14:paraId="75944CC0" w14:textId="140516A1" w:rsidR="00051297" w:rsidRPr="00051297" w:rsidRDefault="00051297" w:rsidP="00051297">
      <w:pPr>
        <w:rPr>
          <w:rFonts w:cs="Times New Roman"/>
          <w:szCs w:val="24"/>
          <w:lang w:val="en-US"/>
        </w:rPr>
      </w:pPr>
      <w:r w:rsidRPr="00051297">
        <w:rPr>
          <w:rFonts w:cs="Times New Roman"/>
          <w:szCs w:val="24"/>
          <w:lang w:val="en-US"/>
        </w:rPr>
        <w:t xml:space="preserve">The main purpose of a cutoff trench in an earth-fill dam is to prevent the loss of stored water via seepage through the foundation and abutment. Furthermore, it prevents piping-related sub-surface erosion. Detailed geological investigations should be used to determine the sort of cut-off. It's preferable to have a positive cut-off point. If complete cut-off with or without an upstream impervious blanket is not achievable, partial cut-off with or without an upstream impervious blanket may be given. In any event, suitable drainage could be installed downstream. For the design of cut-offs, the following guidelines might be used </w:t>
      </w:r>
      <w:r w:rsidRPr="00051297">
        <w:rPr>
          <w:rFonts w:cs="Times New Roman"/>
          <w:szCs w:val="24"/>
        </w:rPr>
        <w:fldChar w:fldCharType="begin" w:fldLock="1"/>
      </w:r>
      <w:r w:rsidR="00FA5896">
        <w:rPr>
          <w:rFonts w:cs="Times New Roman"/>
          <w:szCs w:val="24"/>
          <w:lang w:val="en-US"/>
        </w:rPr>
        <w:instrText>ADDIN CSL_CITATION {"citationItems":[{"id":"ITEM-1","itemData":{"DOI":"10.1061/JSFEAQ.0000494","ISSN":"0044-7994","abstract":"The design and construction of a composite earth and rockfill dam in Missouri on a foundation of saturated clay overlying dolomitic bedrock are described. Control works embody a tunnel and deep channel cuts in abutment rock. Special features include dry placement of rockfill in 5-ft lifts and a drainage blanket to facilitate consolidation of foundation clay. Pore pressures during and after embankment construction were relatively high, both in the basal clay fill and in the foundation clay and are dissipating slowly in the embankment. Weathering of upper bedrock was quite variable and resulted in a pinnacled rock surface in much of one abutment. Yet, grouting of the cutoff trench and tunnel showed bedrock was impervious. Line drilling provided sound bedrock walls in the unlined stilling basin. Of interest are the contractor's choice to line drill vertical rock faces at concrete structures to minimize quantities, to divert the river flow over riprapped impervious fill for a year, and to distribute riprap to grade with hand labor.","author":[{"dropping-particle":"","family":"Elser","given":"L. G.","non-dropping-particle":"","parse-names":false,"suffix":""},{"dropping-particle":"","family":"Schuster","given":"D. E.","non-dropping-particle":"","parse-names":false,"suffix":""}],"container-title":"Journal of the Soil Mechanics and Foundations Division","id":"ITEM-1","issue":"1","issued":{"date-parts":[["1963","2"]]},"page":"67-94","title":"Pomme de Terre Dam of Earth and Rockfill","type":"article-journal","volume":"89"},"uris":["http://www.mendeley.com/documents/?uuid=ec9bb0e2-c54f-4253-8673-3dc8e5a52408","http://www.mendeley.com/documents/?uuid=32832eb4-d1b1-40d9-8841-d07f6181391c","http://www.mendeley.com/documents/?uuid=4f0b06cb-336e-4294-953d-bbf9cea91b84"]}],"mendeley":{"formattedCitation":"[116]","plainTextFormattedCitation":"[116]","previouslyFormattedCitation":"[116]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[116]</w:t>
      </w:r>
      <w:r w:rsidRPr="00051297">
        <w:rPr>
          <w:rFonts w:cs="Times New Roman"/>
          <w:szCs w:val="24"/>
        </w:rPr>
        <w:fldChar w:fldCharType="end"/>
      </w:r>
      <w:r w:rsidRPr="00051297">
        <w:rPr>
          <w:rFonts w:cs="Times New Roman"/>
          <w:szCs w:val="24"/>
          <w:lang w:val="en-US"/>
        </w:rPr>
        <w:t>:</w:t>
      </w:r>
    </w:p>
    <w:p w14:paraId="555166F9" w14:textId="77777777" w:rsidR="00051297" w:rsidRPr="00051297" w:rsidRDefault="00051297" w:rsidP="00051297">
      <w:pPr>
        <w:numPr>
          <w:ilvl w:val="0"/>
          <w:numId w:val="24"/>
        </w:numPr>
        <w:tabs>
          <w:tab w:val="clear" w:pos="720"/>
          <w:tab w:val="num" w:pos="993"/>
        </w:tabs>
        <w:ind w:left="0" w:firstLine="709"/>
        <w:rPr>
          <w:rFonts w:cs="Times New Roman"/>
          <w:szCs w:val="24"/>
          <w:lang w:val="en-US"/>
        </w:rPr>
      </w:pPr>
      <w:r w:rsidRPr="00051297">
        <w:rPr>
          <w:rFonts w:cs="Times New Roman"/>
          <w:szCs w:val="24"/>
          <w:lang w:val="en-US"/>
        </w:rPr>
        <w:t>The cut-off shall be located such that its centerline should be within the base of the impervious core and should be upstream of the centerline of the dam.</w:t>
      </w:r>
    </w:p>
    <w:p w14:paraId="2EE836CD" w14:textId="77777777" w:rsidR="00051297" w:rsidRPr="00051297" w:rsidRDefault="00051297" w:rsidP="00051297">
      <w:pPr>
        <w:numPr>
          <w:ilvl w:val="0"/>
          <w:numId w:val="24"/>
        </w:numPr>
        <w:tabs>
          <w:tab w:val="clear" w:pos="720"/>
          <w:tab w:val="num" w:pos="993"/>
        </w:tabs>
        <w:ind w:left="0" w:firstLine="709"/>
        <w:rPr>
          <w:rFonts w:cs="Times New Roman"/>
          <w:szCs w:val="24"/>
          <w:lang w:val="en-US"/>
        </w:rPr>
      </w:pPr>
      <w:r w:rsidRPr="00051297">
        <w:rPr>
          <w:rFonts w:cs="Times New Roman"/>
          <w:szCs w:val="24"/>
          <w:lang w:val="en-US"/>
        </w:rPr>
        <w:t>The positive cut-off should be keyed at least to a depth of 0.4 m into continuous impervious sub-stratum or non-erodible rock formation.</w:t>
      </w:r>
    </w:p>
    <w:p w14:paraId="1D8B0FDF" w14:textId="77777777" w:rsidR="00051297" w:rsidRPr="00051297" w:rsidRDefault="00051297" w:rsidP="00051297">
      <w:pPr>
        <w:numPr>
          <w:ilvl w:val="0"/>
          <w:numId w:val="24"/>
        </w:numPr>
        <w:tabs>
          <w:tab w:val="clear" w:pos="720"/>
          <w:tab w:val="num" w:pos="993"/>
        </w:tabs>
        <w:ind w:left="0" w:firstLine="709"/>
        <w:rPr>
          <w:rFonts w:cs="Times New Roman"/>
          <w:szCs w:val="24"/>
          <w:lang w:val="en-US"/>
        </w:rPr>
      </w:pPr>
      <w:r w:rsidRPr="00051297">
        <w:rPr>
          <w:rFonts w:cs="Times New Roman"/>
          <w:szCs w:val="24"/>
          <w:lang w:val="en-US"/>
        </w:rPr>
        <w:t>It is recommended that the bottom breadth be at least 4.0 meters.</w:t>
      </w:r>
    </w:p>
    <w:p w14:paraId="7AEC96BB" w14:textId="77777777" w:rsidR="00051297" w:rsidRPr="00051297" w:rsidRDefault="00051297" w:rsidP="00051297">
      <w:pPr>
        <w:numPr>
          <w:ilvl w:val="0"/>
          <w:numId w:val="24"/>
        </w:numPr>
        <w:tabs>
          <w:tab w:val="clear" w:pos="720"/>
          <w:tab w:val="num" w:pos="993"/>
        </w:tabs>
        <w:ind w:left="0" w:firstLine="709"/>
        <w:rPr>
          <w:rFonts w:cs="Times New Roman"/>
          <w:szCs w:val="24"/>
          <w:lang w:val="en-US"/>
        </w:rPr>
      </w:pPr>
      <w:r w:rsidRPr="00051297">
        <w:rPr>
          <w:rFonts w:cs="Times New Roman"/>
          <w:szCs w:val="24"/>
          <w:lang w:val="en-US"/>
        </w:rPr>
        <w:t>In the event of overburden, side slopes of at least 1:1 or flatter may be provided, while in soft rock and hard rock, 1/2:1 and 1/4:1 may be provided.</w:t>
      </w:r>
    </w:p>
    <w:p w14:paraId="615F7107" w14:textId="77777777" w:rsidR="00051297" w:rsidRPr="00051297" w:rsidRDefault="00051297" w:rsidP="00051297">
      <w:pPr>
        <w:numPr>
          <w:ilvl w:val="0"/>
          <w:numId w:val="24"/>
        </w:numPr>
        <w:tabs>
          <w:tab w:val="clear" w:pos="720"/>
          <w:tab w:val="num" w:pos="993"/>
        </w:tabs>
        <w:ind w:left="0" w:firstLine="709"/>
        <w:rPr>
          <w:rFonts w:cs="Times New Roman"/>
          <w:szCs w:val="24"/>
          <w:lang w:val="en-US"/>
        </w:rPr>
      </w:pPr>
      <w:r w:rsidRPr="00051297">
        <w:rPr>
          <w:rFonts w:cs="Times New Roman"/>
          <w:szCs w:val="24"/>
          <w:lang w:val="en-US"/>
        </w:rPr>
        <w:t>The backfill material for the cut-off trench shall have the same properties as those specified for the impervious core.</w:t>
      </w:r>
    </w:p>
    <w:p w14:paraId="2580055E" w14:textId="77777777" w:rsidR="00051297" w:rsidRPr="00051297" w:rsidRDefault="00051297" w:rsidP="00051297">
      <w:pPr>
        <w:numPr>
          <w:ilvl w:val="0"/>
          <w:numId w:val="24"/>
        </w:numPr>
        <w:tabs>
          <w:tab w:val="clear" w:pos="720"/>
          <w:tab w:val="num" w:pos="993"/>
        </w:tabs>
        <w:ind w:left="0" w:firstLine="709"/>
        <w:rPr>
          <w:rFonts w:cs="Times New Roman"/>
          <w:szCs w:val="24"/>
          <w:lang w:val="en-US"/>
        </w:rPr>
      </w:pPr>
      <w:r w:rsidRPr="00051297">
        <w:rPr>
          <w:rFonts w:cs="Times New Roman"/>
          <w:szCs w:val="24"/>
          <w:lang w:val="en-US"/>
        </w:rPr>
        <w:t>The cut-off in the flanks on either side should normally extend up to the top of the impervious core.</w:t>
      </w:r>
    </w:p>
    <w:p w14:paraId="3B5AA93C" w14:textId="77777777" w:rsidR="00051297" w:rsidRPr="00051297" w:rsidRDefault="00051297" w:rsidP="00051297">
      <w:pPr>
        <w:numPr>
          <w:ilvl w:val="0"/>
          <w:numId w:val="24"/>
        </w:numPr>
        <w:tabs>
          <w:tab w:val="clear" w:pos="720"/>
          <w:tab w:val="num" w:pos="993"/>
        </w:tabs>
        <w:ind w:left="0" w:firstLine="709"/>
        <w:rPr>
          <w:rFonts w:cs="Times New Roman"/>
          <w:szCs w:val="24"/>
          <w:lang w:val="en-US"/>
        </w:rPr>
      </w:pPr>
      <w:r w:rsidRPr="00051297">
        <w:rPr>
          <w:rFonts w:cs="Times New Roman"/>
          <w:szCs w:val="24"/>
          <w:lang w:val="en-US"/>
        </w:rPr>
        <w:t>If a cut-off trench ends in worn rock with cracks, joints, and crevices, and the percolation test shows a lugeon value of more than 10, the rock foundation beneath the cut-off trench bed should be grouted.</w:t>
      </w:r>
    </w:p>
    <w:p w14:paraId="201B4495" w14:textId="1901166B" w:rsidR="00051297" w:rsidRPr="00051297" w:rsidRDefault="00051297" w:rsidP="00051297">
      <w:pPr>
        <w:rPr>
          <w:rFonts w:cs="Times New Roman"/>
          <w:szCs w:val="24"/>
          <w:lang w:val="en-US"/>
        </w:rPr>
      </w:pPr>
      <w:r w:rsidRPr="00051297">
        <w:rPr>
          <w:rFonts w:cs="Times New Roman"/>
          <w:szCs w:val="24"/>
          <w:lang w:val="en-US"/>
        </w:rPr>
        <w:t xml:space="preserve">A cutoff reduces seepage while also enhancing stability </w:t>
      </w:r>
      <w:r w:rsidRPr="00051297">
        <w:rPr>
          <w:rFonts w:cs="Times New Roman"/>
          <w:szCs w:val="24"/>
        </w:rPr>
        <w:fldChar w:fldCharType="begin" w:fldLock="1"/>
      </w:r>
      <w:r w:rsidR="00FA5896">
        <w:rPr>
          <w:rFonts w:cs="Times New Roman"/>
          <w:szCs w:val="24"/>
          <w:lang w:val="en-US"/>
        </w:rPr>
        <w:instrText>ADDIN CSL_CITATION {"citationItems":[{"id":"ITEM-1","itemData":{"DOI":"10.1139/t71-008","ISSN":"0008-3674","abstract":"A slurry trench cut-off was constructed for the Duncan Dam. Two failures of the trench wall occurred during construction, one of which required relocation of a portion of the cut-off to avoid delaying construction of the dam. The relocated cut-off was successfully constructed from a higher ground elevation, using a denser slurry, produced by mixing in more silt. To analyze the failures a nomograph was developed which can be used to determine the required slurry density for trench wall stability. The stability analysis, first developed by Morgenstern and Amir-Tahmasseb was confirmed. The hydrostatic head drop across the cut-off varies from 85 to 90 % of the gross head on the dam. Differential settlement of almost 10 ft (3 m) has occurred along the cut-off after completion without detrimental effects. Readings over the last 3 years indicate no reduction in the efficiency of the cut-off.","author":[{"dropping-particle":"","family":"Duguid","given":"D. R.","non-dropping-particle":"","parse-names":false,"suffix":""},{"dropping-particle":"","family":"Forbes","given":"D. J.","non-dropping-particle":"","parse-names":false,"suffix":""},{"dropping-particle":"","family":"Gordon","given":"J. L.","non-dropping-particle":"","parse-names":false,"suffix":""},{"dropping-particle":"","family":"Simmons","given":"O. K.","non-dropping-particle":"","parse-names":false,"suffix":""}],"container-title":"Canadian Geotechnical Journal","id":"ITEM-1","issue":"1","issued":{"date-parts":[["1971","2"]]},"page":"94-108","title":"The Slurry Trench Cut-off for the Duncan Dam","type":"article-journal","volume":"8"},"uris":["http://www.mendeley.com/documents/?uuid=0a69379e-515f-49d7-b748-f0b34123f726","http://www.mendeley.com/documents/?uuid=07686958-3639-44d3-b9ee-e09731860379","http://www.mendeley.com/documents/?uuid=1d20dad1-5b18-4eac-b932-f356cea832d0"]}],"mendeley":{"formattedCitation":"[117]","plainTextFormattedCitation":"[117]","previouslyFormattedCitation":"[117]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[117]</w:t>
      </w:r>
      <w:r w:rsidRPr="00051297">
        <w:rPr>
          <w:rFonts w:cs="Times New Roman"/>
          <w:szCs w:val="24"/>
        </w:rPr>
        <w:fldChar w:fldCharType="end"/>
      </w:r>
      <w:r w:rsidRPr="00051297">
        <w:rPr>
          <w:rFonts w:cs="Times New Roman"/>
          <w:szCs w:val="24"/>
          <w:lang w:val="en-US"/>
        </w:rPr>
        <w:t xml:space="preserve">. Regardless of whether stable clay or another material is used, the cutoff trench must be dug to a depth that prevents any conceivable seepage. The cutoff trench should ideally be dug all the way down to solid rock that stretches to enormous depths. If the underlying rock is fissured or uneven, it can be cleaned and concreted to provide a solid foundation for the clay. Slush grouting, which is a thick slurry mix of cement and water injected and broomed into the bigger cracks and fissures before any concrete is set to fill the residual indentations and provide an eventual mostly flat surface, should be used for larger indentations or cracks </w:t>
      </w:r>
      <w:r w:rsidRPr="00051297">
        <w:rPr>
          <w:rFonts w:cs="Times New Roman"/>
          <w:szCs w:val="24"/>
        </w:rPr>
        <w:fldChar w:fldCharType="begin" w:fldLock="1"/>
      </w:r>
      <w:r w:rsidR="00FA5896">
        <w:rPr>
          <w:rFonts w:cs="Times New Roman"/>
          <w:szCs w:val="24"/>
          <w:lang w:val="en-US"/>
        </w:rPr>
        <w:instrText>ADDIN CSL_CITATION {"citationItems":[{"id":"ITEM-1","itemData":{"DOI":"10.1007/s12209-016-2794-8","ISSN":"1006-4982","abstract":"A real-time monitoring and 3D visualization analysis system is proposed for dam foundation curtain grouting. Based on the real-time control technology, the optimization method and the set theory, a mathematical model of the system is established. The real-time collection and transmission technology of the grouting data provides a data foundation for the system. The real-time grouting monitoring and dynamic alarming method helps the system control the grouting quality during the grouting process, thus, the abnormalities of grouting, such as jacking and hydraulic uplift, can be effectively controlled. In addition, the 3D grouting visualization analysis technology is proposed to establish the grouting information model (GIM). The GIM provides a platform to visualize and analyze the grouting process and results. The system has been applied to a hydraulic project of China as a case study, and the application results indicate that the real-time grouting monitoring and 3D visualization analysis for the grouting process can help engineers control the grouting quality more efficiently.","author":[{"dropping-particle":"","family":"Fan","given":"Guichao","non-dropping-particle":"","parse-names":false,"suffix":""},{"dropping-particle":"","family":"Zhong","given":"Denghua","non-dropping-particle":"","parse-names":false,"suffix":""},{"dropping-particle":"","family":"Ren","given":"Bingyu","non-dropping-particle":"","parse-names":false,"suffix":""},{"dropping-particle":"","family":"Cui","given":"Bo","non-dropping-particle":"","parse-names":false,"suffix":""},{"dropping-particle":"","family":"Li","given":"Xiaochao","non-dropping-particle":"","parse-names":false,"suffix":""},{"dropping-particle":"","family":"Yue","given":"Pan","non-dropping-particle":"","parse-names":false,"suffix":""}],"container-title":"Transactions of Tianjin University","id":"ITEM-1","issue":"6","issued":{"date-parts":[["2016","12"]]},"page":"493-501","title":"Real-time grouting monitoring and visualization analysis system for dam foundation curtain grouting","type":"article-journal","volume":"22"},"uris":["http://www.mendeley.com/documents/?uuid=7e660756-d199-430a-91cb-8cdc56970e0e","http://www.mendeley.com/documents/?uuid=8c158501-b86f-4e01-9a6d-291ef6edc564","http://www.mendeley.com/documents/?uuid=742a2d1e-1832-4c3c-ace3-a2eeff6f2998"]},{"id":"ITEM-2","itemData":{"DOI":"10.1016/j.enggeo.2017.12.011","ISSN":"00137952","abstract":"Grouting methods are known to effectively remediate the dam foundation or the abutment. However, remediation grouting of the deteriorated embankment earth-core itself has rarely been performed or studied. In this study, low-pressure permeation grouting is adopted to remediate the deteriorated central core layers of five aging dams. Technical features of each dam's deterioration are described, such as sinkholes, slope failures, fluidized clay cores, and wet zones on the downstream surface induced by excessive seepage. This study suggests several empirical standards for the application of permeation grouting to the improvement of core permeability, including grout mix, injection period per stage, injection rate, and maximum fluid pressure to prevent hydraulic fracturing. The results of this empirical case study can be applied to effectively remediate degraded dam embankment cores to decrease their permeability and minimize the risk of hydraulic fracturing, without requiring a reduction in the reservoir water level.","author":[{"dropping-particle":"","family":"Park","given":"DongSoon","non-dropping-particle":"","parse-names":false,"suffix":""},{"dropping-particle":"","family":"Oh","given":"Jeheon","non-dropping-particle":"","parse-names":false,"suffix":""}],"container-title":"Engineering Geology","id":"ITEM-2","issued":{"date-parts":[["2018","1"]]},"page":"63-75","title":"Permeation grouting for remediation of dam cores","type":"article-journal","volume":"233"},"uris":["http://www.mendeley.com/documents/?uuid=b5ee8d62-729a-4acd-be5b-19253c8c2f72"]},{"id":"ITEM-3","itemData":{"DOI":"10.1007/s10706-016-0069-8","ISSN":"0960-3182","abstract":"As concrete dams age, the need for remedial grouting to reduce the seepage and uplift pressure in the rock foundations under them increases. Based on a case study of a Swedish dam with very low calculated safety against sliding, this paper discusses the application of the observational method (as defined in Eurocode 7) to manage safety aspects during remedial grouting. The studied case was complex in that grouting works posed the risk of causing increased uplift pressure, which could have induced sliding failure along a shallow, persistent, horizontal rock joint in the foundation. The approach applied in the studied case mainly followed the principles of the observational method, except in some highly significant safety aspects for which alternative procedures are suggested and discussed. Implementing these procedures along with the observational method offers a coherent framework to manage the safety aspects of the remedial grouting of concrete dam foundations that is in line with modern risk-informed dam safety policies.","author":[{"dropping-particle":"","family":"Spross","given":"Johan","non-dropping-particle":"","parse-names":false,"suffix":""},{"dropping-particle":"","family":"Johansson","given":"Fredrik","non-dropping-particle":"","parse-names":false,"suffix":""},{"dropping-particle":"","family":"Uotinen","given":"Lauri Kalle Tapio","non-dropping-particle":"","parse-names":false,"suffix":""},{"dropping-particle":"","family":"Rafi","given":"Jalaleddin Yaghoobi","non-dropping-particle":"","parse-names":false,"suffix":""}],"container-title":"Geotechnical and Geological Engineering","id":"ITEM-3","issue":"5","issued":{"date-parts":[["2016","10"]]},"page":"1613-1630","title":"Using Observational Method to Manage Safety Aspects of Remedial Grouting of Concrete Dam Foundations","type":"article-journal","volume":"34"},"uris":["http://www.mendeley.com/documents/?uuid=040c9703-e57f-4018-9226-3f7478699172","http://www.mendeley.com/documents/?uuid=be48a1f7-a31e-4a6e-b775-0a55ea1a857c","http://www.mendeley.com/documents/?uuid=2297ab49-1a3a-47b2-ac74-8aeee08d8fd0"]},{"id":"ITEM-4","itemData":{"DOI":"10.1007/s00603-018-1436-y","ISSN":"0723-2632","abstract":"Grouting plays a crucial role in dam safety. Due to the concealment of grouting activities, complexity of fracture distribution in rock masses and rheological properties of cement grout, it is difficult to analyze the effects of grouting. In this paper, a computational fluid dynamics (CFD) simulation approach of dam foundation grouting based on a 3D fracture network model is proposed. In this approach, the 3D fracture network model, which is based on an improved bootstrap sampling method and established by VisualGeo software, can provide a reliable and accurate geometric model for CFD simulation of dam foundation grouting. Based on the model, a CFD simulation is performed, in which the Papanastasiou regularized model is used to express the grout rheological properties, and the volume of fluid technique is utilized to capture the grout fronts. Two sets of tests are performed to verify the effectiveness of the Papanastasiou regularized model. When applying the CFD simulation approach for dam foundation grouting, three technical issues can be solved: (1) collapsing potential of the fracture samples, (2) inconsistencies in the geometric model in actual fractures under complex geological conditions, and (3) inappropriate method of characterizing the rheological properties of cement grout. The applicability of the proposed approach is demonstrated by an illustrative case study—a hydropower station dam foundation in southwestern China.","author":[{"dropping-particle":"","family":"Deng","given":"Shaohui","non-dropping-particle":"","parse-names":false,"suffix":""},{"dropping-particle":"","family":"Wang","given":"Xiaoling","non-dropping-particle":"","parse-names":false,"suffix":""},{"dropping-particle":"","family":"Yu","given":"Jia","non-dropping-particle":"","parse-names":false,"suffix":""},{"dropping-particle":"","family":"Zhang","given":"Yichi","non-dropping-particle":"","parse-names":false,"suffix":""},{"dropping-particle":"","family":"Liu","given":"Zhen","non-dropping-particle":"","parse-names":false,"suffix":""},{"dropping-particle":"","family":"Zhu","given":"Yushan","non-dropping-particle":"","parse-names":false,"suffix":""}],"container-title":"Rock Mechanics and Rock Engineering","id":"ITEM-4","issue":"6","issued":{"date-parts":[["2018","6"]]},"page":"1801-1822","title":"Simulation of Grouting Process in Rock Masses Under a Dam Foundation Characterized by a 3D Fracture Network","type":"article-journal","volume":"51"},"uris":["http://www.mendeley.com/documents/?uuid=82da5313-ae65-444d-9ab5-bfb4b3e969be","http://www.mendeley.com/documents/?uuid=f2d7c476-53b2-4d85-91a4-f28d5163843f","http://www.mendeley.com/documents/?uuid=6900104e-90fe-4237-b340-c1c9f4a829a2"]}],"mendeley":{"formattedCitation":"[118–121]","plainTextFormattedCitation":"[118–121]","previouslyFormattedCitation":"[118–121]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[118–121]</w:t>
      </w:r>
      <w:r w:rsidRPr="00051297">
        <w:rPr>
          <w:rFonts w:cs="Times New Roman"/>
          <w:szCs w:val="24"/>
        </w:rPr>
        <w:fldChar w:fldCharType="end"/>
      </w:r>
      <w:r w:rsidRPr="00051297">
        <w:rPr>
          <w:rFonts w:cs="Times New Roman"/>
          <w:szCs w:val="24"/>
          <w:lang w:val="en-US"/>
        </w:rPr>
        <w:t>. For more equal surfaces with fewer fractures, a cement wash (a weaker combination of cement and water that forms a creamy texture) can be brushed across the surface to seal it and re-establish a broadly level surface layer.</w:t>
      </w:r>
    </w:p>
    <w:p w14:paraId="5122BD2D" w14:textId="1475C94F" w:rsidR="00051297" w:rsidRPr="00051297" w:rsidRDefault="00051297" w:rsidP="00051297">
      <w:pPr>
        <w:rPr>
          <w:rFonts w:cs="Times New Roman"/>
          <w:szCs w:val="24"/>
          <w:lang w:val="en-US"/>
        </w:rPr>
      </w:pPr>
      <w:r w:rsidRPr="00051297">
        <w:rPr>
          <w:rFonts w:cs="Times New Roman"/>
          <w:szCs w:val="24"/>
          <w:lang w:val="en-US"/>
        </w:rPr>
        <w:t xml:space="preserve">Generally, minimum width of 4 m is recommended; however, an adequate width of a cut-off trench for small dams can be determined using the following formula </w:t>
      </w:r>
      <w:r w:rsidRPr="00051297">
        <w:rPr>
          <w:rFonts w:cs="Times New Roman"/>
          <w:szCs w:val="24"/>
        </w:rPr>
        <w:fldChar w:fldCharType="begin" w:fldLock="1"/>
      </w:r>
      <w:r w:rsidR="00FA5896">
        <w:rPr>
          <w:rFonts w:cs="Times New Roman"/>
          <w:szCs w:val="24"/>
          <w:lang w:val="en-US"/>
        </w:rPr>
        <w:instrText>ADDIN CSL_CITATION {"citationItems":[{"id":"ITEM-1","itemData":{"abstract":"Petains to earthquake hazard assessment for earthquake-resistant desigh of: (1) buildinds, (2) liquid retaining structures. (3) bridges, (4) embankments and retaining walls, (5) industrials and stack-like structures, and (6) concrete. masonry and earth dams.","author":[{"dropping-particle":"","family":"Bureau of Indian Standards","given":"","non-dropping-particle":"","parse-names":false,"suffix":""}],"container-title":"Bureau of Indian Standards, New Delhi","id":"ITEM-1","issued":{"date-parts":[["2016"]]},"title":"IS 1893:Part-I-2016 Criteria for Earthquake resistant design of structures,Part 1:General Provisions and buildings","type":"article-journal"},"uris":["http://www.mendeley.com/documents/?uuid=2dcd29eb-c5bc-4235-9a84-e73d358b1dfa","http://www.mendeley.com/documents/?uuid=6cf9fe01-3d7e-4eb6-8602-8af7fad711c5","http://www.mendeley.com/documents/?uuid=0d25dba4-144a-4073-b319-8602ad11ebf0"]}],"mendeley":{"formattedCitation":"[114]","plainTextFormattedCitation":"[114]","previouslyFormattedCitation":"[114]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[114]</w:t>
      </w:r>
      <w:r w:rsidRPr="00051297">
        <w:rPr>
          <w:rFonts w:cs="Times New Roman"/>
          <w:szCs w:val="24"/>
        </w:rPr>
        <w:fldChar w:fldCharType="end"/>
      </w:r>
      <w:r w:rsidRPr="00051297">
        <w:rPr>
          <w:rFonts w:cs="Times New Roman"/>
          <w:szCs w:val="24"/>
          <w:lang w:val="en-US"/>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
        <w:gridCol w:w="7590"/>
        <w:gridCol w:w="1505"/>
      </w:tblGrid>
      <w:tr w:rsidR="00051297" w:rsidRPr="00051297" w14:paraId="2B3C7FFE" w14:textId="77777777" w:rsidTr="00D20B01">
        <w:tc>
          <w:tcPr>
            <w:tcW w:w="265" w:type="dxa"/>
          </w:tcPr>
          <w:p w14:paraId="3CC05844" w14:textId="77777777" w:rsidR="00051297" w:rsidRPr="00051297" w:rsidRDefault="00051297" w:rsidP="00051297">
            <w:pPr>
              <w:spacing w:after="160"/>
              <w:rPr>
                <w:szCs w:val="24"/>
                <w:lang w:val="en-US"/>
              </w:rPr>
            </w:pPr>
          </w:p>
        </w:tc>
        <w:tc>
          <w:tcPr>
            <w:tcW w:w="8820" w:type="dxa"/>
          </w:tcPr>
          <w:p w14:paraId="3A06F847" w14:textId="77777777" w:rsidR="00051297" w:rsidRPr="00051297" w:rsidRDefault="00051297" w:rsidP="00051297">
            <w:pPr>
              <w:spacing w:after="160"/>
              <w:rPr>
                <w:szCs w:val="24"/>
              </w:rPr>
            </w:pPr>
            <m:oMathPara>
              <m:oMath>
                <m:r>
                  <w:rPr>
                    <w:rFonts w:ascii="Cambria Math" w:hAnsi="Cambria Math"/>
                    <w:szCs w:val="24"/>
                  </w:rPr>
                  <m:t>W=h-d</m:t>
                </m:r>
              </m:oMath>
            </m:oMathPara>
          </w:p>
        </w:tc>
        <w:tc>
          <w:tcPr>
            <w:tcW w:w="265" w:type="dxa"/>
          </w:tcPr>
          <w:p w14:paraId="386F91E3" w14:textId="59C02BDC" w:rsidR="00051297" w:rsidRPr="00051297" w:rsidRDefault="00051297" w:rsidP="00051297">
            <w:pPr>
              <w:spacing w:after="160"/>
            </w:pPr>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1</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10</w:t>
            </w:r>
            <w:r w:rsidRPr="00051297">
              <w:rPr>
                <w:szCs w:val="24"/>
              </w:rPr>
              <w:fldChar w:fldCharType="end"/>
            </w:r>
            <w:r w:rsidRPr="00051297">
              <w:rPr>
                <w:szCs w:val="24"/>
              </w:rPr>
              <w:t>)</w:t>
            </w:r>
          </w:p>
        </w:tc>
      </w:tr>
    </w:tbl>
    <w:p w14:paraId="4B06F489" w14:textId="77777777" w:rsidR="00051297" w:rsidRPr="00051297" w:rsidRDefault="00051297" w:rsidP="00051297">
      <w:pPr>
        <w:rPr>
          <w:rFonts w:cs="Times New Roman"/>
          <w:szCs w:val="24"/>
          <w:lang w:val="en-US"/>
        </w:rPr>
      </w:pPr>
      <w:r w:rsidRPr="00F97DFC">
        <w:rPr>
          <w:rFonts w:cs="Times New Roman"/>
          <w:szCs w:val="24"/>
          <w:lang w:val="en-US"/>
        </w:rPr>
        <w:t>Whereby</w:t>
      </w:r>
      <w:r w:rsidRPr="00051297">
        <w:rPr>
          <w:rFonts w:cs="Times New Roman"/>
          <w:szCs w:val="24"/>
          <w:lang w:val="en-US"/>
        </w:rPr>
        <w:t>:</w:t>
      </w:r>
    </w:p>
    <w:p w14:paraId="64E00DA0" w14:textId="77777777" w:rsidR="00051297" w:rsidRPr="00051297" w:rsidRDefault="00051297" w:rsidP="00051297">
      <w:pPr>
        <w:rPr>
          <w:rFonts w:cs="Times New Roman"/>
          <w:szCs w:val="24"/>
          <w:lang w:val="en-US"/>
        </w:rPr>
      </w:pPr>
      <w:r w:rsidRPr="00051297">
        <w:rPr>
          <w:rFonts w:cs="Times New Roman"/>
          <w:szCs w:val="24"/>
          <w:lang w:val="en-US"/>
        </w:rPr>
        <w:t>W – cut-off trench bottom width; h – reservoir head above ground surface; and d – cutoff trench depth below ground level.</w:t>
      </w:r>
    </w:p>
    <w:p w14:paraId="02779583" w14:textId="259371BE" w:rsidR="00051297" w:rsidRPr="00051297" w:rsidRDefault="00051297" w:rsidP="00051297">
      <w:pPr>
        <w:keepNext/>
        <w:keepLines/>
        <w:numPr>
          <w:ilvl w:val="3"/>
          <w:numId w:val="1"/>
        </w:numPr>
        <w:outlineLvl w:val="3"/>
        <w:rPr>
          <w:rFonts w:eastAsiaTheme="majorEastAsia" w:cstheme="majorBidi"/>
          <w:iCs/>
        </w:rPr>
      </w:pPr>
      <w:bookmarkStart w:id="209" w:name="_Toc97504738"/>
      <w:bookmarkStart w:id="210" w:name="_Toc103543872"/>
      <w:bookmarkStart w:id="211" w:name="_Toc104985196"/>
      <w:r w:rsidRPr="00051297">
        <w:rPr>
          <w:rFonts w:eastAsiaTheme="majorEastAsia" w:cstheme="majorBidi"/>
          <w:iCs/>
        </w:rPr>
        <w:t>Central impervious core</w:t>
      </w:r>
      <w:bookmarkEnd w:id="209"/>
      <w:bookmarkEnd w:id="210"/>
      <w:bookmarkEnd w:id="211"/>
    </w:p>
    <w:p w14:paraId="40AF62A9" w14:textId="59C9FB65" w:rsidR="00051297" w:rsidRPr="00051297" w:rsidRDefault="00051297" w:rsidP="00051297">
      <w:pPr>
        <w:rPr>
          <w:rFonts w:cs="Times New Roman"/>
          <w:szCs w:val="24"/>
          <w:lang w:val="en-US"/>
        </w:rPr>
      </w:pPr>
      <w:r w:rsidRPr="00051297">
        <w:rPr>
          <w:rFonts w:cs="Times New Roman"/>
          <w:szCs w:val="24"/>
          <w:lang w:val="en-US"/>
        </w:rPr>
        <w:t xml:space="preserve">Within the dam's body, the core forms an impenetrable barrier. In general, impervious soils are suited for the core. The following factors are used to design the central impermeable core of an earth dam </w:t>
      </w:r>
      <w:r w:rsidRPr="00051297">
        <w:rPr>
          <w:rFonts w:cs="Times New Roman"/>
          <w:szCs w:val="24"/>
        </w:rPr>
        <w:fldChar w:fldCharType="begin" w:fldLock="1"/>
      </w:r>
      <w:r w:rsidR="00FA5896">
        <w:rPr>
          <w:rFonts w:cs="Times New Roman"/>
          <w:szCs w:val="24"/>
          <w:lang w:val="en-US"/>
        </w:rPr>
        <w:instrText>ADDIN CSL_CITATION {"citationItems":[{"id":"ITEM-1","itemData":{"DOI":"10.1016/j.asej.2021.05.024","ISSN":"20904479","abstract":"This investigation aims to identify the seepage discharge in the earth dam resting on an impervious foundation. Twenty-one models of a homogenous earth dam with and without horizontal filter and a central impervious core of different width were constructed in a hydraulic flume. In the present study, fluid and geometrical parameters of the dam, horizontal filter's and the central impervious core were varied to find their effect on seepage. It was observed that with increasing the dam's height, filter's length, downstream slope, and longitudinal slope, there was an increase in seepage discharge and vice versa with upstream slope, clay core's thickness, the viscosity of the fluid, and the earth dam's length. Several studies have neglected the variation in fluid's viscosity for the seepage study in earth dam modeling, which is included in this study. Using Slope/w, the stability of the upstream and downstream faces was checked under full reservoir conditions.","author":[{"dropping-particle":"","family":"Kumar","given":"Sushant","non-dropping-particle":"","parse-names":false,"suffix":""},{"dropping-particle":"","family":"Sahu","given":"A. K.","non-dropping-particle":"","parse-names":false,"suffix":""},{"dropping-particle":"","family":"Kumar","given":"Munendra","non-dropping-particle":"","parse-names":false,"suffix":""}],"container-title":"Ain Shams Engineering Journal","id":"ITEM-1","issued":{"date-parts":[["2022"]]},"title":"Modeling the effect of central impervious core and downstream filter geometry on seepage through earth dams","type":"article-journal"},"uris":["http://www.mendeley.com/documents/?uuid=007dea3d-36c2-4680-b8c4-7390e16c55ac","http://www.mendeley.com/documents/?uuid=6c480afd-fbaf-483d-a9e4-e8aba8dccee9","http://www.mendeley.com/documents/?uuid=a5d53d67-3fae-4088-ab0a-488e95f7ae86"]}],"mendeley":{"formattedCitation":"[122]","plainTextFormattedCitation":"[122]","previouslyFormattedCitation":"[122]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[122]</w:t>
      </w:r>
      <w:r w:rsidRPr="00051297">
        <w:rPr>
          <w:rFonts w:cs="Times New Roman"/>
          <w:szCs w:val="24"/>
        </w:rPr>
        <w:fldChar w:fldCharType="end"/>
      </w:r>
      <w:r w:rsidRPr="00051297">
        <w:rPr>
          <w:rFonts w:cs="Times New Roman"/>
          <w:szCs w:val="24"/>
          <w:lang w:val="en-US"/>
        </w:rPr>
        <w:t xml:space="preserve">: </w:t>
      </w:r>
    </w:p>
    <w:p w14:paraId="2368BD59" w14:textId="77777777" w:rsidR="00051297" w:rsidRPr="00051297" w:rsidRDefault="00051297" w:rsidP="00051297">
      <w:pPr>
        <w:numPr>
          <w:ilvl w:val="0"/>
          <w:numId w:val="24"/>
        </w:numPr>
        <w:tabs>
          <w:tab w:val="clear" w:pos="720"/>
          <w:tab w:val="num" w:pos="993"/>
        </w:tabs>
        <w:ind w:left="0" w:firstLine="709"/>
        <w:rPr>
          <w:rFonts w:cs="Times New Roman"/>
          <w:szCs w:val="24"/>
          <w:lang w:val="en-US"/>
        </w:rPr>
      </w:pPr>
      <w:r w:rsidRPr="00051297">
        <w:rPr>
          <w:rFonts w:cs="Times New Roman"/>
          <w:szCs w:val="24"/>
          <w:lang w:val="en-US"/>
        </w:rPr>
        <w:t xml:space="preserve">The maximum amount of seepage loss that can be tolerated. </w:t>
      </w:r>
    </w:p>
    <w:p w14:paraId="0434C28C" w14:textId="77777777" w:rsidR="00051297" w:rsidRPr="00051297" w:rsidRDefault="00051297" w:rsidP="00051297">
      <w:pPr>
        <w:numPr>
          <w:ilvl w:val="0"/>
          <w:numId w:val="24"/>
        </w:numPr>
        <w:tabs>
          <w:tab w:val="clear" w:pos="720"/>
          <w:tab w:val="num" w:pos="993"/>
        </w:tabs>
        <w:ind w:left="0" w:firstLine="709"/>
        <w:rPr>
          <w:rFonts w:cs="Times New Roman"/>
          <w:szCs w:val="24"/>
          <w:lang w:val="en-US"/>
        </w:rPr>
      </w:pPr>
      <w:r w:rsidRPr="00051297">
        <w:rPr>
          <w:rFonts w:cs="Times New Roman"/>
          <w:szCs w:val="24"/>
          <w:lang w:val="en-US"/>
        </w:rPr>
        <w:t xml:space="preserve">Dam section width maximum, allowing correct construction of central impervious core. </w:t>
      </w:r>
    </w:p>
    <w:p w14:paraId="771825B6" w14:textId="77777777" w:rsidR="00051297" w:rsidRPr="00051297" w:rsidRDefault="00051297" w:rsidP="00051297">
      <w:pPr>
        <w:numPr>
          <w:ilvl w:val="0"/>
          <w:numId w:val="24"/>
        </w:numPr>
        <w:tabs>
          <w:tab w:val="clear" w:pos="720"/>
          <w:tab w:val="num" w:pos="993"/>
        </w:tabs>
        <w:ind w:left="0" w:firstLine="709"/>
        <w:rPr>
          <w:rFonts w:cs="Times New Roman"/>
          <w:szCs w:val="24"/>
          <w:lang w:val="en-US"/>
        </w:rPr>
      </w:pPr>
      <w:r w:rsidRPr="00051297">
        <w:rPr>
          <w:rFonts w:cs="Times New Roman"/>
          <w:szCs w:val="24"/>
          <w:lang w:val="en-US"/>
        </w:rPr>
        <w:t xml:space="preserve">Materials that can be used in construction. </w:t>
      </w:r>
    </w:p>
    <w:p w14:paraId="746BA170" w14:textId="77777777" w:rsidR="00051297" w:rsidRPr="00051297" w:rsidRDefault="00051297" w:rsidP="00051297">
      <w:pPr>
        <w:numPr>
          <w:ilvl w:val="0"/>
          <w:numId w:val="24"/>
        </w:numPr>
        <w:tabs>
          <w:tab w:val="clear" w:pos="720"/>
          <w:tab w:val="num" w:pos="993"/>
        </w:tabs>
        <w:ind w:left="0" w:firstLine="709"/>
        <w:rPr>
          <w:rFonts w:cs="Times New Roman"/>
          <w:szCs w:val="24"/>
          <w:lang w:val="en-US"/>
        </w:rPr>
      </w:pPr>
      <w:r w:rsidRPr="00051297">
        <w:rPr>
          <w:rFonts w:cs="Times New Roman"/>
          <w:szCs w:val="24"/>
          <w:lang w:val="en-US"/>
        </w:rPr>
        <w:t xml:space="preserve">The proposed filter's design criterion. </w:t>
      </w:r>
    </w:p>
    <w:p w14:paraId="601D3C4C" w14:textId="79BF8727" w:rsidR="00051297" w:rsidRPr="00051297" w:rsidRDefault="00051297" w:rsidP="00051297">
      <w:pPr>
        <w:rPr>
          <w:rFonts w:cs="Times New Roman"/>
          <w:szCs w:val="24"/>
        </w:rPr>
      </w:pPr>
      <w:r w:rsidRPr="00051297">
        <w:rPr>
          <w:rFonts w:cs="Times New Roman"/>
          <w:szCs w:val="24"/>
          <w:lang w:val="en-US"/>
        </w:rPr>
        <w:t xml:space="preserve">Because a thick shell provides more resistance to piping action and also increases the formation of cracks, a thinner shell gives comparatively more stability than a thick shell. The core might be located in the center or tilted upstream. A 3 m wide core is typically used at the dam's crest. To prevent seepage due to capillary action, the height of the core should be at least 1 m above the reservoir's maximum water level. The core thickness at any part must not be less than 30% (ideally not less than 50%) of the maximum head of water acting at that section </w:t>
      </w:r>
      <w:r w:rsidRPr="00051297">
        <w:rPr>
          <w:rFonts w:cs="Times New Roman"/>
          <w:szCs w:val="24"/>
        </w:rPr>
        <w:fldChar w:fldCharType="begin" w:fldLock="1"/>
      </w:r>
      <w:r w:rsidR="00FA5896">
        <w:rPr>
          <w:rFonts w:cs="Times New Roman"/>
          <w:szCs w:val="24"/>
          <w:lang w:val="en-US"/>
        </w:rPr>
        <w:instrText>ADDIN CSL_CITATION {"citationItems":[{"id":"ITEM-1","itemData":{"DOI":"10.3390/su12062490","ISSN":"2071-1050","abstract":"Earth-fill dams are the most common types of dam and the most economical choice. However, they are more vulnerable to internal erosion and piping due to seepage problems that are the main causes of dam failure. In this study, the seepage through earth-fill dams was investigated using physical, mathematical, and numerical models. Results from the three methods revealed that both mathematical calculations using L. Casagrande solutions and the SEEP/W numerical model have a plotted seepage line compatible with the observed seepage line in the physical model. However, when the seepage flow intersected the downstream slope and when piping took place, the use of SEEP/W to calculate the flow rate became useless as it was unable to calculate the volume of water flow in pipes. This was revealed by the big difference in results between physical and numerical models in the first physical model, while the results were compatible in the second physical model when the seepage line stayed within the body of the dam and low compacted soil was adopted. Seepage analysis for seven different configurations of an earth-fill dam was conducted using the SEEP/W model at normal and maximum water levels to find the most appropriate configuration among them. The seven dam configurations consisted of four homogenous dams and three zoned dams. Seepage analysis revealed that if sufficient quantity of silty sand soil is available around the proposed dam location, a homogenous earth-fill dam with a medium drain length of 0.5 m thickness is the best design configuration. Otherwise, a zoned earth-fill dam with a central core and 1:0.5 Horizontal to Vertical ratio (H:V) is preferred.","author":[{"dropping-particle":"","family":"Al-Janabi","given":"Ahmed Mohammed Sami","non-dropping-particle":"","parse-names":false,"suffix":""},{"dropping-particle":"","family":"Ghazali","given":"Abdul Halim","non-dropping-particle":"","parse-names":false,"suffix":""},{"dropping-particle":"","family":"Ghazaw","given":"Yousry Mahmoud","non-dropping-particle":"","parse-names":false,"suffix":""},{"dropping-particle":"","family":"Afan","given":"Haitham Abdulmohsin","non-dropping-particle":"","parse-names":false,"suffix":""},{"dropping-particle":"","family":"Al-Ansari","given":"Nadhir","non-dropping-particle":"","parse-names":false,"suffix":""},{"dropping-particle":"","family":"Yaseen","given":"Zaher Mundher","non-dropping-particle":"","parse-names":false,"suffix":""}],"container-title":"Sustainability","id":"ITEM-1","issue":"6","issued":{"date-parts":[["2020","3"]]},"page":"2490","title":"Experimental and Numerical Analysis for Earth-Fill Dam Seepage","type":"article-journal","volume":"12"},"uris":["http://www.mendeley.com/documents/?uuid=949d2c6c-7f1c-4137-8198-ecd7aa9a204c","http://www.mendeley.com/documents/?uuid=088c8c66-0309-4d21-a926-1f1fd7de726e"]}],"mendeley":{"formattedCitation":"[67]","plainTextFormattedCitation":"[67]","previouslyFormattedCitation":"[67]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[67]</w:t>
      </w:r>
      <w:r w:rsidRPr="00051297">
        <w:rPr>
          <w:rFonts w:cs="Times New Roman"/>
          <w:szCs w:val="24"/>
        </w:rPr>
        <w:fldChar w:fldCharType="end"/>
      </w:r>
      <w:r w:rsidRPr="00051297">
        <w:rPr>
          <w:rFonts w:cs="Times New Roman"/>
          <w:szCs w:val="24"/>
        </w:rPr>
        <w:t>.</w:t>
      </w:r>
    </w:p>
    <w:p w14:paraId="5C9F1E21" w14:textId="6184821B" w:rsidR="00051297" w:rsidRPr="00051297" w:rsidRDefault="00051297" w:rsidP="0079595C">
      <w:pPr>
        <w:pStyle w:val="4"/>
        <w:rPr>
          <w:rFonts w:cs="Times New Roman"/>
          <w:szCs w:val="24"/>
        </w:rPr>
      </w:pPr>
      <w:bookmarkStart w:id="212" w:name="_Toc97504739"/>
      <w:bookmarkStart w:id="213" w:name="_Toc103543873"/>
      <w:bookmarkStart w:id="214" w:name="_Toc104985197"/>
      <w:r w:rsidRPr="00051297">
        <w:t>Suitable core material</w:t>
      </w:r>
      <w:bookmarkEnd w:id="212"/>
      <w:bookmarkEnd w:id="213"/>
      <w:bookmarkEnd w:id="214"/>
    </w:p>
    <w:p w14:paraId="5F53AEC1" w14:textId="62558F22" w:rsidR="00051297" w:rsidRPr="00051297" w:rsidRDefault="00051297" w:rsidP="00051297">
      <w:pPr>
        <w:rPr>
          <w:rFonts w:cs="Times New Roman"/>
          <w:szCs w:val="24"/>
          <w:lang w:val="en-US"/>
        </w:rPr>
      </w:pPr>
      <w:r w:rsidRPr="00051297">
        <w:rPr>
          <w:rFonts w:cs="Times New Roman"/>
          <w:szCs w:val="24"/>
          <w:lang w:val="en-US"/>
        </w:rPr>
        <w:t xml:space="preserve">A soil with lower compressibility and a liquid limit is regarded as a good candidate for core building. On the other hand, soils with high compressibility and a higher liquid limit, as well as organic content, should be avoided because they are prone to swelling and crack formation. </w:t>
      </w:r>
      <w:r w:rsidRPr="00051297">
        <w:rPr>
          <w:rFonts w:cs="Times New Roman"/>
          <w:szCs w:val="24"/>
          <w:lang w:val="en-US"/>
        </w:rPr>
        <w:fldChar w:fldCharType="begin"/>
      </w:r>
      <w:r w:rsidRPr="00051297">
        <w:rPr>
          <w:rFonts w:cs="Times New Roman"/>
          <w:szCs w:val="24"/>
          <w:lang w:val="en-US"/>
        </w:rPr>
        <w:instrText xml:space="preserve"> REF _Ref98102944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1</w:t>
      </w:r>
      <w:r w:rsidR="004870F1" w:rsidRPr="00051297">
        <w:rPr>
          <w:rFonts w:cs="Times New Roman"/>
          <w:szCs w:val="24"/>
          <w:lang w:val="en-US" w:bidi="en-US"/>
        </w:rPr>
        <w:t>.</w:t>
      </w:r>
      <w:r w:rsidR="004870F1">
        <w:rPr>
          <w:rFonts w:cs="Times New Roman"/>
          <w:noProof/>
          <w:szCs w:val="24"/>
          <w:lang w:val="en-US" w:bidi="en-US"/>
        </w:rPr>
        <w:t>8</w:t>
      </w:r>
      <w:r w:rsidRPr="00051297">
        <w:rPr>
          <w:rFonts w:cs="Times New Roman"/>
          <w:szCs w:val="24"/>
          <w:lang w:val="en-US"/>
        </w:rPr>
        <w:fldChar w:fldCharType="end"/>
      </w:r>
      <w:r w:rsidRPr="00051297">
        <w:rPr>
          <w:rFonts w:cs="Times New Roman"/>
          <w:szCs w:val="24"/>
          <w:lang w:val="en-US"/>
        </w:rPr>
        <w:t xml:space="preserve"> </w:t>
      </w:r>
      <w:bookmarkStart w:id="215" w:name="_Hlk97948070"/>
      <w:r w:rsidRPr="00051297">
        <w:rPr>
          <w:rFonts w:cs="Times New Roman"/>
          <w:szCs w:val="24"/>
          <w:lang w:val="en-US"/>
        </w:rPr>
        <w:t xml:space="preserve">lists the materials that </w:t>
      </w:r>
      <w:bookmarkStart w:id="216" w:name="_Hlk97948011"/>
      <w:r w:rsidRPr="00051297">
        <w:rPr>
          <w:rFonts w:cs="Times New Roman"/>
          <w:szCs w:val="24"/>
          <w:lang w:val="en-US"/>
        </w:rPr>
        <w:t xml:space="preserve">Indian Standard </w:t>
      </w:r>
      <w:bookmarkEnd w:id="216"/>
      <w:r w:rsidRPr="00051297">
        <w:rPr>
          <w:rFonts w:cs="Times New Roman"/>
          <w:szCs w:val="24"/>
          <w:lang w:val="en-US"/>
        </w:rPr>
        <w:t>(</w:t>
      </w:r>
      <w:bookmarkStart w:id="217" w:name="_Hlk97948026"/>
      <w:r w:rsidRPr="00051297">
        <w:rPr>
          <w:rFonts w:cs="Times New Roman"/>
          <w:szCs w:val="24"/>
          <w:lang w:val="en-US"/>
        </w:rPr>
        <w:t>IS</w:t>
      </w:r>
      <w:bookmarkEnd w:id="217"/>
      <w:r w:rsidRPr="00051297">
        <w:rPr>
          <w:rFonts w:cs="Times New Roman"/>
          <w:szCs w:val="24"/>
          <w:lang w:val="en-US"/>
        </w:rPr>
        <w:t xml:space="preserve">-8826-1978) recommends for core construction in zonal type earthen dams </w:t>
      </w:r>
      <w:bookmarkEnd w:id="215"/>
      <w:r w:rsidRPr="00051297">
        <w:rPr>
          <w:rFonts w:cs="Times New Roman"/>
          <w:szCs w:val="24"/>
        </w:rPr>
        <w:fldChar w:fldCharType="begin" w:fldLock="1"/>
      </w:r>
      <w:r w:rsidR="00FA5896">
        <w:rPr>
          <w:rFonts w:cs="Times New Roman"/>
          <w:szCs w:val="24"/>
          <w:lang w:val="en-US"/>
        </w:rPr>
        <w:instrText>ADDIN CSL_CITATION {"citationItems":[{"id":"ITEM-1","itemData":{"abstract":"Petains to earthquake hazard assessment for earthquake-resistant desigh of: (1) buildinds, (2) liquid retaining structures. (3) bridges, (4) embankments and retaining walls, (5) industrials and stack-like structures, and (6) concrete. masonry and earth dams.","author":[{"dropping-particle":"","family":"Bureau of Indian Standards","given":"","non-dropping-particle":"","parse-names":false,"suffix":""}],"container-title":"Bureau of Indian Standards, New Delhi","id":"ITEM-1","issued":{"date-parts":[["2016"]]},"title":"IS 1893:Part-I-2016 Criteria for Earthquake resistant design of structures,Part 1:General Provisions and buildings","type":"article-journal"},"uris":["http://www.mendeley.com/documents/?uuid=2dcd29eb-c5bc-4235-9a84-e73d358b1dfa","http://www.mendeley.com/documents/?uuid=6cf9fe01-3d7e-4eb6-8602-8af7fad711c5","http://www.mendeley.com/documents/?uuid=0d25dba4-144a-4073-b319-8602ad11ebf0"]}],"mendeley":{"formattedCitation":"[114]","plainTextFormattedCitation":"[114]","previouslyFormattedCitation":"[114]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[114]</w:t>
      </w:r>
      <w:r w:rsidRPr="00051297">
        <w:rPr>
          <w:rFonts w:cs="Times New Roman"/>
          <w:szCs w:val="24"/>
        </w:rPr>
        <w:fldChar w:fldCharType="end"/>
      </w:r>
      <w:r w:rsidRPr="00051297">
        <w:rPr>
          <w:rFonts w:cs="Times New Roman"/>
          <w:szCs w:val="24"/>
          <w:lang w:val="en-US"/>
        </w:rPr>
        <w:t>.</w:t>
      </w:r>
    </w:p>
    <w:p w14:paraId="286408FE" w14:textId="7047ACA0" w:rsidR="00051297" w:rsidRDefault="00051297" w:rsidP="00051297">
      <w:pPr>
        <w:rPr>
          <w:rFonts w:cs="Times New Roman"/>
          <w:szCs w:val="24"/>
          <w:lang w:val="en-US" w:bidi="en-US"/>
        </w:rPr>
      </w:pPr>
      <w:bookmarkStart w:id="218" w:name="_Ref98102944"/>
      <w:bookmarkStart w:id="219" w:name="_Toc104985565"/>
      <w:bookmarkStart w:id="220" w:name="_Toc97077189"/>
      <w:bookmarkStart w:id="221" w:name="_Toc103544239"/>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1</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8</w:t>
      </w:r>
      <w:r w:rsidRPr="00051297">
        <w:rPr>
          <w:rFonts w:cs="Times New Roman"/>
          <w:szCs w:val="24"/>
          <w:lang w:val="en-US" w:bidi="en-US"/>
        </w:rPr>
        <w:fldChar w:fldCharType="end"/>
      </w:r>
      <w:bookmarkEnd w:id="218"/>
      <w:r w:rsidRPr="00051297">
        <w:rPr>
          <w:rFonts w:cs="Times New Roman"/>
          <w:szCs w:val="24"/>
          <w:lang w:val="en-US" w:bidi="en-US"/>
        </w:rPr>
        <w:t xml:space="preserve"> – Suitable soil for core construction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{"citationItems":[{"id":"ITEM-1","itemData":{"abstract":"Petains to earthquake hazard assessment for earthquake-resistant desigh of: (1) buildinds, (2) liquid retaining structures. (3) bridges, (4) embankments and retaining walls, (5) industrials and stack-like structures, and (6) concrete. masonry and earth dams.","author":[{"dropping-particle":"","family":"Bureau of Indian Standards","given":"","non-dropping-particle":"","parse-names":false,"suffix":""}],"container-title":"Bureau of Indian Standards, New Delhi","id":"ITEM-1","issued":{"date-parts":[["2016"]]},"title":"IS 1893:Part-I-2016 Criteria for Earthquake resistant design of structures,Part 1:General Provisions and buildings","type":"article-journal"},"uris":["http://www.mendeley.com/documents/?uuid=2dcd29eb-c5bc-4235-9a84-e73d358b1dfa","http://www.mendeley.com/documents/?uuid=6cf9fe01-3d7e-4eb6-8602-8af7fad711c5","http://www.mendeley.com/documents/?uuid=0d25dba4-144a-4073-b319-8602ad11ebf0"]}],"mendeley":{"formattedCitation":"[114]","plainTextFormattedCitation":"[114]","previouslyFormattedCitation":"[114]"},"properties":{"noteIndex":0},"schema":"https://github.com/citation-style-language/schema/raw/master/csl-citation.json"}</w:instrText>
      </w:r>
      <w:r w:rsidRPr="00051297">
        <w:rPr>
          <w:rFonts w:cs="Times New Roman"/>
          <w:szCs w:val="24"/>
          <w:lang w:val="en-US" w:bidi="en-US"/>
        </w:rPr>
        <w:fldChar w:fldCharType="separate"/>
      </w:r>
      <w:bookmarkEnd w:id="220"/>
      <w:bookmarkEnd w:id="221"/>
      <w:r w:rsidR="0032684D" w:rsidRPr="0032684D">
        <w:rPr>
          <w:rFonts w:cs="Times New Roman"/>
          <w:noProof/>
          <w:szCs w:val="24"/>
          <w:lang w:val="en-US" w:bidi="en-US"/>
        </w:rPr>
        <w:t>[114]</w:t>
      </w:r>
      <w:bookmarkEnd w:id="219"/>
      <w:r w:rsidRPr="00051297">
        <w:rPr>
          <w:rFonts w:cs="Times New Roman"/>
          <w:szCs w:val="24"/>
          <w:lang w:val="en-US" w:bidi="en-US"/>
        </w:rPr>
        <w:fldChar w:fldCharType="end"/>
      </w:r>
    </w:p>
    <w:tbl>
      <w:tblPr>
        <w:tblStyle w:val="a8"/>
        <w:tblW w:w="9424" w:type="dxa"/>
        <w:tblLook w:val="04A0" w:firstRow="1" w:lastRow="0" w:firstColumn="1" w:lastColumn="0" w:noHBand="0" w:noVBand="1"/>
      </w:tblPr>
      <w:tblGrid>
        <w:gridCol w:w="8207"/>
        <w:gridCol w:w="1217"/>
      </w:tblGrid>
      <w:tr w:rsidR="00BC7CF3" w:rsidRPr="00BC7CF3" w14:paraId="5164921E" w14:textId="77777777" w:rsidTr="00BC7CF3">
        <w:trPr>
          <w:trHeight w:val="182"/>
        </w:trPr>
        <w:tc>
          <w:tcPr>
            <w:tcW w:w="8217" w:type="dxa"/>
          </w:tcPr>
          <w:p w14:paraId="55885C86" w14:textId="2AF7282C" w:rsidR="00BC7CF3" w:rsidRPr="00BC7CF3" w:rsidRDefault="00BC7CF3" w:rsidP="00BC7CF3">
            <w:pPr>
              <w:spacing w:line="240" w:lineRule="auto"/>
              <w:ind w:firstLine="0"/>
              <w:jc w:val="center"/>
              <w:rPr>
                <w:rFonts w:cs="Times New Roman"/>
                <w:szCs w:val="24"/>
                <w:lang w:val="en-US" w:bidi="en-US"/>
              </w:rPr>
            </w:pPr>
            <w:r w:rsidRPr="00BC7CF3">
              <w:rPr>
                <w:szCs w:val="24"/>
                <w:lang w:val="en-US"/>
              </w:rPr>
              <w:t>The soil type</w:t>
            </w:r>
          </w:p>
        </w:tc>
        <w:tc>
          <w:tcPr>
            <w:tcW w:w="1207" w:type="dxa"/>
          </w:tcPr>
          <w:p w14:paraId="6B525A71" w14:textId="66CCDC3A" w:rsidR="00BC7CF3" w:rsidRPr="00BC7CF3" w:rsidRDefault="00BC7CF3" w:rsidP="00BC7CF3">
            <w:pPr>
              <w:spacing w:line="240" w:lineRule="auto"/>
              <w:ind w:firstLine="0"/>
              <w:jc w:val="center"/>
              <w:rPr>
                <w:rFonts w:cs="Times New Roman"/>
                <w:szCs w:val="24"/>
                <w:lang w:val="en-US" w:bidi="en-US"/>
              </w:rPr>
            </w:pPr>
            <w:r w:rsidRPr="00BC7CF3">
              <w:rPr>
                <w:szCs w:val="24"/>
                <w:lang w:val="en-US"/>
              </w:rPr>
              <w:t>Suitability</w:t>
            </w:r>
          </w:p>
        </w:tc>
      </w:tr>
      <w:tr w:rsidR="00BC7CF3" w:rsidRPr="00BC7CF3" w14:paraId="53C14ACD" w14:textId="77777777" w:rsidTr="00BC7CF3">
        <w:tc>
          <w:tcPr>
            <w:tcW w:w="8217" w:type="dxa"/>
          </w:tcPr>
          <w:p w14:paraId="1A46667D" w14:textId="5C297868" w:rsidR="00BC7CF3" w:rsidRPr="00BC7CF3" w:rsidRDefault="00BC7CF3" w:rsidP="00BC7CF3">
            <w:pPr>
              <w:spacing w:line="240" w:lineRule="auto"/>
              <w:ind w:firstLine="0"/>
              <w:jc w:val="left"/>
              <w:rPr>
                <w:rFonts w:cs="Times New Roman"/>
                <w:szCs w:val="24"/>
                <w:lang w:val="en-US" w:bidi="en-US"/>
              </w:rPr>
            </w:pPr>
            <w:r w:rsidRPr="00BC7CF3">
              <w:rPr>
                <w:szCs w:val="24"/>
                <w:lang w:val="en-US"/>
              </w:rPr>
              <w:t>15 % of the material (D</w:t>
            </w:r>
            <w:r w:rsidRPr="00BC7CF3">
              <w:rPr>
                <w:szCs w:val="24"/>
                <w:vertAlign w:val="subscript"/>
                <w:lang w:val="en-US"/>
              </w:rPr>
              <w:t>85</w:t>
            </w:r>
            <w:r w:rsidRPr="00BC7CF3">
              <w:rPr>
                <w:szCs w:val="24"/>
                <w:lang w:val="en-US"/>
              </w:rPr>
              <w:t>) is coarser than 50 mm, and 50% of the material (D</w:t>
            </w:r>
            <w:r w:rsidRPr="00BC7CF3">
              <w:rPr>
                <w:szCs w:val="24"/>
                <w:vertAlign w:val="subscript"/>
                <w:lang w:val="en-US"/>
              </w:rPr>
              <w:t>50</w:t>
            </w:r>
            <w:r w:rsidRPr="00BC7CF3">
              <w:rPr>
                <w:szCs w:val="24"/>
                <w:lang w:val="en-US"/>
              </w:rPr>
              <w:t>) is coarser than 6 mm in very well-graded sand, gravel, and fines combinations.</w:t>
            </w:r>
          </w:p>
        </w:tc>
        <w:tc>
          <w:tcPr>
            <w:tcW w:w="1207" w:type="dxa"/>
          </w:tcPr>
          <w:p w14:paraId="19D677DE" w14:textId="3DFD17BB" w:rsidR="00BC7CF3" w:rsidRPr="00BC7CF3" w:rsidRDefault="00BC7CF3" w:rsidP="00BC7CF3">
            <w:pPr>
              <w:spacing w:line="240" w:lineRule="auto"/>
              <w:ind w:left="-102" w:right="-40" w:firstLine="0"/>
              <w:jc w:val="center"/>
              <w:rPr>
                <w:rFonts w:cs="Times New Roman"/>
                <w:szCs w:val="24"/>
                <w:lang w:val="en-US" w:bidi="en-US"/>
              </w:rPr>
            </w:pPr>
            <w:r w:rsidRPr="00BC7CF3">
              <w:rPr>
                <w:szCs w:val="24"/>
                <w:lang w:val="en-US"/>
              </w:rPr>
              <w:t>Very good</w:t>
            </w:r>
          </w:p>
        </w:tc>
      </w:tr>
      <w:tr w:rsidR="00BC7CF3" w:rsidRPr="00BC7CF3" w14:paraId="1E773B4D" w14:textId="77777777" w:rsidTr="00BC7CF3">
        <w:tc>
          <w:tcPr>
            <w:tcW w:w="8217" w:type="dxa"/>
          </w:tcPr>
          <w:p w14:paraId="395F7B6E" w14:textId="5B391BD5" w:rsidR="00BC7CF3" w:rsidRPr="00BC7CF3" w:rsidRDefault="00BC7CF3" w:rsidP="00BC7CF3">
            <w:pPr>
              <w:spacing w:line="240" w:lineRule="auto"/>
              <w:ind w:firstLine="0"/>
              <w:jc w:val="left"/>
              <w:rPr>
                <w:rFonts w:cs="Times New Roman"/>
                <w:szCs w:val="24"/>
                <w:lang w:val="en-US" w:bidi="en-US"/>
              </w:rPr>
            </w:pPr>
            <w:r w:rsidRPr="00BC7CF3">
              <w:rPr>
                <w:szCs w:val="24"/>
                <w:lang w:val="en-US"/>
              </w:rPr>
              <w:t>D</w:t>
            </w:r>
            <w:r w:rsidRPr="00BC7CF3">
              <w:rPr>
                <w:szCs w:val="24"/>
                <w:vertAlign w:val="subscript"/>
                <w:lang w:val="en-US"/>
              </w:rPr>
              <w:t>85</w:t>
            </w:r>
            <w:r>
              <w:rPr>
                <w:szCs w:val="24"/>
                <w:vertAlign w:val="subscript"/>
                <w:lang w:val="en-US"/>
              </w:rPr>
              <w:t xml:space="preserve"> </w:t>
            </w:r>
            <w:r w:rsidRPr="00BC7CF3">
              <w:rPr>
                <w:szCs w:val="24"/>
                <w:lang w:val="en-US"/>
              </w:rPr>
              <w:t>coarser than 25 mm, a graded mixture of sand, gravel, and clayey fine. Fine materials made up of inorganic clay (with a plastic index greater than 12) or high plastic tough clay (with a plastic index greater than 20).</w:t>
            </w:r>
          </w:p>
        </w:tc>
        <w:tc>
          <w:tcPr>
            <w:tcW w:w="1207" w:type="dxa"/>
          </w:tcPr>
          <w:p w14:paraId="1F0F0673" w14:textId="37E3DA35" w:rsidR="00BC7CF3" w:rsidRPr="00BC7CF3" w:rsidRDefault="00BC7CF3" w:rsidP="00BC7CF3">
            <w:pPr>
              <w:spacing w:line="240" w:lineRule="auto"/>
              <w:ind w:firstLine="0"/>
              <w:jc w:val="center"/>
              <w:rPr>
                <w:rFonts w:cs="Times New Roman"/>
                <w:szCs w:val="24"/>
                <w:lang w:val="en-US" w:bidi="en-US"/>
              </w:rPr>
            </w:pPr>
            <w:r w:rsidRPr="00BC7CF3">
              <w:rPr>
                <w:szCs w:val="24"/>
                <w:lang w:val="en-US"/>
              </w:rPr>
              <w:t>Good</w:t>
            </w:r>
          </w:p>
        </w:tc>
      </w:tr>
      <w:tr w:rsidR="00BC7CF3" w:rsidRPr="00BC7CF3" w14:paraId="5078372E" w14:textId="77777777" w:rsidTr="00BC7CF3">
        <w:tc>
          <w:tcPr>
            <w:tcW w:w="8217" w:type="dxa"/>
          </w:tcPr>
          <w:p w14:paraId="5F2AC46D" w14:textId="3B36F54D" w:rsidR="00BC7CF3" w:rsidRPr="00BC7CF3" w:rsidRDefault="00BC7CF3" w:rsidP="00BC7CF3">
            <w:pPr>
              <w:spacing w:line="240" w:lineRule="auto"/>
              <w:ind w:firstLine="0"/>
              <w:jc w:val="left"/>
              <w:rPr>
                <w:rFonts w:cs="Times New Roman"/>
                <w:szCs w:val="24"/>
                <w:lang w:val="en-US" w:bidi="en-US"/>
              </w:rPr>
            </w:pPr>
            <w:r w:rsidRPr="00BC7CF3">
              <w:rPr>
                <w:szCs w:val="24"/>
                <w:lang w:val="en-US"/>
              </w:rPr>
              <w:t>D</w:t>
            </w:r>
            <w:r w:rsidRPr="00BC7CF3">
              <w:rPr>
                <w:szCs w:val="24"/>
                <w:vertAlign w:val="subscript"/>
                <w:lang w:val="en-US"/>
              </w:rPr>
              <w:t>85</w:t>
            </w:r>
            <w:r w:rsidRPr="00BC7CF3">
              <w:rPr>
                <w:szCs w:val="24"/>
                <w:lang w:val="en-US"/>
              </w:rPr>
              <w:t xml:space="preserve"> is greater than 19 mm, and D</w:t>
            </w:r>
            <w:r w:rsidRPr="00BC7CF3">
              <w:rPr>
                <w:szCs w:val="24"/>
                <w:vertAlign w:val="subscript"/>
                <w:lang w:val="en-US"/>
              </w:rPr>
              <w:t>50</w:t>
            </w:r>
            <w:r w:rsidRPr="00BC7CF3">
              <w:rPr>
                <w:szCs w:val="24"/>
                <w:lang w:val="en-US"/>
              </w:rPr>
              <w:t xml:space="preserve"> is between 0.5 and 3 mm, gravelly medium to coarse sand with cohesionless particles in a well-graded gravelly medium to coarse sand. Clay with a plastic index of more than 12 is considered medium plastic.</w:t>
            </w:r>
          </w:p>
        </w:tc>
        <w:tc>
          <w:tcPr>
            <w:tcW w:w="1207" w:type="dxa"/>
          </w:tcPr>
          <w:p w14:paraId="06BE6012" w14:textId="466D60D7" w:rsidR="00BC7CF3" w:rsidRPr="00BC7CF3" w:rsidRDefault="00BC7CF3" w:rsidP="00BC7CF3">
            <w:pPr>
              <w:spacing w:line="240" w:lineRule="auto"/>
              <w:ind w:firstLine="0"/>
              <w:jc w:val="center"/>
              <w:rPr>
                <w:rFonts w:cs="Times New Roman"/>
                <w:szCs w:val="24"/>
                <w:lang w:val="en-US" w:bidi="en-US"/>
              </w:rPr>
            </w:pPr>
            <w:r w:rsidRPr="00BC7CF3">
              <w:rPr>
                <w:szCs w:val="24"/>
                <w:lang w:val="en-US"/>
              </w:rPr>
              <w:t>Fair</w:t>
            </w:r>
          </w:p>
        </w:tc>
      </w:tr>
      <w:tr w:rsidR="00BC7CF3" w:rsidRPr="00BC7CF3" w14:paraId="377FB188" w14:textId="77777777" w:rsidTr="00BC7CF3">
        <w:tc>
          <w:tcPr>
            <w:tcW w:w="8217" w:type="dxa"/>
          </w:tcPr>
          <w:p w14:paraId="6D28F816" w14:textId="77777777" w:rsidR="00BC7CF3" w:rsidRPr="00BC7CF3" w:rsidRDefault="00BC7CF3" w:rsidP="00BC7CF3">
            <w:pPr>
              <w:spacing w:line="240" w:lineRule="auto"/>
              <w:ind w:firstLine="0"/>
              <w:jc w:val="left"/>
              <w:rPr>
                <w:szCs w:val="24"/>
                <w:lang w:val="en-US"/>
              </w:rPr>
            </w:pPr>
            <w:r w:rsidRPr="00BC7CF3">
              <w:rPr>
                <w:szCs w:val="24"/>
                <w:lang w:val="en-US"/>
              </w:rPr>
              <w:t>Low plasticity clay with a small coarse percentage. The plastic index is between 5 and 8, and the liquid limit is greater than 25.</w:t>
            </w:r>
          </w:p>
          <w:p w14:paraId="2EE9B2BC" w14:textId="57C257FB" w:rsidR="00BC7CF3" w:rsidRPr="00BC7CF3" w:rsidRDefault="00BC7CF3" w:rsidP="00BC7CF3">
            <w:pPr>
              <w:spacing w:line="240" w:lineRule="auto"/>
              <w:ind w:firstLine="0"/>
              <w:jc w:val="left"/>
              <w:rPr>
                <w:rFonts w:cs="Times New Roman"/>
                <w:szCs w:val="24"/>
                <w:lang w:val="en-US" w:bidi="en-US"/>
              </w:rPr>
            </w:pPr>
            <w:r w:rsidRPr="00BC7CF3">
              <w:rPr>
                <w:szCs w:val="24"/>
                <w:lang w:val="en-US"/>
              </w:rPr>
              <w:t>Silts with a medium to high plasticity and a small coarse proportion with a plastic index greater than 10.</w:t>
            </w:r>
          </w:p>
        </w:tc>
        <w:tc>
          <w:tcPr>
            <w:tcW w:w="1207" w:type="dxa"/>
          </w:tcPr>
          <w:p w14:paraId="567A93A9" w14:textId="55B618EA" w:rsidR="00BC7CF3" w:rsidRPr="00BC7CF3" w:rsidRDefault="00BC7CF3" w:rsidP="00BC7CF3">
            <w:pPr>
              <w:spacing w:line="240" w:lineRule="auto"/>
              <w:ind w:firstLine="0"/>
              <w:jc w:val="center"/>
              <w:rPr>
                <w:rFonts w:cs="Times New Roman"/>
                <w:szCs w:val="24"/>
                <w:lang w:val="en-US" w:bidi="en-US"/>
              </w:rPr>
            </w:pPr>
            <w:r w:rsidRPr="00BC7CF3">
              <w:rPr>
                <w:szCs w:val="24"/>
                <w:lang w:val="en-US"/>
              </w:rPr>
              <w:t>Poor</w:t>
            </w:r>
          </w:p>
        </w:tc>
      </w:tr>
    </w:tbl>
    <w:p w14:paraId="3FA9F2F3" w14:textId="5C5CA76A" w:rsidR="00051297" w:rsidRPr="00051297" w:rsidRDefault="00051297" w:rsidP="0079595C">
      <w:pPr>
        <w:pStyle w:val="4"/>
      </w:pPr>
      <w:bookmarkStart w:id="222" w:name="_Toc97504740"/>
      <w:bookmarkStart w:id="223" w:name="_Toc103543874"/>
      <w:bookmarkStart w:id="224" w:name="_Toc104985198"/>
      <w:r w:rsidRPr="00051297">
        <w:lastRenderedPageBreak/>
        <w:t xml:space="preserve">Casing or </w:t>
      </w:r>
      <w:r w:rsidR="00C86748">
        <w:rPr>
          <w:lang w:val="en-US"/>
        </w:rPr>
        <w:t>o</w:t>
      </w:r>
      <w:r w:rsidRPr="00051297">
        <w:t xml:space="preserve">uter </w:t>
      </w:r>
      <w:r w:rsidR="00C86748">
        <w:rPr>
          <w:lang w:val="en-US"/>
        </w:rPr>
        <w:t>s</w:t>
      </w:r>
      <w:r w:rsidRPr="00051297">
        <w:t>hell</w:t>
      </w:r>
      <w:bookmarkEnd w:id="222"/>
      <w:bookmarkEnd w:id="223"/>
      <w:bookmarkEnd w:id="224"/>
    </w:p>
    <w:p w14:paraId="75DA21D3" w14:textId="5C65FEA7" w:rsidR="00051297" w:rsidRPr="00051297" w:rsidRDefault="00051297" w:rsidP="00051297">
      <w:pPr>
        <w:rPr>
          <w:rFonts w:cs="Times New Roman"/>
          <w:szCs w:val="24"/>
          <w:lang w:val="en-US"/>
        </w:rPr>
      </w:pPr>
      <w:r w:rsidRPr="00051297">
        <w:rPr>
          <w:rFonts w:cs="Times New Roman"/>
          <w:szCs w:val="24"/>
          <w:lang w:val="en-US"/>
        </w:rPr>
        <w:t xml:space="preserve">The purpose of the shell is to provide stability and protection to the core. The casing can be made of reasonably pervious materials that do not break when exposed to the atmosphere directly. The dam's top width should be 4.5 meters (minimum). Berms of greater than 10 meters in height may be constructed for the dam. The minimum berm width should be 3 meters. The embankment's upstream and downstream side slopes are dictated by the features of available materials, foundation condition, dam height, and dam type </w:t>
      </w:r>
      <w:r w:rsidRPr="00051297">
        <w:rPr>
          <w:rFonts w:cs="Times New Roman"/>
          <w:szCs w:val="24"/>
        </w:rPr>
        <w:fldChar w:fldCharType="begin" w:fldLock="1"/>
      </w:r>
      <w:r w:rsidR="00FA5896">
        <w:rPr>
          <w:rFonts w:cs="Times New Roman"/>
          <w:szCs w:val="24"/>
          <w:lang w:val="en-US"/>
        </w:rPr>
        <w:instrText>ADDIN CSL_CITATION {"citationItems":[{"id":"ITEM-1","itemData":{"DOI":"10.1007/BF02764507","ISSN":"0018-8220","abstract":"A concrete diaphragm wall was installed at the Kureika dam following occurrence of seepage and hydraulic fracturing of the core region. This article details the repair and restoration works which involved installation of the diaphragm wall throughout the entire height of the dam and to an 8.8m depth into the foundation. This included calculations of stress-strain state of the wall to select the strength and deformation characteristics of the wall material. In constructing the clay-concrete core wall in the body of the dam, the aim was to reduce the modulus of deformation closer to the deformability of the soil in which the wall was being constructed. It was also necessary to accelerate the raising of the casing and concreting so that the column of the wall absorbed the hydrostatic load as early a possible.","author":[{"dropping-particle":"","family":"Rasskazov","given":"L. N.","non-dropping-particle":"","parse-names":false,"suffix":""},{"dropping-particle":"","family":"Bestuzheva","given":"A. S.","non-dropping-particle":"","parse-names":false,"suffix":""},{"dropping-particle":"","family":"Sainov","given":"M. P.","non-dropping-particle":"","parse-names":false,"suffix":""}],"container-title":"Hydrotechnical Construction","id":"ITEM-1","issue":"4","issued":{"date-parts":[["1999","4"]]},"page":"201-207","title":"Concrete core wall as a element of reconstruction of an earth dam","type":"article-journal","volume":"33"},"uris":["http://www.mendeley.com/documents/?uuid=6c272f06-f3d8-446e-899d-ad15c4cc220f","http://www.mendeley.com/documents/?uuid=c1d0237e-4048-4f20-a3fc-576e2ac00336","http://www.mendeley.com/documents/?uuid=329d4521-3b26-4aa3-bdb7-5f42c7f22243"]}],"mendeley":{"formattedCitation":"[123]","plainTextFormattedCitation":"[123]","previouslyFormattedCitation":"[123]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[123]</w:t>
      </w:r>
      <w:r w:rsidRPr="00051297">
        <w:rPr>
          <w:rFonts w:cs="Times New Roman"/>
          <w:szCs w:val="24"/>
        </w:rPr>
        <w:fldChar w:fldCharType="end"/>
      </w:r>
      <w:r w:rsidRPr="00051297">
        <w:rPr>
          <w:rFonts w:cs="Times New Roman"/>
          <w:szCs w:val="24"/>
          <w:lang w:val="en-US"/>
        </w:rPr>
        <w:t xml:space="preserve">. Terzaghi's suggested upstream and downstream side slopes are indicated in </w:t>
      </w:r>
      <w:r w:rsidRPr="00051297">
        <w:rPr>
          <w:rFonts w:cs="Times New Roman"/>
          <w:szCs w:val="24"/>
          <w:lang w:val="en-US"/>
        </w:rPr>
        <w:fldChar w:fldCharType="begin"/>
      </w:r>
      <w:r w:rsidRPr="00051297">
        <w:rPr>
          <w:rFonts w:cs="Times New Roman"/>
          <w:szCs w:val="24"/>
          <w:lang w:val="en-US"/>
        </w:rPr>
        <w:instrText xml:space="preserve"> REF _Ref98102969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1</w:t>
      </w:r>
      <w:r w:rsidR="004870F1" w:rsidRPr="00051297">
        <w:rPr>
          <w:rFonts w:cs="Times New Roman"/>
          <w:szCs w:val="24"/>
          <w:lang w:val="en-US" w:bidi="en-US"/>
        </w:rPr>
        <w:t>.</w:t>
      </w:r>
      <w:r w:rsidR="004870F1">
        <w:rPr>
          <w:rFonts w:cs="Times New Roman"/>
          <w:noProof/>
          <w:szCs w:val="24"/>
          <w:lang w:val="en-US" w:bidi="en-US"/>
        </w:rPr>
        <w:t>9</w:t>
      </w:r>
      <w:r w:rsidRPr="00051297">
        <w:rPr>
          <w:rFonts w:cs="Times New Roman"/>
          <w:szCs w:val="24"/>
          <w:lang w:val="en-US"/>
        </w:rPr>
        <w:fldChar w:fldCharType="end"/>
      </w:r>
      <w:r w:rsidRPr="00051297">
        <w:rPr>
          <w:rFonts w:cs="Times New Roman"/>
          <w:szCs w:val="24"/>
          <w:lang w:val="en-US"/>
        </w:rPr>
        <w:t>.</w:t>
      </w:r>
    </w:p>
    <w:p w14:paraId="4C509BC8" w14:textId="1D1676AE" w:rsidR="00051297" w:rsidRPr="00051297" w:rsidRDefault="00051297" w:rsidP="00051297">
      <w:pPr>
        <w:rPr>
          <w:rFonts w:cs="Times New Roman"/>
          <w:szCs w:val="24"/>
          <w:lang w:val="en-US" w:bidi="en-US"/>
        </w:rPr>
      </w:pPr>
      <w:bookmarkStart w:id="225" w:name="_Ref98102969"/>
      <w:bookmarkStart w:id="226" w:name="_Toc104985566"/>
      <w:bookmarkStart w:id="227" w:name="_Toc97077190"/>
      <w:bookmarkStart w:id="228" w:name="_Toc103544240"/>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1</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9</w:t>
      </w:r>
      <w:r w:rsidRPr="00051297">
        <w:rPr>
          <w:rFonts w:cs="Times New Roman"/>
          <w:szCs w:val="24"/>
          <w:lang w:val="en-US" w:bidi="en-US"/>
        </w:rPr>
        <w:fldChar w:fldCharType="end"/>
      </w:r>
      <w:bookmarkEnd w:id="225"/>
      <w:r w:rsidRPr="00051297">
        <w:rPr>
          <w:rFonts w:cs="Times New Roman"/>
          <w:szCs w:val="24"/>
          <w:lang w:val="en-US" w:bidi="en-US"/>
        </w:rPr>
        <w:t xml:space="preserve">  – Recommended side slopes of an earthen dam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{"citationItems":[{"id":"ITEM-1","itemData":{"DOI":"10.1007/s13762-019-02228-3","ISSN":"1735-1472","abstract":"In a dam construction, the primary concern is the economy and stability of the dam construction, in parallel with the benefit gained from it. The Gidabo rock fill dam has nearly flatter (2H:1V) side slope with 22 m dam height from river bed level, which consume high fill material relative to this height and dam type. In this study, the effect of clay core shape and side slopes on the stability of embankment dam is analyzed and the minimum earthwork consumption with stable dam safety is identified. The identified best side slope and shape of clay core has checked for all loading condition with numerical modeling software called Geo-Studio 2012. Based on computation the factor of safety of 1.514 and 1.611 for upstream and downstream at end of construction, 1.504 for steady state condition, 1.316 for sudden drawdown and flux through the dam has been found to be 1.95 × 10−7 m3/s/m. The horizontal and vertical deformation of the dam at normal pool level is 0.023 m and 0.192 m, respectively, which are all within the allowable limit. Hence, the selected clay core shape and side slope dam fulfill all design criterion and reduce the consumption of shell fill material.","author":[{"dropping-particle":"","family":"Shole","given":"D. G.","non-dropping-particle":"","parse-names":false,"suffix":""},{"dropping-particle":"","family":"Belayneh","given":"M. Z.","non-dropping-particle":"","parse-names":false,"suffix":""}],"container-title":"International Journal of Environmental Science and Technology","id":"ITEM-1","issue":"10","issued":{"date-parts":[["2019","10"]]},"page":"5871-5880","title":"The effect of side slope and clay core shape on the stability of embankment dam: Southern Ethiopia","type":"article-journal","volume":"16"},"uris":["http://www.mendeley.com/documents/?uuid=711238e0-2317-4100-912c-5a40f976c97f","http://www.mendeley.com/documents/?uuid=a0d33816-6dec-427a-bea5-d59119281c8b","http://www.mendeley.com/documents/?uuid=ab4de26b-2755-4867-bf74-f1b75fca056e"]}],"mendeley":{"formattedCitation":"[124]","plainTextFormattedCitation":"[124]","previouslyFormattedCitation":"[124]"},"properties":{"noteIndex":0},"schema":"https://github.com/citation-style-language/schema/raw/master/csl-citation.json"}</w:instrText>
      </w:r>
      <w:r w:rsidRPr="00051297">
        <w:rPr>
          <w:rFonts w:cs="Times New Roman"/>
          <w:szCs w:val="24"/>
          <w:lang w:val="en-US" w:bidi="en-US"/>
        </w:rPr>
        <w:fldChar w:fldCharType="separate"/>
      </w:r>
      <w:bookmarkEnd w:id="227"/>
      <w:bookmarkEnd w:id="228"/>
      <w:r w:rsidR="0032684D" w:rsidRPr="0032684D">
        <w:rPr>
          <w:rFonts w:cs="Times New Roman"/>
          <w:noProof/>
          <w:szCs w:val="24"/>
          <w:lang w:val="en-US" w:bidi="en-US"/>
        </w:rPr>
        <w:t>[124]</w:t>
      </w:r>
      <w:bookmarkEnd w:id="226"/>
      <w:r w:rsidRPr="00051297">
        <w:rPr>
          <w:rFonts w:cs="Times New Roman"/>
          <w:szCs w:val="24"/>
          <w:lang w:val="en-US" w:bidi="en-US"/>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6"/>
        <w:gridCol w:w="1628"/>
        <w:gridCol w:w="1442"/>
      </w:tblGrid>
      <w:tr w:rsidR="00051297" w:rsidRPr="00051297" w14:paraId="4DB07287" w14:textId="77777777" w:rsidTr="00BC7CF3">
        <w:trPr>
          <w:trHeight w:val="316"/>
          <w:jc w:val="center"/>
        </w:trPr>
        <w:tc>
          <w:tcPr>
            <w:tcW w:w="5596" w:type="dxa"/>
          </w:tcPr>
          <w:p w14:paraId="4B751282" w14:textId="77777777" w:rsidR="00051297" w:rsidRPr="00051297" w:rsidRDefault="00051297" w:rsidP="00051297">
            <w:pPr>
              <w:spacing w:line="240" w:lineRule="auto"/>
              <w:ind w:firstLine="0"/>
              <w:jc w:val="center"/>
              <w:rPr>
                <w:lang w:val="en-US"/>
              </w:rPr>
            </w:pPr>
            <w:r w:rsidRPr="00051297">
              <w:rPr>
                <w:lang w:val="en-US"/>
              </w:rPr>
              <w:t>Soil type</w:t>
            </w:r>
          </w:p>
        </w:tc>
        <w:tc>
          <w:tcPr>
            <w:tcW w:w="1628" w:type="dxa"/>
          </w:tcPr>
          <w:p w14:paraId="6553F0AC" w14:textId="77777777" w:rsidR="00051297" w:rsidRPr="00051297" w:rsidRDefault="00051297" w:rsidP="00051297">
            <w:pPr>
              <w:spacing w:line="240" w:lineRule="auto"/>
              <w:ind w:firstLine="0"/>
              <w:jc w:val="center"/>
              <w:rPr>
                <w:lang w:val="en-US"/>
              </w:rPr>
            </w:pPr>
            <w:r w:rsidRPr="00051297">
              <w:rPr>
                <w:lang w:val="en-US"/>
              </w:rPr>
              <w:t>u/s slope</w:t>
            </w:r>
          </w:p>
        </w:tc>
        <w:tc>
          <w:tcPr>
            <w:tcW w:w="1442" w:type="dxa"/>
          </w:tcPr>
          <w:p w14:paraId="6044E274" w14:textId="77777777" w:rsidR="00051297" w:rsidRPr="00051297" w:rsidRDefault="00051297" w:rsidP="00051297">
            <w:pPr>
              <w:spacing w:line="240" w:lineRule="auto"/>
              <w:ind w:firstLine="0"/>
              <w:jc w:val="center"/>
              <w:rPr>
                <w:lang w:val="en-US"/>
              </w:rPr>
            </w:pPr>
            <w:r w:rsidRPr="00051297">
              <w:rPr>
                <w:lang w:val="en-US"/>
              </w:rPr>
              <w:t>d/s slope</w:t>
            </w:r>
          </w:p>
        </w:tc>
      </w:tr>
      <w:tr w:rsidR="00051297" w:rsidRPr="00051297" w14:paraId="22230535" w14:textId="77777777" w:rsidTr="00BC7CF3">
        <w:trPr>
          <w:trHeight w:val="316"/>
          <w:jc w:val="center"/>
        </w:trPr>
        <w:tc>
          <w:tcPr>
            <w:tcW w:w="5596" w:type="dxa"/>
          </w:tcPr>
          <w:p w14:paraId="05267E96" w14:textId="77777777" w:rsidR="00051297" w:rsidRPr="00051297" w:rsidRDefault="00051297" w:rsidP="00051297">
            <w:pPr>
              <w:spacing w:line="240" w:lineRule="auto"/>
              <w:ind w:firstLine="0"/>
              <w:jc w:val="center"/>
              <w:rPr>
                <w:lang w:val="en-US"/>
              </w:rPr>
            </w:pPr>
            <w:r w:rsidRPr="00051297">
              <w:rPr>
                <w:lang w:val="en-US"/>
              </w:rPr>
              <w:t>Homogeneous well-graded material</w:t>
            </w:r>
          </w:p>
        </w:tc>
        <w:tc>
          <w:tcPr>
            <w:tcW w:w="1628" w:type="dxa"/>
          </w:tcPr>
          <w:p w14:paraId="30D2F64B" w14:textId="77777777" w:rsidR="00051297" w:rsidRPr="00051297" w:rsidRDefault="00051297" w:rsidP="00051297">
            <w:pPr>
              <w:spacing w:line="240" w:lineRule="auto"/>
              <w:ind w:firstLine="0"/>
              <w:jc w:val="center"/>
              <w:rPr>
                <w:lang w:val="en-US"/>
              </w:rPr>
            </w:pPr>
            <w:r w:rsidRPr="00051297">
              <w:rPr>
                <w:lang w:val="en-US"/>
              </w:rPr>
              <w:t>2.5:1</w:t>
            </w:r>
          </w:p>
        </w:tc>
        <w:tc>
          <w:tcPr>
            <w:tcW w:w="1442" w:type="dxa"/>
          </w:tcPr>
          <w:p w14:paraId="283F5EC2" w14:textId="77777777" w:rsidR="00051297" w:rsidRPr="00051297" w:rsidRDefault="00051297" w:rsidP="00051297">
            <w:pPr>
              <w:spacing w:line="240" w:lineRule="auto"/>
              <w:ind w:firstLine="0"/>
              <w:jc w:val="center"/>
              <w:rPr>
                <w:lang w:val="en-US"/>
              </w:rPr>
            </w:pPr>
            <w:r w:rsidRPr="00051297">
              <w:rPr>
                <w:lang w:val="en-US"/>
              </w:rPr>
              <w:t>2:1</w:t>
            </w:r>
          </w:p>
        </w:tc>
      </w:tr>
      <w:tr w:rsidR="00051297" w:rsidRPr="00051297" w14:paraId="1E01A041" w14:textId="77777777" w:rsidTr="00BC7CF3">
        <w:trPr>
          <w:trHeight w:val="316"/>
          <w:jc w:val="center"/>
        </w:trPr>
        <w:tc>
          <w:tcPr>
            <w:tcW w:w="5596" w:type="dxa"/>
          </w:tcPr>
          <w:p w14:paraId="348B75BB" w14:textId="77777777" w:rsidR="00051297" w:rsidRPr="00051297" w:rsidRDefault="00051297" w:rsidP="00051297">
            <w:pPr>
              <w:spacing w:line="240" w:lineRule="auto"/>
              <w:ind w:firstLine="0"/>
              <w:jc w:val="center"/>
              <w:rPr>
                <w:lang w:val="en-US"/>
              </w:rPr>
            </w:pPr>
            <w:r w:rsidRPr="00051297">
              <w:rPr>
                <w:lang w:val="en-US"/>
              </w:rPr>
              <w:t>Homogeneous coarse silt</w:t>
            </w:r>
          </w:p>
        </w:tc>
        <w:tc>
          <w:tcPr>
            <w:tcW w:w="1628" w:type="dxa"/>
          </w:tcPr>
          <w:p w14:paraId="6530589A" w14:textId="77777777" w:rsidR="00051297" w:rsidRPr="00051297" w:rsidRDefault="00051297" w:rsidP="00051297">
            <w:pPr>
              <w:spacing w:line="240" w:lineRule="auto"/>
              <w:ind w:firstLine="0"/>
              <w:jc w:val="center"/>
              <w:rPr>
                <w:lang w:val="en-US"/>
              </w:rPr>
            </w:pPr>
            <w:r w:rsidRPr="00051297">
              <w:rPr>
                <w:lang w:val="en-US"/>
              </w:rPr>
              <w:t>3:1</w:t>
            </w:r>
          </w:p>
        </w:tc>
        <w:tc>
          <w:tcPr>
            <w:tcW w:w="1442" w:type="dxa"/>
          </w:tcPr>
          <w:p w14:paraId="0AC40BB4" w14:textId="77777777" w:rsidR="00051297" w:rsidRPr="00051297" w:rsidRDefault="00051297" w:rsidP="00051297">
            <w:pPr>
              <w:spacing w:line="240" w:lineRule="auto"/>
              <w:ind w:firstLine="0"/>
              <w:jc w:val="center"/>
              <w:rPr>
                <w:lang w:val="en-US"/>
              </w:rPr>
            </w:pPr>
            <w:r w:rsidRPr="00051297">
              <w:rPr>
                <w:lang w:val="en-US"/>
              </w:rPr>
              <w:t>2.5:1</w:t>
            </w:r>
          </w:p>
        </w:tc>
      </w:tr>
      <w:tr w:rsidR="00051297" w:rsidRPr="00051297" w14:paraId="03358AD3" w14:textId="77777777" w:rsidTr="00BC7CF3">
        <w:trPr>
          <w:trHeight w:val="316"/>
          <w:jc w:val="center"/>
        </w:trPr>
        <w:tc>
          <w:tcPr>
            <w:tcW w:w="5596" w:type="dxa"/>
          </w:tcPr>
          <w:p w14:paraId="3F6DA95E" w14:textId="77777777" w:rsidR="00051297" w:rsidRPr="00051297" w:rsidRDefault="00051297" w:rsidP="00051297">
            <w:pPr>
              <w:spacing w:line="240" w:lineRule="auto"/>
              <w:ind w:firstLine="0"/>
              <w:jc w:val="center"/>
              <w:rPr>
                <w:lang w:val="en-US"/>
              </w:rPr>
            </w:pPr>
            <w:r w:rsidRPr="00051297">
              <w:rPr>
                <w:lang w:val="en-US"/>
              </w:rPr>
              <w:t>Homogeneous silty-clay: height &lt; 15 m</w:t>
            </w:r>
          </w:p>
        </w:tc>
        <w:tc>
          <w:tcPr>
            <w:tcW w:w="1628" w:type="dxa"/>
          </w:tcPr>
          <w:p w14:paraId="6D074720" w14:textId="77777777" w:rsidR="00051297" w:rsidRPr="00051297" w:rsidRDefault="00051297" w:rsidP="00051297">
            <w:pPr>
              <w:spacing w:line="240" w:lineRule="auto"/>
              <w:ind w:firstLine="0"/>
              <w:jc w:val="center"/>
              <w:rPr>
                <w:lang w:val="en-US"/>
              </w:rPr>
            </w:pPr>
            <w:r w:rsidRPr="00051297">
              <w:rPr>
                <w:lang w:val="en-US"/>
              </w:rPr>
              <w:t>2.5:1</w:t>
            </w:r>
          </w:p>
        </w:tc>
        <w:tc>
          <w:tcPr>
            <w:tcW w:w="1442" w:type="dxa"/>
          </w:tcPr>
          <w:p w14:paraId="4B407782" w14:textId="77777777" w:rsidR="00051297" w:rsidRPr="00051297" w:rsidRDefault="00051297" w:rsidP="00051297">
            <w:pPr>
              <w:spacing w:line="240" w:lineRule="auto"/>
              <w:ind w:firstLine="0"/>
              <w:jc w:val="center"/>
              <w:rPr>
                <w:lang w:val="en-US"/>
              </w:rPr>
            </w:pPr>
            <w:r w:rsidRPr="00051297">
              <w:rPr>
                <w:lang w:val="en-US"/>
              </w:rPr>
              <w:t>2:1</w:t>
            </w:r>
          </w:p>
        </w:tc>
      </w:tr>
      <w:tr w:rsidR="00051297" w:rsidRPr="00051297" w14:paraId="221D580C" w14:textId="77777777" w:rsidTr="00BC7CF3">
        <w:trPr>
          <w:trHeight w:val="316"/>
          <w:jc w:val="center"/>
        </w:trPr>
        <w:tc>
          <w:tcPr>
            <w:tcW w:w="5596" w:type="dxa"/>
          </w:tcPr>
          <w:p w14:paraId="381B76E7" w14:textId="77777777" w:rsidR="00051297" w:rsidRPr="00051297" w:rsidRDefault="00051297" w:rsidP="00051297">
            <w:pPr>
              <w:spacing w:line="240" w:lineRule="auto"/>
              <w:ind w:firstLine="0"/>
              <w:jc w:val="center"/>
              <w:rPr>
                <w:lang w:val="en-US"/>
              </w:rPr>
            </w:pPr>
            <w:r w:rsidRPr="00051297">
              <w:rPr>
                <w:lang w:val="en-US"/>
              </w:rPr>
              <w:t>&gt;15 m</w:t>
            </w:r>
          </w:p>
        </w:tc>
        <w:tc>
          <w:tcPr>
            <w:tcW w:w="1628" w:type="dxa"/>
          </w:tcPr>
          <w:p w14:paraId="10AD42E1" w14:textId="77777777" w:rsidR="00051297" w:rsidRPr="00051297" w:rsidRDefault="00051297" w:rsidP="00051297">
            <w:pPr>
              <w:spacing w:line="240" w:lineRule="auto"/>
              <w:ind w:firstLine="0"/>
              <w:jc w:val="center"/>
              <w:rPr>
                <w:lang w:val="en-US"/>
              </w:rPr>
            </w:pPr>
            <w:r w:rsidRPr="00051297">
              <w:rPr>
                <w:lang w:val="en-US"/>
              </w:rPr>
              <w:t>3:1</w:t>
            </w:r>
          </w:p>
        </w:tc>
        <w:tc>
          <w:tcPr>
            <w:tcW w:w="1442" w:type="dxa"/>
          </w:tcPr>
          <w:p w14:paraId="61EB7CBD" w14:textId="77777777" w:rsidR="00051297" w:rsidRPr="00051297" w:rsidRDefault="00051297" w:rsidP="00051297">
            <w:pPr>
              <w:spacing w:line="240" w:lineRule="auto"/>
              <w:ind w:firstLine="0"/>
              <w:jc w:val="center"/>
              <w:rPr>
                <w:lang w:val="en-US"/>
              </w:rPr>
            </w:pPr>
            <w:r w:rsidRPr="00051297">
              <w:rPr>
                <w:lang w:val="en-US"/>
              </w:rPr>
              <w:t>2.5:1</w:t>
            </w:r>
          </w:p>
        </w:tc>
      </w:tr>
      <w:tr w:rsidR="00051297" w:rsidRPr="00051297" w14:paraId="726D1D8B" w14:textId="77777777" w:rsidTr="00BC7CF3">
        <w:trPr>
          <w:trHeight w:val="316"/>
          <w:jc w:val="center"/>
        </w:trPr>
        <w:tc>
          <w:tcPr>
            <w:tcW w:w="5596" w:type="dxa"/>
          </w:tcPr>
          <w:p w14:paraId="5AC781B9" w14:textId="77777777" w:rsidR="00051297" w:rsidRPr="00051297" w:rsidRDefault="00051297" w:rsidP="00051297">
            <w:pPr>
              <w:spacing w:line="240" w:lineRule="auto"/>
              <w:ind w:firstLine="0"/>
              <w:jc w:val="center"/>
              <w:rPr>
                <w:lang w:val="en-US"/>
              </w:rPr>
            </w:pPr>
            <w:r w:rsidRPr="00051297">
              <w:rPr>
                <w:lang w:val="en-US"/>
              </w:rPr>
              <w:t>Sand or sand gravel with clay core</w:t>
            </w:r>
          </w:p>
        </w:tc>
        <w:tc>
          <w:tcPr>
            <w:tcW w:w="1628" w:type="dxa"/>
          </w:tcPr>
          <w:p w14:paraId="32C88D58" w14:textId="77777777" w:rsidR="00051297" w:rsidRPr="00051297" w:rsidRDefault="00051297" w:rsidP="00051297">
            <w:pPr>
              <w:spacing w:line="240" w:lineRule="auto"/>
              <w:ind w:firstLine="0"/>
              <w:jc w:val="center"/>
              <w:rPr>
                <w:lang w:val="en-US"/>
              </w:rPr>
            </w:pPr>
            <w:r w:rsidRPr="00051297">
              <w:rPr>
                <w:lang w:val="en-US"/>
              </w:rPr>
              <w:t>3:1</w:t>
            </w:r>
          </w:p>
        </w:tc>
        <w:tc>
          <w:tcPr>
            <w:tcW w:w="1442" w:type="dxa"/>
          </w:tcPr>
          <w:p w14:paraId="52E33B77" w14:textId="77777777" w:rsidR="00051297" w:rsidRPr="00051297" w:rsidRDefault="00051297" w:rsidP="00051297">
            <w:pPr>
              <w:spacing w:line="240" w:lineRule="auto"/>
              <w:ind w:firstLine="0"/>
              <w:jc w:val="center"/>
              <w:rPr>
                <w:lang w:val="en-US"/>
              </w:rPr>
            </w:pPr>
            <w:r w:rsidRPr="00051297">
              <w:rPr>
                <w:lang w:val="en-US"/>
              </w:rPr>
              <w:t>2.5:1</w:t>
            </w:r>
          </w:p>
        </w:tc>
      </w:tr>
      <w:tr w:rsidR="00051297" w:rsidRPr="00051297" w14:paraId="2DA39FB4" w14:textId="77777777" w:rsidTr="00BC7CF3">
        <w:trPr>
          <w:trHeight w:val="316"/>
          <w:jc w:val="center"/>
        </w:trPr>
        <w:tc>
          <w:tcPr>
            <w:tcW w:w="5596" w:type="dxa"/>
          </w:tcPr>
          <w:p w14:paraId="5F134B1D" w14:textId="77777777" w:rsidR="00051297" w:rsidRPr="00051297" w:rsidRDefault="00051297" w:rsidP="00051297">
            <w:pPr>
              <w:spacing w:line="240" w:lineRule="auto"/>
              <w:ind w:firstLine="0"/>
              <w:jc w:val="center"/>
              <w:rPr>
                <w:lang w:val="en-US"/>
              </w:rPr>
            </w:pPr>
            <w:r w:rsidRPr="00051297">
              <w:rPr>
                <w:lang w:val="en-US"/>
              </w:rPr>
              <w:t>Sand or sand gravel with a reinforced concrete core</w:t>
            </w:r>
          </w:p>
        </w:tc>
        <w:tc>
          <w:tcPr>
            <w:tcW w:w="1628" w:type="dxa"/>
          </w:tcPr>
          <w:p w14:paraId="02358DDA" w14:textId="77777777" w:rsidR="00051297" w:rsidRPr="00051297" w:rsidRDefault="00051297" w:rsidP="00051297">
            <w:pPr>
              <w:spacing w:line="240" w:lineRule="auto"/>
              <w:ind w:firstLine="0"/>
              <w:jc w:val="center"/>
              <w:rPr>
                <w:lang w:val="en-US"/>
              </w:rPr>
            </w:pPr>
            <w:r w:rsidRPr="00051297">
              <w:rPr>
                <w:lang w:val="en-US"/>
              </w:rPr>
              <w:t>2.5:1</w:t>
            </w:r>
          </w:p>
        </w:tc>
        <w:tc>
          <w:tcPr>
            <w:tcW w:w="1442" w:type="dxa"/>
          </w:tcPr>
          <w:p w14:paraId="5B8F9067" w14:textId="77777777" w:rsidR="00051297" w:rsidRPr="00051297" w:rsidRDefault="00051297" w:rsidP="00051297">
            <w:pPr>
              <w:spacing w:line="240" w:lineRule="auto"/>
              <w:ind w:firstLine="0"/>
              <w:jc w:val="center"/>
              <w:rPr>
                <w:lang w:val="en-US"/>
              </w:rPr>
            </w:pPr>
            <w:r w:rsidRPr="00051297">
              <w:rPr>
                <w:lang w:val="en-US"/>
              </w:rPr>
              <w:t>2:1</w:t>
            </w:r>
          </w:p>
        </w:tc>
      </w:tr>
    </w:tbl>
    <w:p w14:paraId="79329687" w14:textId="77777777" w:rsidR="00051297" w:rsidRPr="00051297" w:rsidRDefault="00051297" w:rsidP="00051297">
      <w:pPr>
        <w:rPr>
          <w:rFonts w:cs="Times New Roman"/>
          <w:szCs w:val="24"/>
        </w:rPr>
      </w:pPr>
    </w:p>
    <w:p w14:paraId="24C5A697" w14:textId="2C792DAB" w:rsidR="00051297" w:rsidRPr="00051297" w:rsidRDefault="00051297" w:rsidP="0079595C">
      <w:pPr>
        <w:pStyle w:val="4"/>
      </w:pPr>
      <w:bookmarkStart w:id="229" w:name="_Toc97504741"/>
      <w:bookmarkStart w:id="230" w:name="_Toc103543875"/>
      <w:bookmarkStart w:id="231" w:name="_Toc104985199"/>
      <w:r w:rsidRPr="00051297">
        <w:t xml:space="preserve">Internal </w:t>
      </w:r>
      <w:r w:rsidR="00C86748">
        <w:rPr>
          <w:lang w:val="en-US"/>
        </w:rPr>
        <w:t>d</w:t>
      </w:r>
      <w:r w:rsidRPr="00051297">
        <w:t xml:space="preserve">rainage </w:t>
      </w:r>
      <w:r w:rsidR="00C86748">
        <w:rPr>
          <w:lang w:val="en-US"/>
        </w:rPr>
        <w:t>s</w:t>
      </w:r>
      <w:r w:rsidRPr="00051297">
        <w:t>ystem</w:t>
      </w:r>
      <w:bookmarkEnd w:id="229"/>
      <w:bookmarkEnd w:id="230"/>
      <w:bookmarkEnd w:id="231"/>
    </w:p>
    <w:p w14:paraId="260F535D" w14:textId="383FC5AB" w:rsidR="00051297" w:rsidRPr="00051297" w:rsidRDefault="00051297" w:rsidP="00BC7CF3">
      <w:pPr>
        <w:rPr>
          <w:rFonts w:cs="Times New Roman"/>
          <w:szCs w:val="24"/>
          <w:lang w:val="en-US"/>
        </w:rPr>
      </w:pPr>
      <w:r w:rsidRPr="00051297">
        <w:rPr>
          <w:rFonts w:cs="Times New Roman"/>
          <w:szCs w:val="24"/>
          <w:lang w:val="en-US"/>
        </w:rPr>
        <w:t xml:space="preserve">It's vital to preserve the original soil particles in place and ensure the dam's stability by managing the seepage water in the dam. Some of the most common ways for safely disposing of seepage water through embankment dams are listed below </w:t>
      </w:r>
      <w:r w:rsidRPr="00051297">
        <w:rPr>
          <w:rFonts w:cs="Times New Roman"/>
          <w:szCs w:val="24"/>
        </w:rPr>
        <w:fldChar w:fldCharType="begin" w:fldLock="1"/>
      </w:r>
      <w:r w:rsidR="00FA5896">
        <w:rPr>
          <w:rFonts w:cs="Times New Roman"/>
          <w:szCs w:val="24"/>
          <w:lang w:val="en-US"/>
        </w:rPr>
        <w:instrText>ADDIN CSL_CITATION {"citationItems":[{"id":"ITEM-1","itemData":{"DOI":"10.4154/gc.2019.24","ISSN":"1330030X","abstract":"After construction of a dam impounding water in a reservoir, a monolithic seepage field develops in the surrounding rock mass. Here, a new finite element method is proposed for determining the shape and characteristics of the 3D monolithic seepage field including the free surface, considering complex drainage systems consisting of densely-spaced drainage holes and drainage galleries. To this end, the previously proposed virtual flux method is improved by a refined numerical integration scheme and a regularized Heaviside function for distinguishing the subre-gions below and above the free surface within a particular finite element. Leakage and overflow drainage holes are modeled as internal boundaries. The proposed numerical method is verified by an academic example, for which the analytical solution is available. Finally, the numerical simulation of the seepage field developing in the vicinity of a high dam and underground power house, constructed in the context of a hydropower plant project in China is used to show its application to a problem in engineering practice.","author":[{"dropping-particle":"","family":"Jun","given":"Yan","non-dropping-particle":"","parse-names":false,"suffix":""},{"dropping-particle":"","family":"Si-hong","given":"Liu","non-dropping-particle":"","parse-names":false,"suffix":""},{"dropping-particle":"","family":"Ying-qi","given":"Wei","non-dropping-particle":"","parse-names":false,"suffix":""},{"dropping-particle":"","family":"Song-li","given":"Jin","non-dropping-particle":"","parse-names":false,"suffix":""},{"dropping-particle":"","family":"Hong","given":"Cai","non-dropping-particle":"","parse-names":false,"suffix":""},{"dropping-particle":"","family":"Jian-zhang","given":"Xiao","non-dropping-particle":"","parse-names":false,"suffix":""}],"container-title":"Geologia Croatica","id":"ITEM-1","issue":"Special issue","issued":{"date-parts":[["2019","12"]]},"page":"47-56","title":"A new numerical method for the analysis of monolithic seepage problems with complex drainage systems in a groundwater recharge area for a hydropower station in China","type":"article-journal","volume":"72"},"uris":["http://www.mendeley.com/documents/?uuid=7d600ed4-dc21-4e29-a4e9-f8c29bd43570","http://www.mendeley.com/documents/?uuid=47f22a77-ce4c-4f6e-825a-200f2158b239","http://www.mendeley.com/documents/?uuid=3ff0c759-1dd2-4e1d-a9ad-221af2866a6e"]}],"mendeley":{"formattedCitation":"[125]","plainTextFormattedCitation":"[125]","previouslyFormattedCitation":"[125]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[125]</w:t>
      </w:r>
      <w:r w:rsidRPr="00051297">
        <w:rPr>
          <w:rFonts w:cs="Times New Roman"/>
          <w:szCs w:val="24"/>
        </w:rPr>
        <w:fldChar w:fldCharType="end"/>
      </w:r>
      <w:r w:rsidRPr="00051297">
        <w:rPr>
          <w:rFonts w:cs="Times New Roman"/>
          <w:szCs w:val="24"/>
          <w:lang w:val="en-US"/>
        </w:rPr>
        <w:t>: Inclined or vertical filter (chimney filter)</w:t>
      </w:r>
      <w:r w:rsidR="00BC7CF3">
        <w:rPr>
          <w:rFonts w:cs="Times New Roman"/>
          <w:szCs w:val="24"/>
          <w:lang w:val="en-US"/>
        </w:rPr>
        <w:t xml:space="preserve">; </w:t>
      </w:r>
      <w:r w:rsidRPr="00051297">
        <w:rPr>
          <w:rFonts w:cs="Times New Roman"/>
          <w:szCs w:val="24"/>
          <w:lang w:val="en-US"/>
        </w:rPr>
        <w:t>Horizontal filter</w:t>
      </w:r>
      <w:r w:rsidR="00BC7CF3">
        <w:rPr>
          <w:rFonts w:cs="Times New Roman"/>
          <w:szCs w:val="24"/>
          <w:lang w:val="en-US"/>
        </w:rPr>
        <w:t xml:space="preserve">; </w:t>
      </w:r>
      <w:r w:rsidRPr="00051297">
        <w:rPr>
          <w:rFonts w:cs="Times New Roman"/>
          <w:szCs w:val="24"/>
          <w:lang w:val="en-US"/>
        </w:rPr>
        <w:t>Rock toe</w:t>
      </w:r>
      <w:r w:rsidR="00BC7CF3">
        <w:rPr>
          <w:rFonts w:cs="Times New Roman"/>
          <w:szCs w:val="24"/>
          <w:lang w:val="en-US"/>
        </w:rPr>
        <w:t xml:space="preserve">; </w:t>
      </w:r>
      <w:r w:rsidRPr="00051297">
        <w:rPr>
          <w:rFonts w:cs="Times New Roman"/>
          <w:szCs w:val="24"/>
          <w:lang w:val="en-US"/>
        </w:rPr>
        <w:t>Toe drain.</w:t>
      </w:r>
    </w:p>
    <w:p w14:paraId="34FDEED4" w14:textId="6735635A" w:rsidR="00051297" w:rsidRPr="00051297" w:rsidRDefault="00051297" w:rsidP="00051297">
      <w:pPr>
        <w:rPr>
          <w:rFonts w:cs="Times New Roman"/>
          <w:szCs w:val="24"/>
          <w:lang w:val="en-US"/>
        </w:rPr>
      </w:pPr>
      <w:r w:rsidRPr="00051297">
        <w:rPr>
          <w:rFonts w:cs="Times New Roman"/>
          <w:szCs w:val="24"/>
          <w:lang w:val="en-US"/>
        </w:rPr>
        <w:t xml:space="preserve">Sand, gravel, and other locally available materials should be used whenever possible. Only the downstream slope of the core has an inclined or vertical filter. It is kept at least 1.0 m thick. The seepage from the chimney filter and foundation is collected by the horizontal filter and carried to the rock toe and toe drain. It is kept to a maximum thickness of 1.0 m. Filter and neighboring soil (casing or foundation) should meet the standard filter requirement. In dam sections with a water head of less than 3 meters, a chimney filter or a horizontal filter are not required. However, proper toe protection is required. The height of the rock toe is usually given as 0.2 H, where H is the embankment height. However, the minimal height of the rock toe is maintained at 1.0 m. A rock toe is not required when the embankment height is less than 3 meters </w:t>
      </w:r>
      <w:r w:rsidRPr="00051297">
        <w:rPr>
          <w:rFonts w:cs="Times New Roman"/>
          <w:szCs w:val="24"/>
        </w:rPr>
        <w:fldChar w:fldCharType="begin" w:fldLock="1"/>
      </w:r>
      <w:r w:rsidR="00FA5896">
        <w:rPr>
          <w:rFonts w:cs="Times New Roman"/>
          <w:szCs w:val="24"/>
          <w:lang w:val="en-US"/>
        </w:rPr>
        <w:instrText>ADDIN CSL_CITATION {"citationItems":[{"id":"ITEM-1","itemData":{"DOI":"10.5377/nexo.v32i02.9263","ISSN":"1818-6742","abstract":"The drainage system is used to guide the flow of water in the earth dams. Construction of drainage in the dam body to collect and direct the drainage formed in the dam body to keep the slope dry and prevent the increase of pore water pressure in the body. One of the main goals of the designers is to find the minimum factor of safety and, consequently, reduce the cost of construction. In this study, the Marvak dam is modeled with the actual characteristics of the materials in the Geostudio software, and with the change in the dimensions of the drain, the material and the slope of the dam body, the minimum Factor of safety of the dam is obtained. In order to predict the minimum Factor of safety, a two-layer neural network has been used. With the training of the neural network based on the data obtained from heterogeneous dams, a minimum Factor of safety has been extracted for optimization of drainage. Finally, it was determined that the internal friction angle of the body material and the slope of the dam have the greatest effect on the dam factor of safety.","author":[{"dropping-particle":"","family":"Beiranvand","given":"B.","non-dropping-particle":"","parse-names":false,"suffix":""},{"dropping-particle":"","family":"Mohammadzade","given":"A.","non-dropping-particle":"","parse-names":false,"suffix":""},{"dropping-particle":"","family":"Komasi","given":"M.","non-dropping-particle":"","parse-names":false,"suffix":""}],"container-title":"Nexo Revista Científica","id":"ITEM-1","issued":{"date-parts":[["2019"]]},"title":"Effect of different parameters of heterogeneous dams on safety factor using the neural network. Case study: Marvan dam","type":"article-journal"},"uris":["http://www.mendeley.com/documents/?uuid=e17b14c1-499f-4e7b-ae7a-3a31636c6a8b","http://www.mendeley.com/documents/?uuid=9e476072-0141-431a-bd31-94ab18dcafb5","http://www.mendeley.com/documents/?uuid=79bf9a7f-8c68-4fdd-82cb-3c7a2b64c45b"]}],"mendeley":{"formattedCitation":"[126]","plainTextFormattedCitation":"[126]","previouslyFormattedCitation":"[126]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[126]</w:t>
      </w:r>
      <w:r w:rsidRPr="00051297">
        <w:rPr>
          <w:rFonts w:cs="Times New Roman"/>
          <w:szCs w:val="24"/>
        </w:rPr>
        <w:fldChar w:fldCharType="end"/>
      </w:r>
      <w:r w:rsidRPr="00051297">
        <w:rPr>
          <w:rFonts w:cs="Times New Roman"/>
          <w:szCs w:val="24"/>
          <w:lang w:val="en-US"/>
        </w:rPr>
        <w:t xml:space="preserve">. </w:t>
      </w:r>
    </w:p>
    <w:p w14:paraId="0CBFFEE7" w14:textId="06F855C0" w:rsidR="00051297" w:rsidRPr="00051297" w:rsidRDefault="00051297" w:rsidP="00051297">
      <w:pPr>
        <w:rPr>
          <w:rFonts w:cs="Times New Roman"/>
          <w:szCs w:val="24"/>
          <w:lang w:val="en-US"/>
        </w:rPr>
      </w:pPr>
      <w:r w:rsidRPr="00051297">
        <w:rPr>
          <w:rFonts w:cs="Times New Roman"/>
          <w:szCs w:val="24"/>
          <w:lang w:val="en-US"/>
        </w:rPr>
        <w:t xml:space="preserve">The toe drain is located at the earth dam's downstream toe to collect seepage from the horizontal filter, rock toe, and foundation and discharge it into suitable surface or subsurface drains. The drain portion should be large enough to carry seepage. To divert seepage to natural drains, the bed of the toe drain should be sloped appropriately. Toe drains are typically 1.5 m deep, </w:t>
      </w:r>
      <w:r w:rsidRPr="00051297">
        <w:rPr>
          <w:rFonts w:cs="Times New Roman"/>
          <w:szCs w:val="24"/>
          <w:lang w:val="en-US"/>
        </w:rPr>
        <w:lastRenderedPageBreak/>
        <w:t xml:space="preserve">with a minimum bottom width of 1.0 m and 1:1 side slopes. With the base material, the filter material must meet the following characteristics </w:t>
      </w:r>
      <w:r w:rsidRPr="00051297">
        <w:rPr>
          <w:rFonts w:cs="Times New Roman"/>
          <w:szCs w:val="24"/>
        </w:rPr>
        <w:fldChar w:fldCharType="begin" w:fldLock="1"/>
      </w:r>
      <w:r w:rsidR="00FA5896">
        <w:rPr>
          <w:rFonts w:cs="Times New Roman"/>
          <w:szCs w:val="24"/>
          <w:lang w:val="en-US"/>
        </w:rPr>
        <w:instrText>ADDIN CSL_CITATION {"citationItems":[{"id":"ITEM-1","itemData":{"DOI":"10.1061/(ASCE)0733-9410(1983)109:5(682)","ISSN":"0733-9410","abstract":"The current design practice for filters in earth and rock fill dams is an outgrowth of a well known concept proposed by Terzaghi. The main effect of amplifications that investigators have added to the Terzaghi criteria is to permit the use of widely graded sand-gravel mixtures as filter materials. The use of these criteria without consideration of the erodibility characteristics of the core material and crack potential of the filter has caused near failure and total failure of several dams. A new method is presented for quantifying the erodibility of soils based on the use of critical shear stress, TC, developed due to hydraulic flow in the cracked zone of a dam. The limitation of the classification proposed for evaluating erosion from a knowledge of Atterberg limits of soils is considered. A direct correlation between the critical shear stress required to cause erosion and the piping failure of several dams whose filters were designed under the Terzaghi criteria, is presented. Core fines with TC values less than 4&lt;inf&gt;dynes&lt;/inf&gt;/cm&lt;sup&gt;2&lt;/sup&gt; have been shown to be one of the contributing factors causing piping failure of dams. The need to correctly quantify erodibility and to carry out filtration tests using the eroded fines and proposed filter material is recommended for the safe design of protective filters. Research is necessary to determine the percent of fines less than #200 sieve size needed in a filter in order that it will retain fines which have been eroded and also so that it will not sustain a transverse crack. © ASCE.","author":[{"dropping-particle":"","family":"Arulanandan","given":"K.","non-dropping-particle":"","parse-names":false,"suffix":""},{"dropping-particle":"","family":"Perry","given":"Edward B.","non-dropping-particle":"","parse-names":false,"suffix":""}],"container-title":"Journal of Geotechnical Engineering","id":"ITEM-1","issued":{"date-parts":[["1983"]]},"title":"Erosion in relation to filter design criteria in Earth Dams","type":"article-journal"},"uris":["http://www.mendeley.com/documents/?uuid=3fba9fb9-a151-43a0-b4f3-9086e64fefd0","http://www.mendeley.com/documents/?uuid=9b466bc4-7144-4252-a69d-cb54b524842f","http://www.mendeley.com/documents/?uuid=330ebeda-7f2e-4851-9690-abb3c243555e"]}],"mendeley":{"formattedCitation":"[127]","plainTextFormattedCitation":"[127]","previouslyFormattedCitation":"[127]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[127]</w:t>
      </w:r>
      <w:r w:rsidRPr="00051297">
        <w:rPr>
          <w:rFonts w:cs="Times New Roman"/>
          <w:szCs w:val="24"/>
        </w:rPr>
        <w:fldChar w:fldCharType="end"/>
      </w:r>
      <w:r w:rsidRPr="00051297">
        <w:rPr>
          <w:rFonts w:cs="Times New Roman"/>
          <w:szCs w:val="24"/>
          <w:lang w:val="en-U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425C78" w14:paraId="4C52F360" w14:textId="77777777" w:rsidTr="00D20B01">
        <w:tc>
          <w:tcPr>
            <w:tcW w:w="257" w:type="dxa"/>
          </w:tcPr>
          <w:p w14:paraId="3CA2AD20" w14:textId="77777777" w:rsidR="00051297" w:rsidRPr="00051297" w:rsidRDefault="00051297" w:rsidP="00051297">
            <w:pPr>
              <w:spacing w:after="160"/>
              <w:rPr>
                <w:szCs w:val="24"/>
                <w:lang w:val="en-US"/>
              </w:rPr>
            </w:pPr>
          </w:p>
        </w:tc>
        <w:tc>
          <w:tcPr>
            <w:tcW w:w="7592" w:type="dxa"/>
          </w:tcPr>
          <w:p w14:paraId="47D869DC" w14:textId="77777777" w:rsidR="00051297" w:rsidRPr="00051297" w:rsidRDefault="00536556" w:rsidP="00051297">
            <w:pPr>
              <w:spacing w:after="160"/>
              <w:rPr>
                <w:szCs w:val="24"/>
                <w:lang w:val="en-US"/>
              </w:rPr>
            </w:pPr>
            <m:oMathPara>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D</m:t>
                        </m:r>
                      </m:e>
                      <m:sub>
                        <m:r>
                          <w:rPr>
                            <w:rFonts w:ascii="Cambria Math" w:hAnsi="Cambria Math"/>
                            <w:szCs w:val="24"/>
                            <w:lang w:val="en-US"/>
                          </w:rPr>
                          <m:t>15 (</m:t>
                        </m:r>
                        <m:r>
                          <w:rPr>
                            <w:rFonts w:ascii="Cambria Math" w:hAnsi="Cambria Math"/>
                            <w:szCs w:val="24"/>
                          </w:rPr>
                          <m:t>filter</m:t>
                        </m:r>
                        <m:r>
                          <w:rPr>
                            <w:rFonts w:ascii="Cambria Math" w:hAnsi="Cambria Math"/>
                            <w:szCs w:val="24"/>
                            <w:lang w:val="en-US"/>
                          </w:rPr>
                          <m:t xml:space="preserve"> </m:t>
                        </m:r>
                        <m:r>
                          <w:rPr>
                            <w:rFonts w:ascii="Cambria Math" w:hAnsi="Cambria Math"/>
                            <w:szCs w:val="24"/>
                          </w:rPr>
                          <m:t>material</m:t>
                        </m:r>
                      </m:sub>
                    </m:sSub>
                  </m:num>
                  <m:den>
                    <m:sSub>
                      <m:sSubPr>
                        <m:ctrlPr>
                          <w:rPr>
                            <w:rFonts w:ascii="Cambria Math" w:hAnsi="Cambria Math"/>
                            <w:i/>
                            <w:szCs w:val="24"/>
                          </w:rPr>
                        </m:ctrlPr>
                      </m:sSubPr>
                      <m:e>
                        <m:r>
                          <w:rPr>
                            <w:rFonts w:ascii="Cambria Math" w:hAnsi="Cambria Math"/>
                            <w:szCs w:val="24"/>
                          </w:rPr>
                          <m:t>D</m:t>
                        </m:r>
                      </m:e>
                      <m:sub>
                        <m:r>
                          <w:rPr>
                            <w:rFonts w:ascii="Cambria Math" w:hAnsi="Cambria Math"/>
                            <w:szCs w:val="24"/>
                            <w:lang w:val="en-US"/>
                          </w:rPr>
                          <m:t>15 (</m:t>
                        </m:r>
                        <m:r>
                          <w:rPr>
                            <w:rFonts w:ascii="Cambria Math" w:hAnsi="Cambria Math"/>
                            <w:szCs w:val="24"/>
                          </w:rPr>
                          <m:t>base</m:t>
                        </m:r>
                        <m:r>
                          <w:rPr>
                            <w:rFonts w:ascii="Cambria Math" w:hAnsi="Cambria Math"/>
                            <w:szCs w:val="24"/>
                            <w:lang w:val="en-US"/>
                          </w:rPr>
                          <m:t xml:space="preserve"> </m:t>
                        </m:r>
                        <m:r>
                          <w:rPr>
                            <w:rFonts w:ascii="Cambria Math" w:hAnsi="Cambria Math"/>
                            <w:szCs w:val="24"/>
                          </w:rPr>
                          <m:t>material</m:t>
                        </m:r>
                        <m:r>
                          <w:rPr>
                            <w:rFonts w:ascii="Cambria Math" w:hAnsi="Cambria Math"/>
                            <w:szCs w:val="24"/>
                            <w:lang w:val="en-US"/>
                          </w:rPr>
                          <m:t>)</m:t>
                        </m:r>
                      </m:sub>
                    </m:sSub>
                  </m:den>
                </m:f>
                <m:r>
                  <w:rPr>
                    <w:rFonts w:ascii="Cambria Math" w:hAnsi="Cambria Math"/>
                    <w:szCs w:val="24"/>
                    <w:lang w:val="en-US"/>
                  </w:rPr>
                  <m:t xml:space="preserve">=4 </m:t>
                </m:r>
                <m:r>
                  <w:rPr>
                    <w:rFonts w:ascii="Cambria Math" w:hAnsi="Cambria Math"/>
                    <w:szCs w:val="24"/>
                  </w:rPr>
                  <m:t>to</m:t>
                </m:r>
                <m:r>
                  <w:rPr>
                    <w:rFonts w:ascii="Cambria Math" w:hAnsi="Cambria Math"/>
                    <w:szCs w:val="24"/>
                    <w:lang w:val="en-US"/>
                  </w:rPr>
                  <m:t xml:space="preserve"> 20</m:t>
                </m:r>
              </m:oMath>
            </m:oMathPara>
          </w:p>
        </w:tc>
        <w:tc>
          <w:tcPr>
            <w:tcW w:w="1505" w:type="dxa"/>
          </w:tcPr>
          <w:p w14:paraId="5461F077" w14:textId="400CDA41" w:rsidR="00051297" w:rsidRPr="00DF6C77" w:rsidRDefault="00051297" w:rsidP="00051297">
            <w:pPr>
              <w:spacing w:after="160"/>
              <w:rPr>
                <w:lang w:val="en-US"/>
              </w:rPr>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11</w:t>
            </w:r>
            <w:r w:rsidRPr="00051297">
              <w:rPr>
                <w:szCs w:val="24"/>
                <w:lang w:val="en-US"/>
              </w:rPr>
              <w:fldChar w:fldCharType="end"/>
            </w:r>
            <w:r w:rsidRPr="00051297">
              <w:rPr>
                <w:szCs w:val="24"/>
                <w:lang w:val="en-US"/>
              </w:rPr>
              <w:t>)</w:t>
            </w:r>
          </w:p>
        </w:tc>
      </w:tr>
      <w:tr w:rsidR="00051297" w:rsidRPr="00425C78" w14:paraId="6740A777" w14:textId="77777777" w:rsidTr="00D20B01">
        <w:tc>
          <w:tcPr>
            <w:tcW w:w="257" w:type="dxa"/>
          </w:tcPr>
          <w:p w14:paraId="254F842A" w14:textId="77777777" w:rsidR="00051297" w:rsidRPr="00051297" w:rsidRDefault="00051297" w:rsidP="00051297">
            <w:pPr>
              <w:spacing w:after="160"/>
              <w:rPr>
                <w:szCs w:val="24"/>
                <w:lang w:val="en-US"/>
              </w:rPr>
            </w:pPr>
          </w:p>
        </w:tc>
        <w:tc>
          <w:tcPr>
            <w:tcW w:w="7592" w:type="dxa"/>
          </w:tcPr>
          <w:p w14:paraId="768E1460" w14:textId="77777777" w:rsidR="00051297" w:rsidRPr="00051297" w:rsidRDefault="00536556" w:rsidP="00051297">
            <w:pPr>
              <w:spacing w:after="160"/>
              <w:rPr>
                <w:szCs w:val="24"/>
                <w:lang w:val="en-US"/>
              </w:rPr>
            </w:pPr>
            <m:oMathPara>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D</m:t>
                        </m:r>
                      </m:e>
                      <m:sub>
                        <m:r>
                          <w:rPr>
                            <w:rFonts w:ascii="Cambria Math" w:hAnsi="Cambria Math"/>
                            <w:szCs w:val="24"/>
                            <w:lang w:val="en-US"/>
                          </w:rPr>
                          <m:t>15 (</m:t>
                        </m:r>
                        <m:r>
                          <w:rPr>
                            <w:rFonts w:ascii="Cambria Math" w:hAnsi="Cambria Math"/>
                            <w:szCs w:val="24"/>
                          </w:rPr>
                          <m:t>filter</m:t>
                        </m:r>
                        <m:r>
                          <w:rPr>
                            <w:rFonts w:ascii="Cambria Math" w:hAnsi="Cambria Math"/>
                            <w:szCs w:val="24"/>
                            <w:lang w:val="en-US"/>
                          </w:rPr>
                          <m:t xml:space="preserve"> </m:t>
                        </m:r>
                        <m:r>
                          <w:rPr>
                            <w:rFonts w:ascii="Cambria Math" w:hAnsi="Cambria Math"/>
                            <w:szCs w:val="24"/>
                          </w:rPr>
                          <m:t>material</m:t>
                        </m:r>
                        <m:r>
                          <w:rPr>
                            <w:rFonts w:ascii="Cambria Math" w:hAnsi="Cambria Math"/>
                            <w:szCs w:val="24"/>
                            <w:lang w:val="en-US"/>
                          </w:rPr>
                          <m:t>)</m:t>
                        </m:r>
                      </m:sub>
                    </m:sSub>
                  </m:num>
                  <m:den>
                    <m:sSub>
                      <m:sSubPr>
                        <m:ctrlPr>
                          <w:rPr>
                            <w:rFonts w:ascii="Cambria Math" w:hAnsi="Cambria Math"/>
                            <w:i/>
                            <w:szCs w:val="24"/>
                          </w:rPr>
                        </m:ctrlPr>
                      </m:sSubPr>
                      <m:e>
                        <m:r>
                          <w:rPr>
                            <w:rFonts w:ascii="Cambria Math" w:hAnsi="Cambria Math"/>
                            <w:szCs w:val="24"/>
                          </w:rPr>
                          <m:t>D</m:t>
                        </m:r>
                      </m:e>
                      <m:sub>
                        <m:r>
                          <w:rPr>
                            <w:rFonts w:ascii="Cambria Math" w:hAnsi="Cambria Math"/>
                            <w:szCs w:val="24"/>
                            <w:lang w:val="en-US"/>
                          </w:rPr>
                          <m:t>25 (</m:t>
                        </m:r>
                        <m:r>
                          <w:rPr>
                            <w:rFonts w:ascii="Cambria Math" w:hAnsi="Cambria Math"/>
                            <w:szCs w:val="24"/>
                          </w:rPr>
                          <m:t>base</m:t>
                        </m:r>
                        <m:r>
                          <w:rPr>
                            <w:rFonts w:ascii="Cambria Math" w:hAnsi="Cambria Math"/>
                            <w:szCs w:val="24"/>
                            <w:lang w:val="en-US"/>
                          </w:rPr>
                          <m:t xml:space="preserve"> </m:t>
                        </m:r>
                        <m:r>
                          <w:rPr>
                            <w:rFonts w:ascii="Cambria Math" w:hAnsi="Cambria Math"/>
                            <w:szCs w:val="24"/>
                          </w:rPr>
                          <m:t>material</m:t>
                        </m:r>
                        <m:r>
                          <w:rPr>
                            <w:rFonts w:ascii="Cambria Math" w:hAnsi="Cambria Math"/>
                            <w:szCs w:val="24"/>
                            <w:lang w:val="en-US"/>
                          </w:rPr>
                          <m:t>)</m:t>
                        </m:r>
                      </m:sub>
                    </m:sSub>
                  </m:den>
                </m:f>
                <m:r>
                  <w:rPr>
                    <w:rFonts w:ascii="Cambria Math" w:hAnsi="Cambria Math"/>
                    <w:szCs w:val="24"/>
                    <w:lang w:val="en-US"/>
                  </w:rPr>
                  <m:t>&lt;5</m:t>
                </m:r>
              </m:oMath>
            </m:oMathPara>
          </w:p>
        </w:tc>
        <w:tc>
          <w:tcPr>
            <w:tcW w:w="1505" w:type="dxa"/>
          </w:tcPr>
          <w:p w14:paraId="43B08DE7" w14:textId="50303CFF" w:rsidR="00051297" w:rsidRPr="00DF6C77" w:rsidRDefault="00051297" w:rsidP="00051297">
            <w:pPr>
              <w:spacing w:after="160"/>
              <w:rPr>
                <w:lang w:val="en-US"/>
              </w:rPr>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12</w:t>
            </w:r>
            <w:r w:rsidRPr="00051297">
              <w:rPr>
                <w:szCs w:val="24"/>
                <w:lang w:val="en-US"/>
              </w:rPr>
              <w:fldChar w:fldCharType="end"/>
            </w:r>
            <w:r w:rsidRPr="00051297">
              <w:rPr>
                <w:szCs w:val="24"/>
                <w:lang w:val="en-US"/>
              </w:rPr>
              <w:t>)</w:t>
            </w:r>
          </w:p>
        </w:tc>
      </w:tr>
    </w:tbl>
    <w:p w14:paraId="36656430" w14:textId="0DA4D8F6" w:rsidR="00051297" w:rsidRPr="00051297" w:rsidRDefault="00051297" w:rsidP="00051297">
      <w:pPr>
        <w:rPr>
          <w:rFonts w:cs="Times New Roman"/>
          <w:szCs w:val="24"/>
          <w:lang w:val="en-US"/>
        </w:rPr>
      </w:pPr>
      <w:r w:rsidRPr="00051297">
        <w:rPr>
          <w:rFonts w:cs="Times New Roman"/>
          <w:szCs w:val="24"/>
          <w:lang w:val="en-US"/>
        </w:rPr>
        <w:t xml:space="preserve">Even if a filter meets all of the above criteria, it may still fail if it has an excess or shortage of specific sizes or if it is not graded equally. In such instances, the following requirements must be met </w:t>
      </w:r>
      <w:r w:rsidRPr="00051297">
        <w:rPr>
          <w:rFonts w:cs="Times New Roman"/>
          <w:szCs w:val="24"/>
        </w:rPr>
        <w:fldChar w:fldCharType="begin" w:fldLock="1"/>
      </w:r>
      <w:r w:rsidR="00FA5896">
        <w:rPr>
          <w:rFonts w:cs="Times New Roman"/>
          <w:szCs w:val="24"/>
          <w:lang w:val="en-US"/>
        </w:rPr>
        <w:instrText>ADDIN CSL_CITATION {"citationItems":[{"id":"ITEM-1","itemData":{"DOI":"10.1061/(ASCE)0733-9410(1983)109:5(682)","ISSN":"0733-9410","abstract":"The current design practice for filters in earth and rock fill dams is an outgrowth of a well known concept proposed by Terzaghi. The main effect of amplifications that investigators have added to the Terzaghi criteria is to permit the use of widely graded sand-gravel mixtures as filter materials. The use of these criteria without consideration of the erodibility characteristics of the core material and crack potential of the filter has caused near failure and total failure of several dams. A new method is presented for quantifying the erodibility of soils based on the use of critical shear stress, TC, developed due to hydraulic flow in the cracked zone of a dam. The limitation of the classification proposed for evaluating erosion from a knowledge of Atterberg limits of soils is considered. A direct correlation between the critical shear stress required to cause erosion and the piping failure of several dams whose filters were designed under the Terzaghi criteria, is presented. Core fines with TC values less than 4&lt;inf&gt;dynes&lt;/inf&gt;/cm&lt;sup&gt;2&lt;/sup&gt; have been shown to be one of the contributing factors causing piping failure of dams. The need to correctly quantify erodibility and to carry out filtration tests using the eroded fines and proposed filter material is recommended for the safe design of protective filters. Research is necessary to determine the percent of fines less than #200 sieve size needed in a filter in order that it will retain fines which have been eroded and also so that it will not sustain a transverse crack. © ASCE.","author":[{"dropping-particle":"","family":"Arulanandan","given":"K.","non-dropping-particle":"","parse-names":false,"suffix":""},{"dropping-particle":"","family":"Perry","given":"Edward B.","non-dropping-particle":"","parse-names":false,"suffix":""}],"container-title":"Journal of Geotechnical Engineering","id":"ITEM-1","issued":{"date-parts":[["1983"]]},"title":"Erosion in relation to filter design criteria in Earth Dams","type":"article-journal"},"uris":["http://www.mendeley.com/documents/?uuid=330ebeda-7f2e-4851-9690-abb3c243555e","http://www.mendeley.com/documents/?uuid=3fba9fb9-a151-43a0-b4f3-9086e64fefd0","http://www.mendeley.com/documents/?uuid=9b466bc4-7144-4252-a69d-cb54b524842f"]}],"mendeley":{"formattedCitation":"[127]","plainTextFormattedCitation":"[127]","previouslyFormattedCitation":"[127]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[127]</w:t>
      </w:r>
      <w:r w:rsidRPr="00051297">
        <w:rPr>
          <w:rFonts w:cs="Times New Roman"/>
          <w:szCs w:val="24"/>
        </w:rPr>
        <w:fldChar w:fldCharType="end"/>
      </w:r>
      <w:r w:rsidRPr="00051297">
        <w:rPr>
          <w:rFonts w:cs="Times New Roman"/>
          <w:szCs w:val="24"/>
          <w:lang w:val="en-U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051297" w14:paraId="4A61A835" w14:textId="77777777" w:rsidTr="00D20B01">
        <w:tc>
          <w:tcPr>
            <w:tcW w:w="265" w:type="dxa"/>
          </w:tcPr>
          <w:p w14:paraId="6AC144C0" w14:textId="77777777" w:rsidR="00051297" w:rsidRPr="00051297" w:rsidRDefault="00051297" w:rsidP="00051297">
            <w:pPr>
              <w:spacing w:after="160"/>
              <w:rPr>
                <w:szCs w:val="24"/>
                <w:lang w:val="en-US"/>
              </w:rPr>
            </w:pPr>
          </w:p>
        </w:tc>
        <w:tc>
          <w:tcPr>
            <w:tcW w:w="8820" w:type="dxa"/>
          </w:tcPr>
          <w:p w14:paraId="13776640" w14:textId="77777777" w:rsidR="00051297" w:rsidRPr="00051297" w:rsidRDefault="00536556" w:rsidP="00051297">
            <w:pPr>
              <w:spacing w:after="160"/>
              <w:rPr>
                <w:szCs w:val="24"/>
              </w:rPr>
            </w:pPr>
            <m:oMathPara>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D</m:t>
                        </m:r>
                      </m:e>
                      <m:sub>
                        <m:r>
                          <w:rPr>
                            <w:rFonts w:ascii="Cambria Math" w:hAnsi="Cambria Math"/>
                            <w:szCs w:val="24"/>
                          </w:rPr>
                          <m:t>50 (filter material)</m:t>
                        </m:r>
                      </m:sub>
                    </m:sSub>
                  </m:num>
                  <m:den>
                    <m:sSub>
                      <m:sSubPr>
                        <m:ctrlPr>
                          <w:rPr>
                            <w:rFonts w:ascii="Cambria Math" w:hAnsi="Cambria Math"/>
                            <w:i/>
                            <w:szCs w:val="24"/>
                          </w:rPr>
                        </m:ctrlPr>
                      </m:sSubPr>
                      <m:e>
                        <m:r>
                          <w:rPr>
                            <w:rFonts w:ascii="Cambria Math" w:hAnsi="Cambria Math"/>
                            <w:szCs w:val="24"/>
                          </w:rPr>
                          <m:t>D</m:t>
                        </m:r>
                      </m:e>
                      <m:sub>
                        <m:r>
                          <w:rPr>
                            <w:rFonts w:ascii="Cambria Math" w:hAnsi="Cambria Math"/>
                            <w:szCs w:val="24"/>
                          </w:rPr>
                          <m:t>50 (base material)</m:t>
                        </m:r>
                      </m:sub>
                    </m:sSub>
                  </m:den>
                </m:f>
                <m:r>
                  <w:rPr>
                    <w:rFonts w:ascii="Cambria Math" w:hAnsi="Cambria Math"/>
                    <w:szCs w:val="24"/>
                  </w:rPr>
                  <m:t>&lt;25</m:t>
                </m:r>
              </m:oMath>
            </m:oMathPara>
          </w:p>
        </w:tc>
        <w:tc>
          <w:tcPr>
            <w:tcW w:w="265" w:type="dxa"/>
          </w:tcPr>
          <w:p w14:paraId="669A5953" w14:textId="147AE9C7" w:rsidR="00051297" w:rsidRPr="00051297" w:rsidRDefault="00051297" w:rsidP="00051297">
            <w:pPr>
              <w:spacing w:after="160"/>
            </w:pPr>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1</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13</w:t>
            </w:r>
            <w:r w:rsidRPr="00051297">
              <w:rPr>
                <w:szCs w:val="24"/>
              </w:rPr>
              <w:fldChar w:fldCharType="end"/>
            </w:r>
            <w:r w:rsidRPr="00051297">
              <w:rPr>
                <w:szCs w:val="24"/>
              </w:rPr>
              <w:t>)</w:t>
            </w:r>
          </w:p>
        </w:tc>
      </w:tr>
    </w:tbl>
    <w:p w14:paraId="1F7ED80A" w14:textId="16CA586C" w:rsidR="00051297" w:rsidRPr="00051297" w:rsidRDefault="00051297" w:rsidP="0079595C">
      <w:pPr>
        <w:pStyle w:val="4"/>
      </w:pPr>
      <w:bookmarkStart w:id="232" w:name="_Toc97504742"/>
      <w:bookmarkStart w:id="233" w:name="_Toc103543876"/>
      <w:bookmarkStart w:id="234" w:name="_Toc104985200"/>
      <w:r w:rsidRPr="00051297">
        <w:t>Slope protection</w:t>
      </w:r>
      <w:bookmarkEnd w:id="232"/>
      <w:bookmarkEnd w:id="233"/>
      <w:bookmarkEnd w:id="234"/>
    </w:p>
    <w:p w14:paraId="6032C8DA" w14:textId="5B4EE201" w:rsidR="00051297" w:rsidRPr="00051297" w:rsidRDefault="00051297" w:rsidP="00051297">
      <w:pPr>
        <w:rPr>
          <w:rFonts w:cs="Times New Roman"/>
          <w:szCs w:val="24"/>
        </w:rPr>
      </w:pPr>
      <w:r w:rsidRPr="00051297">
        <w:rPr>
          <w:rFonts w:cs="Times New Roman"/>
          <w:szCs w:val="24"/>
          <w:lang w:val="en-US"/>
        </w:rPr>
        <w:t xml:space="preserve">The protection of the upstream slope is ensured by the use of riprap. Up to the crest of the dam, a minimum of 300 mm thick riprap over a 150 mm thick filter layer may be installed. The protection of the downstream slope is provided by turfing or riprap. It is common practice to provide appropriate turfing on the entire downstream slope from top to bottom to protect the downstream slope from rain </w:t>
      </w:r>
      <w:r w:rsidRPr="00051297">
        <w:rPr>
          <w:rFonts w:cs="Times New Roman"/>
          <w:szCs w:val="24"/>
        </w:rPr>
        <w:fldChar w:fldCharType="begin" w:fldLock="1"/>
      </w:r>
      <w:r w:rsidR="00FA5896">
        <w:rPr>
          <w:rFonts w:cs="Times New Roman"/>
          <w:szCs w:val="24"/>
          <w:lang w:val="en-US"/>
        </w:rPr>
        <w:instrText>ADDIN CSL_CITATION {"citationItems":[{"id":"ITEM-1","itemData":{"DOI":"10.1007/s12205-021-1078-6","ISSN":"1226-7988","abstract":"Since domestic reservoirs are mainly soil-fill dams, slope protection measures are necessary to prevent erosion, weathering, and wave-induced loss of soil, and riprap is the most common slope protection method. Although design standards for riprap at fill dams are provided in National Design Standard of Korea, they use out-of-date criteria based largely on overseas standards that may not be applicable to the Korean context. This study aimed to identify problems with the current design standards by comparing them with overseas standards, and to suggest directions for improving Korean standards through investigations of existing embankments. The review found that domestic design standards restrict the quality and maximum particle size of stone used for riprap. Much of the design criteria are based on past surveys of the performance record for fill dams conducted by the US Army Corps of Engineers. So this can be unsuitable for changes in modern technology and environmental conditions in Korea. More recent design trends suggest riprap size using an experimental formula, which is numerically different from the data presented in domestic design standards, and this may lead to unstable and uneconomic dams. In addition, various factors such as the shape, weight, and gradation of the riprap can also have a strong influence on riprap stability. The results of the survey show that current condition of the riprap protection is different from the domestic design standard, but it is judged that the stability is satisfied with the overseas design standards. In the field survey, 12 sites were selected in consideration of regional distribution. The results of the survey show that current condition of the riprap protection is different from the domestic design standard, but it is judged that the stability is satisfied with the overseas design standards.","author":[{"dropping-particle":"","family":"Kim","given":"Tae Jin","non-dropping-particle":"","parse-names":false,"suffix":""},{"dropping-particle":"","family":"Kim","given":"Dong Geun","non-dropping-particle":"","parse-names":false,"suffix":""},{"dropping-particle":"","family":"Jeon","given":"Ji Hun","non-dropping-particle":"","parse-names":false,"suffix":""},{"dropping-particle":"","family":"Son","given":"Young Hwan","non-dropping-particle":"","parse-names":false,"suffix":""}],"container-title":"KSCE Journal of Civil Engineering","id":"ITEM-1","issue":"8","issued":{"date-parts":[["2021","8"]]},"page":"2865-2875","title":"Review and Improvement Direction of the Riprap Design Standard for Fill Dams in Korea","type":"article-journal","volume":"25"},"uris":["http://www.mendeley.com/documents/?uuid=2272cbae-057d-42be-b1ef-dc93dea1a74e","http://www.mendeley.com/documents/?uuid=d3f457ec-5cdb-47f2-a2bb-e8560eb79f9f","http://www.mendeley.com/documents/?uuid=66a91bab-c58a-4db3-848c-84260e643373"]},{"id":"ITEM-2","itemData":{"DOI":"10.21122/2227-1031-2018-17-2-100-105","ISSN":"2414-0392","abstract":". Various types of protection are used in order to ensure rigidity in earth dam slopes and dumped rip-rap and precast and cast-in-situ reinforced plates are the most commonly used for this purpose. Durability and reliability of the protections mainly depend on the fact whether protection parameters have been correctly calculated and correspondingly observed during the process of protection creation, the main protection parameters are material diameter of dumped rip-rap and thickness of reinforced plates. Values of protection parameters calculated in accordance to the existing formulae significantly differ among themselves. Some of these formulae are acceptable for small water reservoirs in Belarus and provide actual results only for large water reservoirs where a wave height reaches two metres and even more. A new calculation methodology which is suitable for Belarusian water reservoirs of various size is proposed with the purpose to determine diameter of dumped rip-rap material and thickness of plates for earth dam slope protection in the zone of active wave impact. The methodology has been developed on the basis of the theory pertaining to limit equilibrium of slope shearing and holding forces. While calculating diameter of dumped rip-rap material the following shearing forces have been taken into account: uplift wave pres- sure depending on wave height; drag force which is formed on the slope due to back sweep of wave; shearing component of protection material gravity force which is dependent on preselected slope ratio. Holding forces are determined with due ac- count of main physical and mechanical properties of dumped rip-rap material: density of particles in water suspension, porosi- ty, internal friction and holding component of protection material gravity force. While developing methodology for calcula- tion of reinforced concrete plate thickness a drag force has not been taken into account because the flow which is formed on the plate surface does not exert an influence on their equilibrium. Bottom slope zone where hydrodynamic pressure is created by bottom velocity has usually a reduced-weight protection in the form of broken stone, gravel and finely broken stone rip-rap. Dependences for determination of dumped rip-rap fineness have been obtained as a result of slope rigidity criterion conversion. The proposed formulae for calculation of earth dam slope protection parameters can be recommended for applica- tion in design organizations.","author":[{"dropping-particle":"","family":"Mikhnevich","given":"E. I.","non-dropping-particle":"","parse-names":false,"suffix":""}],"container-title":"Science &amp; Technique","id":"ITEM-2","issue":"2","issued":{"date-parts":[["2018","4"]]},"page":"100-105","title":"METHODOLOGY FOR CALCULATION OF RIGIDITY IN EARTH DAM SLOPE PROTECTION UNDER CONDITIONS OF WAVE IMPACT","type":"article-journal","volume":"17"},"uris":["http://www.mendeley.com/documents/?uuid=7d63443f-ea36-445d-9734-8e1b833cf8d1","http://www.mendeley.com/documents/?uuid=3e8353c4-005a-4d45-8ff7-7196dada80ef","http://www.mendeley.com/documents/?uuid=2ed40619-a41f-4a7e-a022-228f9305a5fe"]}],"mendeley":{"formattedCitation":"[128,129]","plainTextFormattedCitation":"[128,129]","previouslyFormattedCitation":"[128,129]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[128,129]</w:t>
      </w:r>
      <w:r w:rsidRPr="00051297">
        <w:rPr>
          <w:rFonts w:cs="Times New Roman"/>
          <w:szCs w:val="24"/>
        </w:rPr>
        <w:fldChar w:fldCharType="end"/>
      </w:r>
      <w:r w:rsidRPr="00051297">
        <w:rPr>
          <w:rFonts w:cs="Times New Roman"/>
          <w:szCs w:val="24"/>
        </w:rPr>
        <w:t xml:space="preserve">. </w:t>
      </w:r>
    </w:p>
    <w:p w14:paraId="17504F81" w14:textId="0B9F5C5E" w:rsidR="00051297" w:rsidRPr="00051297" w:rsidRDefault="00051297" w:rsidP="0079595C">
      <w:pPr>
        <w:pStyle w:val="4"/>
      </w:pPr>
      <w:bookmarkStart w:id="235" w:name="_Toc97504743"/>
      <w:bookmarkStart w:id="236" w:name="_Toc103543877"/>
      <w:bookmarkStart w:id="237" w:name="_Toc104985201"/>
      <w:r w:rsidRPr="00051297">
        <w:t>Surface drainage</w:t>
      </w:r>
      <w:bookmarkEnd w:id="235"/>
      <w:bookmarkEnd w:id="236"/>
      <w:bookmarkEnd w:id="237"/>
    </w:p>
    <w:p w14:paraId="7F06C873" w14:textId="64701B15" w:rsidR="00051297" w:rsidRPr="00051297" w:rsidRDefault="00051297" w:rsidP="00051297">
      <w:pPr>
        <w:rPr>
          <w:rFonts w:cs="Times New Roman"/>
          <w:szCs w:val="24"/>
          <w:lang w:val="en-US"/>
        </w:rPr>
      </w:pPr>
      <w:r w:rsidRPr="00051297">
        <w:rPr>
          <w:rFonts w:cs="Times New Roman"/>
          <w:szCs w:val="24"/>
          <w:lang w:val="en-US"/>
        </w:rPr>
        <w:t xml:space="preserve">At 50 m center to center, a system of open paved drains (chutes) along the sloping surface, finishing in longitudinal collecting drains at the intersection of berm and slope, shall be erected to drain rainwater for downstream slope surface drainage. The drain section could be trapezoidal, with a depth of 30 cm. Rainwater is collected in a longitudinal collecting drain and channeled through 15cm diameter pipes spaced 50 meters apart onto paved chutes on the downstream slope. The open paved drains should finish at the downstream rock toe or toe drain if no berm has been provided </w:t>
      </w:r>
      <w:r w:rsidRPr="00051297">
        <w:rPr>
          <w:rFonts w:cs="Times New Roman"/>
          <w:szCs w:val="24"/>
        </w:rPr>
        <w:fldChar w:fldCharType="begin" w:fldLock="1"/>
      </w:r>
      <w:r w:rsidR="00FA5896">
        <w:rPr>
          <w:rFonts w:cs="Times New Roman"/>
          <w:szCs w:val="24"/>
          <w:lang w:val="en-US"/>
        </w:rPr>
        <w:instrText>ADDIN CSL_CITATION {"citationItems":[{"id":"ITEM-1","itemData":{"DOI":"10.1088/1742-6596/1549/4/042083","ISSN":"1742-6588","abstract":"This article uses a 300m complex high heap tailings dam as an example. Obtain real parameters through laboratory tests and in-situ tests. Establish a two-dimensional finite element numerical model. Consider normal and flood conditions. Consider the three stages of tailings dam height stacking to 135m, 200m and final 300m. two-dimensional finite element seepage field simulation of simultaneously setting dam surface drainage facilities and reservoir bottom drainage facilities, only reservoir bottom drainage facilities, and only dam surface drainage facilities was performed. Through the analysis of results, the bottom seepage drainage facility is not effective when the dam is high or there are complex geological conditions in the dam. The drainage facilities in front of the dam have a better effect on preventing the infiltration line from overflowing the dam surface, but the ability to control the infiltration line is weak.","author":[{"dropping-particle":"","family":"Bi","given":"Qian","non-dropping-particle":"","parse-names":false,"suffix":""},{"dropping-particle":"","family":"Wang","given":"Yantao","non-dropping-particle":"","parse-names":false,"suffix":""},{"dropping-particle":"","family":"Li","given":"Yunhua","non-dropping-particle":"","parse-names":false,"suffix":""}],"container-title":"Journal of Physics: Conference Series","id":"ITEM-1","issue":"4","issued":{"date-parts":[["2020","6"]]},"page":"042083","title":"Study on mechanism of seepage drainage facilities affecting saturated-unsaturated seepage flow field of high tailings dam","type":"article-journal","volume":"1549"},"uris":["http://www.mendeley.com/documents/?uuid=cb9b4012-646b-43aa-b46c-579007f5a7f7","http://www.mendeley.com/documents/?uuid=e27af50b-8167-4fc3-bcdd-fa0ccbf263b2","http://www.mendeley.com/documents/?uuid=8bc932c9-8f1c-460a-ad3d-88a4de54838e"]}],"mendeley":{"formattedCitation":"[130]","plainTextFormattedCitation":"[130]","previouslyFormattedCitation":"[130]"},"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[130]</w:t>
      </w:r>
      <w:r w:rsidRPr="00051297">
        <w:rPr>
          <w:rFonts w:cs="Times New Roman"/>
          <w:szCs w:val="24"/>
        </w:rPr>
        <w:fldChar w:fldCharType="end"/>
      </w:r>
      <w:r w:rsidRPr="00051297">
        <w:rPr>
          <w:rFonts w:cs="Times New Roman"/>
          <w:szCs w:val="24"/>
          <w:lang w:val="en-US"/>
        </w:rPr>
        <w:t>.</w:t>
      </w:r>
    </w:p>
    <w:p w14:paraId="4244D3A5" w14:textId="2FC40203" w:rsidR="00051297" w:rsidRPr="00051297" w:rsidRDefault="00051297" w:rsidP="0079595C">
      <w:pPr>
        <w:pStyle w:val="4"/>
      </w:pPr>
      <w:bookmarkStart w:id="238" w:name="_Toc97504744"/>
      <w:bookmarkStart w:id="239" w:name="_Toc103543878"/>
      <w:bookmarkStart w:id="240" w:name="_Toc104985202"/>
      <w:r w:rsidRPr="00051297">
        <w:t>Impervious blanket</w:t>
      </w:r>
      <w:bookmarkEnd w:id="238"/>
      <w:bookmarkEnd w:id="239"/>
      <w:bookmarkEnd w:id="240"/>
    </w:p>
    <w:p w14:paraId="6578421F" w14:textId="39E51B76" w:rsidR="00051297" w:rsidRPr="00051297" w:rsidRDefault="00051297" w:rsidP="00051297">
      <w:pPr>
        <w:rPr>
          <w:rFonts w:cs="Times New Roman"/>
          <w:szCs w:val="24"/>
          <w:lang w:val="en-US"/>
        </w:rPr>
      </w:pPr>
      <w:r w:rsidRPr="00051297">
        <w:rPr>
          <w:rFonts w:cs="Times New Roman"/>
          <w:szCs w:val="24"/>
          <w:lang w:val="en-US"/>
        </w:rPr>
        <w:t xml:space="preserve">When full cutoff is not possible in a pervious foundation, the horizontal impermeable blanket is used to increase the path of the seepage. The impervious blanket must be attached to the dam's core. The material should not be excessively plastic to avoid crack formation. To avoid cracking due to exposure to the atmosphere, a 300 mm thick layer of random material should be placed over the blanket. Normally, within the process of a dam design and construction, an application of an impermeable layer of not less than 1 m thick is always recommended for better stability of an embankment </w:t>
      </w:r>
      <w:r w:rsidRPr="00051297">
        <w:rPr>
          <w:rFonts w:cs="Times New Roman"/>
          <w:szCs w:val="24"/>
        </w:rPr>
        <w:fldChar w:fldCharType="begin" w:fldLock="1"/>
      </w:r>
      <w:r w:rsidR="00FA5896">
        <w:rPr>
          <w:rFonts w:cs="Times New Roman"/>
          <w:szCs w:val="24"/>
          <w:lang w:val="en-US"/>
        </w:rPr>
        <w:instrText>ADDIN CSL_CITATION {"citationItems":[{"id":"ITEM-1","itemData":{"DOI":"10.1080/09715010.2017.1381862","ISSN":"0971-5010","abstract":"A provision of impervious blanket is investigated aiming to reduce seepage and to increase embankment dam’s stability. The investigation generates sufficient data for typical 2D embankment dam cross-sections by numerically solving a wide range of configurations of a provision of upstream blanket. The generated data comprise the correlation between seepage and the various configuration parameters in terms of upstream blanket thickness and length, effects of anisotropy of bed material, foundation depth, and permeability. These data-sets were used to develop design charts, regression, and ANN models. Results showed that application of impervious of blanket in upstream of the earthen dam at appropriate length and thickness is effective in reducing seepage and thereby increasing dam stability. Performance of ANN was excellent in prediction of seepage.","author":[{"dropping-particle":"","family":"Salmasi","given":"F.","non-dropping-particle":"","parse-names":false,"suffix":""},{"dropping-particle":"","family":"Nouri","given":"M.","non-dropping-particle":"","parse-names":false,"suffix":""}],"container-title":"ISH Journal of Hydraulic Engineering","id":"ITEM-1","issue":"2","issued":{"date-parts":[["2019","5"]]},"page":"143-152","title":"Effect of upstream semi-impervious blanket of embankment dams on seepage","type":"article-journal","volume":"25"},"uris":["http://www.mendeley.com/documents/?uuid=9b94be50-0ed4-4be3-9c4c-51addecd0abd","http://www.mendeley.com/documents/?uuid=bb761b63-4bbe-4257-ad09-3bce967a16e8","http://www.mendeley.com/documents/?uuid=87f5c63f-5eee-4024-8b11-4c5627077ff1"]}],"mendeley":{"formattedCitation":"[131]","plainTextFormattedCitation":"[131]","previouslyFormattedCitation":"[131]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[131]</w:t>
      </w:r>
      <w:r w:rsidRPr="00051297">
        <w:rPr>
          <w:rFonts w:cs="Times New Roman"/>
          <w:szCs w:val="24"/>
        </w:rPr>
        <w:fldChar w:fldCharType="end"/>
      </w:r>
      <w:r w:rsidRPr="00051297">
        <w:rPr>
          <w:rFonts w:cs="Times New Roman"/>
          <w:szCs w:val="24"/>
          <w:lang w:val="en-US"/>
        </w:rPr>
        <w:t>. This provides the embankment with a reliable level of capacity to withstand potential failure.</w:t>
      </w:r>
    </w:p>
    <w:p w14:paraId="518D8FA7" w14:textId="7ED04FD5" w:rsidR="00051297" w:rsidRPr="00051297" w:rsidRDefault="00051297" w:rsidP="0079595C">
      <w:pPr>
        <w:pStyle w:val="4"/>
      </w:pPr>
      <w:bookmarkStart w:id="241" w:name="_Toc97504745"/>
      <w:bookmarkStart w:id="242" w:name="_Toc103543879"/>
      <w:bookmarkStart w:id="243" w:name="_Toc104985203"/>
      <w:r w:rsidRPr="00051297">
        <w:lastRenderedPageBreak/>
        <w:t>Design of spillway</w:t>
      </w:r>
      <w:bookmarkEnd w:id="241"/>
      <w:bookmarkEnd w:id="242"/>
      <w:bookmarkEnd w:id="243"/>
    </w:p>
    <w:p w14:paraId="3ECCE531" w14:textId="6850963D" w:rsidR="00051297" w:rsidRPr="00051297" w:rsidRDefault="00051297" w:rsidP="00051297">
      <w:pPr>
        <w:rPr>
          <w:rFonts w:cs="Times New Roman"/>
          <w:szCs w:val="24"/>
          <w:lang w:val="en-US"/>
        </w:rPr>
      </w:pPr>
      <w:r w:rsidRPr="00051297">
        <w:rPr>
          <w:rFonts w:cs="Times New Roman"/>
          <w:szCs w:val="24"/>
          <w:lang w:val="en-US"/>
        </w:rPr>
        <w:t>Spillway design, which has vitally important dimensions and physical qualities, necessitates the estimation of peak floods. If a suitable spillway of enough size is not available at a particular location or would be too expensive, it is preferable to move on to a better alternative site where spillway conditions may be met. In larger catchments (&gt;5-8 km</w:t>
      </w:r>
      <w:r w:rsidRPr="00051297">
        <w:rPr>
          <w:rFonts w:cs="Times New Roman"/>
          <w:szCs w:val="24"/>
          <w:vertAlign w:val="superscript"/>
          <w:lang w:val="en-US"/>
        </w:rPr>
        <w:t>2</w:t>
      </w:r>
      <w:r w:rsidRPr="00051297">
        <w:rPr>
          <w:rFonts w:cs="Times New Roman"/>
          <w:szCs w:val="24"/>
          <w:lang w:val="en-US"/>
        </w:rPr>
        <w:t>), rock spillways are practically required. Good solid rock with sufficient width must be available for all but the smallest dams. Something important to note is that, in a case of a proposed dam that has to be located within a catchment of around 5 km</w:t>
      </w:r>
      <w:r w:rsidRPr="00051297">
        <w:rPr>
          <w:rFonts w:cs="Times New Roman"/>
          <w:szCs w:val="24"/>
          <w:vertAlign w:val="superscript"/>
          <w:lang w:val="en-US"/>
        </w:rPr>
        <w:t>2</w:t>
      </w:r>
      <w:r w:rsidRPr="00051297">
        <w:rPr>
          <w:rFonts w:cs="Times New Roman"/>
          <w:szCs w:val="24"/>
          <w:lang w:val="en-US"/>
        </w:rPr>
        <w:t xml:space="preserve"> coverage, it is recommended to provide not less </w:t>
      </w:r>
      <w:r w:rsidR="00BC7CF3" w:rsidRPr="00051297">
        <w:rPr>
          <w:rFonts w:cs="Times New Roman"/>
          <w:szCs w:val="24"/>
          <w:lang w:val="en-US"/>
        </w:rPr>
        <w:t>than 15</w:t>
      </w:r>
      <w:r w:rsidRPr="00051297">
        <w:rPr>
          <w:rFonts w:cs="Times New Roman"/>
          <w:szCs w:val="24"/>
          <w:lang w:val="en-US"/>
        </w:rPr>
        <w:t xml:space="preserve"> m width in conjunction with a 1.5 m freeboard, subject to re-evaluation during the detailed design stage. Local engineers and knowledgeable local people should be consulted if hydrological data and/or design charts are not available. Poor spillway design is more likely than any other element to cause problems in earth dams in southern and western Africa. In some cases, the proposed dam site for an embankment dam does not contain sufficient rocks; in such a scenario, it is in the best interest not to consider further the site for dam construction </w:t>
      </w:r>
      <w:r w:rsidRPr="00051297">
        <w:rPr>
          <w:rFonts w:cs="Times New Roman"/>
          <w:szCs w:val="24"/>
        </w:rPr>
        <w:fldChar w:fldCharType="begin" w:fldLock="1"/>
      </w:r>
      <w:r w:rsidR="00FA5896">
        <w:rPr>
          <w:rFonts w:cs="Times New Roman"/>
          <w:szCs w:val="24"/>
          <w:lang w:val="en-US"/>
        </w:rPr>
        <w:instrText>ADDIN CSL_CITATION {"citationItems":[{"id":"ITEM-1","itemData":{"DOI":"10.23967/j.rimni.2018.11.001","ISSN":"02131315","abstract":"Wedge shaped blocks spillways are an innovative solution that allows spilling over the downstream shoulder of earth and rock-fill dams in a safe way. However, they have been barely used as main spillway due to the lack of practical design criteria. An innovative procedure for computer-aided design of wedge shaped blocks spillways is presented in this paper. It includes the design of the drainage and supporting layer considering its seepage capacity and stability. The leakage flow through the joints between blocks is estimated by means of a numerical model calibrated and validated from experimental results. Stability against sliding of the downstream shoulder or the drainage layer is ensured, considering the properties of the granular material selected by the designer and non-linear resistance laws. The procedure will also suggest the shape of a toe protection.","author":[{"dropping-particle":"","family":"San Mauro","given":"Javier","non-dropping-particle":"","parse-names":false,"suffix":""},{"dropping-particle":"","family":"Toledo","given":"M.","non-dropping-particle":"","parse-names":false,"suffix":""},{"dropping-particle":"","family":"Salazar","given":"Fernando","non-dropping-particle":"","parse-names":false,"suffix":""},{"dropping-particle":"","family":"Caballero","given":"F.J.","non-dropping-particle":"","parse-names":false,"suffix":""}],"container-title":"Revista Internacional de Métodos Numéricos para Cálculo y Diseño en Ingeniería","id":"ITEM-1","issue":"1","issued":{"date-parts":[["2018","11"]]},"title":"A methodology for the design of dam spillways with wedge shaped blocks based on numerical modeling","type":"article-journal","volume":"35"},"uris":["http://www.mendeley.com/documents/?uuid=16456f6e-dc18-4c09-a632-b6b4f5425176","http://www.mendeley.com/documents/?uuid=bd29647f-a83c-4fed-9531-fbaf591fd591","http://www.mendeley.com/documents/?uuid=b4ebf704-470c-4872-989f-19cd4364919a"]}],"mendeley":{"formattedCitation":"[132]","plainTextFormattedCitation":"[132]","previouslyFormattedCitation":"[132]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[132]</w:t>
      </w:r>
      <w:r w:rsidRPr="00051297">
        <w:rPr>
          <w:rFonts w:cs="Times New Roman"/>
          <w:szCs w:val="24"/>
        </w:rPr>
        <w:fldChar w:fldCharType="end"/>
      </w:r>
      <w:r w:rsidRPr="00051297">
        <w:rPr>
          <w:rFonts w:cs="Times New Roman"/>
          <w:szCs w:val="24"/>
          <w:lang w:val="en-US"/>
        </w:rPr>
        <w:t xml:space="preserve">. </w:t>
      </w:r>
    </w:p>
    <w:p w14:paraId="55815560" w14:textId="3D80F4E6" w:rsidR="00051297" w:rsidRPr="00051297" w:rsidRDefault="00051297" w:rsidP="00051297">
      <w:pPr>
        <w:rPr>
          <w:rFonts w:cs="Times New Roman"/>
          <w:szCs w:val="24"/>
          <w:lang w:val="en-US"/>
        </w:rPr>
      </w:pPr>
      <w:r w:rsidRPr="00051297">
        <w:rPr>
          <w:rFonts w:cs="Times New Roman"/>
          <w:szCs w:val="24"/>
          <w:lang w:val="en-US"/>
        </w:rPr>
        <w:t>Grass spillways, whether cut or natural, are best suited to small catchments (up to 5 km</w:t>
      </w:r>
      <w:r w:rsidRPr="00051297">
        <w:rPr>
          <w:rFonts w:cs="Times New Roman"/>
          <w:szCs w:val="24"/>
          <w:vertAlign w:val="superscript"/>
          <w:lang w:val="en-US"/>
        </w:rPr>
        <w:t>2</w:t>
      </w:r>
      <w:r w:rsidRPr="00051297">
        <w:rPr>
          <w:rFonts w:cs="Times New Roman"/>
          <w:szCs w:val="24"/>
          <w:lang w:val="en-US"/>
        </w:rPr>
        <w:t xml:space="preserve">) and low velocity flows, and even then, they may require ongoing care throughout the life of the dam to prevent erosion. Because the ability of vegetation or soil to withstand erosion is limited, it is critical to maintain an even surface and consistent cover. The overall stability of the channel is highly dependent on the stability of the most sparsely covered part; hence a good creeping grass cover should be established throughout </w:t>
      </w:r>
      <w:r w:rsidRPr="00051297">
        <w:rPr>
          <w:rFonts w:cs="Times New Roman"/>
          <w:szCs w:val="24"/>
        </w:rPr>
        <w:fldChar w:fldCharType="begin" w:fldLock="1"/>
      </w:r>
      <w:r w:rsidR="00FA5896">
        <w:rPr>
          <w:rFonts w:cs="Times New Roman"/>
          <w:szCs w:val="24"/>
          <w:lang w:val="en-US"/>
        </w:rPr>
        <w:instrText>ADDIN CSL_CITATION {"citationItems":[{"id":"ITEM-1","itemData":{"abstract":"The experimental work carried out between 1984 and 1987 by the Construction Industry Research and Information Association on the practical design of reinforced grass spillways resulted in the publication in 1987 of CIRIA Report 116 Design of reinforced grass waterways. Since then many waterway channels have been built using the design procedures recommended in this report in circumstances where previously a concrete spillway would have been considered. This paper illustrates some recent practical examples of this design and draws attention to the technical and financial benefits of this research project. (A)","author":[{"dropping-particle":"","family":"Freer","given":"R.","non-dropping-particle":"","parse-names":false,"suffix":""}],"id":"ITEM-1","issued":{"date-parts":[["1992"]]},"title":"Recent examples of reinforced grass spillways on embankment dams based on CIRIA Report 116","type":"article-journal"},"uris":["http://www.mendeley.com/documents/?uuid=4eded173-2048-4c06-81a1-cb89c86d7f65","http://www.mendeley.com/documents/?uuid=d91d0026-ea4b-4264-84b5-8cc2a12e6a6f","http://www.mendeley.com/documents/?uuid=71112bcb-312c-4af6-ae35-8f80240c3cb2"]}],"mendeley":{"formattedCitation":"[133]","plainTextFormattedCitation":"[133]","previouslyFormattedCitation":"[133]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[133]</w:t>
      </w:r>
      <w:r w:rsidRPr="00051297">
        <w:rPr>
          <w:rFonts w:cs="Times New Roman"/>
          <w:szCs w:val="24"/>
        </w:rPr>
        <w:fldChar w:fldCharType="end"/>
      </w:r>
      <w:r w:rsidRPr="00051297">
        <w:rPr>
          <w:rFonts w:cs="Times New Roman"/>
          <w:szCs w:val="24"/>
          <w:lang w:val="en-US"/>
        </w:rPr>
        <w:t xml:space="preserve">. </w:t>
      </w:r>
    </w:p>
    <w:p w14:paraId="5DB53624" w14:textId="2C891128" w:rsidR="00051297" w:rsidRPr="00051297" w:rsidRDefault="00051297" w:rsidP="00051297">
      <w:pPr>
        <w:rPr>
          <w:rFonts w:cs="Times New Roman"/>
          <w:szCs w:val="24"/>
          <w:lang w:val="en-US"/>
        </w:rPr>
      </w:pPr>
      <w:r w:rsidRPr="00051297">
        <w:rPr>
          <w:rFonts w:cs="Times New Roman"/>
          <w:szCs w:val="24"/>
          <w:lang w:val="en-US"/>
        </w:rPr>
        <w:t xml:space="preserve">The state of the grass cover will have a direct impact on the roughness coefficient of the channel, which is dependent on flow. A low flow meets substantial resistance, whereas a high flow flattens the grass and thus encounters much less resistance. In grass spillways planted to shorter creeping kinds like Kikuyu, couch, and star grasses, the maximum permissible non-erosive velocities are highest. These can provide a homogenous low cover with minimal flow resistance and maximum protection for the soil beneath. A drop-inlet overflow spillway should be planned and located at the opposite end of the embankment to the main spillway, at an elevation on the upstream side of the dam slightly lower (usually 50-100 mm) than the full supply level, where even normal flows are expected to pose an erosion risk. </w:t>
      </w:r>
      <w:r w:rsidRPr="00051297">
        <w:rPr>
          <w:rFonts w:cs="Times New Roman"/>
          <w:szCs w:val="24"/>
        </w:rPr>
        <w:fldChar w:fldCharType="begin" w:fldLock="1"/>
      </w:r>
      <w:r w:rsidR="00FA5896">
        <w:rPr>
          <w:rFonts w:cs="Times New Roman"/>
          <w:szCs w:val="24"/>
          <w:lang w:val="en-US"/>
        </w:rPr>
        <w:instrText>ADDIN CSL_CITATION {"citationItems":[{"id":"ITEM-1","itemData":{"ISBN":"9781627481892","abstract":"Australians spend $ millions each year on the construction of small dams for rural communities. The bulk of this money is wasted because a large proportion of these dams fail. The spillway or bywash is the weakest link in the small dam system, because it receives insufficient attention during the design, construction and maintenance processes. Spillway and overtopping failures (usually related) are the most common cause of failure in small embankment dams. The solution to this problem rests in more thorough investigation and improved standards of design and construction. Unfortunately such proposals are often regarded with apprehension because many people consider higher standards mean increased costs. The combined cost of field investigation and design usually represents only 5 to 10 per cent of the total capital cost of the dam. Furthermore, if the dam is constructed to a well-designed plan many cost-saving features can be incorporated. So we may well ask ourselves. Can we afford the extravagance of a cheap dam?. This paper describes some of the reasons for adopting grass spillways on farm dams. It also indicates the need for knowledge of the climate and soils at the site, the growth and hydraulic characteristics of the various grasses, and the reason for establishing and maintaining adequate grass cover. © 2005 by Association of State Dam Safety Officials All rights reserved.","author":[{"dropping-particle":"","family":"Lewis","given":"Barry","non-dropping-particle":"","parse-names":false,"suffix":""}],"container-title":"Association of State Dam Safety Officials Annual Conference 2005, Dam Safety 2005","id":"ITEM-1","issued":{"date-parts":[["2005"]]},"title":"Minimum energy design using grassed spillways","type":"paper-conference"},"uris":["http://www.mendeley.com/documents/?uuid=2652d27d-7ddc-42da-a6f3-7e50dc08f416","http://www.mendeley.com/documents/?uuid=ef92a7d6-8539-4f48-8444-82d1887f089b","http://www.mendeley.com/documents/?uuid=2d04d48e-70f0-471e-ba06-abc662dbd1e1"]}],"mendeley":{"formattedCitation":"[134]","plainTextFormattedCitation":"[134]","previouslyFormattedCitation":"[134]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[134]</w:t>
      </w:r>
      <w:r w:rsidRPr="00051297">
        <w:rPr>
          <w:rFonts w:cs="Times New Roman"/>
          <w:szCs w:val="24"/>
        </w:rPr>
        <w:fldChar w:fldCharType="end"/>
      </w:r>
      <w:r w:rsidRPr="00051297">
        <w:rPr>
          <w:rFonts w:cs="Times New Roman"/>
          <w:szCs w:val="24"/>
          <w:lang w:val="en-US"/>
        </w:rPr>
        <w:t xml:space="preserve">. </w:t>
      </w:r>
    </w:p>
    <w:p w14:paraId="0BEADCFF" w14:textId="047A8D1B" w:rsidR="00051297" w:rsidRPr="00051297" w:rsidRDefault="00051297" w:rsidP="00051297">
      <w:pPr>
        <w:rPr>
          <w:rFonts w:cs="Times New Roman"/>
          <w:szCs w:val="24"/>
          <w:lang w:val="en-US"/>
        </w:rPr>
      </w:pPr>
      <w:r w:rsidRPr="00051297">
        <w:rPr>
          <w:rFonts w:cs="Times New Roman"/>
          <w:szCs w:val="24"/>
          <w:lang w:val="en-US"/>
        </w:rPr>
        <w:t xml:space="preserve">In the embankment type pond, a mechanical spillway is installed to allow water from the storage to be released in a controlled manner. An emergency spillway is constructed on one end of the embankment to prevent the embankment from overtopping owing to unexpected inflows into the storage. The highest flood level projected for the selected frequency of runoff into the pond should be the bottom elevation of the emergency spillway </w:t>
      </w:r>
      <w:r w:rsidRPr="00051297">
        <w:rPr>
          <w:rFonts w:cs="Times New Roman"/>
          <w:szCs w:val="24"/>
        </w:rPr>
        <w:fldChar w:fldCharType="begin" w:fldLock="1"/>
      </w:r>
      <w:r w:rsidR="00FA5896">
        <w:rPr>
          <w:rFonts w:cs="Times New Roman"/>
          <w:szCs w:val="24"/>
          <w:lang w:val="en-US"/>
        </w:rPr>
        <w:instrText>ADDIN CSL_CITATION {"citationItems":[{"id":"ITEM-1","itemData":{"DOI":"10.1680/iwtme.1996.28688","ISSN":"14724561","abstract":"In recent years concrete blocks with cells have been extensively used to provide auxiliary dam spillways or to protect other surfaces subjected to supercritical flow. When the cells are filled with topsoil and grass is allowed to grow, their use is currently limited by the Construction Industry Research and Information Association (CIRIA) guidelines to a maximum velocity of 8 m/s. In addition a geotextile underlayer is recommended to prevent damage to the embankment material when soil and grass is eroded from the cells in a flood. The mechanism of removal of granular material from a cell by flowing water is presented in this paper. Two simple modifications to the cell geometry are also described - a bar across the upper surface or a step in the downstream cell wall - which reduce the depth of erosion by at least 50%. Such modifications would limit the amount of maintenance necessary to the spillway after a flood and reduce the reliance upon the geotextile to prevent failure.","author":[{"dropping-particle":"","family":"Baker","given":"R.","non-dropping-particle":"","parse-names":false,"suffix":""},{"dropping-particle":"","family":"Bessaih","given":"N.","non-dropping-particle":"","parse-names":false,"suffix":""}],"container-title":"Proceedings of the Institution of Civil Engineers: Water and Maritime Engineering","id":"ITEM-1","issued":{"date-parts":[["1996"]]},"title":"Methods of reducing the erosion from cells in a concrete block spillway","type":"article-journal"},"uris":["http://www.mendeley.com/documents/?uuid=e21574a7-f708-4fe2-8590-74706218b8bc","http://www.mendeley.com/documents/?uuid=917add3b-e9dc-4a88-bde1-50f47c0e640b","http://www.mendeley.com/documents/?uuid=160d9a18-765f-491d-81b0-6623c9be7ad5"]}],"mendeley":{"formattedCitation":"[135]","plainTextFormattedCitation":"[135]","previouslyFormattedCitation":"[135]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[135]</w:t>
      </w:r>
      <w:r w:rsidRPr="00051297">
        <w:rPr>
          <w:rFonts w:cs="Times New Roman"/>
          <w:szCs w:val="24"/>
        </w:rPr>
        <w:fldChar w:fldCharType="end"/>
      </w:r>
      <w:r w:rsidRPr="00051297">
        <w:rPr>
          <w:rFonts w:cs="Times New Roman"/>
          <w:szCs w:val="24"/>
          <w:lang w:val="en-US"/>
        </w:rPr>
        <w:t xml:space="preserve">. </w:t>
      </w:r>
    </w:p>
    <w:p w14:paraId="4C2CD4EA" w14:textId="4A0A9980" w:rsidR="00051297" w:rsidRPr="00051297" w:rsidRDefault="00051297" w:rsidP="00051297">
      <w:pPr>
        <w:rPr>
          <w:rFonts w:cs="Times New Roman"/>
          <w:szCs w:val="24"/>
          <w:lang w:val="en-US"/>
        </w:rPr>
      </w:pPr>
      <w:r w:rsidRPr="00051297">
        <w:rPr>
          <w:rFonts w:cs="Times New Roman"/>
          <w:szCs w:val="24"/>
          <w:lang w:val="en-US"/>
        </w:rPr>
        <w:lastRenderedPageBreak/>
        <w:t xml:space="preserve">The flow via the emergency spillway for the agricultural pond determines its proportions. If there is sufficient storage capacity above the spillway, the peak flow for the design of the emergency spillway channels is reduced using the weir calculation previously mentioned. Permanent structures are built to function as agricultural pond mechanical spillways. Higher discharges can be handled by the drop spillway than by the drop-inlet </w:t>
      </w:r>
      <w:r w:rsidRPr="00051297">
        <w:rPr>
          <w:rFonts w:cs="Times New Roman"/>
          <w:szCs w:val="24"/>
        </w:rPr>
        <w:fldChar w:fldCharType="begin" w:fldLock="1"/>
      </w:r>
      <w:r w:rsidR="00FA5896">
        <w:rPr>
          <w:rFonts w:cs="Times New Roman"/>
          <w:szCs w:val="24"/>
          <w:lang w:val="en-US"/>
        </w:rPr>
        <w:instrText>ADDIN CSL_CITATION {"citationItems":[{"id":"ITEM-1","itemData":{"ISBN":"0784400784","abstract":"Technical Engineering and Design Guides, as adapted from the U.S. Army Corps of Engineers, No. 12. This manual presents guidance for the hydraulic design of spillways for flood control or multipurpose dams. Overflow, chute, and specialized spillways, such as side channel and limited service spillways, are covered along with general spillway functions and related design considerations. The book briefly reviews hydraulic design theory, available experimental data and coefficients, and the analysis of possible problems related to spillway design. Topics include: spillway crest design; shaft spillways and box inlet drop spillways designed for small dams; tainter and vertical lift gates; and energy dissipators.","author":[{"dropping-particle":"","family":"USACE","given":"","non-dropping-particle":"","parse-names":false,"suffix":""}],"container-title":"Em 1110-2-1603","id":"ITEM-1","issued":{"date-parts":[["1992"]]},"title":"Hydraulic Design of Spillways","type":"article-journal"},"uris":["http://www.mendeley.com/documents/?uuid=28182ab9-e384-4c33-9271-2e5a59ca1ba2","http://www.mendeley.com/documents/?uuid=78909851-7fda-440a-a217-bf05dfc4274d","http://www.mendeley.com/documents/?uuid=d5a7d79f-86f6-49cb-bae9-b22ed531a19a"]},{"id":"ITEM-2","itemData":{"DOI":"10.3390/w13040504","ISSN":"2073-4441","abstract":"Vortex drop shaft (VDS) spillways are eco-friendly hydraulic structures used for safely releasing flood. However, due to the complexity of the three-dimensional rotational flow and the lack of suitable measuring devices, current experimental work cannot interpret the flow behavior reliably inside the VDS spillway, consequently experimental and CFD study on a VDS spillway with an elliptical tangential inlet was conducted to further discern the interior three-dimensional flow behavior. Hydraulic characteristics such as wall pressure, swirl angle, annular hydraulic height and Froude number of the tapering section are experimentally obtained and acceptably agreed with the numerical prediction. Results indicated that the relative dimensionless maximum height of the standing wave falls off nearly linearly with the increasing Froude number. Nonlinear regression was established to give an estimation of the minimum air-core rate. The normalized height of the hydraulic jump depends on the flow phenomena of pressure slope. Simulated results sufficiently reveal the three-dimensional velocity field (resultant velocity, axial velocity, tangential velocity and radial velocity) with obvious regional and cross-sectional variations inside the vortex drop shaft. It is found that cross-sectional tangential velocity varies, resembling the near-cavity forced vortex and near-wall free vortex behavior. Analytic calculations for the cross-sectional pressure were developed and correlated well with simulated results.","author":[{"dropping-particle":"","family":"Yang","given":"Zhou","non-dropping-particle":"","parse-names":false,"suffix":""},{"dropping-particle":"","family":"Yin","given":"Jinbu","non-dropping-particle":"","parse-names":false,"suffix":""},{"dropping-particle":"","family":"Lu","given":"Yangliang","non-dropping-particle":"","parse-names":false,"suffix":""},{"dropping-particle":"","family":"Liu","given":"Zhiming","non-dropping-particle":"","parse-names":false,"suffix":""},{"dropping-particle":"","family":"Yang","given":"Haoyu","non-dropping-particle":"","parse-names":false,"suffix":""},{"dropping-particle":"","family":"Xu","given":"Genhai","non-dropping-particle":"","parse-names":false,"suffix":""}],"container-title":"Water","id":"ITEM-2","issue":"4","issued":{"date-parts":[["2021","2"]]},"page":"504","title":"Three-Dimensional Flow of a Vortex Drop Shaft Spillway with an Elliptical Tangential Inlet","type":"article-journal","volume":"13"},"uris":["http://www.mendeley.com/documents/?uuid=32ec5e7d-cfdd-49ca-a80e-d30ae862e546","http://www.mendeley.com/documents/?uuid=35397ceb-2d4e-4f8f-b3bf-5f1b326bcdb0","http://www.mendeley.com/documents/?uuid=00372bd8-a2cb-4482-91e0-163a36bbcc6e"]}],"mendeley":{"formattedCitation":"[136,137]","plainTextFormattedCitation":"[136,137]","previouslyFormattedCitation":"[136,137]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[136,137]</w:t>
      </w:r>
      <w:r w:rsidRPr="00051297">
        <w:rPr>
          <w:rFonts w:cs="Times New Roman"/>
          <w:szCs w:val="24"/>
        </w:rPr>
        <w:fldChar w:fldCharType="end"/>
      </w:r>
      <w:r w:rsidRPr="00051297">
        <w:rPr>
          <w:rFonts w:cs="Times New Roman"/>
          <w:szCs w:val="24"/>
          <w:lang w:val="en-US"/>
        </w:rPr>
        <w:t xml:space="preserve">. </w:t>
      </w:r>
    </w:p>
    <w:p w14:paraId="6EF0EA46" w14:textId="4E7FE4C5" w:rsidR="00051297" w:rsidRPr="00051297" w:rsidRDefault="00051297" w:rsidP="00051297">
      <w:pPr>
        <w:rPr>
          <w:rFonts w:cs="Times New Roman"/>
          <w:szCs w:val="24"/>
          <w:lang w:val="en-US"/>
        </w:rPr>
      </w:pPr>
      <w:r w:rsidRPr="00051297">
        <w:rPr>
          <w:rFonts w:cs="Times New Roman"/>
          <w:szCs w:val="24"/>
          <w:lang w:val="en-US"/>
        </w:rPr>
        <w:t xml:space="preserve">The drop inlets, on the other hand, provide you with more control over the water in the pond. These structures have the same design and construction as gully control structures. When similar structures are utilized in farm ponds, small alterations are made to them. Surplus weir is a term used to describe the drop structures built into the pond's embankment. On the crest, a row of vertical pillars is sometimes built. When more water is needed, the earth is placed between the pillars to prevent the water from flowing through. A control valve or a sliding headgate is provided to manage the outflow of water in the drop inlet spillway, which is likewise built as a simple pipe culvert. In the case of ponds built for aquaculture, outlet structures are required to drain the water as needed </w:t>
      </w:r>
      <w:r w:rsidRPr="00051297">
        <w:rPr>
          <w:rFonts w:cs="Times New Roman"/>
          <w:szCs w:val="24"/>
        </w:rPr>
        <w:fldChar w:fldCharType="begin" w:fldLock="1"/>
      </w:r>
      <w:r w:rsidR="00FA5896">
        <w:rPr>
          <w:rFonts w:cs="Times New Roman"/>
          <w:szCs w:val="24"/>
          <w:lang w:val="en-US"/>
        </w:rPr>
        <w:instrText>ADDIN CSL_CITATION {"citationItems":[{"id":"ITEM-1","itemData":{"ISSN":"01409050","abstract":"Field trials are described at a disused dam site near Blackburn, Lancashire, for commercially available systems of embankment reinforcement using grass. Ten test channels have been lined with geotextiles or concrete products, which also have an underlying geotextile fabric. The geotextiles are two dimensional (woven fabrics or synthetic nets), three dimensional open (mats filled with topsoil) or filled (bitumen bound gravel). The concrete block systems were nontried interlocking blocks, cable tied blocks and cast in-situ blocks. The 10 criteria for evaluating the various systems are listed: the channels will be tested at flow velocities of up to 7.5 m/s using a flume that will be built across the top of the test spillways. (A.J.)","author":[{"dropping-particle":"","family":"Wiseman","given":"R.","non-dropping-particle":"","parse-names":false,"suffix":""}],"container-title":"WORLD WATER","id":"ITEM-1","issued":{"date-parts":[["1985"]]},"title":"Seeded spillways: a cheaper option?","type":"article-journal"},"uris":["http://www.mendeley.com/documents/?uuid=dad09814-0e1b-48e7-941e-0289ac870380","http://www.mendeley.com/documents/?uuid=23f54dce-b420-494a-adff-75c4f6812ca1","http://www.mendeley.com/documents/?uuid=40698940-50f4-422d-85d6-325597a01599"]}],"mendeley":{"formattedCitation":"[138]","plainTextFormattedCitation":"[138]","previouslyFormattedCitation":"[138]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[138]</w:t>
      </w:r>
      <w:r w:rsidRPr="00051297">
        <w:rPr>
          <w:rFonts w:cs="Times New Roman"/>
          <w:szCs w:val="24"/>
        </w:rPr>
        <w:fldChar w:fldCharType="end"/>
      </w:r>
      <w:r w:rsidRPr="00051297">
        <w:rPr>
          <w:rFonts w:cs="Times New Roman"/>
          <w:szCs w:val="24"/>
          <w:lang w:val="en-US"/>
        </w:rPr>
        <w:t>.</w:t>
      </w:r>
    </w:p>
    <w:p w14:paraId="2B587465" w14:textId="52D1485B" w:rsidR="00051297" w:rsidRPr="00051297" w:rsidRDefault="00051297" w:rsidP="0079595C">
      <w:pPr>
        <w:pStyle w:val="4"/>
      </w:pPr>
      <w:bookmarkStart w:id="244" w:name="_Toc97504746"/>
      <w:bookmarkStart w:id="245" w:name="_Toc103543880"/>
      <w:bookmarkStart w:id="246" w:name="_Toc104985204"/>
      <w:r w:rsidRPr="00051297">
        <w:t>Embankment slope stability</w:t>
      </w:r>
      <w:bookmarkEnd w:id="244"/>
      <w:bookmarkEnd w:id="245"/>
      <w:bookmarkEnd w:id="246"/>
    </w:p>
    <w:p w14:paraId="7B760EFE" w14:textId="082D43DE" w:rsidR="00051297" w:rsidRPr="00051297" w:rsidRDefault="00051297" w:rsidP="00051297">
      <w:pPr>
        <w:rPr>
          <w:rFonts w:cs="Times New Roman"/>
          <w:szCs w:val="24"/>
          <w:lang w:val="en-US"/>
        </w:rPr>
      </w:pPr>
      <w:r w:rsidRPr="00051297">
        <w:rPr>
          <w:rFonts w:cs="Times New Roman"/>
          <w:szCs w:val="24"/>
          <w:lang w:val="en-US"/>
        </w:rPr>
        <w:t xml:space="preserve">Slope stability analysis is critical in engineering practice to maintain structural stability and avoid human life and financial damage </w:t>
      </w:r>
      <w:r w:rsidRPr="00051297">
        <w:rPr>
          <w:rFonts w:cs="Times New Roman"/>
          <w:szCs w:val="24"/>
        </w:rPr>
        <w:fldChar w:fldCharType="begin" w:fldLock="1"/>
      </w:r>
      <w:r w:rsidR="00FA5896">
        <w:rPr>
          <w:rFonts w:cs="Times New Roman"/>
          <w:szCs w:val="24"/>
          <w:lang w:val="en-US"/>
        </w:rPr>
        <w:instrText>ADDIN CSL_CITATION {"citationItems":[{"id":"ITEM-1","itemData":{"DOI":"10.2478/cee-2021-0020","ISSN":"2199-6512","abstract":"In the paper the numerical modelling of ensuring slope stability and their analysing with using of different numerical methods are presented. We have designed the cutting walls with earth nails and anchors securing for modelling of slope stability ensuring. The calculate and the mechanism of failure process of the reinforced slopes were studied using the different methods for slope stability. The nailing significantly increased the stability level for using Spencer method. The anchors increased the stability level for using Spencer method. Increasing the nail or anchors length improved the stability of the reinforced slopes. The reinforced slope exhibited a significant the stability level.","author":[{"dropping-particle":"","family":"Harabinová","given":"Slávka","non-dropping-particle":"","parse-names":false,"suffix":""},{"dropping-particle":"","family":"Kotrasová","given":"Kamila","non-dropping-particle":"","parse-names":false,"suffix":""},{"dropping-particle":"","family":"Kormaníková","given":"Eva","non-dropping-particle":"","parse-names":false,"suffix":""},{"dropping-particle":"","family":"Hegedüsová","given":"Iveta","non-dropping-particle":"","parse-names":false,"suffix":""}],"container-title":"Civil and Environmental Engineering","id":"ITEM-1","issue":"1","issued":{"date-parts":[["2021","6"]]},"page":"192-199","title":"Analysis of Slope Stability","type":"article-journal","volume":"17"},"uris":["http://www.mendeley.com/documents/?uuid=29752cea-c37c-4d3a-a8d9-eef9335230fb","http://www.mendeley.com/documents/?uuid=7df4c117-2f9e-43b6-a421-92318366e1b3","http://www.mendeley.com/documents/?uuid=b3e1ffa9-3d05-47b8-8192-b33ed8c2c0d2"]}],"mendeley":{"formattedCitation":"[139]","plainTextFormattedCitation":"[139]","previouslyFormattedCitation":"[139]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[139]</w:t>
      </w:r>
      <w:r w:rsidRPr="00051297">
        <w:rPr>
          <w:rFonts w:cs="Times New Roman"/>
          <w:szCs w:val="24"/>
        </w:rPr>
        <w:fldChar w:fldCharType="end"/>
      </w:r>
      <w:r w:rsidRPr="00051297">
        <w:rPr>
          <w:rFonts w:cs="Times New Roman"/>
          <w:szCs w:val="24"/>
          <w:lang w:val="en-US"/>
        </w:rPr>
        <w:t xml:space="preserve">. </w:t>
      </w:r>
    </w:p>
    <w:p w14:paraId="7B2A3156" w14:textId="702D14D0" w:rsidR="00051297" w:rsidRPr="00051297" w:rsidRDefault="00051297" w:rsidP="00051297">
      <w:pPr>
        <w:rPr>
          <w:rFonts w:cs="Times New Roman"/>
          <w:szCs w:val="24"/>
          <w:lang w:val="en-US"/>
        </w:rPr>
      </w:pPr>
      <w:r w:rsidRPr="00051297">
        <w:rPr>
          <w:rFonts w:cs="Times New Roman"/>
          <w:szCs w:val="24"/>
          <w:lang w:val="en-US"/>
        </w:rPr>
        <w:t xml:space="preserve">The Culmann Method, Ordinary Method of Slices, and Bishop Method of Slices are three typical approaches for analyzing the stability of a slope. Except for the Culmann approach, which assumes a plane surface of failure through the toe of the slope, the other mentioned slope stability analysis methods are based on the premise that the plane of failure is a circular arc </w:t>
      </w:r>
      <w:r w:rsidRPr="00051297">
        <w:rPr>
          <w:rFonts w:cs="Times New Roman"/>
          <w:szCs w:val="24"/>
        </w:rPr>
        <w:fldChar w:fldCharType="begin" w:fldLock="1"/>
      </w:r>
      <w:r w:rsidR="00FA5896">
        <w:rPr>
          <w:rFonts w:cs="Times New Roman"/>
          <w:szCs w:val="24"/>
          <w:lang w:val="en-US"/>
        </w:rPr>
        <w:instrText>ADDIN CSL_CITATION {"citationItems":[{"id":"ITEM-1","itemData":{"DOI":"10.26480/gbr.02.2020.73.77","ISSN":"25210890","abstract":"One of the most common problem faced by geotechnical engineers is slope stability assessment. The predictions of slope stability in soil or rock masses is very important for the designing of reservoir dams, roads, tunnels, excavations, open pit mines, and other engineering structures. It is the importance of slope stability problem that has reasoned alternate methods for evaluating the safety of a slope. This study reviews the existing methods used for slope stability analysis. These methods are divided into five different groups which are; (a) Limit equilibrium method, (b) Numerical simulation method, (c) Artificial neural network method, (d) Limit analysis method, and (e) Vector sum method.","author":[{"dropping-particle":"","family":"Ullah","given":"Sami","non-dropping-particle":"","parse-names":false,"suffix":""},{"dropping-particle":"","family":"Khan","given":"Muhib Ullah","non-dropping-particle":"","parse-names":false,"suffix":""},{"dropping-particle":"","family":"Rehman","given":"Gohar","non-dropping-particle":"","parse-names":false,"suffix":""}],"container-title":"Geological Behavior","id":"ITEM-1","issue":"2","issued":{"date-parts":[["2020","5"]]},"page":"73-77","title":"A BRIEF REVIEW OF THE SLOPE STABILITY ANALYSIS METHODS","type":"article-journal","volume":"4"},"uris":["http://www.mendeley.com/documents/?uuid=aabd93b2-d742-42dc-a395-5a37b130cb4b","http://www.mendeley.com/documents/?uuid=18e036f2-754f-4ff9-9e77-49cbbe04157a","http://www.mendeley.com/documents/?uuid=bd1f1475-0ae8-4029-8608-5433862071c0"]}],"mendeley":{"formattedCitation":"[140]","plainTextFormattedCitation":"[140]","previouslyFormattedCitation":"[140]"},"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[140]</w:t>
      </w:r>
      <w:r w:rsidRPr="00051297">
        <w:rPr>
          <w:rFonts w:cs="Times New Roman"/>
          <w:szCs w:val="24"/>
        </w:rPr>
        <w:fldChar w:fldCharType="end"/>
      </w:r>
      <w:r w:rsidRPr="00051297">
        <w:rPr>
          <w:rFonts w:cs="Times New Roman"/>
          <w:szCs w:val="24"/>
          <w:lang w:val="en-US"/>
        </w:rPr>
        <w:t xml:space="preserve">. </w:t>
      </w:r>
    </w:p>
    <w:p w14:paraId="1CB3B53E" w14:textId="4A41BC2F" w:rsidR="00051297" w:rsidRPr="00051297" w:rsidRDefault="00051297" w:rsidP="00051297">
      <w:pPr>
        <w:rPr>
          <w:rFonts w:cs="Times New Roman"/>
          <w:szCs w:val="24"/>
        </w:rPr>
      </w:pPr>
      <w:r w:rsidRPr="00051297">
        <w:rPr>
          <w:rFonts w:cs="Times New Roman"/>
          <w:szCs w:val="24"/>
          <w:lang w:val="en-US"/>
        </w:rPr>
        <w:t xml:space="preserve">The quantitative determination of slope stability is required for a variety of engineering projects, including the design of earth dams and embankments, the analysis of natural slope stability, the analysis of excavated slope stability, and the analysis of the deep-seated failure of foundations and retaining walls </w:t>
      </w:r>
      <w:r w:rsidRPr="00051297">
        <w:rPr>
          <w:rFonts w:cs="Times New Roman"/>
          <w:szCs w:val="24"/>
        </w:rPr>
        <w:fldChar w:fldCharType="begin" w:fldLock="1"/>
      </w:r>
      <w:r w:rsidR="00FA5896">
        <w:rPr>
          <w:rFonts w:cs="Times New Roman"/>
          <w:szCs w:val="24"/>
          <w:lang w:val="en-US"/>
        </w:rPr>
        <w:instrText>ADDIN CSL_CITATION {"citationItems":[{"id":"ITEM-1","itemData":{"DOI":"10.1007/s10064-018-1413-4","ISSN":"1435-9529","abstract":"Slope stability analysis based on the finite element method (FEM) is a powerful tool compared with the limit equilibrium (LEM) methods. However, mesh distortion of the traditional Lagrangian FEM may result in convergence difficulty of numerical simulation, and the obtained factor of safety (FOS) of the slope is not reliable. In this study, a slope stability analysis method based on the Coupled Eulerian-Lagrangian (CEL) numerical strategy with an energy based criterion is proposed. For three examples (a gentle homogeneous slope, a steep homogeneous slope and a slope with thin soft band), the results of the proposed method, the traditional Lagrangian FEM based slope stability method and the LEM method are compared. For the gentle homogeneous slope, both the proposed method and the traditional Lagrangian FEM based slope stability method can obtain credible FOS values, and the shear bands are consistent with the critical slip surface of the LEM method. The FOS value of the steep homogeneous slope is underestimated by the traditional Lagrangian FEM based method as the extreme geometry of the slope amplifies the nonlinearity and causes early termination of finite element modeling. For a slope with a thin soft band, the FOS value obtained using the traditional Lagrangian FEM based method is not valid due to severe mesh distortion. The present method can obtain reliable results for both local failure and global failure for the slope with a thin soft band.","author":[{"dropping-particle":"","family":"Chen","given":"Xiangyu","non-dropping-particle":"","parse-names":false,"suffix":""},{"dropping-particle":"","family":"Zhang","given":"Lulu","non-dropping-particle":"","parse-names":false,"suffix":""},{"dropping-particle":"","family":"Chen","given":"Lihong","non-dropping-particle":"","parse-names":false,"suffix":""},{"dropping-particle":"","family":"Li","given":"Xu","non-dropping-particle":"","parse-names":false,"suffix":""},{"dropping-particle":"","family":"Liu","given":"Dongsheng","non-dropping-particle":"","parse-names":false,"suffix":""}],"container-title":"Bulletin of Engineering Geology and the Environment","id":"ITEM-1","issue":"6","issued":{"date-parts":[["2019","9"]]},"page":"4451-4463","title":"Slope stability analysis based on the Coupled Eulerian-Lagrangian finite element method","type":"article-journal","volume":"78"},"uris":["http://www.mendeley.com/documents/?uuid=38adf1d2-788c-4b49-a42a-793e301b4a6e","http://www.mendeley.com/documents/?uuid=26186b5b-9e1f-41e9-ab75-b12a0c38ddb3","http://www.mendeley.com/documents/?uuid=13b1defb-5270-48e4-99fc-d297533a94ba"]}],"mendeley":{"formattedCitation":"[141]","plainTextFormattedCitation":"[141]","previouslyFormattedCitation":"[141]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[141]</w:t>
      </w:r>
      <w:r w:rsidRPr="00051297">
        <w:rPr>
          <w:rFonts w:cs="Times New Roman"/>
          <w:szCs w:val="24"/>
        </w:rPr>
        <w:fldChar w:fldCharType="end"/>
      </w:r>
      <w:r w:rsidRPr="00051297">
        <w:rPr>
          <w:rFonts w:cs="Times New Roman"/>
          <w:szCs w:val="24"/>
        </w:rPr>
        <w:t>.</w:t>
      </w:r>
    </w:p>
    <w:p w14:paraId="353CCEE3" w14:textId="55D43850" w:rsidR="00051297" w:rsidRPr="00051297" w:rsidRDefault="00051297" w:rsidP="0079595C">
      <w:pPr>
        <w:pStyle w:val="5"/>
      </w:pPr>
      <w:bookmarkStart w:id="247" w:name="_Toc97504747"/>
      <w:bookmarkStart w:id="248" w:name="_Toc103543881"/>
      <w:bookmarkStart w:id="249" w:name="_Toc104985205"/>
      <w:r w:rsidRPr="00051297">
        <w:t>Causes of slope instability</w:t>
      </w:r>
      <w:bookmarkEnd w:id="247"/>
      <w:bookmarkEnd w:id="248"/>
      <w:bookmarkEnd w:id="249"/>
    </w:p>
    <w:p w14:paraId="78D99940"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Rapid drawdown.</w:t>
      </w:r>
    </w:p>
    <w:p w14:paraId="4ED934B2"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By soaking the soil, the unit weight of the soil increases.</w:t>
      </w:r>
    </w:p>
    <w:p w14:paraId="7DC761A8"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Impact from the increased load as a result of external loading.</w:t>
      </w:r>
    </w:p>
    <w:p w14:paraId="64FA77CB"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Slopes that have been steepened by excavation or erosion.</w:t>
      </w:r>
    </w:p>
    <w:p w14:paraId="77D29A0F" w14:textId="77777777" w:rsidR="00051297" w:rsidRPr="00051297" w:rsidRDefault="00051297" w:rsidP="00051297">
      <w:pPr>
        <w:numPr>
          <w:ilvl w:val="0"/>
          <w:numId w:val="19"/>
        </w:numPr>
        <w:tabs>
          <w:tab w:val="clear" w:pos="720"/>
          <w:tab w:val="num" w:pos="993"/>
        </w:tabs>
        <w:ind w:left="0" w:firstLine="709"/>
        <w:rPr>
          <w:rFonts w:cs="Times New Roman"/>
          <w:szCs w:val="24"/>
        </w:rPr>
      </w:pPr>
      <w:r w:rsidRPr="00051297">
        <w:rPr>
          <w:rFonts w:cs="Times New Roman"/>
          <w:szCs w:val="24"/>
        </w:rPr>
        <w:t>Shock load</w:t>
      </w:r>
      <w:r w:rsidRPr="00051297">
        <w:rPr>
          <w:rFonts w:cs="Times New Roman"/>
          <w:szCs w:val="24"/>
          <w:lang w:val="en-US"/>
        </w:rPr>
        <w:t>ing</w:t>
      </w:r>
      <w:r w:rsidRPr="00051297">
        <w:rPr>
          <w:rFonts w:cs="Times New Roman"/>
          <w:szCs w:val="24"/>
        </w:rPr>
        <w:t>.</w:t>
      </w:r>
    </w:p>
    <w:p w14:paraId="656D2031" w14:textId="77777777" w:rsidR="00051297" w:rsidRPr="00F97DFC"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Impacts of v</w:t>
      </w:r>
      <w:r w:rsidRPr="00F97DFC">
        <w:rPr>
          <w:rFonts w:cs="Times New Roman"/>
          <w:szCs w:val="24"/>
          <w:lang w:val="en-US"/>
        </w:rPr>
        <w:t>ibration</w:t>
      </w:r>
      <w:r w:rsidRPr="00051297">
        <w:rPr>
          <w:rFonts w:cs="Times New Roman"/>
          <w:szCs w:val="24"/>
          <w:lang w:val="en-US"/>
        </w:rPr>
        <w:t>s</w:t>
      </w:r>
      <w:r w:rsidRPr="00F97DFC">
        <w:rPr>
          <w:rFonts w:cs="Times New Roman"/>
          <w:szCs w:val="24"/>
          <w:lang w:val="en-US"/>
        </w:rPr>
        <w:t xml:space="preserve"> and earthquakes.</w:t>
      </w:r>
    </w:p>
    <w:p w14:paraId="2678E3A0" w14:textId="77777777" w:rsidR="00051297" w:rsidRPr="00051297" w:rsidRDefault="00051297" w:rsidP="00051297">
      <w:pPr>
        <w:numPr>
          <w:ilvl w:val="0"/>
          <w:numId w:val="19"/>
        </w:numPr>
        <w:tabs>
          <w:tab w:val="clear" w:pos="720"/>
          <w:tab w:val="num" w:pos="993"/>
        </w:tabs>
        <w:ind w:left="0" w:firstLine="709"/>
        <w:rPr>
          <w:rFonts w:cs="Times New Roman"/>
          <w:szCs w:val="24"/>
        </w:rPr>
      </w:pPr>
      <w:r w:rsidRPr="00051297">
        <w:rPr>
          <w:rFonts w:cs="Times New Roman"/>
          <w:szCs w:val="24"/>
          <w:lang w:val="en-US"/>
        </w:rPr>
        <w:t>Elevated soil</w:t>
      </w:r>
      <w:r w:rsidRPr="00051297">
        <w:rPr>
          <w:rFonts w:cs="Times New Roman"/>
          <w:szCs w:val="24"/>
        </w:rPr>
        <w:t xml:space="preserve"> moisture content.</w:t>
      </w:r>
    </w:p>
    <w:p w14:paraId="06C13337" w14:textId="77777777" w:rsidR="00051297" w:rsidRPr="00F97DFC"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Impacts of the freeze-thaw phenomenon</w:t>
      </w:r>
      <w:r w:rsidRPr="00F97DFC">
        <w:rPr>
          <w:rFonts w:cs="Times New Roman"/>
          <w:szCs w:val="24"/>
          <w:lang w:val="en-US"/>
        </w:rPr>
        <w:t>.</w:t>
      </w:r>
    </w:p>
    <w:p w14:paraId="3CD68066" w14:textId="77777777" w:rsidR="00051297" w:rsidRPr="00F97DFC"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lastRenderedPageBreak/>
        <w:t xml:space="preserve">Elevated </w:t>
      </w:r>
      <w:r w:rsidRPr="00F97DFC">
        <w:rPr>
          <w:rFonts w:cs="Times New Roman"/>
          <w:szCs w:val="24"/>
          <w:lang w:val="en-US"/>
        </w:rPr>
        <w:t>pore pressure</w:t>
      </w:r>
      <w:r w:rsidRPr="00051297">
        <w:rPr>
          <w:rFonts w:cs="Times New Roman"/>
          <w:szCs w:val="24"/>
          <w:lang w:val="en-US"/>
        </w:rPr>
        <w:t>s in the embankment can also be linked to rapid drawdown</w:t>
      </w:r>
      <w:r w:rsidRPr="00F97DFC">
        <w:rPr>
          <w:rFonts w:cs="Times New Roman"/>
          <w:szCs w:val="24"/>
          <w:lang w:val="en-US"/>
        </w:rPr>
        <w:t>.</w:t>
      </w:r>
    </w:p>
    <w:p w14:paraId="0C08A478" w14:textId="77777777" w:rsidR="00051297" w:rsidRPr="00051297" w:rsidRDefault="00051297" w:rsidP="00051297">
      <w:pPr>
        <w:numPr>
          <w:ilvl w:val="0"/>
          <w:numId w:val="19"/>
        </w:numPr>
        <w:tabs>
          <w:tab w:val="clear" w:pos="720"/>
          <w:tab w:val="num" w:pos="993"/>
        </w:tabs>
        <w:ind w:left="0" w:firstLine="709"/>
        <w:rPr>
          <w:rFonts w:cs="Times New Roman"/>
          <w:szCs w:val="24"/>
        </w:rPr>
      </w:pPr>
      <w:r w:rsidRPr="00051297">
        <w:rPr>
          <w:rFonts w:cs="Times New Roman"/>
          <w:szCs w:val="24"/>
        </w:rPr>
        <w:t>Cementing pressure loss.</w:t>
      </w:r>
    </w:p>
    <w:p w14:paraId="429A5A26" w14:textId="0FA223D0" w:rsidR="00051297" w:rsidRPr="00051297" w:rsidRDefault="00051297" w:rsidP="0079595C">
      <w:pPr>
        <w:pStyle w:val="5"/>
        <w:rPr>
          <w:lang w:val="en-US"/>
        </w:rPr>
      </w:pPr>
      <w:bookmarkStart w:id="250" w:name="_Toc97504748"/>
      <w:bookmarkStart w:id="251" w:name="_Toc103543882"/>
      <w:bookmarkStart w:id="252" w:name="_Toc104985206"/>
      <w:r w:rsidRPr="00051297">
        <w:rPr>
          <w:lang w:val="en-US"/>
        </w:rPr>
        <w:t>The significance of embankment stability analysis</w:t>
      </w:r>
      <w:bookmarkEnd w:id="250"/>
      <w:r w:rsidRPr="00051297">
        <w:rPr>
          <w:lang w:val="en-US"/>
        </w:rPr>
        <w:t xml:space="preserve"> in terms of slope</w:t>
      </w:r>
      <w:bookmarkEnd w:id="251"/>
      <w:bookmarkEnd w:id="252"/>
    </w:p>
    <w:p w14:paraId="36813361"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Recognize how natural slopes evolve and take shape, as well as the mechanisms that cause various natural features.</w:t>
      </w:r>
    </w:p>
    <w:p w14:paraId="159CE655"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Evaluate the slope's stability in both short-term (typically during construction) and long-term situations.</w:t>
      </w:r>
    </w:p>
    <w:p w14:paraId="3F3D1967"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Assess the likelihood of landslides involving natural or manmade slopes.</w:t>
      </w:r>
    </w:p>
    <w:p w14:paraId="26046C0C" w14:textId="77777777" w:rsidR="00051297" w:rsidRPr="00BC7CF3" w:rsidRDefault="00051297" w:rsidP="00051297">
      <w:pPr>
        <w:numPr>
          <w:ilvl w:val="0"/>
          <w:numId w:val="19"/>
        </w:numPr>
        <w:tabs>
          <w:tab w:val="clear" w:pos="720"/>
          <w:tab w:val="num" w:pos="993"/>
        </w:tabs>
        <w:ind w:left="0" w:firstLine="709"/>
        <w:rPr>
          <w:rFonts w:cs="Times New Roman"/>
          <w:szCs w:val="24"/>
          <w:lang w:val="en-US"/>
        </w:rPr>
      </w:pPr>
      <w:r w:rsidRPr="00BC7CF3">
        <w:rPr>
          <w:rFonts w:cs="Times New Roman"/>
          <w:szCs w:val="24"/>
          <w:lang w:val="en-US"/>
        </w:rPr>
        <w:t>Analyze landslides and understand failure processes and the influence of environmental factors.</w:t>
      </w:r>
    </w:p>
    <w:p w14:paraId="12B1C3DB" w14:textId="77777777" w:rsidR="00051297" w:rsidRPr="00BC7CF3" w:rsidRDefault="00051297" w:rsidP="00051297">
      <w:pPr>
        <w:numPr>
          <w:ilvl w:val="0"/>
          <w:numId w:val="19"/>
        </w:numPr>
        <w:tabs>
          <w:tab w:val="clear" w:pos="720"/>
          <w:tab w:val="num" w:pos="993"/>
        </w:tabs>
        <w:ind w:left="0" w:firstLine="709"/>
        <w:rPr>
          <w:rFonts w:cs="Times New Roman"/>
          <w:spacing w:val="-6"/>
          <w:szCs w:val="24"/>
          <w:lang w:val="en-US"/>
        </w:rPr>
      </w:pPr>
      <w:r w:rsidRPr="00BC7CF3">
        <w:rPr>
          <w:rFonts w:cs="Times New Roman"/>
          <w:spacing w:val="-6"/>
          <w:szCs w:val="24"/>
          <w:lang w:val="en-US"/>
        </w:rPr>
        <w:t>If necessary, redesign failed slopes and plan for the design of preventive and repair measures.</w:t>
      </w:r>
    </w:p>
    <w:p w14:paraId="48B36493"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Research the effects of earthquakes on slopes and embankments.</w:t>
      </w:r>
    </w:p>
    <w:p w14:paraId="25264833" w14:textId="110F9621" w:rsidR="00051297" w:rsidRPr="00051297" w:rsidRDefault="00051297" w:rsidP="0079595C">
      <w:pPr>
        <w:pStyle w:val="5"/>
      </w:pPr>
      <w:bookmarkStart w:id="253" w:name="_Toc97504749"/>
      <w:bookmarkStart w:id="254" w:name="_Toc103543883"/>
      <w:bookmarkStart w:id="255" w:name="_Toc104985207"/>
      <w:r w:rsidRPr="00051297">
        <w:t>Types of slope failure</w:t>
      </w:r>
      <w:bookmarkEnd w:id="253"/>
      <w:bookmarkEnd w:id="254"/>
      <w:bookmarkEnd w:id="255"/>
    </w:p>
    <w:p w14:paraId="48AC9C7A"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Circular slips.</w:t>
      </w:r>
    </w:p>
    <w:p w14:paraId="20FBC6E5"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They are related to homogenous, isotropic soil conditions.</w:t>
      </w:r>
    </w:p>
    <w:p w14:paraId="7609F91C"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Non-circular slips.</w:t>
      </w:r>
    </w:p>
    <w:p w14:paraId="77A690AB"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Non-circular slips are associated with non-homogeneous soil conditions.</w:t>
      </w:r>
    </w:p>
    <w:p w14:paraId="4C08E6BB"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 xml:space="preserve">Translational failure. </w:t>
      </w:r>
    </w:p>
    <w:p w14:paraId="0C888275" w14:textId="77777777" w:rsidR="00051297" w:rsidRPr="00051297" w:rsidRDefault="00051297" w:rsidP="00051297">
      <w:pPr>
        <w:ind w:firstLine="706"/>
        <w:rPr>
          <w:rFonts w:cs="Times New Roman"/>
          <w:szCs w:val="24"/>
          <w:lang w:val="en-US"/>
        </w:rPr>
      </w:pPr>
      <w:r w:rsidRPr="00051297">
        <w:rPr>
          <w:rFonts w:cs="Times New Roman"/>
          <w:szCs w:val="24"/>
          <w:lang w:val="en-US"/>
        </w:rPr>
        <w:t>When the form of the failure surface is influenced by the existence of an adjacent stratum of differing strengths, and the adjacent stratum is relatively shallow, this type of failure occurs.</w:t>
      </w:r>
    </w:p>
    <w:p w14:paraId="6C0172E8" w14:textId="77777777" w:rsidR="00051297" w:rsidRPr="00051297" w:rsidRDefault="00051297" w:rsidP="00051297">
      <w:pPr>
        <w:numPr>
          <w:ilvl w:val="0"/>
          <w:numId w:val="19"/>
        </w:numPr>
        <w:tabs>
          <w:tab w:val="clear" w:pos="720"/>
          <w:tab w:val="num" w:pos="993"/>
        </w:tabs>
        <w:ind w:left="0" w:firstLine="709"/>
        <w:rPr>
          <w:rFonts w:cs="Times New Roman"/>
          <w:szCs w:val="24"/>
        </w:rPr>
      </w:pPr>
      <w:r w:rsidRPr="00051297">
        <w:rPr>
          <w:rFonts w:cs="Times New Roman"/>
          <w:szCs w:val="24"/>
          <w:lang w:val="en-US"/>
        </w:rPr>
        <w:t>Failure that is compounded.</w:t>
      </w:r>
    </w:p>
    <w:p w14:paraId="0EA21529" w14:textId="5AB3610B" w:rsidR="00051297" w:rsidRPr="00051297" w:rsidRDefault="00051297" w:rsidP="00051297">
      <w:pPr>
        <w:rPr>
          <w:rFonts w:cs="Times New Roman"/>
          <w:szCs w:val="24"/>
          <w:lang w:val="en-US"/>
        </w:rPr>
      </w:pPr>
      <w:r w:rsidRPr="00051297">
        <w:rPr>
          <w:rFonts w:cs="Times New Roman"/>
          <w:szCs w:val="24"/>
          <w:lang w:val="en-US"/>
        </w:rPr>
        <w:t>It occurs when the existence of a neighboring stratum of various strengths affects the shape of the failure surface, and the adjacent stratum is relatively deep (</w:t>
      </w:r>
      <w:r w:rsidRPr="00051297">
        <w:rPr>
          <w:rFonts w:cs="Times New Roman"/>
          <w:szCs w:val="24"/>
          <w:lang w:val="en-US"/>
        </w:rPr>
        <w:fldChar w:fldCharType="begin"/>
      </w:r>
      <w:r w:rsidRPr="00051297">
        <w:rPr>
          <w:rFonts w:cs="Times New Roman"/>
          <w:szCs w:val="24"/>
          <w:lang w:val="en-US"/>
        </w:rPr>
        <w:instrText xml:space="preserve"> REF _Ref98103009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6</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{"citationItems":[{"id":"ITEM-1","itemData":{"DOI":"10.1139/cgj-2017-0345","ISSN":"0008-3674","abstract":"This paper investigates three-dimensional (3D) stability of a compound soil slope with two inclination angles using the limit analysis method. The current limit analysis involves the toe-failure, face-failure, and base-failure mechanisms of the slope, all of which are possible 3D failure mechanisms. By reducing the current compound slope to a simple slope, the validity and efficiency of the present analysis are examined by comparing the current results with published solutions. The 3D stability of a compound soil slope is studied schematically for a wide range of parameters, and the stability charts are presented. The effects of slope shape (i.e., concave and convex shapes) and depth coefficient on the slope stability are investigated graphically. The graphs of critical failure surfaces are also presented to demonstrate the effects of slope shape and depth coefficient on the failure mechanism of a compound soil slope.","author":[{"dropping-particle":"","family":"Wang","given":"Long","non-dropping-particle":"","parse-names":false,"suffix":""},{"dropping-particle":"","family":"Sun","given":"De’An","non-dropping-particle":"","parse-names":false,"suffix":""},{"dropping-particle":"","family":"Li","given":"Lin","non-dropping-particle":"","parse-names":false,"suffix":""}],"container-title":"Canadian Geotechnical Journal","id":"ITEM-1","issue":"1","issued":{"date-parts":[["2019","1"]]},"page":"116-125","title":"Three-dimensional stability of compound slope using limit analysis method","type":"article-journal","volume":"56"},"uris":["http://www.mendeley.com/documents/?uuid=1c0d9dff-108b-438b-bfdc-a462e347288d","http://www.mendeley.com/documents/?uuid=ebbd43d7-8e91-4231-9e74-6b857b136ba9","http://www.mendeley.com/documents/?uuid=6837a0f6-6371-4fa6-bc8e-90e5029afda2"]}],"mendeley":{"formattedCitation":"[142]","plainTextFormattedCitation":"[142]","previouslyFormattedCitation":"[142]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[142]</w:t>
      </w:r>
      <w:r w:rsidRPr="00051297">
        <w:rPr>
          <w:rFonts w:cs="Times New Roman"/>
          <w:szCs w:val="24"/>
        </w:rPr>
        <w:fldChar w:fldCharType="end"/>
      </w:r>
      <w:r w:rsidRPr="00051297">
        <w:rPr>
          <w:rFonts w:cs="Times New Roman"/>
          <w:szCs w:val="24"/>
          <w:lang w:val="en-US"/>
        </w:rPr>
        <w:t>.</w:t>
      </w:r>
    </w:p>
    <w:p w14:paraId="7B128881"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40113ACE" wp14:editId="12CC1460">
            <wp:extent cx="5292000" cy="2520000"/>
            <wp:effectExtent l="0" t="0" r="4445" b="0"/>
            <wp:docPr id="113" name="Picture 113" descr="Types of Slope Fail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ypes of Slope Failu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92000" cy="2520000"/>
                    </a:xfrm>
                    <a:prstGeom prst="rect">
                      <a:avLst/>
                    </a:prstGeom>
                    <a:noFill/>
                    <a:ln>
                      <a:noFill/>
                    </a:ln>
                  </pic:spPr>
                </pic:pic>
              </a:graphicData>
            </a:graphic>
          </wp:inline>
        </w:drawing>
      </w:r>
    </w:p>
    <w:p w14:paraId="110BA910" w14:textId="5A89FFD0" w:rsidR="00051297" w:rsidRPr="00051297" w:rsidRDefault="00051297" w:rsidP="00051297">
      <w:pPr>
        <w:ind w:firstLine="0"/>
        <w:jc w:val="center"/>
        <w:rPr>
          <w:rFonts w:cs="Times New Roman"/>
          <w:szCs w:val="24"/>
          <w:lang w:val="en-US" w:bidi="en-US"/>
        </w:rPr>
      </w:pPr>
      <w:bookmarkStart w:id="256" w:name="_Ref98103009"/>
      <w:bookmarkStart w:id="257" w:name="_Toc97428200"/>
      <w:bookmarkStart w:id="258" w:name="_Toc98085875"/>
      <w:bookmarkStart w:id="259" w:name="_Toc103544070"/>
      <w:bookmarkStart w:id="260" w:name="_Toc104985393"/>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6</w:t>
      </w:r>
      <w:r w:rsidR="00527861">
        <w:rPr>
          <w:rFonts w:cs="Times New Roman"/>
          <w:szCs w:val="24"/>
          <w:lang w:val="en-US" w:bidi="en-US"/>
        </w:rPr>
        <w:fldChar w:fldCharType="end"/>
      </w:r>
      <w:bookmarkEnd w:id="256"/>
      <w:r w:rsidRPr="00051297">
        <w:rPr>
          <w:rFonts w:cs="Times New Roman"/>
          <w:szCs w:val="24"/>
          <w:lang w:val="en-US" w:bidi="en-US"/>
        </w:rPr>
        <w:t xml:space="preserve"> – Types of slope failure</w:t>
      </w:r>
      <w:bookmarkEnd w:id="257"/>
      <w:bookmarkEnd w:id="258"/>
      <w:bookmarkEnd w:id="259"/>
      <w:r w:rsidR="00FF2592">
        <w:rPr>
          <w:rFonts w:cs="Times New Roman"/>
          <w:szCs w:val="24"/>
          <w:lang w:val="en-US" w:bidi="en-US"/>
        </w:rPr>
        <w:t xml:space="preserve"> </w:t>
      </w:r>
      <w:r w:rsidR="00FF2592" w:rsidRPr="00051297">
        <w:rPr>
          <w:rFonts w:cs="Times New Roman"/>
          <w:szCs w:val="24"/>
        </w:rPr>
        <w:fldChar w:fldCharType="begin" w:fldLock="1"/>
      </w:r>
      <w:r w:rsidR="00FF2592">
        <w:rPr>
          <w:rFonts w:cs="Times New Roman"/>
          <w:szCs w:val="24"/>
          <w:lang w:val="en-US"/>
        </w:rPr>
        <w:instrText>ADDIN CSL_CITATION {"citationItems":[{"id":"ITEM-1","itemData":{"DOI":"10.1139/cgj-2017-0345","ISSN":"0008-3674","abstract":"This paper investigates three-dimensional (3D) stability of a compound soil slope with two inclination angles using the limit analysis method. The current limit analysis involves the toe-failure, face-failure, and base-failure mechanisms of the slope, all of which are possible 3D failure mechanisms. By reducing the current compound slope to a simple slope, the validity and efficiency of the present analysis are examined by comparing the current results with published solutions. The 3D stability of a compound soil slope is studied schematically for a wide range of parameters, and the stability charts are presented. The effects of slope shape (i.e., concave and convex shapes) and depth coefficient on the slope stability are investigated graphically. The graphs of critical failure surfaces are also presented to demonstrate the effects of slope shape and depth coefficient on the failure mechanism of a compound soil slope.","author":[{"dropping-particle":"","family":"Wang","given":"Long","non-dropping-particle":"","parse-names":false,"suffix":""},{"dropping-particle":"","family":"Sun","given":"De’An","non-dropping-particle":"","parse-names":false,"suffix":""},{"dropping-particle":"","family":"Li","given":"Lin","non-dropping-particle":"","parse-names":false,"suffix":""}],"container-title":"Canadian Geotechnical Journal","id":"ITEM-1","issue":"1","issued":{"date-parts":[["2019","1"]]},"page":"116-125","title":"Three-dimensional stability of compound slope using limit analysis method","type":"article-journal","volume":"56"},"uris":["http://www.mendeley.com/documents/?uuid=1c0d9dff-108b-438b-bfdc-a462e347288d","http://www.mendeley.com/documents/?uuid=ebbd43d7-8e91-4231-9e74-6b857b136ba9","http://www.mendeley.com/documents/?uuid=6837a0f6-6371-4fa6-bc8e-90e5029afda2"]}],"mendeley":{"formattedCitation":"[142]","plainTextFormattedCitation":"[142]","previouslyFormattedCitation":"[142]"},"properties":{"noteIndex":0},"schema":"https://github.com/citation-style-language/schema/raw/master/csl-citation.json"}</w:instrText>
      </w:r>
      <w:r w:rsidR="00FF2592" w:rsidRPr="00051297">
        <w:rPr>
          <w:rFonts w:cs="Times New Roman"/>
          <w:szCs w:val="24"/>
        </w:rPr>
        <w:fldChar w:fldCharType="separate"/>
      </w:r>
      <w:r w:rsidR="00FF2592" w:rsidRPr="0032684D">
        <w:rPr>
          <w:rFonts w:cs="Times New Roman"/>
          <w:noProof/>
          <w:szCs w:val="24"/>
          <w:lang w:val="en-US"/>
        </w:rPr>
        <w:t>[142]</w:t>
      </w:r>
      <w:bookmarkEnd w:id="260"/>
      <w:r w:rsidR="00FF2592" w:rsidRPr="00051297">
        <w:rPr>
          <w:rFonts w:cs="Times New Roman"/>
          <w:szCs w:val="24"/>
        </w:rPr>
        <w:fldChar w:fldCharType="end"/>
      </w:r>
    </w:p>
    <w:p w14:paraId="07618962" w14:textId="19ED0CB0" w:rsidR="00051297" w:rsidRPr="00051297" w:rsidRDefault="00051297" w:rsidP="0079595C">
      <w:pPr>
        <w:pStyle w:val="5"/>
        <w:rPr>
          <w:lang w:val="en-US"/>
        </w:rPr>
      </w:pPr>
      <w:bookmarkStart w:id="261" w:name="_Toc97504750"/>
      <w:bookmarkStart w:id="262" w:name="_Toc103543884"/>
      <w:bookmarkStart w:id="263" w:name="_Toc104985208"/>
      <w:r w:rsidRPr="00051297">
        <w:rPr>
          <w:lang w:val="en-US"/>
        </w:rPr>
        <w:lastRenderedPageBreak/>
        <w:t>Assumptions for slope stability analysis</w:t>
      </w:r>
      <w:bookmarkEnd w:id="261"/>
      <w:bookmarkEnd w:id="262"/>
      <w:bookmarkEnd w:id="263"/>
    </w:p>
    <w:p w14:paraId="43E01B6A"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There are problems that are two-dimensional.</w:t>
      </w:r>
    </w:p>
    <w:p w14:paraId="07888ECC"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 xml:space="preserve">Coulomb's theory can be used to compute shear strength. </w:t>
      </w:r>
    </w:p>
    <w:p w14:paraId="1CDAE10F"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 xml:space="preserve">The shear strength of the slip surface is thought to be uniform. </w:t>
      </w:r>
    </w:p>
    <w:p w14:paraId="13F8B1BA" w14:textId="77777777" w:rsidR="00051297" w:rsidRPr="00051297" w:rsidRDefault="00051297" w:rsidP="00051297">
      <w:pPr>
        <w:numPr>
          <w:ilvl w:val="0"/>
          <w:numId w:val="19"/>
        </w:numPr>
        <w:tabs>
          <w:tab w:val="clear" w:pos="720"/>
          <w:tab w:val="num" w:pos="993"/>
        </w:tabs>
        <w:ind w:left="0" w:firstLine="709"/>
        <w:rPr>
          <w:rFonts w:cs="Times New Roman"/>
          <w:szCs w:val="24"/>
          <w:lang w:val="en-US"/>
        </w:rPr>
      </w:pPr>
      <w:r w:rsidRPr="00051297">
        <w:rPr>
          <w:rFonts w:cs="Times New Roman"/>
          <w:szCs w:val="24"/>
          <w:lang w:val="en-US"/>
        </w:rPr>
        <w:t>The flow net can be drawn, and the seepage forces are estimated in the event of seepage.</w:t>
      </w:r>
    </w:p>
    <w:p w14:paraId="46C6E5AA" w14:textId="1F90BACC" w:rsidR="00051297" w:rsidRPr="00051297" w:rsidRDefault="00051297" w:rsidP="0079595C">
      <w:pPr>
        <w:pStyle w:val="5"/>
      </w:pPr>
      <w:bookmarkStart w:id="264" w:name="_Toc97504751"/>
      <w:bookmarkStart w:id="265" w:name="_Toc103543885"/>
      <w:bookmarkStart w:id="266" w:name="_Toc104985209"/>
      <w:r w:rsidRPr="00051297">
        <w:t xml:space="preserve">Factor of </w:t>
      </w:r>
      <w:r w:rsidR="00C86748">
        <w:rPr>
          <w:lang w:val="en-US"/>
        </w:rPr>
        <w:t>s</w:t>
      </w:r>
      <w:r w:rsidRPr="00051297">
        <w:t>afety</w:t>
      </w:r>
      <w:bookmarkEnd w:id="264"/>
      <w:bookmarkEnd w:id="265"/>
      <w:bookmarkEnd w:id="266"/>
    </w:p>
    <w:p w14:paraId="57659455" w14:textId="7AEFA413" w:rsidR="00051297" w:rsidRPr="00051297" w:rsidRDefault="00051297" w:rsidP="00051297">
      <w:pPr>
        <w:rPr>
          <w:rFonts w:cs="Times New Roman"/>
          <w:szCs w:val="24"/>
          <w:lang w:val="en-US"/>
        </w:rPr>
      </w:pPr>
      <w:r w:rsidRPr="00051297">
        <w:rPr>
          <w:rFonts w:cs="Times New Roman"/>
          <w:szCs w:val="24"/>
          <w:lang w:val="en-US"/>
        </w:rPr>
        <w:t xml:space="preserve">A number of safety criteria are taken into account when analyzing slope stability. Consider the safety factor in terms of strength, cohesion, friction, and height, for example. The former is quite well-liked </w:t>
      </w:r>
      <w:r w:rsidRPr="00051297">
        <w:rPr>
          <w:rFonts w:cs="Times New Roman"/>
          <w:szCs w:val="24"/>
        </w:rPr>
        <w:fldChar w:fldCharType="begin" w:fldLock="1"/>
      </w:r>
      <w:r w:rsidR="00FA5896">
        <w:rPr>
          <w:rFonts w:cs="Times New Roman"/>
          <w:szCs w:val="24"/>
          <w:lang w:val="en-US"/>
        </w:rPr>
        <w:instrText>ADDIN CSL_CITATION {"citationItems":[{"id":"ITEM-1","itemData":{"DOI":"10.1016/j.jrmge.2019.11.004","ISSN":"16747755","abstract":"Stability analysis of strain-softening slopes is carried out using the shear strength reduction method and Mohr-Coulomb model with degrading cohesion and friction angle. The effect of strain-softening behavior on the slope factor of safety is investigated by performing a series of analyses for various slope geometries and strength properties. Stability charts and equations are developed to estimate the factor of safety of strain-softening slopes from the results of traditional stability analysis based on perfectly-plastic behavior. Two example applications including an open pit mine in weak rock and clay shale slope with daylighting bedding planes are presented. The results of limit equilibrium analysis and shear strength reduction method with perfectly-plastic models were in close agreement. Using perfectly-plastic models with peak strength properties led to overly optimistic results while adopting residual strength properties gave excessively conservative outcomes. The shear strength reduction method with a strain-softening model gave realistic factors of safety while accounting for the process of strength degradation.","author":[{"dropping-particle":"","family":"Rafiei Renani","given":"Hossein","non-dropping-particle":"","parse-names":false,"suffix":""},{"dropping-particle":"","family":"Martin","given":"C. Derek","non-dropping-particle":"","parse-names":false,"suffix":""}],"container-title":"Journal of Rock Mechanics and Geotechnical Engineering","id":"ITEM-1","issue":"3","issued":{"date-parts":[["2020","6"]]},"page":"473-483","title":"Factor of safety of strain-softening slopes","type":"article-journal","volume":"12"},"uris":["http://www.mendeley.com/documents/?uuid=39f5ea9f-721e-4eea-b556-04878c910854","http://www.mendeley.com/documents/?uuid=04f987a8-3658-4078-b2ef-3b21d6e49969","http://www.mendeley.com/documents/?uuid=da6598d4-9133-484e-b8e0-b2c36ec9a21b"]}],"mendeley":{"formattedCitation":"[143]","plainTextFormattedCitation":"[143]","previouslyFormattedCitation":"[143]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[143]</w:t>
      </w:r>
      <w:r w:rsidRPr="00051297">
        <w:rPr>
          <w:rFonts w:cs="Times New Roman"/>
          <w:szCs w:val="24"/>
        </w:rPr>
        <w:fldChar w:fldCharType="end"/>
      </w:r>
      <w:r w:rsidRPr="00051297">
        <w:rPr>
          <w:rFonts w:cs="Times New Roman"/>
          <w:szCs w:val="24"/>
          <w:lang w:val="en-US"/>
        </w:rPr>
        <w:t>.</w:t>
      </w:r>
    </w:p>
    <w:p w14:paraId="6EF85818" w14:textId="77777777" w:rsidR="00051297" w:rsidRPr="00051297" w:rsidRDefault="00051297" w:rsidP="00051297">
      <w:pPr>
        <w:rPr>
          <w:rFonts w:cs="Times New Roman"/>
          <w:szCs w:val="24"/>
          <w:lang w:val="en-US"/>
        </w:rPr>
      </w:pPr>
      <w:r w:rsidRPr="00051297">
        <w:rPr>
          <w:rFonts w:cs="Times New Roman"/>
          <w:szCs w:val="24"/>
          <w:lang w:val="en-US"/>
        </w:rPr>
        <w:t>(a) Factor of safety based on Strength</w:t>
      </w:r>
    </w:p>
    <w:p w14:paraId="48587B0B" w14:textId="0FF6F172" w:rsidR="00051297" w:rsidRPr="00051297" w:rsidRDefault="00051297" w:rsidP="00051297">
      <w:pPr>
        <w:rPr>
          <w:rFonts w:cs="Times New Roman"/>
          <w:szCs w:val="24"/>
          <w:lang w:val="en-US"/>
        </w:rPr>
      </w:pPr>
      <w:r w:rsidRPr="00051297">
        <w:rPr>
          <w:rFonts w:cs="Times New Roman"/>
          <w:szCs w:val="24"/>
          <w:lang w:val="en-US"/>
        </w:rPr>
        <w:t xml:space="preserve">It's the ratio of a soil's maximum load or stress to the actual load or stress that's applied, and it's written like this </w:t>
      </w:r>
      <w:r w:rsidRPr="00051297">
        <w:rPr>
          <w:rFonts w:cs="Times New Roman"/>
          <w:szCs w:val="24"/>
        </w:rPr>
        <w:fldChar w:fldCharType="begin" w:fldLock="1"/>
      </w:r>
      <w:r w:rsidR="00FA5896">
        <w:rPr>
          <w:rFonts w:cs="Times New Roman"/>
          <w:szCs w:val="24"/>
          <w:lang w:val="en-US"/>
        </w:rPr>
        <w:instrText>ADDIN CSL_CITATION {"citationItems":[{"id":"ITEM-1","itemData":{"DOI":"10.1186/s43088-021-00115-w","ISSN":"2314-8543","abstract":"Background: Decreasing slope angle and slope height increases the slope factor of safety and can change the shape of likely slope failure. The increase in the factor of safety is at different rates, which can depend on soil type and slope geometry. Understanding the relationship between the slope height and angle decrease with the increase in factor of safety is vital to implement an efficient method of increasing factor of safety for slope stability problems. In addition, the shape of slope failure has to be observed thoroughly, not to increase the sliding mass of soil for a likely slope failure, even though the factor of safety has increased. Results: Three homogeneous slopes of different soil characteristics were analyzed several times by changing the slope height and angle to determine the factor of safety. The shape of failure was also observed and recorded for each slope height and angle decrease. The analysis results indicated that decreasing slope angle increases the factor of safety nearly linearly while a decrease in height increases the factor of safety at a parabolic rate. Slope height decrease increased the factor of safety at a higher rate for the clay soil while slope angle decrease increased factor of safety at a higher rate for sandy soil compared to the other types of soils considered. The toe slide was observed in clayey and sandy clay soils at higher slopes while the base slide was observed at slopes whose height is less than 2 m. The slope slide was dominant on sandy soil at different slope heights and slope angles. Conclusions: While the factor of safety of slopes had increased with slope height and angle decrease, the rate of increases and thus the efficiencies are different which depended on the type of soil and geometry of slope. The shape of failure also changed which might increase the sliding mass of soil. This can be risky if slope failure occurs due to unforeseen events. Using the slope height and angle decrease methods for slope stabilization should be thoroughly investigated to choose the most efficient method and also should be checked not to increase the sliding mass of soil for a possible slope failure.","author":[{"dropping-particle":"","family":"Shiferaw","given":"Henok Marie","non-dropping-particle":"","parse-names":false,"suffix":""}],"container-title":"Beni-Suef University Journal of Basic and Applied Sciences","id":"ITEM-1","issue":"1","issued":{"date-parts":[["2021","12"]]},"page":"31","title":"Study on the influence of slope height and angle on the factor of safety and shape of failure of slopes based on strength reduction method of analysis","type":"article-journal","volume":"10"},"uris":["http://www.mendeley.com/documents/?uuid=2d609497-5962-493b-b71e-c9f7e84f00ad","http://www.mendeley.com/documents/?uuid=9f073b4f-e84d-4b7d-9fd2-f81dcc292e51","http://www.mendeley.com/documents/?uuid=6f78c4d1-ce6c-422a-b2d0-a21055bace21"]}],"mendeley":{"formattedCitation":"[144]","plainTextFormattedCitation":"[144]","previouslyFormattedCitation":"[144]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[144]</w:t>
      </w:r>
      <w:r w:rsidRPr="00051297">
        <w:rPr>
          <w:rFonts w:cs="Times New Roman"/>
          <w:szCs w:val="24"/>
        </w:rPr>
        <w:fldChar w:fldCharType="end"/>
      </w:r>
      <w:r w:rsidRPr="00051297">
        <w:rPr>
          <w:rFonts w:cs="Times New Roman"/>
          <w:szCs w:val="24"/>
          <w:lang w:val="en-U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425C78" w14:paraId="7A483BE6" w14:textId="77777777" w:rsidTr="00D20B01">
        <w:tc>
          <w:tcPr>
            <w:tcW w:w="265" w:type="dxa"/>
          </w:tcPr>
          <w:p w14:paraId="05752540" w14:textId="77777777" w:rsidR="00051297" w:rsidRPr="00051297" w:rsidRDefault="00051297" w:rsidP="00051297">
            <w:pPr>
              <w:spacing w:after="160"/>
              <w:rPr>
                <w:szCs w:val="24"/>
                <w:lang w:val="en-US"/>
              </w:rPr>
            </w:pPr>
          </w:p>
        </w:tc>
        <w:tc>
          <w:tcPr>
            <w:tcW w:w="8820" w:type="dxa"/>
          </w:tcPr>
          <w:p w14:paraId="7A22A9F7" w14:textId="77777777" w:rsidR="00051297" w:rsidRPr="00051297" w:rsidRDefault="00051297" w:rsidP="00051297">
            <w:pPr>
              <w:spacing w:after="160"/>
              <w:rPr>
                <w:szCs w:val="24"/>
                <w:lang w:val="en-US"/>
              </w:rPr>
            </w:pPr>
            <m:oMathPara>
              <m:oMath>
                <m:r>
                  <w:rPr>
                    <w:rFonts w:ascii="Cambria Math" w:hAnsi="Cambria Math"/>
                    <w:szCs w:val="24"/>
                  </w:rPr>
                  <m:t>F</m:t>
                </m:r>
                <m:r>
                  <w:rPr>
                    <w:rFonts w:ascii="Cambria Math" w:hAnsi="Cambria Math"/>
                    <w:szCs w:val="24"/>
                    <w:lang w:val="en-US"/>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τ</m:t>
                        </m:r>
                      </m:e>
                      <m:sub>
                        <m:r>
                          <w:rPr>
                            <w:rFonts w:ascii="Cambria Math" w:hAnsi="Cambria Math"/>
                            <w:szCs w:val="24"/>
                          </w:rPr>
                          <m:t>ff</m:t>
                        </m:r>
                      </m:sub>
                    </m:sSub>
                  </m:num>
                  <m:den>
                    <m:r>
                      <w:rPr>
                        <w:rFonts w:ascii="Cambria Math" w:hAnsi="Cambria Math"/>
                        <w:szCs w:val="24"/>
                      </w:rPr>
                      <m:t>τ</m:t>
                    </m:r>
                  </m:den>
                </m:f>
              </m:oMath>
            </m:oMathPara>
          </w:p>
        </w:tc>
        <w:tc>
          <w:tcPr>
            <w:tcW w:w="265" w:type="dxa"/>
          </w:tcPr>
          <w:p w14:paraId="1EDF5EE5" w14:textId="29EF3F20" w:rsidR="00051297" w:rsidRPr="00DF6C77" w:rsidRDefault="00051297" w:rsidP="00051297">
            <w:pPr>
              <w:spacing w:after="160"/>
              <w:rPr>
                <w:lang w:val="en-US"/>
              </w:rPr>
            </w:pPr>
            <w:bookmarkStart w:id="267" w:name="_Ref103556306"/>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14</w:t>
            </w:r>
            <w:r w:rsidRPr="00051297">
              <w:rPr>
                <w:szCs w:val="24"/>
                <w:lang w:val="en-US"/>
              </w:rPr>
              <w:fldChar w:fldCharType="end"/>
            </w:r>
            <w:r w:rsidRPr="00051297">
              <w:rPr>
                <w:szCs w:val="24"/>
                <w:lang w:val="en-US"/>
              </w:rPr>
              <w:t>)</w:t>
            </w:r>
            <w:bookmarkEnd w:id="267"/>
          </w:p>
        </w:tc>
      </w:tr>
    </w:tbl>
    <w:p w14:paraId="402ED60C" w14:textId="73ADFB9C" w:rsidR="00051297" w:rsidRPr="00051297" w:rsidRDefault="00051297" w:rsidP="00051297">
      <w:pPr>
        <w:rPr>
          <w:rFonts w:cs="Times New Roman"/>
          <w:szCs w:val="24"/>
          <w:lang w:val="en-US"/>
        </w:rPr>
      </w:pPr>
      <w:r w:rsidRPr="00051297">
        <w:rPr>
          <w:rFonts w:cs="Times New Roman"/>
          <w:szCs w:val="24"/>
          <w:lang w:val="en-US"/>
        </w:rPr>
        <w:t xml:space="preserve">Equation </w:t>
      </w:r>
      <w:r w:rsidRPr="00051297">
        <w:rPr>
          <w:rFonts w:cs="Times New Roman"/>
          <w:szCs w:val="24"/>
          <w:lang w:val="en-US"/>
        </w:rPr>
        <w:fldChar w:fldCharType="begin"/>
      </w:r>
      <w:r w:rsidRPr="00051297">
        <w:rPr>
          <w:rFonts w:cs="Times New Roman"/>
          <w:szCs w:val="24"/>
          <w:lang w:val="en-US"/>
        </w:rPr>
        <w:instrText xml:space="preserve"> REF _Ref103556306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14</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can be tweaked in the following way:</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425C78" w14:paraId="089B25CC" w14:textId="77777777" w:rsidTr="00D20B01">
        <w:tc>
          <w:tcPr>
            <w:tcW w:w="265" w:type="dxa"/>
          </w:tcPr>
          <w:p w14:paraId="5FD66EFD" w14:textId="77777777" w:rsidR="00051297" w:rsidRPr="00051297" w:rsidRDefault="00051297" w:rsidP="00051297">
            <w:pPr>
              <w:spacing w:after="160"/>
              <w:rPr>
                <w:szCs w:val="24"/>
                <w:lang w:val="en-US"/>
              </w:rPr>
            </w:pPr>
          </w:p>
        </w:tc>
        <w:tc>
          <w:tcPr>
            <w:tcW w:w="8820" w:type="dxa"/>
          </w:tcPr>
          <w:p w14:paraId="406CB794" w14:textId="77777777" w:rsidR="00051297" w:rsidRPr="00051297" w:rsidRDefault="00051297" w:rsidP="00051297">
            <w:pPr>
              <w:spacing w:after="160"/>
              <w:rPr>
                <w:szCs w:val="24"/>
                <w:lang w:val="en-US"/>
              </w:rPr>
            </w:pPr>
            <m:oMathPara>
              <m:oMath>
                <m:r>
                  <w:rPr>
                    <w:rFonts w:ascii="Cambria Math" w:hAnsi="Cambria Math"/>
                    <w:szCs w:val="24"/>
                  </w:rPr>
                  <m:t>τ</m:t>
                </m:r>
                <m:r>
                  <w:rPr>
                    <w:rFonts w:ascii="Cambria Math" w:hAnsi="Cambria Math"/>
                    <w:szCs w:val="24"/>
                    <w:lang w:val="en-US"/>
                  </w:rPr>
                  <m:t>=</m:t>
                </m:r>
                <m:f>
                  <m:fPr>
                    <m:ctrlPr>
                      <w:rPr>
                        <w:rFonts w:ascii="Cambria Math" w:hAnsi="Cambria Math"/>
                        <w:i/>
                        <w:szCs w:val="24"/>
                      </w:rPr>
                    </m:ctrlPr>
                  </m:fPr>
                  <m:num>
                    <m:r>
                      <w:rPr>
                        <w:rFonts w:ascii="Cambria Math" w:hAnsi="Cambria Math"/>
                        <w:szCs w:val="24"/>
                      </w:rPr>
                      <m:t>c</m:t>
                    </m:r>
                  </m:num>
                  <m:den>
                    <m:r>
                      <w:rPr>
                        <w:rFonts w:ascii="Cambria Math" w:hAnsi="Cambria Math"/>
                        <w:szCs w:val="24"/>
                      </w:rPr>
                      <m:t>F</m:t>
                    </m:r>
                  </m:den>
                </m:f>
                <m:r>
                  <w:rPr>
                    <w:rFonts w:ascii="Cambria Math" w:hAnsi="Cambria Math"/>
                    <w:szCs w:val="24"/>
                    <w:lang w:val="en-US"/>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σ</m:t>
                        </m:r>
                      </m:e>
                      <m:sub>
                        <m:r>
                          <w:rPr>
                            <w:rFonts w:ascii="Cambria Math" w:hAnsi="Cambria Math"/>
                            <w:szCs w:val="24"/>
                          </w:rPr>
                          <m:t>n</m:t>
                        </m:r>
                      </m:sub>
                    </m:sSub>
                    <m:r>
                      <w:rPr>
                        <w:rFonts w:ascii="Cambria Math" w:hAnsi="Cambria Math"/>
                        <w:szCs w:val="24"/>
                      </w:rPr>
                      <m:t>tanθ</m:t>
                    </m:r>
                  </m:num>
                  <m:den>
                    <m:r>
                      <w:rPr>
                        <w:rFonts w:ascii="Cambria Math" w:hAnsi="Cambria Math"/>
                        <w:szCs w:val="24"/>
                      </w:rPr>
                      <m:t>F</m:t>
                    </m:r>
                  </m:den>
                </m:f>
              </m:oMath>
            </m:oMathPara>
          </w:p>
        </w:tc>
        <w:tc>
          <w:tcPr>
            <w:tcW w:w="265" w:type="dxa"/>
          </w:tcPr>
          <w:p w14:paraId="25CB702D" w14:textId="3C7B11CD" w:rsidR="00051297" w:rsidRPr="00DF6C77" w:rsidRDefault="00051297" w:rsidP="00051297">
            <w:pPr>
              <w:spacing w:after="160"/>
              <w:rPr>
                <w:lang w:val="en-US"/>
              </w:rPr>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15</w:t>
            </w:r>
            <w:r w:rsidRPr="00051297">
              <w:rPr>
                <w:szCs w:val="24"/>
                <w:lang w:val="en-US"/>
              </w:rPr>
              <w:fldChar w:fldCharType="end"/>
            </w:r>
            <w:r w:rsidRPr="00051297">
              <w:rPr>
                <w:szCs w:val="24"/>
                <w:lang w:val="en-US"/>
              </w:rPr>
              <w:t>)</w:t>
            </w:r>
          </w:p>
        </w:tc>
      </w:tr>
    </w:tbl>
    <w:p w14:paraId="4305C678" w14:textId="77777777" w:rsidR="00051297" w:rsidRPr="00051297" w:rsidRDefault="00051297" w:rsidP="00051297">
      <w:pPr>
        <w:rPr>
          <w:rFonts w:cs="Times New Roman"/>
          <w:szCs w:val="24"/>
          <w:lang w:val="en-US"/>
        </w:rPr>
      </w:pPr>
      <w:r w:rsidRPr="00051297">
        <w:rPr>
          <w:rFonts w:cs="Times New Roman"/>
          <w:szCs w:val="24"/>
          <w:lang w:val="en-US"/>
        </w:rPr>
        <w:t>Whereby:</w:t>
      </w:r>
    </w:p>
    <w:p w14:paraId="4F9BCEBF" w14:textId="77777777" w:rsidR="00051297" w:rsidRPr="00051297" w:rsidRDefault="00051297" w:rsidP="00051297">
      <w:pPr>
        <w:rPr>
          <w:rFonts w:cs="Times New Roman"/>
          <w:szCs w:val="24"/>
          <w:lang w:val="en-US"/>
        </w:rPr>
      </w:pPr>
      <m:oMath>
        <m:r>
          <w:rPr>
            <w:rFonts w:ascii="Cambria Math" w:hAnsi="Cambria Math" w:cs="Times New Roman"/>
            <w:szCs w:val="24"/>
          </w:rPr>
          <m:t>τ</m:t>
        </m:r>
      </m:oMath>
      <w:r w:rsidRPr="00051297">
        <w:rPr>
          <w:rFonts w:cs="Times New Roman"/>
          <w:szCs w:val="24"/>
          <w:lang w:val="en-US"/>
        </w:rPr>
        <w:t xml:space="preserve"> – the amount of shear stress that is delivered to the soil.</w:t>
      </w:r>
    </w:p>
    <w:p w14:paraId="27575778" w14:textId="59F51721" w:rsidR="00051297" w:rsidRPr="00051297" w:rsidRDefault="00051297" w:rsidP="00051297">
      <w:pPr>
        <w:rPr>
          <w:rFonts w:cs="Times New Roman"/>
          <w:szCs w:val="24"/>
          <w:lang w:val="en-US"/>
        </w:rPr>
      </w:pPr>
      <w:r w:rsidRPr="00051297">
        <w:rPr>
          <w:rFonts w:cs="Times New Roman"/>
          <w:szCs w:val="24"/>
          <w:lang w:val="en-US"/>
        </w:rPr>
        <w:t xml:space="preserve">At the value of normal stress </w:t>
      </w:r>
      <m:oMath>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σ</m:t>
            </m:r>
          </m:e>
          <m:sub>
            <m:r>
              <w:rPr>
                <w:rFonts w:ascii="Cambria Math" w:hAnsi="Cambria Math" w:cs="Times New Roman"/>
                <w:szCs w:val="24"/>
              </w:rPr>
              <m:t>n</m:t>
            </m:r>
          </m:sub>
        </m:sSub>
      </m:oMath>
      <w:r w:rsidRPr="00051297">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ff</m:t>
            </m:r>
          </m:sub>
        </m:sSub>
      </m:oMath>
      <w:r w:rsidRPr="00051297">
        <w:rPr>
          <w:rFonts w:cs="Times New Roman"/>
          <w:szCs w:val="24"/>
          <w:lang w:val="en-US"/>
        </w:rPr>
        <w:t xml:space="preserve"> is the shear stress that a soil can endure at its maximum (</w:t>
      </w:r>
      <w:r w:rsidRPr="00051297">
        <w:rPr>
          <w:rFonts w:cs="Times New Roman"/>
          <w:szCs w:val="24"/>
          <w:lang w:val="en-US"/>
        </w:rPr>
        <w:fldChar w:fldCharType="begin"/>
      </w:r>
      <w:r w:rsidRPr="00051297">
        <w:rPr>
          <w:rFonts w:cs="Times New Roman"/>
          <w:szCs w:val="24"/>
          <w:lang w:val="en-US"/>
        </w:rPr>
        <w:instrText xml:space="preserve"> REF _Ref98103033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7</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{"citationItems":[{"id":"ITEM-1","itemData":{"DOI":"10.3390/jcs4040157","ISSN":"2504-477X","abstract":"The maximum strain failure criterion is unified with the maximum stress failure criterion, after exploring the implications of two considerations responsible for this: (1) the failure strains for the direct strain components employed in the maximum strain criterion are all defined under uniaxial stress states, not uniaxial strain states, and (2) the contributions to the strain in a direction as a result of the Poisson effect do not contribute to the failure of the material in that direction. Incorporating these considerations into the maximum strain criterion, the maximum stress criterion is reproduced. For 3D stress/strain state applications primarily, the unified maximum stress/strain criterion is then subjected to further rationalization in the context of transversely isotropic materials by eliminating the treatments that undermine the objectivity of the failure criterion. The criterion is then applied based on the maximum and minimum direct stresses, the maximum transverse shear stress and the maximum longitudinal shear stress as the invariants of the stress state, instead of the conventional stress components directly.","author":[{"dropping-particle":"","family":"Li","given":"Shuguang","non-dropping-particle":"","parse-names":false,"suffix":""}],"container-title":"Journal of Composites Science","id":"ITEM-1","issue":"4","issued":{"date-parts":[["2020","10"]]},"page":"157","title":"The Maximum Stress Failure Criterion and the Maximum Strain Failure Criterion: Their Unification and Rationalization","type":"article-journal","volume":"4"},"uris":["http://www.mendeley.com/documents/?uuid=17935876-3e3a-4115-9411-22043ddb380a","http://www.mendeley.com/documents/?uuid=71d11dd9-2948-461c-ade6-9e532195a574","http://www.mendeley.com/documents/?uuid=03815e2d-58c1-451d-af59-38ab76bfaf5a"]}],"mendeley":{"formattedCitation":"[145]","plainTextFormattedCitation":"[145]","previouslyFormattedCitation":"[145]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[145]</w:t>
      </w:r>
      <w:r w:rsidRPr="00051297">
        <w:rPr>
          <w:rFonts w:cs="Times New Roman"/>
          <w:szCs w:val="24"/>
        </w:rPr>
        <w:fldChar w:fldCharType="end"/>
      </w:r>
      <w:r w:rsidRPr="00051297">
        <w:rPr>
          <w:rFonts w:cs="Times New Roman"/>
          <w:szCs w:val="24"/>
          <w:lang w:val="en-US"/>
        </w:rPr>
        <w:t>.</w:t>
      </w:r>
    </w:p>
    <w:p w14:paraId="5CC36784"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3FD7015E" wp14:editId="19D442DA">
            <wp:extent cx="3848100" cy="2521168"/>
            <wp:effectExtent l="0" t="0" r="0" b="0"/>
            <wp:docPr id="114" name="Picture 114" descr="Factor of Safety Definitio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ctor of Safety Definition Diagra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57335" cy="2527219"/>
                    </a:xfrm>
                    <a:prstGeom prst="rect">
                      <a:avLst/>
                    </a:prstGeom>
                    <a:noFill/>
                    <a:ln>
                      <a:noFill/>
                    </a:ln>
                  </pic:spPr>
                </pic:pic>
              </a:graphicData>
            </a:graphic>
          </wp:inline>
        </w:drawing>
      </w:r>
    </w:p>
    <w:p w14:paraId="4F671363" w14:textId="3ADAB331" w:rsidR="00051297" w:rsidRPr="00051297" w:rsidRDefault="00051297" w:rsidP="00051297">
      <w:pPr>
        <w:ind w:firstLine="0"/>
        <w:jc w:val="center"/>
        <w:rPr>
          <w:rFonts w:cs="Times New Roman"/>
          <w:szCs w:val="24"/>
          <w:lang w:val="en-US" w:bidi="en-US"/>
        </w:rPr>
      </w:pPr>
      <w:bookmarkStart w:id="268" w:name="_Ref98103033"/>
      <w:bookmarkStart w:id="269" w:name="_Toc104985394"/>
      <w:bookmarkStart w:id="270" w:name="_Toc98085876"/>
      <w:bookmarkStart w:id="271" w:name="_Toc97428201"/>
      <w:bookmarkStart w:id="272" w:name="_Toc103544071"/>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7</w:t>
      </w:r>
      <w:r w:rsidR="00527861">
        <w:rPr>
          <w:rFonts w:cs="Times New Roman"/>
          <w:szCs w:val="24"/>
          <w:lang w:val="en-US" w:bidi="en-US"/>
        </w:rPr>
        <w:fldChar w:fldCharType="end"/>
      </w:r>
      <w:bookmarkEnd w:id="268"/>
      <w:r w:rsidRPr="00051297">
        <w:rPr>
          <w:rFonts w:cs="Times New Roman"/>
          <w:szCs w:val="24"/>
          <w:lang w:val="en-US" w:bidi="en-US"/>
        </w:rPr>
        <w:t xml:space="preserve"> – Factor of safety definition diagram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{"citationItems":[{"id":"ITEM-1","itemData":{"DOI":"10.1139/cgj-2016-0527","ISSN":"0008-3674","abstract":"The factor of safety of a slope (F s ) is invariably assessed using methods underpinned by moment, force, and (or) shear strength equilibrium concerning slip surfaces. Each method inherently embeds some form of limitations, despite being popularly adopted in practice. In this paper, a new F s is devised using the ratio of ultimate energy (e u , upon sliding) over accumulated “elastic” energy. The F s is then reduced to a simple expression of the power to shear stress and shear strength, by taking soil as an elastic–plastic material obeying the Mohr–Coulomb failure criterion. This expression empowers significant efficacy in gaining the factor of safety (without involving energy or directions of shear stresses). The F s values were calculated for three typical slopes concerning various mechanical properties (dilation, Poisson’s ratio, and shear modulus) and effective computational strategies. All of the F s values (to a congruous accuracy of available methods) were obtained in less than 1% the time of conventional numerical analyses. The proposed F s , equally applicable to limit equilibrium methods, may be utilized in practice to expedite slope design.","author":[{"dropping-particle":"","family":"Xiao","given":"Shiguo","non-dropping-particle":"","parse-names":false,"suffix":""},{"dropping-particle":"","family":"Guo","given":"Wei Dong","non-dropping-particle":"","parse-names":false,"suffix":""},{"dropping-particle":"","family":"Zeng","given":"Jinxiu","non-dropping-particle":"","parse-names":false,"suffix":""}],"container-title":"Canadian Geotechnical Journal","id":"ITEM-1","issue":"2","issued":{"date-parts":[["2018","2"]]},"page":"296-302","title":"Factor of safety of slope stability from deformation energy","type":"article-journal","volume":"55"},"uris":["http://www.mendeley.com/documents/?uuid=ac1bbb05-05bc-4be9-ad91-94983f9b55f2","http://www.mendeley.com/documents/?uuid=170670b5-5313-43e0-b2aa-f201489262d4","http://www.mendeley.com/documents/?uuid=d310bb85-2242-4934-8b16-777ae2f78955"]}],"mendeley":{"formattedCitation":"[146]","plainTextFormattedCitation":"[146]","previouslyFormattedCitation":"[146]"},"properties":{"noteIndex":0},"schema":"https://github.com/citation-style-language/schema/raw/master/csl-citation.json"}</w:instrText>
      </w:r>
      <w:r w:rsidRPr="00051297">
        <w:rPr>
          <w:rFonts w:cs="Times New Roman"/>
          <w:szCs w:val="24"/>
          <w:lang w:val="en-US" w:bidi="en-US"/>
        </w:rPr>
        <w:fldChar w:fldCharType="separate"/>
      </w:r>
      <w:bookmarkEnd w:id="270"/>
      <w:bookmarkEnd w:id="271"/>
      <w:bookmarkEnd w:id="272"/>
      <w:r w:rsidR="0032684D" w:rsidRPr="0032684D">
        <w:rPr>
          <w:rFonts w:cs="Times New Roman"/>
          <w:noProof/>
          <w:szCs w:val="24"/>
          <w:lang w:val="en-US" w:bidi="en-US"/>
        </w:rPr>
        <w:t>[146]</w:t>
      </w:r>
      <w:bookmarkEnd w:id="269"/>
      <w:r w:rsidRPr="00051297">
        <w:rPr>
          <w:rFonts w:cs="Times New Roman"/>
          <w:szCs w:val="24"/>
          <w:lang w:val="en-US" w:bidi="en-US"/>
        </w:rPr>
        <w:fldChar w:fldCharType="end"/>
      </w:r>
    </w:p>
    <w:p w14:paraId="405F8E0A" w14:textId="77777777" w:rsidR="00051297" w:rsidRPr="00051297" w:rsidRDefault="00051297" w:rsidP="00051297">
      <w:pPr>
        <w:rPr>
          <w:rFonts w:cs="Times New Roman"/>
          <w:szCs w:val="24"/>
          <w:lang w:val="en-US"/>
        </w:rPr>
      </w:pPr>
      <w:r w:rsidRPr="00051297">
        <w:rPr>
          <w:rFonts w:cs="Times New Roman"/>
          <w:szCs w:val="24"/>
          <w:lang w:val="en-US"/>
        </w:rPr>
        <w:t>(b) The Factor of Safety in relation to cohesion</w:t>
      </w:r>
    </w:p>
    <w:p w14:paraId="2CD8DDA4" w14:textId="23036CC5" w:rsidR="00051297" w:rsidRPr="00051297" w:rsidRDefault="00051297" w:rsidP="00051297">
      <w:pPr>
        <w:rPr>
          <w:rFonts w:cs="Times New Roman"/>
          <w:szCs w:val="24"/>
          <w:lang w:val="en-US"/>
        </w:rPr>
      </w:pPr>
      <w:r w:rsidRPr="00051297">
        <w:rPr>
          <w:rFonts w:cs="Times New Roman"/>
          <w:szCs w:val="24"/>
          <w:lang w:val="en-US"/>
        </w:rPr>
        <w:t xml:space="preserve">The factor of safety in relation to cohesion can be taken into account when the frictional component of strength is fully mobilized and as a result of dividing the real cohesion and the </w:t>
      </w:r>
      <w:r w:rsidRPr="00051297">
        <w:rPr>
          <w:rFonts w:cs="Times New Roman"/>
          <w:szCs w:val="24"/>
          <w:lang w:val="en-US"/>
        </w:rPr>
        <w:lastRenderedPageBreak/>
        <w:t xml:space="preserve">cohesiveness necessary for stability, as stated by Equation </w:t>
      </w:r>
      <w:r w:rsidRPr="00051297">
        <w:rPr>
          <w:rFonts w:cs="Times New Roman"/>
          <w:szCs w:val="24"/>
          <w:lang w:val="en-US"/>
        </w:rPr>
        <w:fldChar w:fldCharType="begin"/>
      </w:r>
      <w:r w:rsidRPr="00051297">
        <w:rPr>
          <w:rFonts w:cs="Times New Roman"/>
          <w:szCs w:val="24"/>
          <w:lang w:val="en-US"/>
        </w:rPr>
        <w:instrText xml:space="preserve"> REF _Ref103556325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16</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In summary, is the ratio between actual cohesion and the cohesion required for stability </w:t>
      </w:r>
      <w:r w:rsidRPr="00051297">
        <w:rPr>
          <w:rFonts w:cs="Times New Roman"/>
          <w:szCs w:val="24"/>
        </w:rPr>
        <w:fldChar w:fldCharType="begin" w:fldLock="1"/>
      </w:r>
      <w:r w:rsidR="00FA5896">
        <w:rPr>
          <w:rFonts w:cs="Times New Roman"/>
          <w:szCs w:val="24"/>
          <w:lang w:val="en-US"/>
        </w:rPr>
        <w:instrText>ADDIN CSL_CITATION {"citationItems":[{"id":"ITEM-1","itemData":{"DOI":"10.1051/matecconf/202031000040","ISSN":"2261-236X","abstract":"Analysis and assessment of the slopes stability are an important in geotechnical engineering for all the times. The paper deals with the assessment of slope stability in fine-grained soils. The influence of change in shear strength parameters on the factor of safety has been studied. The factor of safety can be correctly obtained only if the critical failure surface of the slope is accurately identified and shear strength parameters are correctly. To investigate effect of soil strength parameters on the factor of safety, different values of shear strength parameters: cohesion ( c ), internal friction angle ( ϕ ), were chosen. The calculation and assessment of slope stability was made using methods which assume a circular shape of the slip surface (Bishop and Petterson method) and methods that consider the polygonal shape of the slip surface (Spencer and Janbu method). We analyzed the impact of shear strength parameters of the resulting factor of slope stability of fine grained soil. The results of the study showed that the factor of safety of the slope changes with varying cohesion c and internal friction angle ϕ .","author":[{"dropping-particle":"","family":"Harabinová","given":"Slávka","non-dropping-particle":"","parse-names":false,"suffix":""},{"dropping-particle":"","family":"Panulinová","given":"Eva","non-dropping-particle":"","parse-names":false,"suffix":""}],"container-title":"MATEC Web of Conferences","editor":[{"dropping-particle":"","family":"Kotrasová","given":"K.","non-dropping-particle":"","parse-names":false,"suffix":""},{"dropping-particle":"","family":"Kormaníková","given":"E.","non-dropping-particle":"","parse-names":false,"suffix":""},{"dropping-particle":"","family":"Kmeť","given":"S.","non-dropping-particle":"","parse-names":false,"suffix":""}],"id":"ITEM-1","issued":{"date-parts":[["2020","3"]]},"page":"00040","title":"Impact of shear strength parameters on slope stability","type":"article-journal","volume":"310"},"uris":["http://www.mendeley.com/documents/?uuid=40b33480-fc4f-4e18-bf65-5fedf1c60ee8","http://www.mendeley.com/documents/?uuid=7fa80225-bd96-42c2-b36b-271330a30b9b"]},{"id":"ITEM-2","itemData":{"DOI":"10.1088/1755-1315/235/1/012084","ISSN":"1755-1315","abstract":"This research was conducted in East Kalimantan area. Which aims to determine the value of safety factor to know the level of the slope stability in order to make the right PIT design. The greater the SF value of a slope, the more stable the slope, so the activity of production will remain safe. This analysis uses bhisop method. This method is used by assuming the type of landslide that will occur on the high wall side is a circular landslide, while on the low wall is the plannar landslide. In this analysis, the data used are slope geometry, cohesion values and friction angle resulting from direct shear and unit weight from basic test. The greater the value of cohesion and the friction angle, the value of the safety factor will also be greater, then the PIT design will be stable. Result of this research, the SF values are varied, on the high wall side of 2,050 to 8,298, on the low wall of 2,174 to 12,670 and on the end wall of 1.838.","author":[{"dropping-particle":"","family":"Sibala","given":"E. D.","non-dropping-particle":"","parse-names":false,"suffix":""},{"dropping-particle":"","family":"Langkoke","given":"R.","non-dropping-particle":"","parse-names":false,"suffix":""}],"container-title":"IOP Conference Series: Earth and Environmental Science","id":"ITEM-2","issued":{"date-parts":[["2019","2"]]},"page":"012084","title":"Determination of safety factor value of PIT design based on cohesion and friction angle","type":"article-journal","volume":"235"},"uris":["http://www.mendeley.com/documents/?uuid=b27fba33-5929-4dfb-ae24-7197b653cdf9","http://www.mendeley.com/documents/?uuid=23cb10c4-8cc0-4084-9f30-2553ccd343c6","http://www.mendeley.com/documents/?uuid=8d07ba9d-87cf-4144-892d-76052b082c12"]}],"mendeley":{"formattedCitation":"[147,148]","plainTextFormattedCitation":"[147,148]","previouslyFormattedCitation":"[147,148]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[147,148]</w:t>
      </w:r>
      <w:r w:rsidRPr="00051297">
        <w:rPr>
          <w:rFonts w:cs="Times New Roman"/>
          <w:szCs w:val="24"/>
        </w:rPr>
        <w:fldChar w:fldCharType="end"/>
      </w:r>
      <w:r w:rsidRPr="00051297">
        <w:rPr>
          <w:rFonts w:cs="Times New Roman"/>
          <w:szCs w:val="24"/>
          <w:lang w:val="en-US"/>
        </w:rPr>
        <w:t>:</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425C78" w14:paraId="5FE145A9" w14:textId="77777777" w:rsidTr="00D20B01">
        <w:trPr>
          <w:jc w:val="center"/>
        </w:trPr>
        <w:tc>
          <w:tcPr>
            <w:tcW w:w="265" w:type="dxa"/>
          </w:tcPr>
          <w:p w14:paraId="16BBA569" w14:textId="77777777" w:rsidR="00051297" w:rsidRPr="00051297" w:rsidRDefault="00051297" w:rsidP="00051297">
            <w:pPr>
              <w:spacing w:after="160"/>
              <w:rPr>
                <w:szCs w:val="24"/>
                <w:lang w:val="en-US"/>
              </w:rPr>
            </w:pPr>
            <w:bookmarkStart w:id="273" w:name="_Hlk92410613"/>
          </w:p>
        </w:tc>
        <w:tc>
          <w:tcPr>
            <w:tcW w:w="8820" w:type="dxa"/>
          </w:tcPr>
          <w:p w14:paraId="37C575E7" w14:textId="77777777" w:rsidR="00051297" w:rsidRPr="00051297" w:rsidRDefault="00051297" w:rsidP="00051297">
            <w:pPr>
              <w:spacing w:after="160"/>
              <w:rPr>
                <w:szCs w:val="24"/>
                <w:lang w:val="en-US"/>
              </w:rPr>
            </w:pPr>
            <m:oMathPara>
              <m:oMath>
                <m:r>
                  <w:rPr>
                    <w:rFonts w:ascii="Cambria Math" w:hAnsi="Cambria Math"/>
                    <w:szCs w:val="24"/>
                  </w:rPr>
                  <m:t>τ</m:t>
                </m:r>
                <m:r>
                  <w:rPr>
                    <w:rFonts w:ascii="Cambria Math" w:hAnsi="Cambria Math"/>
                    <w:szCs w:val="24"/>
                    <w:lang w:val="en-US"/>
                  </w:rPr>
                  <m:t>=</m:t>
                </m:r>
                <m:f>
                  <m:fPr>
                    <m:ctrlPr>
                      <w:rPr>
                        <w:rFonts w:ascii="Cambria Math" w:hAnsi="Cambria Math"/>
                        <w:i/>
                        <w:szCs w:val="24"/>
                      </w:rPr>
                    </m:ctrlPr>
                  </m:fPr>
                  <m:num>
                    <m:r>
                      <w:rPr>
                        <w:rFonts w:ascii="Cambria Math" w:hAnsi="Cambria Math"/>
                        <w:szCs w:val="24"/>
                      </w:rPr>
                      <m:t>c</m:t>
                    </m:r>
                  </m:num>
                  <m:den>
                    <m:sSub>
                      <m:sSubPr>
                        <m:ctrlPr>
                          <w:rPr>
                            <w:rFonts w:ascii="Cambria Math" w:hAnsi="Cambria Math"/>
                            <w:i/>
                            <w:szCs w:val="24"/>
                          </w:rPr>
                        </m:ctrlPr>
                      </m:sSubPr>
                      <m:e>
                        <m:r>
                          <w:rPr>
                            <w:rFonts w:ascii="Cambria Math" w:hAnsi="Cambria Math"/>
                            <w:szCs w:val="24"/>
                          </w:rPr>
                          <m:t>F</m:t>
                        </m:r>
                      </m:e>
                      <m:sub>
                        <m:r>
                          <w:rPr>
                            <w:rFonts w:ascii="Cambria Math" w:hAnsi="Cambria Math"/>
                            <w:szCs w:val="24"/>
                          </w:rPr>
                          <m:t>c</m:t>
                        </m:r>
                      </m:sub>
                    </m:sSub>
                  </m:den>
                </m:f>
                <m:r>
                  <w:rPr>
                    <w:rFonts w:ascii="Cambria Math" w:hAnsi="Cambria Math"/>
                    <w:szCs w:val="24"/>
                    <w:lang w:val="en-US"/>
                  </w:rPr>
                  <m:t>+</m:t>
                </m:r>
                <m:sSub>
                  <m:sSubPr>
                    <m:ctrlPr>
                      <w:rPr>
                        <w:rFonts w:ascii="Cambria Math" w:hAnsi="Cambria Math"/>
                        <w:i/>
                        <w:szCs w:val="24"/>
                      </w:rPr>
                    </m:ctrlPr>
                  </m:sSubPr>
                  <m:e>
                    <m:r>
                      <w:rPr>
                        <w:rFonts w:ascii="Cambria Math" w:hAnsi="Cambria Math"/>
                        <w:szCs w:val="24"/>
                      </w:rPr>
                      <m:t>σ</m:t>
                    </m:r>
                  </m:e>
                  <m:sub>
                    <m:r>
                      <w:rPr>
                        <w:rFonts w:ascii="Cambria Math" w:hAnsi="Cambria Math"/>
                        <w:szCs w:val="24"/>
                      </w:rPr>
                      <m:t>n</m:t>
                    </m:r>
                  </m:sub>
                </m:sSub>
                <m:r>
                  <w:rPr>
                    <w:rFonts w:ascii="Cambria Math" w:hAnsi="Cambria Math"/>
                    <w:szCs w:val="24"/>
                  </w:rPr>
                  <m:t>tanθ</m:t>
                </m:r>
              </m:oMath>
            </m:oMathPara>
          </w:p>
        </w:tc>
        <w:tc>
          <w:tcPr>
            <w:tcW w:w="265" w:type="dxa"/>
          </w:tcPr>
          <w:p w14:paraId="2D48E0B5" w14:textId="78C6629A" w:rsidR="00051297" w:rsidRPr="00F97DFC" w:rsidRDefault="00051297" w:rsidP="00051297">
            <w:pPr>
              <w:spacing w:after="160"/>
              <w:rPr>
                <w:lang w:val="en-US"/>
              </w:rPr>
            </w:pPr>
            <w:bookmarkStart w:id="274" w:name="_Ref103556325"/>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16</w:t>
            </w:r>
            <w:r w:rsidRPr="00051297">
              <w:rPr>
                <w:szCs w:val="24"/>
                <w:lang w:val="en-US"/>
              </w:rPr>
              <w:fldChar w:fldCharType="end"/>
            </w:r>
            <w:r w:rsidRPr="00051297">
              <w:rPr>
                <w:szCs w:val="24"/>
                <w:lang w:val="en-US"/>
              </w:rPr>
              <w:t>)</w:t>
            </w:r>
            <w:bookmarkEnd w:id="274"/>
          </w:p>
        </w:tc>
      </w:tr>
    </w:tbl>
    <w:bookmarkEnd w:id="273"/>
    <w:p w14:paraId="603A504A" w14:textId="77777777" w:rsidR="00051297" w:rsidRPr="00051297" w:rsidRDefault="00051297" w:rsidP="00051297">
      <w:pPr>
        <w:rPr>
          <w:rFonts w:cs="Times New Roman"/>
          <w:szCs w:val="24"/>
          <w:lang w:val="en-US"/>
        </w:rPr>
      </w:pPr>
      <w:r w:rsidRPr="00051297">
        <w:rPr>
          <w:rFonts w:cs="Times New Roman"/>
          <w:szCs w:val="24"/>
          <w:lang w:val="en-US"/>
        </w:rPr>
        <w:t>(c)  Friction-related factor of safety</w:t>
      </w:r>
    </w:p>
    <w:p w14:paraId="3827164D" w14:textId="2023A944" w:rsidR="00051297" w:rsidRPr="00051297" w:rsidRDefault="00051297" w:rsidP="00051297">
      <w:pPr>
        <w:rPr>
          <w:rFonts w:cs="Times New Roman"/>
          <w:szCs w:val="24"/>
        </w:rPr>
      </w:pPr>
      <w:r w:rsidRPr="00051297">
        <w:rPr>
          <w:rFonts w:cs="Times New Roman"/>
          <w:szCs w:val="24"/>
          <w:lang w:val="en-US"/>
        </w:rPr>
        <w:t xml:space="preserve">The factor of safety in relation to friction can be taken into consideration when the cohesive component of strength is fully mobilized; and is therefore a result of dividing the tangent of the soil's shearing resistance angle to the tangent of the soil's mobilized shearing resistance angle </w:t>
      </w:r>
      <w:r w:rsidRPr="00051297">
        <w:rPr>
          <w:rFonts w:cs="Times New Roman"/>
          <w:szCs w:val="24"/>
          <w:lang w:val="en-US"/>
        </w:rPr>
        <w:fldChar w:fldCharType="begin"/>
      </w:r>
      <w:r w:rsidRPr="00051297">
        <w:rPr>
          <w:rFonts w:cs="Times New Roman"/>
          <w:szCs w:val="24"/>
          <w:lang w:val="en-US"/>
        </w:rPr>
        <w:instrText xml:space="preserve"> REF _Ref103556362 \h </w:instrText>
      </w:r>
      <w:r w:rsidRPr="00051297">
        <w:rPr>
          <w:rFonts w:cs="Times New Roman"/>
          <w:szCs w:val="24"/>
          <w:lang w:val="en-US"/>
        </w:rPr>
      </w:r>
      <w:r w:rsidRPr="00051297">
        <w:rPr>
          <w:rFonts w:cs="Times New Roman"/>
          <w:szCs w:val="24"/>
          <w:lang w:val="en-US"/>
        </w:rPr>
        <w:fldChar w:fldCharType="separate"/>
      </w:r>
      <w:r w:rsidR="004870F1" w:rsidRPr="00CF2B2B">
        <w:rPr>
          <w:szCs w:val="24"/>
          <w:lang w:val="en-US"/>
        </w:rPr>
        <w:t>(</w:t>
      </w:r>
      <w:r w:rsidR="004870F1" w:rsidRPr="00CF2B2B">
        <w:rPr>
          <w:noProof/>
          <w:szCs w:val="24"/>
          <w:lang w:val="en-US"/>
        </w:rPr>
        <w:t>1</w:t>
      </w:r>
      <w:r w:rsidR="004870F1" w:rsidRPr="00CF2B2B">
        <w:rPr>
          <w:szCs w:val="24"/>
          <w:lang w:val="en-US"/>
        </w:rPr>
        <w:t>.</w:t>
      </w:r>
      <w:r w:rsidR="004870F1" w:rsidRPr="00CF2B2B">
        <w:rPr>
          <w:noProof/>
          <w:szCs w:val="24"/>
          <w:lang w:val="en-US"/>
        </w:rPr>
        <w:t>17</w:t>
      </w:r>
      <w:r w:rsidR="004870F1" w:rsidRPr="00CF2B2B">
        <w:rPr>
          <w:szCs w:val="24"/>
          <w:lang w:val="en-US"/>
        </w:rPr>
        <w:t>)</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{"citationItems":[{"id":"ITEM-1","itemData":{"DOI":"10.1016/j.catena.2020.104949","ISSN":"03418162","abstract":"The unsaturated soil shear strength is a crucial parameter for the evaluation of erosion and slope stability analysis. In this study, we collected unsaturated and undisturbed soil samples in Aug 2018 and investigated the relationship between the unsaturated soil shear strength, soil salt content (SSC) and particle content in coastal reclamation areas. A combination method of the direct shear test and soil water characteristic curve (SWCC) was used on undisturbed soil to determine the unsaturated soil shear strength in 79 soil sampling sites. The shear strengths of four gradient salt content soils with different matric suctions were selected to perform a slope stability analysis using the strength reduction method (SRM) for an agricultural engineering slope model considering soil desalinization. The shear strength of unsaturated soils increased with increasing matric suction, especially when the soil salt content was high. The soil effective cohesion was found to be significantly positively correlated with the SSC and clay content, while the soil effective internal friction angle was significantly negatively correlated with the SSC and clay content. The internal friction angle related to matric suction was independent of the soil properties. The location of the critical failure surface was deeper, and the factor of safety (FS) was higher on a slope with a high SSC at all slope gradients than that with a low SCC. The FS decreased with increasing saturation and decreasing SSC. This implies that the agricultural engineering slope, especially for drainage ditch slopes rammed with high salt content soils, was at the stable stage after its establishment but had higher potential to fail during desalinization and saturation. This study aims to evaluate slope stability using unsaturated soil shear strength and increase the current understanding of the soil desalinization of saline-sodic soils and their efficacy in soil shear strength in coastal reclamation areas.","author":[{"dropping-particle":"","family":"Hongde","given":"Wang","non-dropping-particle":"","parse-names":false,"suffix":""},{"dropping-particle":"","family":"Dongli","given":"She","non-dropping-particle":"","parse-names":false,"suffix":""},{"dropping-particle":"","family":"Xiaoqin","given":"Sun","non-dropping-particle":"","parse-names":false,"suffix":""},{"dropping-particle":"","family":"Shengqiang","given":"Tang","non-dropping-particle":"","parse-names":false,"suffix":""},{"dropping-particle":"","family":"Yipeng","given":"Zheng","non-dropping-particle":"","parse-names":false,"suffix":""}],"container-title":"CATENA","id":"ITEM-1","issued":{"date-parts":[["2021","1"]]},"page":"104949","title":"Analysis of unsaturated shear strength and slope stability considering soil desalinization in a reclamation area in China","type":"article-journal","volume":"196"},"uris":["http://www.mendeley.com/documents/?uuid=5e50bb81-05d0-40b9-ad9c-4f2cb7849a02","http://www.mendeley.com/documents/?uuid=835d44d9-9b0e-4e8c-8528-3f8fcf850a31","http://www.mendeley.com/documents/?uuid=effc1efa-f88e-4592-befb-6aabaf3dfc68"]}],"mendeley":{"formattedCitation":"[149]","plainTextFormattedCitation":"[149]","previouslyFormattedCitation":"[149]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[149]</w:t>
      </w:r>
      <w:r w:rsidRPr="00051297">
        <w:rPr>
          <w:rFonts w:cs="Times New Roman"/>
          <w:szCs w:val="24"/>
        </w:rPr>
        <w:fldChar w:fldCharType="end"/>
      </w:r>
      <w:r w:rsidRPr="00051297">
        <w:rPr>
          <w:rFonts w:cs="Times New Roman"/>
          <w:szCs w:val="24"/>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6A089F00" w14:textId="77777777" w:rsidTr="00D20B01">
        <w:tc>
          <w:tcPr>
            <w:tcW w:w="265" w:type="dxa"/>
          </w:tcPr>
          <w:p w14:paraId="4E8F65A2" w14:textId="77777777" w:rsidR="00051297" w:rsidRPr="00051297" w:rsidRDefault="00051297" w:rsidP="00051297">
            <w:pPr>
              <w:spacing w:after="160"/>
              <w:rPr>
                <w:szCs w:val="24"/>
              </w:rPr>
            </w:pPr>
          </w:p>
        </w:tc>
        <w:tc>
          <w:tcPr>
            <w:tcW w:w="8820" w:type="dxa"/>
          </w:tcPr>
          <w:p w14:paraId="6E3AD3A3" w14:textId="77777777" w:rsidR="00051297" w:rsidRPr="00051297" w:rsidRDefault="00051297" w:rsidP="00051297">
            <w:pPr>
              <w:spacing w:after="160"/>
              <w:rPr>
                <w:szCs w:val="24"/>
              </w:rPr>
            </w:pPr>
            <m:oMathPara>
              <m:oMath>
                <m:r>
                  <w:rPr>
                    <w:rFonts w:ascii="Cambria Math" w:hAnsi="Cambria Math"/>
                    <w:szCs w:val="24"/>
                  </w:rPr>
                  <m:t>τ=c+</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σ</m:t>
                        </m:r>
                      </m:e>
                      <m:sub>
                        <m:r>
                          <w:rPr>
                            <w:rFonts w:ascii="Cambria Math" w:hAnsi="Cambria Math"/>
                            <w:szCs w:val="24"/>
                          </w:rPr>
                          <m:t>n</m:t>
                        </m:r>
                      </m:sub>
                    </m:sSub>
                    <m:r>
                      <w:rPr>
                        <w:rFonts w:ascii="Cambria Math" w:hAnsi="Cambria Math"/>
                        <w:szCs w:val="24"/>
                      </w:rPr>
                      <m:t>tanθ</m:t>
                    </m:r>
                  </m:num>
                  <m:den>
                    <m:sSub>
                      <m:sSubPr>
                        <m:ctrlPr>
                          <w:rPr>
                            <w:rFonts w:ascii="Cambria Math" w:hAnsi="Cambria Math"/>
                            <w:i/>
                            <w:szCs w:val="24"/>
                          </w:rPr>
                        </m:ctrlPr>
                      </m:sSubPr>
                      <m:e>
                        <m:r>
                          <w:rPr>
                            <w:rFonts w:ascii="Cambria Math" w:hAnsi="Cambria Math"/>
                            <w:szCs w:val="24"/>
                          </w:rPr>
                          <m:t>F</m:t>
                        </m:r>
                      </m:e>
                      <m:sub>
                        <m:r>
                          <w:rPr>
                            <w:rFonts w:ascii="Cambria Math" w:hAnsi="Cambria Math"/>
                            <w:szCs w:val="24"/>
                          </w:rPr>
                          <m:t>c</m:t>
                        </m:r>
                      </m:sub>
                    </m:sSub>
                  </m:den>
                </m:f>
              </m:oMath>
            </m:oMathPara>
          </w:p>
        </w:tc>
        <w:tc>
          <w:tcPr>
            <w:tcW w:w="265" w:type="dxa"/>
          </w:tcPr>
          <w:p w14:paraId="61D6019C" w14:textId="44EED604" w:rsidR="00051297" w:rsidRPr="00051297" w:rsidRDefault="00051297" w:rsidP="00051297">
            <w:pPr>
              <w:spacing w:after="160"/>
            </w:pPr>
            <w:bookmarkStart w:id="275" w:name="_Ref103556362"/>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1</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17</w:t>
            </w:r>
            <w:r w:rsidRPr="00051297">
              <w:rPr>
                <w:szCs w:val="24"/>
              </w:rPr>
              <w:fldChar w:fldCharType="end"/>
            </w:r>
            <w:r w:rsidRPr="00051297">
              <w:rPr>
                <w:szCs w:val="24"/>
              </w:rPr>
              <w:t>)</w:t>
            </w:r>
            <w:bookmarkEnd w:id="275"/>
          </w:p>
        </w:tc>
      </w:tr>
    </w:tbl>
    <w:p w14:paraId="67C8C154" w14:textId="77777777" w:rsidR="00051297" w:rsidRPr="00051297" w:rsidRDefault="00051297" w:rsidP="00051297">
      <w:pPr>
        <w:rPr>
          <w:rFonts w:cs="Times New Roman"/>
          <w:szCs w:val="24"/>
          <w:lang w:val="en-US"/>
        </w:rPr>
      </w:pPr>
      <w:r w:rsidRPr="00051297">
        <w:rPr>
          <w:rFonts w:cs="Times New Roman"/>
          <w:szCs w:val="24"/>
          <w:lang w:val="en-US"/>
        </w:rPr>
        <w:t>(d) The Factor of Safety in relation to height</w:t>
      </w:r>
    </w:p>
    <w:p w14:paraId="1BAD96CC" w14:textId="40BD0501" w:rsidR="00051297" w:rsidRPr="00051297" w:rsidRDefault="00051297" w:rsidP="00051297">
      <w:pPr>
        <w:rPr>
          <w:rFonts w:cs="Times New Roman"/>
          <w:szCs w:val="24"/>
          <w:lang w:val="en-US"/>
        </w:rPr>
      </w:pPr>
      <w:r w:rsidRPr="00051297">
        <w:rPr>
          <w:rFonts w:cs="Times New Roman"/>
          <w:szCs w:val="24"/>
          <w:lang w:val="en-US"/>
        </w:rPr>
        <w:t xml:space="preserve">It is the ratio of a slope's maximal height to the actual height of the slope </w:t>
      </w:r>
      <w:r w:rsidRPr="00051297">
        <w:rPr>
          <w:rFonts w:cs="Times New Roman"/>
          <w:szCs w:val="24"/>
          <w:lang w:val="en-US"/>
        </w:rPr>
        <w:fldChar w:fldCharType="begin"/>
      </w:r>
      <w:r w:rsidRPr="00051297">
        <w:rPr>
          <w:rFonts w:cs="Times New Roman"/>
          <w:szCs w:val="24"/>
          <w:lang w:val="en-US"/>
        </w:rPr>
        <w:instrText xml:space="preserve"> REF _Ref103556382 \h </w:instrText>
      </w:r>
      <w:r w:rsidRPr="00051297">
        <w:rPr>
          <w:rFonts w:cs="Times New Roman"/>
          <w:szCs w:val="24"/>
          <w:lang w:val="en-US"/>
        </w:rPr>
      </w:r>
      <w:r w:rsidRPr="00051297">
        <w:rPr>
          <w:rFonts w:cs="Times New Roman"/>
          <w:szCs w:val="24"/>
          <w:lang w:val="en-US"/>
        </w:rPr>
        <w:fldChar w:fldCharType="separate"/>
      </w:r>
      <w:r w:rsidR="004870F1" w:rsidRPr="00CF2B2B">
        <w:rPr>
          <w:szCs w:val="24"/>
          <w:lang w:val="en-US"/>
        </w:rPr>
        <w:t>(</w:t>
      </w:r>
      <w:r w:rsidR="004870F1" w:rsidRPr="00CF2B2B">
        <w:rPr>
          <w:noProof/>
          <w:szCs w:val="24"/>
          <w:lang w:val="en-US"/>
        </w:rPr>
        <w:t>1</w:t>
      </w:r>
      <w:r w:rsidR="004870F1" w:rsidRPr="00CF2B2B">
        <w:rPr>
          <w:szCs w:val="24"/>
          <w:lang w:val="en-US"/>
        </w:rPr>
        <w:t>.</w:t>
      </w:r>
      <w:r w:rsidR="004870F1" w:rsidRPr="00CF2B2B">
        <w:rPr>
          <w:noProof/>
          <w:szCs w:val="24"/>
          <w:lang w:val="en-US"/>
        </w:rPr>
        <w:t>18</w:t>
      </w:r>
      <w:r w:rsidR="004870F1" w:rsidRPr="00CF2B2B">
        <w:rPr>
          <w:szCs w:val="24"/>
          <w:lang w:val="en-US"/>
        </w:rPr>
        <w:t>)</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{"citationItems":[{"id":"ITEM-1","itemData":{"DOI":"10.1016/j.compgeo.2006.07.001","ISSN":"0266352X","abstract":"Conventional slope stability analysis is usually based on the linear Mohr-Coulomb failure criterion utilizing the notion of safety factors with respect to shear strength, and one of the available slice methods. Failure criteria of most soils are not linear, and it is possible to show that this non-linearity has a very significant effect on calculated safety factors. The present work is based on a non-linear failure criterion, which appears to fit the experimental information better than Mohr-Coulomb. All slice methods utilize various kinematical and static assumptions, which cannot be rationally justified. The present work is based on rigorous variational approach to slope stability analysis, which does not employ any kinematical and static assumptions. Safety factors with respect to shear strength are useful abstractions, but physical significance of results based on them is clear only at failure when they are equal to 1 (at any other value of the safety factor with respect to strength results of the analysis correspond to fictitious material with a modified shear strength function). In the present note, we use the variational analysis in order to establish a simple analytical relation between safety factors with respect to strength and height. These two safety factors provide alternative measures for the stability of a given slope; but the safety factor with respect to height appears to have clearer physical interpretation. © 2006 Elsevier Ltd. All rights reserved.","author":[{"dropping-particle":"","family":"Baker","given":"R.","non-dropping-particle":"","parse-names":false,"suffix":""}],"container-title":"Computers and Geotechnics","id":"ITEM-1","issue":"4-5","issued":{"date-parts":[["2006","6"]]},"page":"275-277","title":"A relation between safety factors with respect to strength and height of slopes","type":"article-journal","volume":"33"},"uris":["http://www.mendeley.com/documents/?uuid=fd058123-1873-4753-85ae-33b93af17e0d","http://www.mendeley.com/documents/?uuid=af43e3af-f240-4625-8263-021c24e62493","http://www.mendeley.com/documents/?uuid=246a16bd-de0a-4b3c-b34a-a8e44adeb78d"]}],"mendeley":{"formattedCitation":"[150]","plainTextFormattedCitation":"[150]","previouslyFormattedCitation":"[150]"},"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[150]</w:t>
      </w:r>
      <w:r w:rsidRPr="00051297">
        <w:rPr>
          <w:rFonts w:cs="Times New Roman"/>
          <w:szCs w:val="24"/>
        </w:rPr>
        <w:fldChar w:fldCharType="end"/>
      </w:r>
      <w:r w:rsidRPr="00051297">
        <w:rPr>
          <w:rFonts w:cs="Times New Roman"/>
          <w:szCs w:val="24"/>
          <w:lang w:val="en-U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30F1335B" w14:textId="77777777" w:rsidTr="00D20B01">
        <w:tc>
          <w:tcPr>
            <w:tcW w:w="265" w:type="dxa"/>
          </w:tcPr>
          <w:p w14:paraId="6D7EDD6F" w14:textId="77777777" w:rsidR="00051297" w:rsidRPr="00051297" w:rsidRDefault="00051297" w:rsidP="00051297">
            <w:pPr>
              <w:spacing w:after="160"/>
              <w:rPr>
                <w:szCs w:val="24"/>
                <w:lang w:val="en-US"/>
              </w:rPr>
            </w:pPr>
          </w:p>
        </w:tc>
        <w:tc>
          <w:tcPr>
            <w:tcW w:w="8820" w:type="dxa"/>
          </w:tcPr>
          <w:p w14:paraId="3701D68C"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H</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H</m:t>
                        </m:r>
                      </m:e>
                      <m:sub>
                        <m:r>
                          <w:rPr>
                            <w:rFonts w:ascii="Cambria Math" w:hAnsi="Cambria Math"/>
                            <w:szCs w:val="24"/>
                          </w:rPr>
                          <m:t>max</m:t>
                        </m:r>
                      </m:sub>
                    </m:sSub>
                  </m:num>
                  <m:den>
                    <m:r>
                      <w:rPr>
                        <w:rFonts w:ascii="Cambria Math" w:hAnsi="Cambria Math"/>
                        <w:szCs w:val="24"/>
                      </w:rPr>
                      <m:t>H</m:t>
                    </m:r>
                  </m:den>
                </m:f>
              </m:oMath>
            </m:oMathPara>
          </w:p>
        </w:tc>
        <w:tc>
          <w:tcPr>
            <w:tcW w:w="265" w:type="dxa"/>
          </w:tcPr>
          <w:p w14:paraId="5C909000" w14:textId="57E519D9" w:rsidR="00051297" w:rsidRPr="00051297" w:rsidRDefault="00051297" w:rsidP="00051297">
            <w:pPr>
              <w:spacing w:after="160"/>
            </w:pPr>
            <w:bookmarkStart w:id="276" w:name="_Ref103556382"/>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1</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18</w:t>
            </w:r>
            <w:r w:rsidRPr="00051297">
              <w:rPr>
                <w:szCs w:val="24"/>
              </w:rPr>
              <w:fldChar w:fldCharType="end"/>
            </w:r>
            <w:r w:rsidRPr="00051297">
              <w:rPr>
                <w:szCs w:val="24"/>
              </w:rPr>
              <w:t>)</w:t>
            </w:r>
            <w:bookmarkEnd w:id="276"/>
          </w:p>
        </w:tc>
      </w:tr>
    </w:tbl>
    <w:p w14:paraId="304BFE5B" w14:textId="60DC9513" w:rsidR="00051297" w:rsidRPr="00051297" w:rsidRDefault="00051297" w:rsidP="0079595C">
      <w:pPr>
        <w:pStyle w:val="5"/>
      </w:pPr>
      <w:bookmarkStart w:id="277" w:name="_Toc97504752"/>
      <w:bookmarkStart w:id="278" w:name="_Toc103543886"/>
      <w:bookmarkStart w:id="279" w:name="_Toc104985210"/>
      <w:r w:rsidRPr="00051297">
        <w:t>Slope stability analysis methods</w:t>
      </w:r>
      <w:bookmarkEnd w:id="277"/>
      <w:bookmarkEnd w:id="278"/>
      <w:bookmarkEnd w:id="279"/>
    </w:p>
    <w:p w14:paraId="6E69A9CB" w14:textId="77777777" w:rsidR="00051297" w:rsidRPr="00051297" w:rsidRDefault="00051297" w:rsidP="00051297">
      <w:pPr>
        <w:rPr>
          <w:rFonts w:cs="Times New Roman"/>
          <w:szCs w:val="24"/>
        </w:rPr>
      </w:pPr>
      <w:r w:rsidRPr="00051297">
        <w:rPr>
          <w:rFonts w:cs="Times New Roman"/>
          <w:szCs w:val="24"/>
        </w:rPr>
        <w:t>(a) Culmann Method</w:t>
      </w:r>
    </w:p>
    <w:p w14:paraId="66A3CE8C" w14:textId="0AD82DB0" w:rsidR="00051297" w:rsidRPr="00051297" w:rsidRDefault="00051297" w:rsidP="00051297">
      <w:pPr>
        <w:rPr>
          <w:rFonts w:cs="Times New Roman"/>
          <w:szCs w:val="24"/>
        </w:rPr>
      </w:pPr>
      <w:r w:rsidRPr="00051297">
        <w:rPr>
          <w:rFonts w:cs="Times New Roman"/>
          <w:szCs w:val="24"/>
          <w:lang w:val="en-US"/>
        </w:rPr>
        <w:t>It is not extensively utilized because it has been proved that planar sliding surfaces are only observed on very steep slopes and that curved sliding surfaces are most often observed on comparatively flat slopes (</w:t>
      </w:r>
      <w:r w:rsidRPr="00051297">
        <w:rPr>
          <w:rFonts w:cs="Times New Roman"/>
          <w:szCs w:val="24"/>
          <w:lang w:val="en-US"/>
        </w:rPr>
        <w:fldChar w:fldCharType="begin"/>
      </w:r>
      <w:r w:rsidRPr="00051297">
        <w:rPr>
          <w:rFonts w:cs="Times New Roman"/>
          <w:szCs w:val="24"/>
          <w:lang w:val="en-US"/>
        </w:rPr>
        <w:instrText xml:space="preserve"> REF _Ref98103046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8</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{"citationItems":[{"id":"ITEM-1","itemData":{"DOI":"10.3141/1786-09","ISSN":"0361-1981","abstract":"Guidelines to estimate the potential for slope instability and to give new insight into the slope evolution process in regions of deep to moderately deep loess were developed. Laboratory test data indicated a general trend of decreasing cohesion with increasing moisture content for each loess type. Curves for maximum stable slope height to slope angle were produced from the Culmann analysis using average shear strength parameters and unit weight values. Comparison of the theoretical curve for friable loess with empirical data showed good agreement for estimating maximum height at slope angles greater than 50°. Stability of slopes with slope angles ranging from 80° to 20° and corresponding heights calculated from an empirical relationship were assessed using Spencer’s method. Slopes with angles between 80° and 40° had safety factors close to 1.0. For gentler slopes, the safety factors range from about 1.4 to about 2.0 as the slope angle decreases. Empirical data may be a more reliable indicator of potential slope instability than the Culmann analysis over a wide range of slope angles. Analysis of slope failures after one intense rainstorm indicated that friable loess on steep slopes does not become saturated; however, the cohesion is reduced to a level that causes landslides. On gentle slopes, the soil became saturated above the liquid limit, thereby causing mudflows. Although natural events such as this are rare, anthropogenic activity may create slope instability. Analysis of another landslide below a roadway on a friable loess slope indicated a stable to marginally stable condition without surcharge loads, but safety factors dropped below 1.0 when a truckload surcharge was applied. These analyses suggest that natural and cut slopes in friable loess are at safety factors only slightly greater than 1.0. Any construction activity can upset this delicate equilibrium and result in a landslide.","author":[{"dropping-particle":"","family":"Lohnes","given":"Robert A.","non-dropping-particle":"","parse-names":false,"suffix":""},{"dropping-particle":"","family":"Kjartanson","given":"Bruce H.","non-dropping-particle":"","parse-names":false,"suffix":""}],"container-title":"Transportation Research Record: Journal of the Transportation Research Board","id":"ITEM-1","issue":"1","issued":{"date-parts":[["2002","1"]]},"page":"76-81","title":"Slope Stability of Loess Revisited","type":"article-journal","volume":"1786"},"uris":["http://www.mendeley.com/documents/?uuid=939c276d-2c42-4021-b984-c326d1fb3320","http://www.mendeley.com/documents/?uuid=2d07c8de-c75b-4b61-bbea-1d6df8a3dab4","http://www.mendeley.com/documents/?uuid=73327f48-6cde-4776-b1cc-bb12fba66b99"]}],"mendeley":{"formattedCitation":"[151]","plainTextFormattedCitation":"[151]","previouslyFormattedCitation":"[151]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[151]</w:t>
      </w:r>
      <w:r w:rsidRPr="00051297">
        <w:rPr>
          <w:rFonts w:cs="Times New Roman"/>
          <w:szCs w:val="24"/>
        </w:rPr>
        <w:fldChar w:fldCharType="end"/>
      </w:r>
      <w:r w:rsidRPr="00051297">
        <w:rPr>
          <w:rFonts w:cs="Times New Roman"/>
          <w:szCs w:val="24"/>
        </w:rPr>
        <w:t>.</w:t>
      </w:r>
    </w:p>
    <w:p w14:paraId="3537D02A"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0F94C57B" wp14:editId="1B5F2069">
            <wp:extent cx="4026301" cy="3383280"/>
            <wp:effectExtent l="0" t="0" r="0" b="7620"/>
            <wp:docPr id="115" name="Picture 115" descr="Culmann Method of Slope Stabilit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lmann Method of Slope Stability Analysi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27177" cy="3384016"/>
                    </a:xfrm>
                    <a:prstGeom prst="rect">
                      <a:avLst/>
                    </a:prstGeom>
                    <a:noFill/>
                    <a:ln>
                      <a:noFill/>
                    </a:ln>
                  </pic:spPr>
                </pic:pic>
              </a:graphicData>
            </a:graphic>
          </wp:inline>
        </w:drawing>
      </w:r>
    </w:p>
    <w:p w14:paraId="3939A609" w14:textId="580F4E1F" w:rsidR="00051297" w:rsidRPr="00051297" w:rsidRDefault="00051297" w:rsidP="00051297">
      <w:pPr>
        <w:ind w:firstLine="0"/>
        <w:jc w:val="center"/>
        <w:rPr>
          <w:rFonts w:cs="Times New Roman"/>
          <w:szCs w:val="24"/>
          <w:lang w:val="en-US" w:bidi="en-US"/>
        </w:rPr>
      </w:pPr>
      <w:bookmarkStart w:id="280" w:name="_Ref98103046"/>
      <w:bookmarkStart w:id="281" w:name="_Toc104985395"/>
      <w:bookmarkStart w:id="282" w:name="_Toc98085877"/>
      <w:bookmarkStart w:id="283" w:name="_Toc97428202"/>
      <w:bookmarkStart w:id="284" w:name="_Toc103544072"/>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8</w:t>
      </w:r>
      <w:r w:rsidR="00527861">
        <w:rPr>
          <w:rFonts w:cs="Times New Roman"/>
          <w:szCs w:val="24"/>
          <w:lang w:val="en-US" w:bidi="en-US"/>
        </w:rPr>
        <w:fldChar w:fldCharType="end"/>
      </w:r>
      <w:bookmarkEnd w:id="280"/>
      <w:r w:rsidRPr="00051297">
        <w:rPr>
          <w:rFonts w:cs="Times New Roman"/>
          <w:szCs w:val="24"/>
          <w:lang w:val="en-US" w:bidi="en-US"/>
        </w:rPr>
        <w:t xml:space="preserve"> – Slope stability analysis using the Culmann method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{"citationItems":[{"id":"ITEM-1","itemData":{"DOI":"10.3141/1786-09","ISSN":"0361-1981","abstract":"Guidelines to estimate the potential for slope instability and to give new insight into the slope evolution process in regions of deep to moderately deep loess were developed. Laboratory test data indicated a general trend of decreasing cohesion with increasing moisture content for each loess type. Curves for maximum stable slope height to slope angle were produced from the Culmann analysis using average shear strength parameters and unit weight values. Comparison of the theoretical curve for friable loess with empirical data showed good agreement for estimating maximum height at slope angles greater than 50°. Stability of slopes with slope angles ranging from 80° to 20° and corresponding heights calculated from an empirical relationship were assessed using Spencer’s method. Slopes with angles between 80° and 40° had safety factors close to 1.0. For gentler slopes, the safety factors range from about 1.4 to about 2.0 as the slope angle decreases. Empirical data may be a more reliable indicator of potential slope instability than the Culmann analysis over a wide range of slope angles. Analysis of slope failures after one intense rainstorm indicated that friable loess on steep slopes does not become saturated; however, the cohesion is reduced to a level that causes landslides. On gentle slopes, the soil became saturated above the liquid limit, thereby causing mudflows. Although natural events such as this are rare, anthropogenic activity may create slope instability. Analysis of another landslide below a roadway on a friable loess slope indicated a stable to marginally stable condition without surcharge loads, but safety factors dropped below 1.0 when a truckload surcharge was applied. These analyses suggest that natural and cut slopes in friable loess are at safety factors only slightly greater than 1.0. Any construction activity can upset this delicate equilibrium and result in a landslide.","author":[{"dropping-particle":"","family":"Lohnes","given":"Robert A.","non-dropping-particle":"","parse-names":false,"suffix":""},{"dropping-particle":"","family":"Kjartanson","given":"Bruce H.","non-dropping-particle":"","parse-names":false,"suffix":""}],"container-title":"Transportation Research Record: Journal of the Transportation Research Board","id":"ITEM-1","issue":"1","issued":{"date-parts":[["2002","1"]]},"page":"76-81","title":"Slope Stability of Loess Revisited","type":"article-journal","volume":"1786"},"uris":["http://www.mendeley.com/documents/?uuid=73327f48-6cde-4776-b1cc-bb12fba66b99","http://www.mendeley.com/documents/?uuid=939c276d-2c42-4021-b984-c326d1fb3320","http://www.mendeley.com/documents/?uuid=2d07c8de-c75b-4b61-bbea-1d6df8a3dab4"]}],"mendeley":{"formattedCitation":"[151]","plainTextFormattedCitation":"[151]","previouslyFormattedCitation":"[151]"},"properties":{"noteIndex":0},"schema":"https://github.com/citation-style-language/schema/raw/master/csl-citation.json"}</w:instrText>
      </w:r>
      <w:r w:rsidRPr="00051297">
        <w:rPr>
          <w:rFonts w:cs="Times New Roman"/>
          <w:szCs w:val="24"/>
          <w:lang w:val="en-US" w:bidi="en-US"/>
        </w:rPr>
        <w:fldChar w:fldCharType="separate"/>
      </w:r>
      <w:bookmarkEnd w:id="282"/>
      <w:bookmarkEnd w:id="283"/>
      <w:bookmarkEnd w:id="284"/>
      <w:r w:rsidR="0032684D" w:rsidRPr="0032684D">
        <w:rPr>
          <w:rFonts w:cs="Times New Roman"/>
          <w:noProof/>
          <w:szCs w:val="24"/>
          <w:lang w:val="en-US" w:bidi="en-US"/>
        </w:rPr>
        <w:t>[151]</w:t>
      </w:r>
      <w:bookmarkEnd w:id="281"/>
      <w:r w:rsidRPr="00051297">
        <w:rPr>
          <w:rFonts w:cs="Times New Roman"/>
          <w:szCs w:val="24"/>
          <w:lang w:val="en-US" w:bidi="en-US"/>
        </w:rPr>
        <w:fldChar w:fldCharType="end"/>
      </w:r>
    </w:p>
    <w:p w14:paraId="73A38BBF" w14:textId="79E2B42A" w:rsidR="00051297" w:rsidRPr="00051297" w:rsidRDefault="00051297" w:rsidP="00051297">
      <w:pPr>
        <w:rPr>
          <w:rFonts w:cs="Times New Roman"/>
          <w:szCs w:val="24"/>
          <w:lang w:val="en-US"/>
        </w:rPr>
      </w:pPr>
      <w:r w:rsidRPr="00051297">
        <w:rPr>
          <w:rFonts w:cs="Times New Roman"/>
          <w:szCs w:val="24"/>
          <w:lang w:val="en-US"/>
        </w:rPr>
        <w:lastRenderedPageBreak/>
        <w:t xml:space="preserve">(b) Shearing Resistance Method at </w:t>
      </w:r>
      <w:r w:rsidR="00C86748">
        <w:rPr>
          <w:rFonts w:cs="Times New Roman"/>
          <w:szCs w:val="24"/>
          <w:lang w:val="en-US"/>
        </w:rPr>
        <w:t>z</w:t>
      </w:r>
      <w:r w:rsidRPr="00051297">
        <w:rPr>
          <w:rFonts w:cs="Times New Roman"/>
          <w:szCs w:val="24"/>
          <w:lang w:val="en-US"/>
        </w:rPr>
        <w:t xml:space="preserve">ero </w:t>
      </w:r>
      <w:r w:rsidR="00C86748">
        <w:rPr>
          <w:rFonts w:cs="Times New Roman"/>
          <w:szCs w:val="24"/>
          <w:lang w:val="en-US"/>
        </w:rPr>
        <w:t>a</w:t>
      </w:r>
      <w:r w:rsidRPr="00051297">
        <w:rPr>
          <w:rFonts w:cs="Times New Roman"/>
          <w:szCs w:val="24"/>
          <w:lang w:val="en-US"/>
        </w:rPr>
        <w:t>ngle</w:t>
      </w:r>
    </w:p>
    <w:p w14:paraId="64350E7A" w14:textId="3109A5C2" w:rsidR="00051297" w:rsidRPr="00051297" w:rsidRDefault="00051297" w:rsidP="00051297">
      <w:pPr>
        <w:rPr>
          <w:rFonts w:cs="Times New Roman"/>
          <w:szCs w:val="24"/>
        </w:rPr>
      </w:pPr>
      <w:r w:rsidRPr="00051297">
        <w:rPr>
          <w:rFonts w:cs="Times New Roman"/>
          <w:szCs w:val="24"/>
          <w:lang w:val="en-US"/>
        </w:rPr>
        <w:t>The assumption behind this approach of slope stability analysis is that the plane of failure is in the shape of a circular arc. It's a useful technique for determining the short-term stability of wet clay slopes (</w:t>
      </w:r>
      <w:r w:rsidRPr="00051297">
        <w:rPr>
          <w:rFonts w:cs="Times New Roman"/>
          <w:szCs w:val="24"/>
          <w:lang w:val="en-US"/>
        </w:rPr>
        <w:fldChar w:fldCharType="begin"/>
      </w:r>
      <w:r w:rsidRPr="00051297">
        <w:rPr>
          <w:rFonts w:cs="Times New Roman"/>
          <w:szCs w:val="24"/>
          <w:lang w:val="en-US"/>
        </w:rPr>
        <w:instrText xml:space="preserve"> REF _Ref98103059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9</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 xml:space="preserve">ADDIN CSL_CITATION {"citationItems":[{"id":"ITEM-1","itemData":{"DOI":"10.9734/jerr/2019/v8i416996","ISSN":"2582-2926","abstract":"The Bearing capacity of the soil within Uyo metropolis in South-Eastern State of Akwa Ibom was investigated in this study. The soil belongs to Coastal Plain Sand often called the Benin Formation in the geology of Niger Delta. Both Field and Laboratory methods were employed in the study. The field method consisted of Cone Penetration Test (CPT) with a 2.5 ton Dutch Guada cone penetrometer, and the Light weight penetrometer LRS 10. For the CPT, depth of investigation was refusal depth which varies from about 9.0 m to 20.0 m. The depth of investigation by the LRS 10 was not more than 6.0 m. The direct parameter the LRS 10 evaluates is the relative density. Soil sounding with the LRS 10 indicated for all the sites a ‘loose to medium’ consistency. No dense or very dense stratum was encountered. The Laboratory method employed was the Direct shear box tests This was used to determine the cohesive property and angle of shearing resistance of the soil, that is the C- </w:instrText>
      </w:r>
      <w:r w:rsidR="00FA5896">
        <w:rPr>
          <w:rFonts w:ascii="Cambria Math" w:hAnsi="Cambria Math" w:cs="Cambria Math"/>
          <w:szCs w:val="24"/>
          <w:lang w:val="en-US"/>
        </w:rPr>
        <w:instrText>∅</w:instrText>
      </w:r>
      <w:r w:rsidR="00FA5896">
        <w:rPr>
          <w:rFonts w:cs="Times New Roman"/>
          <w:szCs w:val="24"/>
          <w:lang w:val="en-US"/>
        </w:rPr>
        <w:instrText xml:space="preserve"> property. The cohesion varies very widely; with a value ranging from a zero value to 54 kN/m2. The angle of shearing resistance ranges from 8º to 30.7º, with more than ninety percent falling below 28º, indicating a highly compressible soil that is prone to local shear failure. Ultimate bearing capacities are as low as 100.93 kN/m2 and as high as 571.1 kN/m2. Settlement associated with safe bearing pressure estimated from CPT data ranged from 0.35 cm to 3.89 cm. while that from laboratory gives lesser values, thereby making that from the field value conservative.","author":[{"dropping-particle":"","family":"Ilori","given":"Abidemi Olujide","non-dropping-particle":"","parse-names":false,"suffix":""},{"dropping-particle":"","family":"Uko","given":"Charles Etim Akpan","non-dropping-particle":"","parse-names":false,"suffix":""},{"dropping-particle":"","family":"Umoh","given":"Ini Christopher","non-dropping-particle":"","parse-names":false,"suffix":""}],"container-title":"Journal of Engineering Research and Reports","id":"ITEM-1","issued":{"date-parts":[["2019","12"]]},"page":"1-23","title":"Local Geology, Shear Strength Properties and Bearing Capacity of Coastal Plain Sands in Uyo Metropolis, Akwa-Ibom State, Southeastern Nigeria","type":"article-journal"},"uris":["http://www.mendeley.com/documents/?uuid=5aa75228-40ce-49f2-89d4-9899c6643589","http://www.mendeley.com/documents/?uuid=95d5e671-2eeb-4c70-a44a-3c32af580253","http://www.mendeley.com/documents/?uuid=1a08543e-8a40-4619-9b8f-6f14cfacd395"]}],"mendeley":{"formattedCitation":"[152]","plainTextFormattedCitation":"[152]","previouslyFormattedCitation":"[152]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[152]</w:t>
      </w:r>
      <w:r w:rsidRPr="00051297">
        <w:rPr>
          <w:rFonts w:cs="Times New Roman"/>
          <w:szCs w:val="24"/>
        </w:rPr>
        <w:fldChar w:fldCharType="end"/>
      </w:r>
      <w:r w:rsidRPr="00051297">
        <w:rPr>
          <w:rFonts w:cs="Times New Roman"/>
          <w:szCs w:val="24"/>
        </w:rPr>
        <w:t>.</w:t>
      </w:r>
    </w:p>
    <w:p w14:paraId="62795455"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206340EE" wp14:editId="287F90F7">
            <wp:extent cx="3580598" cy="3779520"/>
            <wp:effectExtent l="0" t="0" r="1270" b="0"/>
            <wp:docPr id="116" name="Picture 116" descr="Forces Involved for the Calculation of Stability of Slo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ces Involved for the Calculation of Stability of Slope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85140" cy="3784314"/>
                    </a:xfrm>
                    <a:prstGeom prst="rect">
                      <a:avLst/>
                    </a:prstGeom>
                    <a:noFill/>
                    <a:ln>
                      <a:noFill/>
                    </a:ln>
                  </pic:spPr>
                </pic:pic>
              </a:graphicData>
            </a:graphic>
          </wp:inline>
        </w:drawing>
      </w:r>
    </w:p>
    <w:p w14:paraId="63A51DF0" w14:textId="015FD049" w:rsidR="00051297" w:rsidRPr="00051297" w:rsidRDefault="00051297" w:rsidP="00051297">
      <w:pPr>
        <w:ind w:firstLine="0"/>
        <w:jc w:val="center"/>
        <w:rPr>
          <w:rFonts w:cs="Times New Roman"/>
          <w:szCs w:val="24"/>
          <w:lang w:val="en-US" w:bidi="en-US"/>
        </w:rPr>
      </w:pPr>
      <w:bookmarkStart w:id="285" w:name="_Ref98103059"/>
      <w:bookmarkStart w:id="286" w:name="_Toc104985396"/>
      <w:bookmarkStart w:id="287" w:name="_Toc98085878"/>
      <w:bookmarkStart w:id="288" w:name="_Toc97428203"/>
      <w:bookmarkStart w:id="289" w:name="_Toc103544073"/>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9</w:t>
      </w:r>
      <w:r w:rsidR="00527861">
        <w:rPr>
          <w:rFonts w:cs="Times New Roman"/>
          <w:szCs w:val="24"/>
          <w:lang w:val="en-US" w:bidi="en-US"/>
        </w:rPr>
        <w:fldChar w:fldCharType="end"/>
      </w:r>
      <w:bookmarkEnd w:id="285"/>
      <w:r w:rsidRPr="00051297">
        <w:rPr>
          <w:rFonts w:cs="Times New Roman"/>
          <w:szCs w:val="24"/>
          <w:lang w:val="en-US" w:bidi="en-US"/>
        </w:rPr>
        <w:t xml:space="preserve"> – Forces </w:t>
      </w:r>
      <w:r w:rsidR="00252BC4">
        <w:rPr>
          <w:rFonts w:cs="Times New Roman"/>
          <w:szCs w:val="24"/>
          <w:lang w:val="en-US" w:bidi="en-US"/>
        </w:rPr>
        <w:t>i</w:t>
      </w:r>
      <w:r w:rsidRPr="00051297">
        <w:rPr>
          <w:rFonts w:cs="Times New Roman"/>
          <w:szCs w:val="24"/>
          <w:lang w:val="en-US" w:bidi="en-US"/>
        </w:rPr>
        <w:t xml:space="preserve">nvolved in </w:t>
      </w:r>
      <w:r w:rsidR="00252BC4">
        <w:rPr>
          <w:rFonts w:cs="Times New Roman"/>
          <w:szCs w:val="24"/>
          <w:lang w:val="en-US" w:bidi="en-US"/>
        </w:rPr>
        <w:t>s</w:t>
      </w:r>
      <w:r w:rsidRPr="00051297">
        <w:rPr>
          <w:rFonts w:cs="Times New Roman"/>
          <w:szCs w:val="24"/>
          <w:lang w:val="en-US" w:bidi="en-US"/>
        </w:rPr>
        <w:t xml:space="preserve">lope </w:t>
      </w:r>
      <w:r w:rsidR="00252BC4">
        <w:rPr>
          <w:rFonts w:cs="Times New Roman"/>
          <w:szCs w:val="24"/>
          <w:lang w:val="en-US" w:bidi="en-US"/>
        </w:rPr>
        <w:t>s</w:t>
      </w:r>
      <w:r w:rsidRPr="00051297">
        <w:rPr>
          <w:rFonts w:cs="Times New Roman"/>
          <w:szCs w:val="24"/>
          <w:lang w:val="en-US" w:bidi="en-US"/>
        </w:rPr>
        <w:t xml:space="preserve">tability </w:t>
      </w:r>
      <w:r w:rsidR="00252BC4">
        <w:rPr>
          <w:rFonts w:cs="Times New Roman"/>
          <w:szCs w:val="24"/>
          <w:lang w:val="en-US" w:bidi="en-US"/>
        </w:rPr>
        <w:t>c</w:t>
      </w:r>
      <w:r w:rsidRPr="00051297">
        <w:rPr>
          <w:rFonts w:cs="Times New Roman"/>
          <w:szCs w:val="24"/>
          <w:lang w:val="en-US" w:bidi="en-US"/>
        </w:rPr>
        <w:t xml:space="preserve">alculation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{"citationItems":[{"id":"ITEM-1","itemData":{"author":[{"dropping-particle":"","family":"The Constructor","given":"","non-dropping-particle":"","parse-names":false,"suffix":""}],"id":"ITEM-1","issued":{"date-parts":[["2021"]]},"title":"Slope stability-causes of instability, analysis methods and assumptions","type":"webpage"},"uris":["http://www.mendeley.com/documents/?uuid=4a93084d-89bd-44ab-be97-8c8e10b4ed8f","http://www.mendeley.com/documents/?uuid=44a8d37c-c776-4d34-bb12-951d794fedf9"]}],"mendeley":{"formattedCitation":"[153]","plainTextFormattedCitation":"[153]","previouslyFormattedCitation":"[153]"},"properties":{"noteIndex":0},"schema":"https://github.com/citation-style-language/schema/raw/master/csl-citation.json"}</w:instrText>
      </w:r>
      <w:r w:rsidRPr="00051297">
        <w:rPr>
          <w:rFonts w:cs="Times New Roman"/>
          <w:szCs w:val="24"/>
          <w:lang w:val="en-US" w:bidi="en-US"/>
        </w:rPr>
        <w:fldChar w:fldCharType="separate"/>
      </w:r>
      <w:bookmarkEnd w:id="287"/>
      <w:bookmarkEnd w:id="288"/>
      <w:bookmarkEnd w:id="289"/>
      <w:r w:rsidR="0032684D" w:rsidRPr="0032684D">
        <w:rPr>
          <w:rFonts w:cs="Times New Roman"/>
          <w:noProof/>
          <w:szCs w:val="24"/>
          <w:lang w:val="en-US" w:bidi="en-US"/>
        </w:rPr>
        <w:t>[153]</w:t>
      </w:r>
      <w:bookmarkEnd w:id="286"/>
      <w:r w:rsidRPr="00051297">
        <w:rPr>
          <w:rFonts w:cs="Times New Roman"/>
          <w:szCs w:val="24"/>
          <w:lang w:val="en-US" w:bidi="en-US"/>
        </w:rPr>
        <w:fldChar w:fldCharType="end"/>
      </w:r>
    </w:p>
    <w:p w14:paraId="507A70F4" w14:textId="77777777" w:rsidR="00051297" w:rsidRPr="00051297" w:rsidRDefault="00051297" w:rsidP="00051297">
      <w:pPr>
        <w:rPr>
          <w:rFonts w:cs="Times New Roman"/>
          <w:szCs w:val="24"/>
          <w:lang w:val="en-US"/>
        </w:rPr>
      </w:pPr>
      <w:r w:rsidRPr="00051297">
        <w:rPr>
          <w:rFonts w:cs="Times New Roman"/>
          <w:szCs w:val="24"/>
          <w:lang w:val="en-US"/>
        </w:rPr>
        <w:t>(c) Ordinary Method of Slices</w:t>
      </w:r>
    </w:p>
    <w:p w14:paraId="044C28A5" w14:textId="5317C749" w:rsidR="00051297" w:rsidRPr="00051297" w:rsidRDefault="00051297" w:rsidP="00051297">
      <w:pPr>
        <w:rPr>
          <w:rFonts w:cs="Times New Roman"/>
          <w:szCs w:val="24"/>
          <w:lang w:val="en-US"/>
        </w:rPr>
      </w:pPr>
      <w:r w:rsidRPr="00051297">
        <w:rPr>
          <w:rFonts w:cs="Times New Roman"/>
          <w:szCs w:val="24"/>
          <w:lang w:val="en-US"/>
        </w:rPr>
        <w:t>When the effective angle of shearing resistance is not constant along the failure surface, as in zoned earth dams where the failure surface may pass through several distinct materials, it is taken into account (</w:t>
      </w:r>
      <w:r w:rsidRPr="00051297">
        <w:rPr>
          <w:rFonts w:cs="Times New Roman"/>
          <w:szCs w:val="24"/>
          <w:lang w:val="en-US"/>
        </w:rPr>
        <w:fldChar w:fldCharType="begin"/>
      </w:r>
      <w:r w:rsidRPr="00051297">
        <w:rPr>
          <w:rFonts w:cs="Times New Roman"/>
          <w:szCs w:val="24"/>
          <w:lang w:val="en-US"/>
        </w:rPr>
        <w:instrText xml:space="preserve"> REF _Ref98103072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10</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{"citationItems":[{"id":"ITEM-1","itemData":{"DOI":"10.1007/978-981-15-6086-6_22","ISBN":"9789811560859","ISSN":"23662565","abstract":"In this paper, an analytical and numerical study is presented for the slope considering bamboo piles as reinforcing material. The analytical solution was formulated using modified ordinary method of slices. Bamboo piles were considered as vertical reinforcements in the slope along the length of the slope having uniform spacing between two adjacent piles. Based on the equilibrium conditions, three cases of failure were considered. Equations for calculating factor of safety (FOS) were formulated using ordinary method of slices for each case considering the effect of bamboo reinforcements. A case study was also performed to investigate the effect of bamboo reinforcements on stability of the slope. From the result, it is concluded that the factor of safety increased significantly after including the bamboo piles as reinforcements. The number of bamboo piles can be designed based on the requirement using proposed analytical equations. Thus, bamboo pile can be reliable and can perform satisfactorily in stabilizing slopes.","author":[{"dropping-particle":"","family":"Kumar","given":"Pintu","non-dropping-particle":"","parse-names":false,"suffix":""},{"dropping-particle":"","family":"Chakrabortty","given":"Pradipta","non-dropping-particle":"","parse-names":false,"suffix":""}],"container-title":"Lecture Notes in Civil Engineering","id":"ITEM-1","issued":{"date-parts":[["2020"]]},"page":"269-283","title":"A Simple Analytical Model for Bamboo Reinforced Slope Using Ordinary Method of Slices","type":"chapter"},"uris":["http://www.mendeley.com/documents/?uuid=4a43868c-2f3d-40aa-9d23-2f6aa1a27445","http://www.mendeley.com/documents/?uuid=9b78e928-a7bc-414d-a64d-3786b36b9e05","http://www.mendeley.com/documents/?uuid=10f4f5cd-a614-4b2d-a135-7c43f1beeb44"]}],"mendeley":{"formattedCitation":"[154]","plainTextFormattedCitation":"[154]","previouslyFormattedCitation":"[154]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[154]</w:t>
      </w:r>
      <w:r w:rsidRPr="00051297">
        <w:rPr>
          <w:rFonts w:cs="Times New Roman"/>
          <w:szCs w:val="24"/>
        </w:rPr>
        <w:fldChar w:fldCharType="end"/>
      </w:r>
      <w:r w:rsidRPr="00051297">
        <w:rPr>
          <w:rFonts w:cs="Times New Roman"/>
          <w:szCs w:val="24"/>
          <w:lang w:val="en-US"/>
        </w:rPr>
        <w:t>.</w:t>
      </w:r>
    </w:p>
    <w:p w14:paraId="78BFF9E9" w14:textId="2A962BC8"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223B9E22" wp14:editId="52E11D7C">
            <wp:extent cx="4381086" cy="2448000"/>
            <wp:effectExtent l="0" t="0" r="635" b="0"/>
            <wp:docPr id="117" name="Picture 117" descr="Ordinary Method of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rdinary Method of Analysis"/>
                    <pic:cNvPicPr>
                      <a:picLocks noChangeAspect="1" noChangeArrowheads="1"/>
                    </pic:cNvPicPr>
                  </pic:nvPicPr>
                  <pic:blipFill rotWithShape="1">
                    <a:blip r:embed="rId18">
                      <a:extLst>
                        <a:ext uri="{28A0092B-C50C-407E-A947-70E740481C1C}">
                          <a14:useLocalDpi xmlns:a14="http://schemas.microsoft.com/office/drawing/2010/main" val="0"/>
                        </a:ext>
                      </a:extLst>
                    </a:blip>
                    <a:srcRect b="43094"/>
                    <a:stretch/>
                  </pic:blipFill>
                  <pic:spPr bwMode="auto">
                    <a:xfrm>
                      <a:off x="0" y="0"/>
                      <a:ext cx="4381086" cy="2448000"/>
                    </a:xfrm>
                    <a:prstGeom prst="rect">
                      <a:avLst/>
                    </a:prstGeom>
                    <a:noFill/>
                    <a:ln>
                      <a:noFill/>
                    </a:ln>
                    <a:extLst>
                      <a:ext uri="{53640926-AAD7-44D8-BBD7-CCE9431645EC}">
                        <a14:shadowObscured xmlns:a14="http://schemas.microsoft.com/office/drawing/2010/main"/>
                      </a:ext>
                    </a:extLst>
                  </pic:spPr>
                </pic:pic>
              </a:graphicData>
            </a:graphic>
          </wp:inline>
        </w:drawing>
      </w:r>
      <w:r w:rsidR="0079595C" w:rsidRPr="00051297">
        <w:rPr>
          <w:rFonts w:cs="Times New Roman"/>
          <w:noProof/>
          <w:szCs w:val="24"/>
        </w:rPr>
        <w:drawing>
          <wp:inline distT="0" distB="0" distL="0" distR="0" wp14:anchorId="5E1A5AA4" wp14:editId="0CF2CA50">
            <wp:extent cx="1469150" cy="1620000"/>
            <wp:effectExtent l="0" t="0" r="0" b="0"/>
            <wp:docPr id="248" name="Picture 117" descr="Ordinary Method of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rdinary Method of Analysis"/>
                    <pic:cNvPicPr>
                      <a:picLocks noChangeAspect="1" noChangeArrowheads="1"/>
                    </pic:cNvPicPr>
                  </pic:nvPicPr>
                  <pic:blipFill rotWithShape="1">
                    <a:blip r:embed="rId18">
                      <a:extLst>
                        <a:ext uri="{28A0092B-C50C-407E-A947-70E740481C1C}">
                          <a14:useLocalDpi xmlns:a14="http://schemas.microsoft.com/office/drawing/2010/main" val="0"/>
                        </a:ext>
                      </a:extLst>
                    </a:blip>
                    <a:srcRect l="24815" t="56651" r="36583"/>
                    <a:stretch/>
                  </pic:blipFill>
                  <pic:spPr bwMode="auto">
                    <a:xfrm>
                      <a:off x="0" y="0"/>
                      <a:ext cx="1469150"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77E353C8" w14:textId="722B34F6" w:rsidR="00051297" w:rsidRPr="00051297" w:rsidRDefault="00051297" w:rsidP="00051297">
      <w:pPr>
        <w:ind w:firstLine="0"/>
        <w:jc w:val="center"/>
        <w:rPr>
          <w:rFonts w:cs="Times New Roman"/>
          <w:szCs w:val="24"/>
          <w:lang w:val="en-US" w:bidi="en-US"/>
        </w:rPr>
      </w:pPr>
      <w:bookmarkStart w:id="290" w:name="_Ref98103072"/>
      <w:bookmarkStart w:id="291" w:name="_Toc104985397"/>
      <w:bookmarkStart w:id="292" w:name="_Toc98085879"/>
      <w:bookmarkStart w:id="293" w:name="_Toc97428204"/>
      <w:bookmarkStart w:id="294" w:name="_Toc103544074"/>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10</w:t>
      </w:r>
      <w:r w:rsidR="00527861">
        <w:rPr>
          <w:rFonts w:cs="Times New Roman"/>
          <w:szCs w:val="24"/>
          <w:lang w:val="en-US" w:bidi="en-US"/>
        </w:rPr>
        <w:fldChar w:fldCharType="end"/>
      </w:r>
      <w:bookmarkEnd w:id="290"/>
      <w:r w:rsidRPr="00051297">
        <w:rPr>
          <w:rFonts w:cs="Times New Roman"/>
          <w:szCs w:val="24"/>
          <w:lang w:val="en-US" w:bidi="en-US"/>
        </w:rPr>
        <w:t xml:space="preserve"> – Ordinary Method of Analysis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{"citationItems":[{"id":"ITEM-1","itemData":{"author":[{"dropping-particle":"","family":"The Constructor","given":"","non-dropping-particle":"","parse-names":false,"suffix":""}],"id":"ITEM-1","issued":{"date-parts":[["2021"]]},"title":"Slope stability-causes of instability, analysis methods and assumptions","type":"webpage"},"uris":["http://www.mendeley.com/documents/?uuid=44a8d37c-c776-4d34-bb12-951d794fedf9","http://www.mendeley.com/documents/?uuid=4a93084d-89bd-44ab-be97-8c8e10b4ed8f"]}],"mendeley":{"formattedCitation":"[153]","plainTextFormattedCitation":"[153]","previouslyFormattedCitation":"[153]"},"properties":{"noteIndex":0},"schema":"https://github.com/citation-style-language/schema/raw/master/csl-citation.json"}</w:instrText>
      </w:r>
      <w:r w:rsidRPr="00051297">
        <w:rPr>
          <w:rFonts w:cs="Times New Roman"/>
          <w:szCs w:val="24"/>
          <w:lang w:val="en-US" w:bidi="en-US"/>
        </w:rPr>
        <w:fldChar w:fldCharType="separate"/>
      </w:r>
      <w:bookmarkEnd w:id="292"/>
      <w:bookmarkEnd w:id="293"/>
      <w:bookmarkEnd w:id="294"/>
      <w:r w:rsidR="0032684D" w:rsidRPr="0032684D">
        <w:rPr>
          <w:rFonts w:cs="Times New Roman"/>
          <w:noProof/>
          <w:szCs w:val="24"/>
          <w:lang w:val="en-US" w:bidi="en-US"/>
        </w:rPr>
        <w:t>[153]</w:t>
      </w:r>
      <w:bookmarkEnd w:id="291"/>
      <w:r w:rsidRPr="00051297">
        <w:rPr>
          <w:rFonts w:cs="Times New Roman"/>
          <w:szCs w:val="24"/>
          <w:lang w:val="en-US" w:bidi="en-US"/>
        </w:rPr>
        <w:fldChar w:fldCharType="end"/>
      </w:r>
    </w:p>
    <w:p w14:paraId="67120E79" w14:textId="77777777" w:rsidR="00051297" w:rsidRPr="00051297" w:rsidRDefault="00051297" w:rsidP="00051297">
      <w:pPr>
        <w:rPr>
          <w:rFonts w:cs="Times New Roman"/>
          <w:szCs w:val="24"/>
          <w:lang w:val="en-US"/>
        </w:rPr>
      </w:pPr>
      <w:r w:rsidRPr="00051297">
        <w:rPr>
          <w:rFonts w:cs="Times New Roman"/>
          <w:szCs w:val="24"/>
          <w:lang w:val="en-US"/>
        </w:rPr>
        <w:lastRenderedPageBreak/>
        <w:t>(d) Bishop Method of Slices</w:t>
      </w:r>
    </w:p>
    <w:p w14:paraId="3AC22AAC" w14:textId="61F4E115" w:rsidR="00051297" w:rsidRPr="00051297" w:rsidRDefault="00051297" w:rsidP="00051297">
      <w:pPr>
        <w:rPr>
          <w:rFonts w:cs="Times New Roman"/>
          <w:szCs w:val="24"/>
          <w:lang w:val="en-US"/>
        </w:rPr>
      </w:pPr>
      <w:r w:rsidRPr="00051297">
        <w:rPr>
          <w:rFonts w:cs="Times New Roman"/>
          <w:szCs w:val="24"/>
          <w:lang w:val="en-US"/>
        </w:rPr>
        <w:t>The analysis in the Bishop technique of slices is done in terms of stresses rather than forces, as in the standard method of slices. The key difference between this method and the Ordinary Method of Slices is that the forces are resolved in the vertical direction rather than the arc's normal direction. The simplified Bishop method of slices yields a safety factor that is quite close to those calculated using more rigorous approaches (</w:t>
      </w:r>
      <w:r w:rsidRPr="00051297">
        <w:rPr>
          <w:rFonts w:cs="Times New Roman"/>
          <w:szCs w:val="24"/>
          <w:lang w:val="en-US"/>
        </w:rPr>
        <w:fldChar w:fldCharType="begin"/>
      </w:r>
      <w:r w:rsidRPr="00051297">
        <w:rPr>
          <w:rFonts w:cs="Times New Roman"/>
          <w:szCs w:val="24"/>
          <w:lang w:val="en-US"/>
        </w:rPr>
        <w:instrText xml:space="preserve"> REF _Ref98103092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11</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{"citationItems":[{"id":"ITEM-1","itemData":{"ISSN":"16727207","abstract":"Based on Bishop slice method, a calculation method of reliability for slope stability whose state function was implicit function was studied. Combining classical response surface method with Bishop slice method, a new response surface method of slope stability reliability analysis was established. The new method was applied to analyze the stability of slope and the procedure and calculation result were compared with those obtained by MonteCarlo method. The results show that the calculation efficiency of the proposed method is high and the accuracy of calculation result is acceptable.","author":[{"dropping-particle":"Bin","family":"Peng","given":"Zhen","non-dropping-particle":"","parse-names":false,"suffix":""},{"dropping-particle":"","family":"Li","given":"Jun","non-dropping-particle":"","parse-names":false,"suffix":""},{"dropping-particle":"","family":"Peng","given":"Wen Xiang","non-dropping-particle":"","parse-names":false,"suffix":""}],"container-title":"Zhongnan Daxue Xuebao (Ziran Kexue Ban)/Journal of Central South University (Science and Technology)","id":"ITEM-1","issued":{"date-parts":[["2010"]]},"title":"Application analysis of slope reliability based on Bishop analytical method","type":"article-journal"},"uris":["http://www.mendeley.com/documents/?uuid=e2747bf2-edbd-4df4-a295-af4aa5b5017a","http://www.mendeley.com/documents/?uuid=a098c8b6-b1b4-454a-8f22-0adfeaec41ca","http://www.mendeley.com/documents/?uuid=506b65b6-4043-4502-a88c-84aa5019b41e"]}],"mendeley":{"formattedCitation":"[155]","plainTextFormattedCitation":"[155]","previouslyFormattedCitation":"[155]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[155]</w:t>
      </w:r>
      <w:r w:rsidRPr="00051297">
        <w:rPr>
          <w:rFonts w:cs="Times New Roman"/>
          <w:szCs w:val="24"/>
        </w:rPr>
        <w:fldChar w:fldCharType="end"/>
      </w:r>
      <w:r w:rsidRPr="00051297">
        <w:rPr>
          <w:rFonts w:cs="Times New Roman"/>
          <w:szCs w:val="24"/>
          <w:lang w:val="en-US"/>
        </w:rPr>
        <w:t>.</w:t>
      </w:r>
    </w:p>
    <w:p w14:paraId="45EBE5D8"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5B572265" wp14:editId="46ECF13A">
            <wp:extent cx="2247900" cy="2703171"/>
            <wp:effectExtent l="0" t="0" r="0" b="2540"/>
            <wp:docPr id="118" name="Picture 118" descr="Stresses and Forces Acting on a Slice in Bishop Method of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resses and Forces Acting on a Slice in Bishop Method of Analysi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53311" cy="2709678"/>
                    </a:xfrm>
                    <a:prstGeom prst="rect">
                      <a:avLst/>
                    </a:prstGeom>
                    <a:noFill/>
                    <a:ln>
                      <a:noFill/>
                    </a:ln>
                  </pic:spPr>
                </pic:pic>
              </a:graphicData>
            </a:graphic>
          </wp:inline>
        </w:drawing>
      </w:r>
    </w:p>
    <w:p w14:paraId="05DD75C0" w14:textId="2DF0A27D" w:rsidR="00051297" w:rsidRPr="00051297" w:rsidRDefault="00051297" w:rsidP="00051297">
      <w:pPr>
        <w:ind w:firstLine="0"/>
        <w:jc w:val="center"/>
        <w:rPr>
          <w:rFonts w:cs="Times New Roman"/>
          <w:szCs w:val="24"/>
          <w:lang w:val="en-US" w:bidi="en-US"/>
        </w:rPr>
      </w:pPr>
      <w:bookmarkStart w:id="295" w:name="_Ref98103092"/>
      <w:bookmarkStart w:id="296" w:name="_Toc98085880"/>
      <w:bookmarkStart w:id="297" w:name="_Toc97428205"/>
      <w:bookmarkStart w:id="298" w:name="_Toc103544075"/>
      <w:bookmarkStart w:id="299" w:name="_Toc104985398"/>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11</w:t>
      </w:r>
      <w:r w:rsidR="00527861">
        <w:rPr>
          <w:rFonts w:cs="Times New Roman"/>
          <w:szCs w:val="24"/>
          <w:lang w:val="en-US" w:bidi="en-US"/>
        </w:rPr>
        <w:fldChar w:fldCharType="end"/>
      </w:r>
      <w:bookmarkEnd w:id="295"/>
      <w:r w:rsidRPr="00051297">
        <w:rPr>
          <w:rFonts w:cs="Times New Roman"/>
          <w:szCs w:val="24"/>
          <w:lang w:val="en-US" w:bidi="en-US"/>
        </w:rPr>
        <w:t xml:space="preserve"> – Stresses and </w:t>
      </w:r>
      <w:r w:rsidR="00252BC4">
        <w:rPr>
          <w:rFonts w:cs="Times New Roman"/>
          <w:szCs w:val="24"/>
          <w:lang w:val="en-US" w:bidi="en-US"/>
        </w:rPr>
        <w:t>f</w:t>
      </w:r>
      <w:r w:rsidRPr="00051297">
        <w:rPr>
          <w:rFonts w:cs="Times New Roman"/>
          <w:szCs w:val="24"/>
          <w:lang w:val="en-US" w:bidi="en-US"/>
        </w:rPr>
        <w:t xml:space="preserve">orces </w:t>
      </w:r>
      <w:r w:rsidR="00252BC4">
        <w:rPr>
          <w:rFonts w:cs="Times New Roman"/>
          <w:szCs w:val="24"/>
          <w:lang w:val="en-US" w:bidi="en-US"/>
        </w:rPr>
        <w:t>a</w:t>
      </w:r>
      <w:r w:rsidRPr="00051297">
        <w:rPr>
          <w:rFonts w:cs="Times New Roman"/>
          <w:szCs w:val="24"/>
          <w:lang w:val="en-US" w:bidi="en-US"/>
        </w:rPr>
        <w:t xml:space="preserve">cting on a </w:t>
      </w:r>
      <w:r w:rsidR="00252BC4">
        <w:rPr>
          <w:rFonts w:cs="Times New Roman"/>
          <w:szCs w:val="24"/>
          <w:lang w:val="en-US" w:bidi="en-US"/>
        </w:rPr>
        <w:t>s</w:t>
      </w:r>
      <w:r w:rsidRPr="00051297">
        <w:rPr>
          <w:rFonts w:cs="Times New Roman"/>
          <w:szCs w:val="24"/>
          <w:lang w:val="en-US" w:bidi="en-US"/>
        </w:rPr>
        <w:t xml:space="preserve">lice in Bishop Method of </w:t>
      </w:r>
      <w:r w:rsidR="00252BC4">
        <w:rPr>
          <w:rFonts w:cs="Times New Roman"/>
          <w:szCs w:val="24"/>
          <w:lang w:val="en-US" w:bidi="en-US"/>
        </w:rPr>
        <w:t>a</w:t>
      </w:r>
      <w:r w:rsidRPr="00051297">
        <w:rPr>
          <w:rFonts w:cs="Times New Roman"/>
          <w:szCs w:val="24"/>
          <w:lang w:val="en-US" w:bidi="en-US"/>
        </w:rPr>
        <w:t xml:space="preserve">nalysis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{"citationItems":[{"id":"ITEM-1","itemData":{"author":[{"dropping-particle":"","family":"The Constructor","given":"","non-dropping-particle":"","parse-names":false,"suffix":""}],"id":"ITEM-1","issued":{"date-parts":[["2021"]]},"title":"Slope stability-causes of instability, analysis methods and assumptions","type":"webpage"},"uris":["http://www.mendeley.com/documents/?uuid=44a8d37c-c776-4d34-bb12-951d794fedf9","http://www.mendeley.com/documents/?uuid=4a93084d-89bd-44ab-be97-8c8e10b4ed8f"]}],"mendeley":{"formattedCitation":"[153]","plainTextFormattedCitation":"[153]","previouslyFormattedCitation":"[153]"},"properties":{"noteIndex":0},"schema":"https://github.com/citation-style-language/schema/raw/master/csl-citation.json"}</w:instrText>
      </w:r>
      <w:r w:rsidRPr="00051297">
        <w:rPr>
          <w:rFonts w:cs="Times New Roman"/>
          <w:szCs w:val="24"/>
          <w:lang w:val="en-US" w:bidi="en-US"/>
        </w:rPr>
        <w:fldChar w:fldCharType="separate"/>
      </w:r>
      <w:bookmarkEnd w:id="296"/>
      <w:bookmarkEnd w:id="297"/>
      <w:r w:rsidR="0032684D" w:rsidRPr="0032684D">
        <w:rPr>
          <w:rFonts w:cs="Times New Roman"/>
          <w:noProof/>
          <w:szCs w:val="24"/>
          <w:lang w:val="en-US" w:bidi="en-US"/>
        </w:rPr>
        <w:t>[153]</w:t>
      </w:r>
      <w:r w:rsidRPr="00051297">
        <w:rPr>
          <w:rFonts w:cs="Times New Roman"/>
          <w:szCs w:val="24"/>
          <w:lang w:val="en-US" w:bidi="en-US"/>
        </w:rPr>
        <w:fldChar w:fldCharType="end"/>
      </w:r>
      <w:r w:rsidRPr="00051297">
        <w:rPr>
          <w:rFonts w:cs="Times New Roman"/>
          <w:szCs w:val="24"/>
          <w:lang w:val="en-US" w:bidi="en-US"/>
        </w:rPr>
        <w:t>.</w:t>
      </w:r>
      <w:bookmarkEnd w:id="298"/>
      <w:bookmarkEnd w:id="299"/>
    </w:p>
    <w:p w14:paraId="1BFAF7E8" w14:textId="77777777" w:rsidR="00051297" w:rsidRPr="00F97DFC" w:rsidRDefault="00051297" w:rsidP="00051297">
      <w:pPr>
        <w:rPr>
          <w:rFonts w:cs="Times New Roman"/>
          <w:szCs w:val="24"/>
          <w:lang w:val="en-US"/>
        </w:rPr>
      </w:pPr>
      <w:r w:rsidRPr="00F97DFC">
        <w:rPr>
          <w:rFonts w:cs="Times New Roman"/>
          <w:szCs w:val="24"/>
          <w:lang w:val="en-US"/>
        </w:rPr>
        <w:t>(</w:t>
      </w:r>
      <w:r w:rsidRPr="00051297">
        <w:rPr>
          <w:rFonts w:cs="Times New Roman"/>
          <w:szCs w:val="24"/>
          <w:lang w:val="en-US"/>
        </w:rPr>
        <w:t>e</w:t>
      </w:r>
      <w:r w:rsidRPr="00F97DFC">
        <w:rPr>
          <w:rFonts w:cs="Times New Roman"/>
          <w:szCs w:val="24"/>
          <w:lang w:val="en-US"/>
        </w:rPr>
        <w:t>)  Morgenstern-Price</w:t>
      </w:r>
    </w:p>
    <w:p w14:paraId="060538C1" w14:textId="548AA386" w:rsidR="00051297" w:rsidRPr="00051297" w:rsidRDefault="00051297" w:rsidP="00051297">
      <w:pPr>
        <w:rPr>
          <w:rFonts w:cs="Times New Roman"/>
          <w:szCs w:val="24"/>
          <w:lang w:val="en-US"/>
        </w:rPr>
      </w:pPr>
      <w:r w:rsidRPr="00051297">
        <w:rPr>
          <w:rFonts w:cs="Times New Roman"/>
          <w:szCs w:val="24"/>
          <w:lang w:val="en-US"/>
        </w:rPr>
        <w:t>Morgenstern-Price is a general slice approach based on the principle of limit equilibrium. It necessitates a harmonious balance of forces and moments operating on individual blocks. By splitting the soil above the slip surface into dividing planes, the blocks are formed. The forces acting on individual blocks are depicted in the diagram below (</w:t>
      </w:r>
      <w:r w:rsidRPr="00051297">
        <w:rPr>
          <w:rFonts w:cs="Times New Roman"/>
          <w:szCs w:val="24"/>
          <w:lang w:val="en-US"/>
        </w:rPr>
        <w:fldChar w:fldCharType="begin"/>
      </w:r>
      <w:r w:rsidRPr="00051297">
        <w:rPr>
          <w:rFonts w:cs="Times New Roman"/>
          <w:szCs w:val="24"/>
          <w:lang w:val="en-US"/>
        </w:rPr>
        <w:instrText xml:space="preserve"> REF _Ref98103130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12</w:t>
      </w:r>
      <w:r w:rsidRPr="00051297">
        <w:rPr>
          <w:rFonts w:cs="Times New Roman"/>
          <w:szCs w:val="24"/>
          <w:lang w:val="en-US"/>
        </w:rPr>
        <w:fldChar w:fldCharType="end"/>
      </w:r>
      <w:r w:rsidRPr="00051297">
        <w:rPr>
          <w:rFonts w:cs="Times New Roman"/>
          <w:szCs w:val="24"/>
          <w:lang w:val="en-US"/>
        </w:rPr>
        <w:t xml:space="preserve">) </w:t>
      </w:r>
      <w:bookmarkStart w:id="300" w:name="_Hlk104255161"/>
      <w:r w:rsidRPr="00051297">
        <w:rPr>
          <w:rFonts w:cs="Times New Roman"/>
          <w:szCs w:val="24"/>
        </w:rPr>
        <w:fldChar w:fldCharType="begin" w:fldLock="1"/>
      </w:r>
      <w:r w:rsidR="00FA5896">
        <w:rPr>
          <w:rFonts w:cs="Times New Roman"/>
          <w:szCs w:val="24"/>
          <w:lang w:val="en-US"/>
        </w:rPr>
        <w:instrText>ADDIN CSL_CITATION {"citationItems":[{"id":"ITEM-1","itemData":{"DOI":"10.1680/geot.1965.15.1.79","ISSN":"0016-8505","abstract":"Synopsis","author":[{"dropping-particle":"","family":"Morgenstern","given":"N. R.","non-dropping-particle":"","parse-names":false,"suffix":""},{"dropping-particle":"","family":"Price","given":"V. E.","non-dropping-particle":"","parse-names":false,"suffix":""}],"container-title":"Géotechnique","id":"ITEM-1","issue":"1","issued":{"date-parts":[["1965","3"]]},"page":"79-93","title":"The Analysis of the Stability of General Slip Surfaces","type":"article-journal","volume":"15"},"uris":["http://www.mendeley.com/documents/?uuid=ec8c4396-a6b5-48b7-b6ad-60f2d9a3a0e4","http://www.mendeley.com/documents/?uuid=37a63744-c64d-440c-b690-833a2a862498","http://www.mendeley.com/documents/?uuid=9b86f174-ba37-4d7d-bf9a-83d010e5bf31"]}],"mendeley":{"formattedCitation":"[156]","plainTextFormattedCitation":"[156]","previouslyFormattedCitation":"[156]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[156]</w:t>
      </w:r>
      <w:r w:rsidRPr="00051297">
        <w:rPr>
          <w:rFonts w:cs="Times New Roman"/>
          <w:szCs w:val="24"/>
        </w:rPr>
        <w:fldChar w:fldCharType="end"/>
      </w:r>
      <w:bookmarkEnd w:id="300"/>
      <w:r w:rsidRPr="00051297">
        <w:rPr>
          <w:rFonts w:cs="Times New Roman"/>
          <w:szCs w:val="24"/>
          <w:lang w:val="en-US"/>
        </w:rPr>
        <w:t>:</w:t>
      </w:r>
    </w:p>
    <w:p w14:paraId="115F03CE"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04B8F6C6" wp14:editId="1A57671E">
            <wp:extent cx="5796000" cy="2875359"/>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96000" cy="2875359"/>
                    </a:xfrm>
                    <a:prstGeom prst="rect">
                      <a:avLst/>
                    </a:prstGeom>
                    <a:noFill/>
                    <a:ln>
                      <a:noFill/>
                    </a:ln>
                  </pic:spPr>
                </pic:pic>
              </a:graphicData>
            </a:graphic>
          </wp:inline>
        </w:drawing>
      </w:r>
    </w:p>
    <w:p w14:paraId="0521B873" w14:textId="2C6D7C9F" w:rsidR="00051297" w:rsidRPr="00051297" w:rsidRDefault="00051297" w:rsidP="00051297">
      <w:pPr>
        <w:ind w:firstLine="0"/>
        <w:jc w:val="center"/>
        <w:rPr>
          <w:rFonts w:cs="Times New Roman"/>
          <w:szCs w:val="24"/>
          <w:lang w:val="en-US" w:bidi="en-US"/>
        </w:rPr>
      </w:pPr>
      <w:bookmarkStart w:id="301" w:name="_Ref98103130"/>
      <w:bookmarkStart w:id="302" w:name="_Toc104985399"/>
      <w:bookmarkStart w:id="303" w:name="_Toc103544076"/>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12</w:t>
      </w:r>
      <w:r w:rsidR="00527861">
        <w:rPr>
          <w:rFonts w:cs="Times New Roman"/>
          <w:szCs w:val="24"/>
          <w:lang w:val="en-US" w:bidi="en-US"/>
        </w:rPr>
        <w:fldChar w:fldCharType="end"/>
      </w:r>
      <w:bookmarkEnd w:id="301"/>
      <w:r w:rsidRPr="00051297">
        <w:rPr>
          <w:lang w:val="en-US"/>
        </w:rPr>
        <w:t xml:space="preserve"> </w:t>
      </w:r>
      <w:r w:rsidRPr="00051297">
        <w:rPr>
          <w:rFonts w:cs="Times New Roman"/>
          <w:szCs w:val="24"/>
          <w:lang w:val="en-US" w:bidi="en-US"/>
        </w:rPr>
        <w:t xml:space="preserve">– Morgenstern-Price approach (static scheme)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{"citationItems":[{"id":"ITEM-1","itemData":{"author":[{"dropping-particle":"","family":"Fine spol. s r.o.","given":"","non-dropping-particle":"","parse-names":false,"suffix":""}],"id":"ITEM-1","issued":{"date-parts":[["2021"]]},"title":"Online Help-GEO5:Morgenstern-Price","type":"webpage"},"uris":["http://www.mendeley.com/documents/?uuid=6c604eaf-8a8e-42a1-b410-64554947dabf","http://www.mendeley.com/documents/?uuid=a70367d2-81be-4d09-b6a3-7fb1adf679ff"]}],"mendeley":{"formattedCitation":"[157]","plainTextFormattedCitation":"[157]","previouslyFormattedCitation":"[157]"},"properties":{"noteIndex":0},"schema":"https://github.com/citation-style-language/schema/raw/master/csl-citation.json"}</w:instrText>
      </w:r>
      <w:r w:rsidRPr="00051297">
        <w:rPr>
          <w:rFonts w:cs="Times New Roman"/>
          <w:szCs w:val="24"/>
          <w:lang w:val="en-US" w:bidi="en-US"/>
        </w:rPr>
        <w:fldChar w:fldCharType="separate"/>
      </w:r>
      <w:bookmarkEnd w:id="303"/>
      <w:r w:rsidR="0032684D" w:rsidRPr="0032684D">
        <w:rPr>
          <w:rFonts w:cs="Times New Roman"/>
          <w:noProof/>
          <w:szCs w:val="24"/>
          <w:lang w:val="en-US" w:bidi="en-US"/>
        </w:rPr>
        <w:t>[157]</w:t>
      </w:r>
      <w:bookmarkEnd w:id="302"/>
      <w:r w:rsidRPr="00051297">
        <w:rPr>
          <w:rFonts w:cs="Times New Roman"/>
          <w:szCs w:val="24"/>
          <w:lang w:val="en-US" w:bidi="en-US"/>
        </w:rPr>
        <w:fldChar w:fldCharType="end"/>
      </w:r>
    </w:p>
    <w:p w14:paraId="79ADD99B" w14:textId="28CD77DD" w:rsidR="00051297" w:rsidRPr="00051297" w:rsidRDefault="00051297" w:rsidP="00051297">
      <w:pPr>
        <w:rPr>
          <w:rFonts w:cs="Times New Roman"/>
          <w:szCs w:val="24"/>
          <w:lang w:val="en-US"/>
        </w:rPr>
      </w:pPr>
      <w:r w:rsidRPr="00051297">
        <w:rPr>
          <w:rFonts w:cs="Times New Roman"/>
          <w:szCs w:val="24"/>
          <w:lang w:val="en-US"/>
        </w:rPr>
        <w:lastRenderedPageBreak/>
        <w:t xml:space="preserve">The Morgenstern-Price technique for calculating the limit equilibrium of forces and moments on individual blocks makes the following assumptions </w:t>
      </w:r>
      <w:r w:rsidRPr="00051297">
        <w:rPr>
          <w:rFonts w:cs="Times New Roman"/>
          <w:szCs w:val="24"/>
        </w:rPr>
        <w:fldChar w:fldCharType="begin" w:fldLock="1"/>
      </w:r>
      <w:r w:rsidR="00FA5896">
        <w:rPr>
          <w:rFonts w:cs="Times New Roman"/>
          <w:szCs w:val="24"/>
          <w:lang w:val="en-US"/>
        </w:rPr>
        <w:instrText>ADDIN CSL_CITATION {"citationItems":[{"id":"ITEM-1","itemData":{"DOI":"10.1680/geot.1968.18.3.393","ISSN":"0016-8505","author":[{"dropping-particle":"","family":"Price","given":"V. E.","non-dropping-particle":"","parse-names":false,"suffix":""},{"dropping-particle":"","family":"Morgenstern","given":"N. R.","non-dropping-particle":"","parse-names":false,"suffix":""}],"container-title":"Géotechnique","id":"ITEM-1","issue":"3","issued":{"date-parts":[["1968","9"]]},"page":"393-394","title":"The Analysis of The Stability of General Slip Surfaces","type":"article-journal","volume":"18"},"uris":["http://www.mendeley.com/documents/?uuid=42be2362-ebd5-4210-91f9-afd267bc7b69","http://www.mendeley.com/documents/?uuid=d0b31e75-62e1-4387-8073-fc2905c9cd2b"]}],"mendeley":{"formattedCitation":"[158]","plainTextFormattedCitation":"[158]","previouslyFormattedCitation":"[158]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[158]</w:t>
      </w:r>
      <w:r w:rsidRPr="00051297">
        <w:rPr>
          <w:rFonts w:cs="Times New Roman"/>
          <w:szCs w:val="24"/>
        </w:rPr>
        <w:fldChar w:fldCharType="end"/>
      </w:r>
      <w:r w:rsidRPr="00051297">
        <w:rPr>
          <w:rFonts w:cs="Times New Roman"/>
          <w:szCs w:val="24"/>
          <w:lang w:val="en-US"/>
        </w:rPr>
        <w:t>:</w:t>
      </w:r>
    </w:p>
    <w:p w14:paraId="1D821A9A"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Between-block dividing planes are always vertical.</w:t>
      </w:r>
    </w:p>
    <w:p w14:paraId="23435333"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The line of action of block Wi's weight runs via the center of the i</w:t>
      </w:r>
      <w:r w:rsidRPr="00051297">
        <w:rPr>
          <w:rFonts w:cs="Times New Roman"/>
          <w:szCs w:val="24"/>
          <w:vertAlign w:val="superscript"/>
          <w:lang w:val="en-US"/>
        </w:rPr>
        <w:t>th</w:t>
      </w:r>
      <w:r w:rsidRPr="00051297">
        <w:rPr>
          <w:rFonts w:cs="Times New Roman"/>
          <w:szCs w:val="24"/>
          <w:lang w:val="en-US"/>
        </w:rPr>
        <w:t xml:space="preserve"> slip surface segment, which is represented by point M.</w:t>
      </w:r>
    </w:p>
    <w:p w14:paraId="68DB896A"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The standard force at point M, N</w:t>
      </w:r>
      <w:r w:rsidRPr="00051297">
        <w:rPr>
          <w:rFonts w:cs="Times New Roman"/>
          <w:szCs w:val="24"/>
          <w:vertAlign w:val="subscript"/>
          <w:lang w:val="en-US"/>
        </w:rPr>
        <w:t>i</w:t>
      </w:r>
      <w:r w:rsidRPr="00051297">
        <w:rPr>
          <w:rFonts w:cs="Times New Roman"/>
          <w:szCs w:val="24"/>
          <w:lang w:val="en-US"/>
        </w:rPr>
        <w:t xml:space="preserve"> is acting in the center of the i</w:t>
      </w:r>
      <w:r w:rsidRPr="00051297">
        <w:rPr>
          <w:rFonts w:cs="Times New Roman"/>
          <w:szCs w:val="24"/>
          <w:vertAlign w:val="superscript"/>
          <w:lang w:val="en-US"/>
        </w:rPr>
        <w:t>th</w:t>
      </w:r>
      <w:r w:rsidRPr="00051297">
        <w:rPr>
          <w:rFonts w:cs="Times New Roman"/>
          <w:szCs w:val="24"/>
          <w:lang w:val="en-US"/>
        </w:rPr>
        <w:t xml:space="preserve"> segment of the slip surface.</w:t>
      </w:r>
    </w:p>
    <w:p w14:paraId="4933A90F"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The inclination of forces E</w:t>
      </w:r>
      <w:r w:rsidRPr="00051297">
        <w:rPr>
          <w:rFonts w:cs="Times New Roman"/>
          <w:szCs w:val="24"/>
          <w:vertAlign w:val="subscript"/>
          <w:lang w:val="en-US"/>
        </w:rPr>
        <w:t>i</w:t>
      </w:r>
      <w:r w:rsidRPr="00051297">
        <w:rPr>
          <w:rFonts w:cs="Times New Roman"/>
          <w:szCs w:val="24"/>
          <w:lang w:val="en-US"/>
        </w:rPr>
        <w:t> acting between blocks is different on each block (δ</w:t>
      </w:r>
      <w:r w:rsidRPr="00051297">
        <w:rPr>
          <w:rFonts w:cs="Times New Roman"/>
          <w:szCs w:val="24"/>
          <w:vertAlign w:val="subscript"/>
          <w:lang w:val="en-US"/>
        </w:rPr>
        <w:t>i</w:t>
      </w:r>
      <w:r w:rsidRPr="00051297">
        <w:rPr>
          <w:rFonts w:cs="Times New Roman"/>
          <w:szCs w:val="24"/>
          <w:lang w:val="en-US"/>
        </w:rPr>
        <w:t>) at slip surface endpoints is δ = 0.</w:t>
      </w:r>
    </w:p>
    <w:p w14:paraId="5DE98076" w14:textId="0185BC14" w:rsidR="00051297" w:rsidRPr="00051297" w:rsidRDefault="00051297" w:rsidP="00051297">
      <w:pPr>
        <w:rPr>
          <w:rFonts w:cs="Times New Roman"/>
          <w:szCs w:val="24"/>
          <w:lang w:val="en-US"/>
        </w:rPr>
      </w:pPr>
      <w:r w:rsidRPr="00051297">
        <w:rPr>
          <w:rFonts w:cs="Times New Roman"/>
          <w:szCs w:val="24"/>
          <w:lang w:val="en-US"/>
        </w:rPr>
        <w:t xml:space="preserve">The preceding set of assumptions shows the only difference between the Spencer and Morgenstern-Price methods. The Half-sine function is used to choose the inclination angles </w:t>
      </w:r>
      <w:r w:rsidRPr="00051297">
        <w:rPr>
          <w:rFonts w:cs="Times New Roman"/>
          <w:i/>
          <w:iCs/>
          <w:szCs w:val="24"/>
        </w:rPr>
        <w:t>δ</w:t>
      </w:r>
      <w:r w:rsidRPr="00051297">
        <w:rPr>
          <w:rFonts w:cs="Times New Roman"/>
          <w:i/>
          <w:iCs/>
          <w:szCs w:val="24"/>
          <w:vertAlign w:val="subscript"/>
          <w:lang w:val="en-US"/>
        </w:rPr>
        <w:t>i</w:t>
      </w:r>
      <w:r w:rsidRPr="00051297">
        <w:rPr>
          <w:rFonts w:cs="Times New Roman"/>
          <w:szCs w:val="24"/>
          <w:lang w:val="en-US"/>
        </w:rPr>
        <w:t xml:space="preserve"> of forces </w:t>
      </w:r>
      <w:r w:rsidRPr="00051297">
        <w:rPr>
          <w:rFonts w:cs="Times New Roman"/>
          <w:i/>
          <w:iCs/>
          <w:szCs w:val="24"/>
          <w:lang w:val="en-US"/>
        </w:rPr>
        <w:t>E</w:t>
      </w:r>
      <w:r w:rsidRPr="00051297">
        <w:rPr>
          <w:rFonts w:cs="Times New Roman"/>
          <w:i/>
          <w:iCs/>
          <w:szCs w:val="24"/>
          <w:vertAlign w:val="subscript"/>
          <w:lang w:val="en-US"/>
        </w:rPr>
        <w:t>i</w:t>
      </w:r>
      <w:r w:rsidRPr="00051297">
        <w:rPr>
          <w:rFonts w:cs="Times New Roman"/>
          <w:szCs w:val="24"/>
          <w:lang w:val="en-US"/>
        </w:rPr>
        <w:t xml:space="preserve"> acting between the blocks - one of the functions in the following image is automatically picked. The shape of the function has little impact on the final results, but a good choice can increase the method's convergence. The value of inclination angle </w:t>
      </w:r>
      <w:r w:rsidRPr="00051297">
        <w:rPr>
          <w:rFonts w:cs="Times New Roman"/>
          <w:i/>
          <w:iCs/>
          <w:szCs w:val="24"/>
        </w:rPr>
        <w:t>δ</w:t>
      </w:r>
      <w:r w:rsidRPr="00051297">
        <w:rPr>
          <w:rFonts w:cs="Times New Roman"/>
          <w:i/>
          <w:iCs/>
          <w:szCs w:val="24"/>
          <w:vertAlign w:val="subscript"/>
          <w:lang w:val="en-US"/>
        </w:rPr>
        <w:t>i</w:t>
      </w:r>
      <w:r w:rsidRPr="00051297">
        <w:rPr>
          <w:rFonts w:cs="Times New Roman"/>
          <w:szCs w:val="24"/>
          <w:lang w:val="en-US"/>
        </w:rPr>
        <w:t xml:space="preserve"> is obtained by multiplying the functional value of the Half-sine function </w:t>
      </w:r>
      <w:r w:rsidRPr="00051297">
        <w:rPr>
          <w:rFonts w:cs="Times New Roman"/>
          <w:i/>
          <w:iCs/>
          <w:szCs w:val="24"/>
          <w:lang w:val="en-US"/>
        </w:rPr>
        <w:t>f</w:t>
      </w:r>
      <w:r w:rsidRPr="00051297">
        <w:rPr>
          <w:rFonts w:cs="Times New Roman"/>
          <w:szCs w:val="24"/>
          <w:lang w:val="en-US"/>
        </w:rPr>
        <w:t>(</w:t>
      </w:r>
      <w:r w:rsidRPr="00051297">
        <w:rPr>
          <w:rFonts w:cs="Times New Roman"/>
          <w:i/>
          <w:iCs/>
          <w:szCs w:val="24"/>
          <w:lang w:val="en-US"/>
        </w:rPr>
        <w:t>x</w:t>
      </w:r>
      <w:r w:rsidRPr="00051297">
        <w:rPr>
          <w:rFonts w:cs="Times New Roman"/>
          <w:i/>
          <w:iCs/>
          <w:szCs w:val="24"/>
          <w:vertAlign w:val="subscript"/>
          <w:lang w:val="en-US"/>
        </w:rPr>
        <w:t>i</w:t>
      </w:r>
      <w:r w:rsidRPr="00051297">
        <w:rPr>
          <w:rFonts w:cs="Times New Roman"/>
          <w:szCs w:val="24"/>
          <w:lang w:val="en-US"/>
        </w:rPr>
        <w:t xml:space="preserve">) at boundary point </w:t>
      </w:r>
      <w:r w:rsidRPr="00051297">
        <w:rPr>
          <w:rFonts w:cs="Times New Roman"/>
          <w:i/>
          <w:iCs/>
          <w:szCs w:val="24"/>
          <w:lang w:val="en-US"/>
        </w:rPr>
        <w:t>x</w:t>
      </w:r>
      <w:r w:rsidRPr="00051297">
        <w:rPr>
          <w:rFonts w:cs="Times New Roman"/>
          <w:i/>
          <w:iCs/>
          <w:szCs w:val="24"/>
          <w:vertAlign w:val="subscript"/>
          <w:lang w:val="en-US"/>
        </w:rPr>
        <w:t>i</w:t>
      </w:r>
      <w:r w:rsidRPr="00051297">
        <w:rPr>
          <w:rFonts w:cs="Times New Roman"/>
          <w:szCs w:val="24"/>
          <w:lang w:val="en-US"/>
        </w:rPr>
        <w:t xml:space="preserve"> by parameter </w:t>
      </w:r>
      <w:r w:rsidRPr="00051297">
        <w:rPr>
          <w:rFonts w:cs="Times New Roman"/>
          <w:i/>
          <w:iCs/>
          <w:szCs w:val="24"/>
        </w:rPr>
        <w:t>λ</w:t>
      </w:r>
      <w:r w:rsidRPr="00051297">
        <w:rPr>
          <w:rFonts w:cs="Times New Roman"/>
          <w:i/>
          <w:iCs/>
          <w:szCs w:val="24"/>
          <w:lang w:val="en-US"/>
        </w:rPr>
        <w:t xml:space="preserve"> </w:t>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REF _Ref98103151 \h  \* MERGEFORMAT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1.13</w:t>
      </w:r>
      <w:r w:rsidRPr="00051297">
        <w:rPr>
          <w:rFonts w:cs="Times New Roman"/>
          <w:szCs w:val="24"/>
          <w:lang w:val="en-US"/>
        </w:rPr>
        <w:fldChar w:fldCharType="end"/>
      </w:r>
      <w:r w:rsidRPr="00051297">
        <w:rPr>
          <w:rFonts w:cs="Times New Roman"/>
          <w:szCs w:val="24"/>
          <w:lang w:val="en-US"/>
        </w:rPr>
        <w:t>)</w:t>
      </w:r>
      <w:r w:rsidRPr="00051297">
        <w:rPr>
          <w:rFonts w:cs="Times New Roman"/>
          <w:i/>
          <w:iCs/>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{"citationItems":[{"id":"ITEM-1","itemData":{"author":[{"dropping-particle":"","family":"Fine spol. s r.o.","given":"","non-dropping-particle":"","parse-names":false,"suffix":""}],"id":"ITEM-1","issued":{"date-parts":[["2021"]]},"title":"Online Help-GEO5:Morgenstern-Price","type":"webpage"},"uris":["http://www.mendeley.com/documents/?uuid=a70367d2-81be-4d09-b6a3-7fb1adf679ff","http://www.mendeley.com/documents/?uuid=6c604eaf-8a8e-42a1-b410-64554947dabf"]}],"mendeley":{"formattedCitation":"[157]","plainTextFormattedCitation":"[157]","previouslyFormattedCitation":"[157]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[157]</w:t>
      </w:r>
      <w:r w:rsidRPr="00051297">
        <w:rPr>
          <w:rFonts w:cs="Times New Roman"/>
          <w:szCs w:val="24"/>
        </w:rPr>
        <w:fldChar w:fldCharType="end"/>
      </w:r>
      <w:r w:rsidRPr="00051297">
        <w:rPr>
          <w:rFonts w:cs="Times New Roman"/>
          <w:szCs w:val="24"/>
          <w:lang w:val="en-US"/>
        </w:rPr>
        <w:t>.</w:t>
      </w:r>
    </w:p>
    <w:p w14:paraId="61F20ACD"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0ECE6357" wp14:editId="1EC5A77F">
            <wp:extent cx="5143500" cy="176212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143500" cy="1762125"/>
                    </a:xfrm>
                    <a:prstGeom prst="rect">
                      <a:avLst/>
                    </a:prstGeom>
                    <a:noFill/>
                    <a:ln>
                      <a:noFill/>
                    </a:ln>
                  </pic:spPr>
                </pic:pic>
              </a:graphicData>
            </a:graphic>
          </wp:inline>
        </w:drawing>
      </w:r>
    </w:p>
    <w:p w14:paraId="1D9555CF" w14:textId="4903367A" w:rsidR="00051297" w:rsidRPr="00051297" w:rsidRDefault="00051297" w:rsidP="00051297">
      <w:pPr>
        <w:ind w:firstLine="0"/>
        <w:jc w:val="center"/>
        <w:rPr>
          <w:rFonts w:cs="Times New Roman"/>
          <w:szCs w:val="24"/>
          <w:lang w:val="en-US" w:bidi="en-US"/>
        </w:rPr>
      </w:pPr>
      <w:bookmarkStart w:id="304" w:name="_Ref98103151"/>
      <w:bookmarkStart w:id="305" w:name="_Toc104985400"/>
      <w:bookmarkStart w:id="306" w:name="_Toc103544077"/>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13</w:t>
      </w:r>
      <w:r w:rsidR="00527861">
        <w:rPr>
          <w:rFonts w:cs="Times New Roman"/>
          <w:szCs w:val="24"/>
          <w:lang w:val="en-US" w:bidi="en-US"/>
        </w:rPr>
        <w:fldChar w:fldCharType="end"/>
      </w:r>
      <w:bookmarkEnd w:id="304"/>
      <w:r w:rsidRPr="00051297">
        <w:rPr>
          <w:lang w:val="en-US"/>
        </w:rPr>
        <w:t xml:space="preserve"> </w:t>
      </w:r>
      <w:r w:rsidRPr="00051297">
        <w:rPr>
          <w:rFonts w:cs="Times New Roman"/>
          <w:szCs w:val="24"/>
          <w:lang w:val="en-US" w:bidi="en-US"/>
        </w:rPr>
        <w:t xml:space="preserve">– Function of half-sine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{"citationItems":[{"id":"ITEM-1","itemData":{"author":[{"dropping-particle":"","family":"Fine spol. s r.o.","given":"","non-dropping-particle":"","parse-names":false,"suffix":""}],"id":"ITEM-1","issued":{"date-parts":[["2021"]]},"title":"Online Help-GEO5:Morgenstern-Price","type":"webpage"},"uris":["http://www.mendeley.com/documents/?uuid=a70367d2-81be-4d09-b6a3-7fb1adf679ff","http://www.mendeley.com/documents/?uuid=6c604eaf-8a8e-42a1-b410-64554947dabf"]}],"mendeley":{"formattedCitation":"[157]","plainTextFormattedCitation":"[157]","previouslyFormattedCitation":"[157]"},"properties":{"noteIndex":0},"schema":"https://github.com/citation-style-language/schema/raw/master/csl-citation.json"}</w:instrText>
      </w:r>
      <w:r w:rsidRPr="00051297">
        <w:rPr>
          <w:rFonts w:cs="Times New Roman"/>
          <w:szCs w:val="24"/>
          <w:lang w:val="en-US" w:bidi="en-US"/>
        </w:rPr>
        <w:fldChar w:fldCharType="separate"/>
      </w:r>
      <w:bookmarkEnd w:id="306"/>
      <w:r w:rsidR="0032684D" w:rsidRPr="0032684D">
        <w:rPr>
          <w:rFonts w:cs="Times New Roman"/>
          <w:noProof/>
          <w:szCs w:val="24"/>
          <w:lang w:val="en-US" w:bidi="en-US"/>
        </w:rPr>
        <w:t>[157]</w:t>
      </w:r>
      <w:bookmarkEnd w:id="305"/>
      <w:r w:rsidRPr="00051297">
        <w:rPr>
          <w:rFonts w:cs="Times New Roman"/>
          <w:szCs w:val="24"/>
          <w:lang w:val="en-US" w:bidi="en-US"/>
        </w:rPr>
        <w:fldChar w:fldCharType="end"/>
      </w:r>
    </w:p>
    <w:p w14:paraId="050998EE" w14:textId="7A51996D" w:rsidR="00051297" w:rsidRPr="00051297" w:rsidRDefault="00051297" w:rsidP="00051297">
      <w:pPr>
        <w:rPr>
          <w:rFonts w:cs="Times New Roman"/>
          <w:szCs w:val="24"/>
          <w:lang w:val="en-US"/>
        </w:rPr>
      </w:pPr>
      <w:r w:rsidRPr="00051297">
        <w:rPr>
          <w:rFonts w:cs="Times New Roman"/>
          <w:szCs w:val="24"/>
          <w:lang w:val="en-US"/>
        </w:rPr>
        <w:t xml:space="preserve">The Morgenstern-Price expressions are summarized in Equations </w:t>
      </w:r>
      <w:r w:rsidRPr="00051297">
        <w:rPr>
          <w:rFonts w:cs="Times New Roman"/>
          <w:szCs w:val="24"/>
          <w:lang w:val="en-US"/>
        </w:rPr>
        <w:fldChar w:fldCharType="begin"/>
      </w:r>
      <w:r w:rsidRPr="00051297">
        <w:rPr>
          <w:rFonts w:cs="Times New Roman"/>
          <w:szCs w:val="24"/>
          <w:lang w:val="en-US"/>
        </w:rPr>
        <w:instrText xml:space="preserve"> REF _Ref103556407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19</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to </w:t>
      </w:r>
      <w:r w:rsidRPr="00051297">
        <w:rPr>
          <w:rFonts w:cs="Times New Roman"/>
          <w:szCs w:val="24"/>
          <w:lang w:val="en-US"/>
        </w:rPr>
        <w:fldChar w:fldCharType="begin"/>
      </w:r>
      <w:r w:rsidRPr="00051297">
        <w:rPr>
          <w:rFonts w:cs="Times New Roman"/>
          <w:szCs w:val="24"/>
          <w:lang w:val="en-US"/>
        </w:rPr>
        <w:instrText xml:space="preserve"> REF _Ref103556424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23</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1BD6F640" w14:textId="77777777" w:rsidTr="00D20B01">
        <w:tc>
          <w:tcPr>
            <w:tcW w:w="258" w:type="dxa"/>
          </w:tcPr>
          <w:p w14:paraId="5C3C94D0" w14:textId="77777777" w:rsidR="00051297" w:rsidRPr="00051297" w:rsidRDefault="00051297" w:rsidP="00051297">
            <w:pPr>
              <w:spacing w:after="160"/>
              <w:rPr>
                <w:szCs w:val="24"/>
                <w:lang w:val="en-US"/>
              </w:rPr>
            </w:pPr>
          </w:p>
        </w:tc>
        <w:tc>
          <w:tcPr>
            <w:tcW w:w="7591" w:type="dxa"/>
          </w:tcPr>
          <w:p w14:paraId="1B25CBCD"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i</m:t>
                    </m:r>
                  </m:sub>
                </m:sSub>
                <m:r>
                  <w:rPr>
                    <w:rFonts w:ascii="Cambria Math" w:hAnsi="Cambria Math"/>
                    <w:szCs w:val="24"/>
                  </w:rPr>
                  <m:t>=</m:t>
                </m:r>
                <m:sSubSup>
                  <m:sSubSupPr>
                    <m:ctrlPr>
                      <w:rPr>
                        <w:rFonts w:ascii="Cambria Math" w:hAnsi="Cambria Math"/>
                        <w:i/>
                        <w:szCs w:val="24"/>
                      </w:rPr>
                    </m:ctrlPr>
                  </m:sSubSupPr>
                  <m:e>
                    <m:r>
                      <w:rPr>
                        <w:rFonts w:ascii="Cambria Math" w:hAnsi="Cambria Math"/>
                        <w:szCs w:val="24"/>
                      </w:rPr>
                      <m:t>N</m:t>
                    </m:r>
                  </m:e>
                  <m:sub>
                    <m:r>
                      <w:rPr>
                        <w:rFonts w:ascii="Cambria Math" w:hAnsi="Cambria Math"/>
                        <w:szCs w:val="24"/>
                      </w:rPr>
                      <m:t>i</m:t>
                    </m:r>
                  </m:sub>
                  <m:sup>
                    <m:r>
                      <w:rPr>
                        <w:rFonts w:ascii="Cambria Math" w:hAnsi="Cambria Math"/>
                        <w:szCs w:val="24"/>
                      </w:rPr>
                      <m:t>'</m:t>
                    </m:r>
                  </m:sup>
                </m:sSubSup>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oMath>
            </m:oMathPara>
          </w:p>
        </w:tc>
        <w:tc>
          <w:tcPr>
            <w:tcW w:w="1505" w:type="dxa"/>
          </w:tcPr>
          <w:p w14:paraId="140841F4" w14:textId="7913D5D9" w:rsidR="00051297" w:rsidRPr="00051297" w:rsidRDefault="00051297" w:rsidP="00051297">
            <w:pPr>
              <w:spacing w:after="160"/>
            </w:pPr>
            <w:bookmarkStart w:id="307" w:name="_Ref103556407"/>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19</w:t>
            </w:r>
            <w:r w:rsidRPr="00051297">
              <w:rPr>
                <w:szCs w:val="24"/>
                <w:lang w:val="en-US"/>
              </w:rPr>
              <w:fldChar w:fldCharType="end"/>
            </w:r>
            <w:r w:rsidRPr="00051297">
              <w:rPr>
                <w:szCs w:val="24"/>
                <w:lang w:val="en-US"/>
              </w:rPr>
              <w:t>)</w:t>
            </w:r>
            <w:bookmarkEnd w:id="307"/>
          </w:p>
        </w:tc>
      </w:tr>
      <w:tr w:rsidR="00051297" w:rsidRPr="00051297" w14:paraId="1F426840" w14:textId="77777777" w:rsidTr="00D20B01">
        <w:tc>
          <w:tcPr>
            <w:tcW w:w="263" w:type="dxa"/>
          </w:tcPr>
          <w:p w14:paraId="20B1A91A" w14:textId="77777777" w:rsidR="00051297" w:rsidRPr="00051297" w:rsidRDefault="00051297" w:rsidP="00051297">
            <w:pPr>
              <w:spacing w:after="160"/>
              <w:rPr>
                <w:szCs w:val="24"/>
              </w:rPr>
            </w:pPr>
          </w:p>
        </w:tc>
        <w:tc>
          <w:tcPr>
            <w:tcW w:w="8461" w:type="dxa"/>
          </w:tcPr>
          <w:p w14:paraId="5AB11898"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num>
                      <m:den>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den>
                    </m:f>
                    <m:r>
                      <w:rPr>
                        <w:rFonts w:ascii="Cambria Math" w:hAnsi="Cambria Math"/>
                        <w:szCs w:val="24"/>
                      </w:rPr>
                      <m:t>=</m:t>
                    </m:r>
                    <m:sSubSup>
                      <m:sSubSupPr>
                        <m:ctrlPr>
                          <w:rPr>
                            <w:rFonts w:ascii="Cambria Math" w:hAnsi="Cambria Math"/>
                            <w:i/>
                            <w:szCs w:val="24"/>
                          </w:rPr>
                        </m:ctrlPr>
                      </m:sSubSupPr>
                      <m:e>
                        <m:r>
                          <w:rPr>
                            <w:rFonts w:ascii="Cambria Math" w:hAnsi="Cambria Math"/>
                            <w:szCs w:val="24"/>
                          </w:rPr>
                          <m:t>N</m:t>
                        </m:r>
                      </m:e>
                      <m:sub>
                        <m:r>
                          <w:rPr>
                            <w:rFonts w:ascii="Cambria Math" w:hAnsi="Cambria Math"/>
                            <w:szCs w:val="24"/>
                          </w:rPr>
                          <m:t>i</m:t>
                        </m:r>
                      </m:sub>
                      <m:sup>
                        <m:r>
                          <w:rPr>
                            <w:rFonts w:ascii="Cambria Math" w:hAnsi="Cambria Math"/>
                            <w:szCs w:val="24"/>
                          </w:rPr>
                          <m:t>'</m:t>
                        </m:r>
                      </m:sup>
                    </m:sSubSup>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num>
                          <m:den>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den>
                        </m:f>
                      </m:e>
                    </m:func>
                  </m:e>
                </m:func>
              </m:oMath>
            </m:oMathPara>
          </w:p>
        </w:tc>
        <w:tc>
          <w:tcPr>
            <w:tcW w:w="636" w:type="dxa"/>
          </w:tcPr>
          <w:p w14:paraId="57096A5D" w14:textId="321A78CD" w:rsidR="00051297" w:rsidRPr="00051297" w:rsidRDefault="00051297" w:rsidP="00051297">
            <w:pPr>
              <w:spacing w:after="160"/>
            </w:pPr>
            <w:bookmarkStart w:id="308" w:name="_Ref103556457"/>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20</w:t>
            </w:r>
            <w:r w:rsidRPr="00051297">
              <w:rPr>
                <w:szCs w:val="24"/>
                <w:lang w:val="en-US"/>
              </w:rPr>
              <w:fldChar w:fldCharType="end"/>
            </w:r>
            <w:r w:rsidRPr="00051297">
              <w:rPr>
                <w:szCs w:val="24"/>
                <w:lang w:val="en-US"/>
              </w:rPr>
              <w:t>)</w:t>
            </w:r>
            <w:bookmarkEnd w:id="308"/>
          </w:p>
        </w:tc>
      </w:tr>
      <w:tr w:rsidR="00051297" w:rsidRPr="00051297" w14:paraId="79E2CB6D" w14:textId="77777777" w:rsidTr="00D20B01">
        <w:tc>
          <w:tcPr>
            <w:tcW w:w="263" w:type="dxa"/>
          </w:tcPr>
          <w:p w14:paraId="51A61965" w14:textId="77777777" w:rsidR="00051297" w:rsidRPr="00051297" w:rsidRDefault="00051297" w:rsidP="00051297">
            <w:pPr>
              <w:spacing w:after="160"/>
              <w:rPr>
                <w:szCs w:val="24"/>
              </w:rPr>
            </w:pPr>
          </w:p>
        </w:tc>
        <w:tc>
          <w:tcPr>
            <w:tcW w:w="8461" w:type="dxa"/>
          </w:tcPr>
          <w:p w14:paraId="6C290FBB" w14:textId="77777777" w:rsidR="00051297" w:rsidRPr="00051297" w:rsidRDefault="00536556" w:rsidP="00051297">
            <w:pPr>
              <w:spacing w:after="160"/>
              <w:rPr>
                <w:szCs w:val="24"/>
              </w:rPr>
            </w:pPr>
            <m:oMathPara>
              <m:oMath>
                <m:sSubSup>
                  <m:sSubSupPr>
                    <m:ctrlPr>
                      <w:rPr>
                        <w:rFonts w:ascii="Cambria Math" w:hAnsi="Cambria Math"/>
                        <w:i/>
                        <w:szCs w:val="24"/>
                      </w:rPr>
                    </m:ctrlPr>
                  </m:sSubSupPr>
                  <m:e>
                    <m:r>
                      <w:rPr>
                        <w:rFonts w:ascii="Cambria Math" w:hAnsi="Cambria Math"/>
                        <w:szCs w:val="24"/>
                      </w:rPr>
                      <m:t>N</m:t>
                    </m:r>
                  </m:e>
                  <m:sub>
                    <m:r>
                      <w:rPr>
                        <w:rFonts w:ascii="Cambria Math" w:hAnsi="Cambria Math"/>
                        <w:szCs w:val="24"/>
                      </w:rPr>
                      <m:t>i</m:t>
                    </m:r>
                  </m:sub>
                  <m:sup>
                    <m:r>
                      <w:rPr>
                        <w:rFonts w:ascii="Cambria Math" w:hAnsi="Cambria Math"/>
                        <w:szCs w:val="24"/>
                      </w:rPr>
                      <m:t>'</m:t>
                    </m:r>
                  </m:sup>
                </m:sSubSup>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h</m:t>
                        </m:r>
                      </m:sub>
                    </m:sSub>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sin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δ</m:t>
                                        </m:r>
                                      </m:e>
                                      <m:sub>
                                        <m:r>
                                          <w:rPr>
                                            <w:rFonts w:ascii="Cambria Math" w:hAnsi="Cambria Math"/>
                                            <w:szCs w:val="24"/>
                                          </w:rPr>
                                          <m:t>i+1</m:t>
                                        </m:r>
                                      </m:sub>
                                    </m:sSub>
                                  </m:e>
                                </m:d>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δ</m:t>
                                            </m:r>
                                          </m:e>
                                          <m:sub>
                                            <m:r>
                                              <w:rPr>
                                                <w:rFonts w:ascii="Cambria Math" w:hAnsi="Cambria Math"/>
                                                <w:szCs w:val="24"/>
                                              </w:rPr>
                                              <m:t>i</m:t>
                                            </m:r>
                                          </m:sub>
                                        </m:sSub>
                                      </m:e>
                                    </m:d>
                                    <m:r>
                                      <w:rPr>
                                        <w:rFonts w:ascii="Cambria Math" w:hAnsi="Cambria Math"/>
                                        <w:szCs w:val="24"/>
                                      </w:rPr>
                                      <m:t>=0</m:t>
                                    </m:r>
                                  </m:e>
                                </m:func>
                              </m:e>
                            </m:func>
                          </m:e>
                        </m:func>
                      </m:e>
                    </m:func>
                  </m:e>
                </m:func>
              </m:oMath>
            </m:oMathPara>
          </w:p>
        </w:tc>
        <w:tc>
          <w:tcPr>
            <w:tcW w:w="636" w:type="dxa"/>
          </w:tcPr>
          <w:p w14:paraId="7E4D632E" w14:textId="69DA2434" w:rsidR="00051297" w:rsidRPr="00051297" w:rsidRDefault="00051297" w:rsidP="00051297">
            <w:pPr>
              <w:spacing w:after="160"/>
            </w:pPr>
            <w:bookmarkStart w:id="309" w:name="_Ref103556463"/>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21</w:t>
            </w:r>
            <w:r w:rsidRPr="00051297">
              <w:rPr>
                <w:szCs w:val="24"/>
                <w:lang w:val="en-US"/>
              </w:rPr>
              <w:fldChar w:fldCharType="end"/>
            </w:r>
            <w:r w:rsidRPr="00051297">
              <w:rPr>
                <w:szCs w:val="24"/>
                <w:lang w:val="en-US"/>
              </w:rPr>
              <w:t>)</w:t>
            </w:r>
            <w:bookmarkEnd w:id="309"/>
          </w:p>
        </w:tc>
      </w:tr>
      <w:tr w:rsidR="00051297" w:rsidRPr="00051297" w14:paraId="0A9EA3A8" w14:textId="77777777" w:rsidTr="00D20B01">
        <w:tc>
          <w:tcPr>
            <w:tcW w:w="263" w:type="dxa"/>
          </w:tcPr>
          <w:p w14:paraId="0CA30E36" w14:textId="77777777" w:rsidR="00051297" w:rsidRPr="00051297" w:rsidRDefault="00051297" w:rsidP="00051297">
            <w:pPr>
              <w:spacing w:after="160"/>
              <w:rPr>
                <w:szCs w:val="24"/>
              </w:rPr>
            </w:pPr>
          </w:p>
        </w:tc>
        <w:tc>
          <w:tcPr>
            <w:tcW w:w="8461" w:type="dxa"/>
          </w:tcPr>
          <w:p w14:paraId="6664D999" w14:textId="77777777" w:rsidR="00051297" w:rsidRPr="00051297" w:rsidRDefault="00536556" w:rsidP="00051297">
            <w:pPr>
              <w:spacing w:after="160"/>
              <w:rPr>
                <w:szCs w:val="24"/>
              </w:rPr>
            </w:pPr>
            <m:oMathPara>
              <m:oMath>
                <m:sSubSup>
                  <m:sSubSupPr>
                    <m:ctrlPr>
                      <w:rPr>
                        <w:rFonts w:ascii="Cambria Math" w:hAnsi="Cambria Math"/>
                        <w:i/>
                        <w:szCs w:val="24"/>
                      </w:rPr>
                    </m:ctrlPr>
                  </m:sSubSupPr>
                  <m:e>
                    <m:r>
                      <w:rPr>
                        <w:rFonts w:ascii="Cambria Math" w:hAnsi="Cambria Math"/>
                        <w:szCs w:val="24"/>
                      </w:rPr>
                      <m:t>N</m:t>
                    </m:r>
                  </m:e>
                  <m:sub>
                    <m:r>
                      <w:rPr>
                        <w:rFonts w:ascii="Cambria Math" w:hAnsi="Cambria Math"/>
                        <w:szCs w:val="24"/>
                      </w:rPr>
                      <m:t>i</m:t>
                    </m:r>
                  </m:sub>
                  <m:sup>
                    <m:r>
                      <w:rPr>
                        <w:rFonts w:ascii="Cambria Math" w:hAnsi="Cambria Math"/>
                        <w:szCs w:val="24"/>
                      </w:rPr>
                      <m:t>'</m:t>
                    </m:r>
                  </m:sup>
                </m:sSubSup>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num>
                  <m:den>
                    <m:r>
                      <w:rPr>
                        <w:rFonts w:ascii="Cambria Math" w:hAnsi="Cambria Math"/>
                        <w:szCs w:val="24"/>
                      </w:rPr>
                      <m:t>FS</m:t>
                    </m:r>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num>
                  <m:den>
                    <m:r>
                      <w:rPr>
                        <w:rFonts w:ascii="Cambria Math" w:hAnsi="Cambria Math"/>
                        <w:szCs w:val="24"/>
                      </w:rPr>
                      <m:t>FS</m:t>
                    </m:r>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num>
                  <m:den>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den>
                </m:f>
                <m:r>
                  <w:rPr>
                    <w:rFonts w:ascii="Cambria Math" w:hAnsi="Cambria Math"/>
                    <w:szCs w:val="24"/>
                  </w:rPr>
                  <m:t>-</m:t>
                </m:r>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h</m:t>
                        </m:r>
                      </m:sub>
                    </m:sSub>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δ</m:t>
                                            </m:r>
                                          </m:e>
                                          <m:sub>
                                            <m:r>
                                              <w:rPr>
                                                <w:rFonts w:ascii="Cambria Math" w:hAnsi="Cambria Math"/>
                                                <w:szCs w:val="24"/>
                                              </w:rPr>
                                              <m:t>i+1</m:t>
                                            </m:r>
                                          </m:sub>
                                        </m:sSub>
                                      </m:e>
                                    </m:d>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δ</m:t>
                                                </m:r>
                                              </m:e>
                                              <m:sub>
                                                <m:r>
                                                  <w:rPr>
                                                    <w:rFonts w:ascii="Cambria Math" w:hAnsi="Cambria Math"/>
                                                    <w:szCs w:val="24"/>
                                                  </w:rPr>
                                                  <m:t>i</m:t>
                                                </m:r>
                                              </m:sub>
                                            </m:sSub>
                                          </m:e>
                                        </m:d>
                                        <m:r>
                                          <w:rPr>
                                            <w:rFonts w:ascii="Cambria Math" w:hAnsi="Cambria Math"/>
                                            <w:szCs w:val="24"/>
                                          </w:rPr>
                                          <m:t>=0</m:t>
                                        </m:r>
                                      </m:e>
                                    </m:func>
                                  </m:e>
                                </m:func>
                              </m:e>
                            </m:func>
                          </m:e>
                        </m:func>
                      </m:e>
                    </m:func>
                  </m:e>
                </m:func>
              </m:oMath>
            </m:oMathPara>
          </w:p>
        </w:tc>
        <w:tc>
          <w:tcPr>
            <w:tcW w:w="636" w:type="dxa"/>
          </w:tcPr>
          <w:p w14:paraId="45FCB453" w14:textId="4CBCCE83" w:rsidR="00051297" w:rsidRPr="00051297" w:rsidRDefault="00051297" w:rsidP="00051297">
            <w:pPr>
              <w:spacing w:after="160"/>
            </w:pPr>
            <w:bookmarkStart w:id="310" w:name="_Ref103556471"/>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22</w:t>
            </w:r>
            <w:r w:rsidRPr="00051297">
              <w:rPr>
                <w:szCs w:val="24"/>
                <w:lang w:val="en-US"/>
              </w:rPr>
              <w:fldChar w:fldCharType="end"/>
            </w:r>
            <w:r w:rsidRPr="00051297">
              <w:rPr>
                <w:szCs w:val="24"/>
                <w:lang w:val="en-US"/>
              </w:rPr>
              <w:t>)</w:t>
            </w:r>
            <w:bookmarkEnd w:id="310"/>
          </w:p>
        </w:tc>
      </w:tr>
    </w:tbl>
    <w:p w14:paraId="02F90CCC" w14:textId="77777777" w:rsidR="00051297" w:rsidRPr="00051297" w:rsidRDefault="00051297" w:rsidP="00051297">
      <w:pPr>
        <w:rPr>
          <w:rFonts w:cs="Times New Roman"/>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051297" w14:paraId="76FFF85C" w14:textId="77777777" w:rsidTr="00D20B01">
        <w:tc>
          <w:tcPr>
            <w:tcW w:w="257" w:type="dxa"/>
          </w:tcPr>
          <w:p w14:paraId="276C9A65" w14:textId="77777777" w:rsidR="00051297" w:rsidRPr="00051297" w:rsidRDefault="00051297" w:rsidP="00051297">
            <w:pPr>
              <w:spacing w:after="160"/>
              <w:rPr>
                <w:szCs w:val="24"/>
              </w:rPr>
            </w:pPr>
          </w:p>
        </w:tc>
        <w:tc>
          <w:tcPr>
            <w:tcW w:w="7592" w:type="dxa"/>
          </w:tcPr>
          <w:p w14:paraId="0C6BD596"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δ</m:t>
                        </m:r>
                      </m:e>
                      <m:sub>
                        <m:r>
                          <w:rPr>
                            <w:rFonts w:ascii="Cambria Math" w:hAnsi="Cambria Math"/>
                            <w:szCs w:val="24"/>
                          </w:rPr>
                          <m:t>i+1</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i+1</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num>
                          <m:den>
                            <m:r>
                              <w:rPr>
                                <w:rFonts w:ascii="Cambria Math" w:hAnsi="Cambria Math"/>
                                <w:szCs w:val="24"/>
                              </w:rPr>
                              <m:t>2</m:t>
                            </m:r>
                          </m:den>
                        </m:f>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e>
                    </m:d>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δ</m:t>
                            </m:r>
                          </m:e>
                          <m:sub>
                            <m:r>
                              <w:rPr>
                                <w:rFonts w:ascii="Cambria Math" w:hAnsi="Cambria Math"/>
                                <w:szCs w:val="24"/>
                              </w:rPr>
                              <m:t>i+1</m:t>
                            </m:r>
                          </m:sub>
                        </m:sSub>
                      </m:e>
                    </m:func>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num>
                      <m:den>
                        <m:r>
                          <w:rPr>
                            <w:rFonts w:ascii="Cambria Math" w:hAnsi="Cambria Math"/>
                            <w:szCs w:val="24"/>
                          </w:rPr>
                          <m:t>2</m:t>
                        </m:r>
                      </m:den>
                    </m:f>
                  </m:e>
                </m:func>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δ</m:t>
                        </m:r>
                      </m:e>
                      <m:sub>
                        <m:r>
                          <w:rPr>
                            <w:rFonts w:ascii="Cambria Math" w:hAnsi="Cambria Math"/>
                            <w:szCs w:val="24"/>
                          </w:rPr>
                          <m:t>i</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i</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num>
                          <m:den>
                            <m:r>
                              <w:rPr>
                                <w:rFonts w:ascii="Cambria Math" w:hAnsi="Cambria Math"/>
                                <w:szCs w:val="24"/>
                              </w:rPr>
                              <m:t>2</m:t>
                            </m:r>
                          </m:den>
                        </m:f>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e>
                    </m:d>
                  </m:e>
                </m:func>
                <m:r>
                  <w:rPr>
                    <w:rFonts w:ascii="Cambria Math" w:hAnsi="Cambria Math"/>
                    <w:szCs w:val="24"/>
                  </w:rPr>
                  <m:t>+</m:t>
                </m:r>
                <m:sSub>
                  <m:sSubPr>
                    <m:ctrlPr>
                      <w:rPr>
                        <w:rFonts w:ascii="Cambria Math" w:hAnsi="Cambria Math"/>
                        <w:i/>
                        <w:szCs w:val="24"/>
                      </w:rPr>
                    </m:ctrlPr>
                  </m:sSubPr>
                  <m:e>
                    <m:r>
                      <w:rPr>
                        <w:rFonts w:ascii="Cambria Math" w:hAnsi="Cambria Math"/>
                        <w:szCs w:val="24"/>
                      </w:rPr>
                      <m:t>M1</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h</m:t>
                    </m:r>
                  </m:sub>
                </m:sSub>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M</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gi</m:t>
                        </m:r>
                      </m:sub>
                    </m:sSub>
                  </m:e>
                </m:d>
                <m:r>
                  <w:rPr>
                    <w:rFonts w:ascii="Cambria Math" w:hAnsi="Cambria Math"/>
                    <w:szCs w:val="24"/>
                  </w:rPr>
                  <m:t>=0</m:t>
                </m:r>
              </m:oMath>
            </m:oMathPara>
          </w:p>
        </w:tc>
        <w:tc>
          <w:tcPr>
            <w:tcW w:w="1505" w:type="dxa"/>
          </w:tcPr>
          <w:p w14:paraId="1FED8B26" w14:textId="00685442" w:rsidR="00051297" w:rsidRPr="00051297" w:rsidRDefault="00051297" w:rsidP="00051297">
            <w:pPr>
              <w:spacing w:after="160"/>
            </w:pPr>
            <w:bookmarkStart w:id="311" w:name="_Ref103556424"/>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23</w:t>
            </w:r>
            <w:r w:rsidRPr="00051297">
              <w:rPr>
                <w:szCs w:val="24"/>
                <w:lang w:val="en-US"/>
              </w:rPr>
              <w:fldChar w:fldCharType="end"/>
            </w:r>
            <w:r w:rsidRPr="00051297">
              <w:rPr>
                <w:szCs w:val="24"/>
                <w:lang w:val="en-US"/>
              </w:rPr>
              <w:t>)</w:t>
            </w:r>
            <w:bookmarkEnd w:id="311"/>
          </w:p>
        </w:tc>
      </w:tr>
    </w:tbl>
    <w:p w14:paraId="54E7CD2B" w14:textId="1D1F1A3C"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 xml:space="preserve"> The total and effective values of the normal force acting on the slip surface are linked </w:t>
      </w:r>
      <w:r w:rsidRPr="00051297">
        <w:rPr>
          <w:rFonts w:cs="Times New Roman"/>
          <w:szCs w:val="24"/>
          <w:lang w:val="en-US"/>
        </w:rPr>
        <w:fldChar w:fldCharType="begin"/>
      </w:r>
      <w:r w:rsidRPr="00051297">
        <w:rPr>
          <w:rFonts w:cs="Times New Roman"/>
          <w:szCs w:val="24"/>
          <w:lang w:val="en-US"/>
        </w:rPr>
        <w:instrText xml:space="preserve"> REF _Ref103556407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19</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w:t>
      </w:r>
    </w:p>
    <w:p w14:paraId="5BB6CC40" w14:textId="24886D62"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On a particular section of the slip surface (N</w:t>
      </w:r>
      <w:r w:rsidRPr="00051297">
        <w:rPr>
          <w:rFonts w:cs="Times New Roman"/>
          <w:szCs w:val="24"/>
          <w:vertAlign w:val="subscript"/>
          <w:lang w:val="en-US"/>
        </w:rPr>
        <w:t>i</w:t>
      </w:r>
      <w:r w:rsidRPr="00051297">
        <w:rPr>
          <w:rFonts w:cs="Times New Roman"/>
          <w:szCs w:val="24"/>
          <w:lang w:val="en-US"/>
        </w:rPr>
        <w:t>, T</w:t>
      </w:r>
      <w:r w:rsidRPr="00051297">
        <w:rPr>
          <w:rFonts w:cs="Times New Roman"/>
          <w:szCs w:val="24"/>
          <w:vertAlign w:val="subscript"/>
          <w:lang w:val="en-US"/>
        </w:rPr>
        <w:t>i</w:t>
      </w:r>
      <w:r w:rsidRPr="00051297">
        <w:rPr>
          <w:rFonts w:cs="Times New Roman"/>
          <w:szCs w:val="24"/>
          <w:lang w:val="en-US"/>
        </w:rPr>
        <w:t>), the Mohr-Coulomb condition represents the relationship between normal and shear forces (</w:t>
      </w:r>
      <w:r w:rsidRPr="00051297">
        <w:rPr>
          <w:rFonts w:cs="Times New Roman"/>
          <w:szCs w:val="24"/>
          <w:lang w:val="en-US"/>
        </w:rPr>
        <w:fldChar w:fldCharType="begin"/>
      </w:r>
      <w:r w:rsidRPr="00051297">
        <w:rPr>
          <w:rFonts w:cs="Times New Roman"/>
          <w:szCs w:val="24"/>
          <w:lang w:val="en-US"/>
        </w:rPr>
        <w:instrText xml:space="preserve"> REF _Ref103556457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20</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w:t>
      </w:r>
    </w:p>
    <w:p w14:paraId="0EC6A718" w14:textId="74E7998D"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Equilibrium force equation in the direction normal to the i</w:t>
      </w:r>
      <w:r w:rsidRPr="00051297">
        <w:rPr>
          <w:rFonts w:cs="Times New Roman"/>
          <w:szCs w:val="24"/>
          <w:vertAlign w:val="superscript"/>
          <w:lang w:val="en-US"/>
        </w:rPr>
        <w:t>th</w:t>
      </w:r>
      <w:r w:rsidRPr="00051297">
        <w:rPr>
          <w:rFonts w:cs="Times New Roman"/>
          <w:szCs w:val="24"/>
          <w:lang w:val="en-US"/>
        </w:rPr>
        <w:t xml:space="preserve"> slip surface segment (</w:t>
      </w:r>
      <w:r w:rsidRPr="00051297">
        <w:rPr>
          <w:rFonts w:cs="Times New Roman"/>
          <w:szCs w:val="24"/>
          <w:lang w:val="en-US"/>
        </w:rPr>
        <w:fldChar w:fldCharType="begin"/>
      </w:r>
      <w:r w:rsidRPr="00051297">
        <w:rPr>
          <w:rFonts w:cs="Times New Roman"/>
          <w:szCs w:val="24"/>
          <w:lang w:val="en-US"/>
        </w:rPr>
        <w:instrText xml:space="preserve"> REF _Ref103556463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21</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w:t>
      </w:r>
    </w:p>
    <w:p w14:paraId="7604F026" w14:textId="33B6663C"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Along the i</w:t>
      </w:r>
      <w:r w:rsidRPr="00051297">
        <w:rPr>
          <w:rFonts w:cs="Times New Roman"/>
          <w:szCs w:val="24"/>
          <w:vertAlign w:val="superscript"/>
          <w:lang w:val="en-US"/>
        </w:rPr>
        <w:t>th</w:t>
      </w:r>
      <w:r w:rsidRPr="00051297">
        <w:rPr>
          <w:rFonts w:cs="Times New Roman"/>
          <w:szCs w:val="24"/>
          <w:lang w:val="en-US"/>
        </w:rPr>
        <w:t xml:space="preserve"> section of the slip surface, the force equation of equilibrium is (</w:t>
      </w:r>
      <w:r w:rsidRPr="00051297">
        <w:rPr>
          <w:rFonts w:cs="Times New Roman"/>
          <w:szCs w:val="24"/>
          <w:lang w:val="en-US"/>
        </w:rPr>
        <w:fldChar w:fldCharType="begin"/>
      </w:r>
      <w:r w:rsidRPr="00051297">
        <w:rPr>
          <w:rFonts w:cs="Times New Roman"/>
          <w:szCs w:val="24"/>
          <w:lang w:val="en-US"/>
        </w:rPr>
        <w:instrText xml:space="preserve"> REF _Ref103556471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22</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w:t>
      </w:r>
    </w:p>
    <w:p w14:paraId="367DD6FE"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Moment equation of equilibrium about point M as presented in Equation 2.23.</w:t>
      </w:r>
    </w:p>
    <w:p w14:paraId="14ADAB6A" w14:textId="7BB967FA" w:rsidR="00051297" w:rsidRPr="00051297" w:rsidRDefault="00051297" w:rsidP="00051297">
      <w:pPr>
        <w:rPr>
          <w:rFonts w:cs="Times New Roman"/>
          <w:szCs w:val="24"/>
          <w:lang w:val="en-US"/>
        </w:rPr>
      </w:pPr>
      <w:r w:rsidRPr="00051297">
        <w:rPr>
          <w:rFonts w:cs="Times New Roman"/>
          <w:szCs w:val="24"/>
          <w:lang w:val="en-US"/>
        </w:rPr>
        <w:t>The following recursive formula (</w:t>
      </w:r>
      <w:r w:rsidRPr="00051297">
        <w:rPr>
          <w:rFonts w:cs="Times New Roman"/>
          <w:szCs w:val="24"/>
          <w:lang w:val="en-US"/>
        </w:rPr>
        <w:fldChar w:fldCharType="begin"/>
      </w:r>
      <w:r w:rsidRPr="00051297">
        <w:rPr>
          <w:rFonts w:cs="Times New Roman"/>
          <w:szCs w:val="24"/>
          <w:lang w:val="en-US"/>
        </w:rPr>
        <w:instrText xml:space="preserve"> REF _Ref103556478 \h </w:instrText>
      </w:r>
      <w:r w:rsidRPr="00051297">
        <w:rPr>
          <w:rFonts w:cs="Times New Roman"/>
          <w:szCs w:val="24"/>
          <w:lang w:val="en-US"/>
        </w:rPr>
      </w:r>
      <w:r w:rsidRPr="00051297">
        <w:rPr>
          <w:rFonts w:cs="Times New Roman"/>
          <w:szCs w:val="24"/>
          <w:lang w:val="en-US"/>
        </w:rPr>
        <w:fldChar w:fldCharType="separate"/>
      </w:r>
      <w:r w:rsidR="004870F1" w:rsidRPr="00051297">
        <w:rPr>
          <w:sz w:val="20"/>
          <w:szCs w:val="20"/>
          <w:lang w:val="en-US"/>
        </w:rPr>
        <w:t>(</w:t>
      </w:r>
      <w:r w:rsidR="004870F1">
        <w:rPr>
          <w:noProof/>
          <w:sz w:val="20"/>
          <w:szCs w:val="20"/>
          <w:lang w:val="en-US"/>
        </w:rPr>
        <w:t>1</w:t>
      </w:r>
      <w:r w:rsidR="004870F1" w:rsidRPr="00051297">
        <w:rPr>
          <w:sz w:val="20"/>
          <w:szCs w:val="20"/>
          <w:lang w:val="en-US"/>
        </w:rPr>
        <w:t>.</w:t>
      </w:r>
      <w:r w:rsidR="004870F1">
        <w:rPr>
          <w:noProof/>
          <w:sz w:val="20"/>
          <w:szCs w:val="20"/>
          <w:lang w:val="en-US"/>
        </w:rPr>
        <w:t>24</w:t>
      </w:r>
      <w:r w:rsidR="004870F1" w:rsidRPr="00051297">
        <w:rPr>
          <w:sz w:val="20"/>
          <w:szCs w:val="20"/>
          <w:lang w:val="en-US"/>
        </w:rPr>
        <w:t>)</w:t>
      </w:r>
      <w:r w:rsidRPr="00051297">
        <w:rPr>
          <w:rFonts w:cs="Times New Roman"/>
          <w:szCs w:val="24"/>
          <w:lang w:val="en-US"/>
        </w:rPr>
        <w:fldChar w:fldCharType="end"/>
      </w:r>
      <w:r w:rsidRPr="00051297">
        <w:rPr>
          <w:rFonts w:cs="Times New Roman"/>
          <w:szCs w:val="24"/>
          <w:lang w:val="en-US"/>
        </w:rPr>
        <w:t>) is obtained by modifying force equations (</w:t>
      </w:r>
      <w:r w:rsidRPr="00051297">
        <w:rPr>
          <w:rFonts w:cs="Times New Roman"/>
          <w:szCs w:val="24"/>
          <w:lang w:val="en-US"/>
        </w:rPr>
        <w:fldChar w:fldCharType="begin"/>
      </w:r>
      <w:r w:rsidRPr="00051297">
        <w:rPr>
          <w:rFonts w:cs="Times New Roman"/>
          <w:szCs w:val="24"/>
          <w:lang w:val="en-US"/>
        </w:rPr>
        <w:instrText xml:space="preserve"> REF _Ref103556463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21</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and (</w:t>
      </w:r>
      <w:r w:rsidRPr="00051297">
        <w:rPr>
          <w:rFonts w:cs="Times New Roman"/>
          <w:szCs w:val="24"/>
          <w:lang w:val="en-US"/>
        </w:rPr>
        <w:fldChar w:fldCharType="begin"/>
      </w:r>
      <w:r w:rsidRPr="00051297">
        <w:rPr>
          <w:rFonts w:cs="Times New Roman"/>
          <w:szCs w:val="24"/>
          <w:lang w:val="en-US"/>
        </w:rPr>
        <w:instrText xml:space="preserve"> REF _Ref103556471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22</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
        <w:gridCol w:w="7712"/>
        <w:gridCol w:w="1409"/>
      </w:tblGrid>
      <w:tr w:rsidR="00051297" w:rsidRPr="00051297" w14:paraId="1BDF63BD" w14:textId="77777777" w:rsidTr="00D20B01">
        <w:tc>
          <w:tcPr>
            <w:tcW w:w="265" w:type="dxa"/>
          </w:tcPr>
          <w:p w14:paraId="6595AC84" w14:textId="77777777" w:rsidR="00051297" w:rsidRPr="00051297" w:rsidRDefault="00051297" w:rsidP="00051297">
            <w:pPr>
              <w:spacing w:after="160"/>
              <w:rPr>
                <w:sz w:val="20"/>
                <w:szCs w:val="20"/>
                <w:lang w:val="en-US"/>
              </w:rPr>
            </w:pPr>
          </w:p>
        </w:tc>
        <w:tc>
          <w:tcPr>
            <w:tcW w:w="8820" w:type="dxa"/>
          </w:tcPr>
          <w:p w14:paraId="3A0827D5" w14:textId="77777777" w:rsidR="00051297" w:rsidRPr="00051297" w:rsidRDefault="00536556" w:rsidP="00051297">
            <w:pPr>
              <w:spacing w:after="160"/>
              <w:rPr>
                <w:sz w:val="18"/>
                <w:szCs w:val="18"/>
              </w:rPr>
            </w:pPr>
            <m:oMathPara>
              <m:oMath>
                <m:sSub>
                  <m:sSubPr>
                    <m:ctrlPr>
                      <w:rPr>
                        <w:rFonts w:ascii="Cambria Math" w:hAnsi="Cambria Math"/>
                        <w:i/>
                        <w:sz w:val="18"/>
                        <w:szCs w:val="18"/>
                      </w:rPr>
                    </m:ctrlPr>
                  </m:sSubPr>
                  <m:e>
                    <m:r>
                      <w:rPr>
                        <w:rFonts w:ascii="Cambria Math" w:hAnsi="Cambria Math"/>
                        <w:sz w:val="18"/>
                        <w:szCs w:val="18"/>
                      </w:rPr>
                      <m:t>E</m:t>
                    </m:r>
                  </m:e>
                  <m:sub>
                    <m:r>
                      <w:rPr>
                        <w:rFonts w:ascii="Cambria Math" w:hAnsi="Cambria Math"/>
                        <w:sz w:val="18"/>
                        <w:szCs w:val="18"/>
                      </w:rPr>
                      <m:t>i+1</m:t>
                    </m:r>
                  </m:sub>
                </m:sSub>
                <m:r>
                  <w:rPr>
                    <w:rFonts w:ascii="Cambria Math" w:hAnsi="Cambria Math"/>
                    <w:sz w:val="18"/>
                    <w:szCs w:val="18"/>
                  </w:rPr>
                  <m:t>=</m:t>
                </m:r>
                <m:f>
                  <m:fPr>
                    <m:ctrlPr>
                      <w:rPr>
                        <w:rFonts w:ascii="Cambria Math" w:hAnsi="Cambria Math"/>
                        <w:i/>
                        <w:sz w:val="18"/>
                        <w:szCs w:val="18"/>
                      </w:rPr>
                    </m:ctrlPr>
                  </m:fPr>
                  <m:num>
                    <m:d>
                      <m:dPr>
                        <m:begChr m:val="["/>
                        <m:endChr m:val="]"/>
                        <m:ctrlPr>
                          <w:rPr>
                            <w:rFonts w:ascii="Cambria Math" w:hAnsi="Cambria Math"/>
                            <w:i/>
                            <w:sz w:val="18"/>
                            <w:szCs w:val="18"/>
                          </w:rPr>
                        </m:ctrlPr>
                      </m:dPr>
                      <m:e>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W</m:t>
                                </m:r>
                              </m:e>
                              <m:sub>
                                <m:r>
                                  <w:rPr>
                                    <w:rFonts w:ascii="Cambria Math" w:hAnsi="Cambria Math"/>
                                    <w:sz w:val="18"/>
                                    <w:szCs w:val="18"/>
                                  </w:rPr>
                                  <m:t>i</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Fy</m:t>
                                </m:r>
                              </m:e>
                              <m:sub>
                                <m:r>
                                  <w:rPr>
                                    <w:rFonts w:ascii="Cambria Math" w:hAnsi="Cambria Math"/>
                                    <w:sz w:val="18"/>
                                    <w:szCs w:val="18"/>
                                  </w:rPr>
                                  <m:t>i</m:t>
                                </m:r>
                              </m:sub>
                            </m:sSub>
                          </m:e>
                        </m:d>
                        <m:r>
                          <w:rPr>
                            <w:rFonts w:ascii="Cambria Math" w:hAnsi="Cambria Math"/>
                            <w:sz w:val="18"/>
                            <w:szCs w:val="18"/>
                          </w:rPr>
                          <m:t>×</m:t>
                        </m:r>
                        <m:func>
                          <m:funcPr>
                            <m:ctrlPr>
                              <w:rPr>
                                <w:rFonts w:ascii="Cambria Math" w:hAnsi="Cambria Math"/>
                                <w:i/>
                                <w:sz w:val="18"/>
                                <w:szCs w:val="18"/>
                              </w:rPr>
                            </m:ctrlPr>
                          </m:funcPr>
                          <m:fName>
                            <m:r>
                              <m:rPr>
                                <m:sty m:val="p"/>
                              </m:rPr>
                              <w:rPr>
                                <w:rFonts w:ascii="Cambria Math" w:hAnsi="Cambria Math"/>
                                <w:sz w:val="18"/>
                                <w:szCs w:val="18"/>
                              </w:rPr>
                              <m:t>cos</m:t>
                            </m:r>
                          </m:fName>
                          <m:e>
                            <m:sSub>
                              <m:sSubPr>
                                <m:ctrlPr>
                                  <w:rPr>
                                    <w:rFonts w:ascii="Cambria Math" w:hAnsi="Cambria Math"/>
                                    <w:i/>
                                    <w:sz w:val="18"/>
                                    <w:szCs w:val="18"/>
                                  </w:rPr>
                                </m:ctrlPr>
                              </m:sSubPr>
                              <m:e>
                                <m:r>
                                  <w:rPr>
                                    <w:rFonts w:ascii="Cambria Math" w:hAnsi="Cambria Math"/>
                                    <w:sz w:val="18"/>
                                    <w:szCs w:val="18"/>
                                  </w:rPr>
                                  <m:t>α</m:t>
                                </m:r>
                              </m:e>
                              <m:sub>
                                <m:r>
                                  <w:rPr>
                                    <w:rFonts w:ascii="Cambria Math" w:hAnsi="Cambria Math"/>
                                    <w:sz w:val="18"/>
                                    <w:szCs w:val="18"/>
                                  </w:rPr>
                                  <m:t>i</m:t>
                                </m:r>
                              </m:sub>
                            </m:sSub>
                            <m:r>
                              <w:rPr>
                                <w:rFonts w:ascii="Cambria Math" w:hAnsi="Cambria Math"/>
                                <w:sz w:val="18"/>
                                <w:szCs w:val="18"/>
                              </w:rPr>
                              <m:t>-</m:t>
                            </m:r>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K</m:t>
                                    </m:r>
                                  </m:e>
                                  <m:sub>
                                    <m:r>
                                      <w:rPr>
                                        <w:rFonts w:ascii="Cambria Math" w:hAnsi="Cambria Math"/>
                                        <w:sz w:val="18"/>
                                        <w:szCs w:val="18"/>
                                      </w:rPr>
                                      <m:t>h</m:t>
                                    </m:r>
                                  </m:sub>
                                </m:sSub>
                                <m:sSub>
                                  <m:sSubPr>
                                    <m:ctrlPr>
                                      <w:rPr>
                                        <w:rFonts w:ascii="Cambria Math" w:hAnsi="Cambria Math"/>
                                        <w:i/>
                                        <w:sz w:val="18"/>
                                        <w:szCs w:val="18"/>
                                      </w:rPr>
                                    </m:ctrlPr>
                                  </m:sSubPr>
                                  <m:e>
                                    <m:r>
                                      <w:rPr>
                                        <w:rFonts w:ascii="Cambria Math" w:hAnsi="Cambria Math"/>
                                        <w:sz w:val="18"/>
                                        <w:szCs w:val="18"/>
                                      </w:rPr>
                                      <m:t>W</m:t>
                                    </m:r>
                                  </m:e>
                                  <m:sub>
                                    <m:r>
                                      <w:rPr>
                                        <w:rFonts w:ascii="Cambria Math" w:hAnsi="Cambria Math"/>
                                        <w:sz w:val="18"/>
                                        <w:szCs w:val="18"/>
                                      </w:rPr>
                                      <m:t>i</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Fx</m:t>
                                    </m:r>
                                  </m:e>
                                  <m:sub>
                                    <m:r>
                                      <w:rPr>
                                        <w:rFonts w:ascii="Cambria Math" w:hAnsi="Cambria Math"/>
                                        <w:sz w:val="18"/>
                                        <w:szCs w:val="18"/>
                                      </w:rPr>
                                      <m:t>i</m:t>
                                    </m:r>
                                  </m:sub>
                                </m:sSub>
                              </m:e>
                            </m:d>
                          </m:e>
                        </m:func>
                        <m:func>
                          <m:funcPr>
                            <m:ctrlPr>
                              <w:rPr>
                                <w:rFonts w:ascii="Cambria Math" w:hAnsi="Cambria Math"/>
                                <w:i/>
                                <w:sz w:val="18"/>
                                <w:szCs w:val="18"/>
                              </w:rPr>
                            </m:ctrlPr>
                          </m:funcPr>
                          <m:fName>
                            <m:r>
                              <m:rPr>
                                <m:sty m:val="p"/>
                              </m:rPr>
                              <w:rPr>
                                <w:rFonts w:ascii="Cambria Math" w:hAnsi="Cambria Math"/>
                                <w:sz w:val="18"/>
                                <w:szCs w:val="18"/>
                              </w:rPr>
                              <m:t>sin</m:t>
                            </m:r>
                          </m:fName>
                          <m:e>
                            <m:sSub>
                              <m:sSubPr>
                                <m:ctrlPr>
                                  <w:rPr>
                                    <w:rFonts w:ascii="Cambria Math" w:hAnsi="Cambria Math"/>
                                    <w:i/>
                                    <w:sz w:val="18"/>
                                    <w:szCs w:val="18"/>
                                  </w:rPr>
                                </m:ctrlPr>
                              </m:sSubPr>
                              <m:e>
                                <m:r>
                                  <w:rPr>
                                    <w:rFonts w:ascii="Cambria Math" w:hAnsi="Cambria Math"/>
                                    <w:sz w:val="18"/>
                                    <w:szCs w:val="18"/>
                                  </w:rPr>
                                  <m:t>α</m:t>
                                </m:r>
                              </m:e>
                              <m:sub>
                                <m:r>
                                  <w:rPr>
                                    <w:rFonts w:ascii="Cambria Math" w:hAnsi="Cambria Math"/>
                                    <w:sz w:val="18"/>
                                    <w:szCs w:val="18"/>
                                  </w:rPr>
                                  <m:t>i</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U</m:t>
                                </m:r>
                              </m:e>
                              <m:sub>
                                <m:r>
                                  <w:rPr>
                                    <w:rFonts w:ascii="Cambria Math" w:hAnsi="Cambria Math"/>
                                    <w:sz w:val="18"/>
                                    <w:szCs w:val="18"/>
                                  </w:rPr>
                                  <m:t>i</m:t>
                                </m:r>
                              </m:sub>
                            </m:sSub>
                          </m:e>
                        </m:func>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E</m:t>
                            </m:r>
                          </m:e>
                          <m:sub>
                            <m:r>
                              <w:rPr>
                                <w:rFonts w:ascii="Cambria Math" w:hAnsi="Cambria Math"/>
                                <w:sz w:val="18"/>
                                <w:szCs w:val="18"/>
                              </w:rPr>
                              <m:t>i</m:t>
                            </m:r>
                          </m:sub>
                        </m:sSub>
                        <m:func>
                          <m:funcPr>
                            <m:ctrlPr>
                              <w:rPr>
                                <w:rFonts w:ascii="Cambria Math" w:hAnsi="Cambria Math"/>
                                <w:i/>
                                <w:sz w:val="18"/>
                                <w:szCs w:val="18"/>
                              </w:rPr>
                            </m:ctrlPr>
                          </m:funcPr>
                          <m:fName>
                            <m:r>
                              <m:rPr>
                                <m:sty m:val="p"/>
                              </m:rPr>
                              <w:rPr>
                                <w:rFonts w:ascii="Cambria Math" w:hAnsi="Cambria Math"/>
                                <w:sz w:val="18"/>
                                <w:szCs w:val="18"/>
                              </w:rPr>
                              <m:t>sin</m:t>
                            </m:r>
                          </m:fName>
                          <m:e>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α</m:t>
                                </m:r>
                              </m:e>
                              <m:sub>
                                <m:r>
                                  <w:rPr>
                                    <w:rFonts w:ascii="Cambria Math" w:hAnsi="Cambria Math"/>
                                    <w:sz w:val="18"/>
                                    <w:szCs w:val="18"/>
                                  </w:rPr>
                                  <m:t>i</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δ</m:t>
                                </m:r>
                              </m:e>
                              <m:sub>
                                <m:r>
                                  <w:rPr>
                                    <w:rFonts w:ascii="Cambria Math" w:hAnsi="Cambria Math"/>
                                    <w:sz w:val="18"/>
                                    <w:szCs w:val="18"/>
                                  </w:rPr>
                                  <m:t>i</m:t>
                                </m:r>
                              </m:sub>
                            </m:sSub>
                            <m:r>
                              <w:rPr>
                                <w:rFonts w:ascii="Cambria Math" w:hAnsi="Cambria Math"/>
                                <w:sz w:val="18"/>
                                <w:szCs w:val="18"/>
                              </w:rPr>
                              <m:t>)</m:t>
                            </m:r>
                          </m:e>
                        </m:func>
                      </m:e>
                    </m:d>
                    <m:r>
                      <w:rPr>
                        <w:rFonts w:ascii="Cambria Math" w:hAnsi="Cambria Math"/>
                        <w:sz w:val="18"/>
                        <w:szCs w:val="18"/>
                      </w:rPr>
                      <m:t>×</m:t>
                    </m:r>
                    <m:f>
                      <m:fPr>
                        <m:ctrlPr>
                          <w:rPr>
                            <w:rFonts w:ascii="Cambria Math" w:hAnsi="Cambria Math"/>
                            <w:i/>
                            <w:sz w:val="18"/>
                            <w:szCs w:val="18"/>
                          </w:rPr>
                        </m:ctrlPr>
                      </m:fPr>
                      <m:num>
                        <m:func>
                          <m:funcPr>
                            <m:ctrlPr>
                              <w:rPr>
                                <w:rFonts w:ascii="Cambria Math" w:hAnsi="Cambria Math"/>
                                <w:i/>
                                <w:sz w:val="18"/>
                                <w:szCs w:val="18"/>
                              </w:rPr>
                            </m:ctrlPr>
                          </m:funcPr>
                          <m:fName>
                            <m:r>
                              <m:rPr>
                                <m:sty m:val="p"/>
                              </m:rPr>
                              <w:rPr>
                                <w:rFonts w:ascii="Cambria Math" w:hAnsi="Cambria Math"/>
                                <w:sz w:val="18"/>
                                <w:szCs w:val="18"/>
                              </w:rPr>
                              <m:t>tan</m:t>
                            </m:r>
                          </m:fName>
                          <m:e>
                            <m:sSub>
                              <m:sSubPr>
                                <m:ctrlPr>
                                  <w:rPr>
                                    <w:rFonts w:ascii="Cambria Math" w:hAnsi="Cambria Math"/>
                                    <w:i/>
                                    <w:sz w:val="18"/>
                                    <w:szCs w:val="18"/>
                                  </w:rPr>
                                </m:ctrlPr>
                              </m:sSubPr>
                              <m:e>
                                <m:r>
                                  <w:rPr>
                                    <w:rFonts w:ascii="Cambria Math" w:hAnsi="Cambria Math"/>
                                    <w:sz w:val="18"/>
                                    <w:szCs w:val="18"/>
                                  </w:rPr>
                                  <m:t>φ</m:t>
                                </m:r>
                              </m:e>
                              <m:sub>
                                <m:r>
                                  <w:rPr>
                                    <w:rFonts w:ascii="Cambria Math" w:hAnsi="Cambria Math"/>
                                    <w:sz w:val="18"/>
                                    <w:szCs w:val="18"/>
                                  </w:rPr>
                                  <m:t>i</m:t>
                                </m:r>
                              </m:sub>
                            </m:sSub>
                          </m:e>
                        </m:func>
                      </m:num>
                      <m:den>
                        <m:r>
                          <w:rPr>
                            <w:rFonts w:ascii="Cambria Math" w:hAnsi="Cambria Math"/>
                            <w:sz w:val="18"/>
                            <w:szCs w:val="18"/>
                          </w:rPr>
                          <m:t>FS</m:t>
                        </m:r>
                      </m:den>
                    </m:f>
                    <m:r>
                      <w:rPr>
                        <w:rFonts w:ascii="Cambria Math" w:hAnsi="Cambria Math"/>
                        <w:sz w:val="18"/>
                        <w:szCs w:val="18"/>
                      </w:rPr>
                      <m:t>+</m:t>
                    </m:r>
                    <m:f>
                      <m:fPr>
                        <m:ctrlPr>
                          <w:rPr>
                            <w:rFonts w:ascii="Cambria Math" w:hAnsi="Cambria Math"/>
                            <w:i/>
                            <w:sz w:val="18"/>
                            <w:szCs w:val="18"/>
                          </w:rPr>
                        </m:ctrlPr>
                      </m:fPr>
                      <m:num>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i</m:t>
                            </m:r>
                          </m:sub>
                        </m:sSub>
                      </m:num>
                      <m:den>
                        <m:r>
                          <w:rPr>
                            <w:rFonts w:ascii="Cambria Math" w:hAnsi="Cambria Math"/>
                            <w:sz w:val="18"/>
                            <w:szCs w:val="18"/>
                          </w:rPr>
                          <m:t>FS</m:t>
                        </m:r>
                      </m:den>
                    </m:f>
                    <m:r>
                      <w:rPr>
                        <w:rFonts w:ascii="Cambria Math" w:hAnsi="Cambria Math"/>
                        <w:sz w:val="18"/>
                        <w:szCs w:val="18"/>
                      </w:rPr>
                      <m:t>×</m:t>
                    </m:r>
                    <m:f>
                      <m:fPr>
                        <m:ctrlPr>
                          <w:rPr>
                            <w:rFonts w:ascii="Cambria Math" w:hAnsi="Cambria Math"/>
                            <w:i/>
                            <w:sz w:val="18"/>
                            <w:szCs w:val="18"/>
                          </w:rPr>
                        </m:ctrlPr>
                      </m:fPr>
                      <m:num>
                        <m:sSub>
                          <m:sSubPr>
                            <m:ctrlPr>
                              <w:rPr>
                                <w:rFonts w:ascii="Cambria Math" w:hAnsi="Cambria Math"/>
                                <w:i/>
                                <w:sz w:val="18"/>
                                <w:szCs w:val="18"/>
                              </w:rPr>
                            </m:ctrlPr>
                          </m:sSubPr>
                          <m:e>
                            <m:r>
                              <w:rPr>
                                <w:rFonts w:ascii="Cambria Math" w:hAnsi="Cambria Math"/>
                                <w:sz w:val="18"/>
                                <w:szCs w:val="18"/>
                              </w:rPr>
                              <m:t>b</m:t>
                            </m:r>
                          </m:e>
                          <m:sub>
                            <m:r>
                              <w:rPr>
                                <w:rFonts w:ascii="Cambria Math" w:hAnsi="Cambria Math"/>
                                <w:sz w:val="18"/>
                                <w:szCs w:val="18"/>
                              </w:rPr>
                              <m:t>i</m:t>
                            </m:r>
                          </m:sub>
                        </m:sSub>
                      </m:num>
                      <m:den>
                        <m:func>
                          <m:funcPr>
                            <m:ctrlPr>
                              <w:rPr>
                                <w:rFonts w:ascii="Cambria Math" w:hAnsi="Cambria Math"/>
                                <w:i/>
                                <w:sz w:val="18"/>
                                <w:szCs w:val="18"/>
                              </w:rPr>
                            </m:ctrlPr>
                          </m:funcPr>
                          <m:fName>
                            <m:r>
                              <m:rPr>
                                <m:sty m:val="p"/>
                              </m:rPr>
                              <w:rPr>
                                <w:rFonts w:ascii="Cambria Math" w:hAnsi="Cambria Math"/>
                                <w:sz w:val="18"/>
                                <w:szCs w:val="18"/>
                              </w:rPr>
                              <m:t>cos</m:t>
                            </m:r>
                          </m:fName>
                          <m:e>
                            <m:sSub>
                              <m:sSubPr>
                                <m:ctrlPr>
                                  <w:rPr>
                                    <w:rFonts w:ascii="Cambria Math" w:hAnsi="Cambria Math"/>
                                    <w:i/>
                                    <w:sz w:val="18"/>
                                    <w:szCs w:val="18"/>
                                  </w:rPr>
                                </m:ctrlPr>
                              </m:sSubPr>
                              <m:e>
                                <m:r>
                                  <w:rPr>
                                    <w:rFonts w:ascii="Cambria Math" w:hAnsi="Cambria Math"/>
                                    <w:sz w:val="18"/>
                                    <w:szCs w:val="18"/>
                                  </w:rPr>
                                  <m:t>α</m:t>
                                </m:r>
                              </m:e>
                              <m:sub>
                                <m:r>
                                  <w:rPr>
                                    <w:rFonts w:ascii="Cambria Math" w:hAnsi="Cambria Math"/>
                                    <w:sz w:val="18"/>
                                    <w:szCs w:val="18"/>
                                  </w:rPr>
                                  <m:t>i</m:t>
                                </m:r>
                              </m:sub>
                            </m:sSub>
                          </m:e>
                        </m:func>
                      </m:den>
                    </m:f>
                    <m:r>
                      <w:rPr>
                        <w:rFonts w:ascii="Cambria Math" w:hAnsi="Cambria Math"/>
                        <w:sz w:val="18"/>
                        <w:szCs w:val="18"/>
                      </w:rPr>
                      <m:t>-</m:t>
                    </m:r>
                  </m:num>
                  <m:den>
                    <m:func>
                      <m:funcPr>
                        <m:ctrlPr>
                          <w:rPr>
                            <w:rFonts w:ascii="Cambria Math" w:hAnsi="Cambria Math"/>
                            <w:i/>
                            <w:sz w:val="18"/>
                            <w:szCs w:val="18"/>
                          </w:rPr>
                        </m:ctrlPr>
                      </m:funcPr>
                      <m:fName>
                        <m:r>
                          <m:rPr>
                            <m:sty m:val="p"/>
                          </m:rPr>
                          <w:rPr>
                            <w:rFonts w:ascii="Cambria Math" w:hAnsi="Cambria Math"/>
                            <w:sz w:val="18"/>
                            <w:szCs w:val="18"/>
                          </w:rPr>
                          <m:t>sin</m:t>
                        </m:r>
                      </m:fName>
                      <m:e>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α</m:t>
                                </m:r>
                              </m:e>
                              <m:sub>
                                <m:r>
                                  <w:rPr>
                                    <w:rFonts w:ascii="Cambria Math" w:hAnsi="Cambria Math"/>
                                    <w:sz w:val="18"/>
                                    <w:szCs w:val="18"/>
                                  </w:rPr>
                                  <m:t>i</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δ</m:t>
                                </m:r>
                              </m:e>
                              <m:sub>
                                <m:r>
                                  <w:rPr>
                                    <w:rFonts w:ascii="Cambria Math" w:hAnsi="Cambria Math"/>
                                    <w:sz w:val="18"/>
                                    <w:szCs w:val="18"/>
                                  </w:rPr>
                                  <m:t>i+1</m:t>
                                </m:r>
                              </m:sub>
                            </m:sSub>
                          </m:e>
                        </m:d>
                        <m:r>
                          <w:rPr>
                            <w:rFonts w:ascii="Cambria Math" w:hAnsi="Cambria Math"/>
                            <w:sz w:val="18"/>
                            <w:szCs w:val="18"/>
                          </w:rPr>
                          <m:t>×</m:t>
                        </m:r>
                        <m:f>
                          <m:fPr>
                            <m:ctrlPr>
                              <w:rPr>
                                <w:rFonts w:ascii="Cambria Math" w:hAnsi="Cambria Math"/>
                                <w:i/>
                                <w:sz w:val="18"/>
                                <w:szCs w:val="18"/>
                              </w:rPr>
                            </m:ctrlPr>
                          </m:fPr>
                          <m:num>
                            <m:func>
                              <m:funcPr>
                                <m:ctrlPr>
                                  <w:rPr>
                                    <w:rFonts w:ascii="Cambria Math" w:hAnsi="Cambria Math"/>
                                    <w:i/>
                                    <w:sz w:val="18"/>
                                    <w:szCs w:val="18"/>
                                  </w:rPr>
                                </m:ctrlPr>
                              </m:funcPr>
                              <m:fName>
                                <m:r>
                                  <m:rPr>
                                    <m:sty m:val="p"/>
                                  </m:rPr>
                                  <w:rPr>
                                    <w:rFonts w:ascii="Cambria Math" w:hAnsi="Cambria Math"/>
                                    <w:sz w:val="18"/>
                                    <w:szCs w:val="18"/>
                                  </w:rPr>
                                  <m:t>tan</m:t>
                                </m:r>
                              </m:fName>
                              <m:e>
                                <m:sSub>
                                  <m:sSubPr>
                                    <m:ctrlPr>
                                      <w:rPr>
                                        <w:rFonts w:ascii="Cambria Math" w:hAnsi="Cambria Math"/>
                                        <w:i/>
                                        <w:sz w:val="18"/>
                                        <w:szCs w:val="18"/>
                                      </w:rPr>
                                    </m:ctrlPr>
                                  </m:sSubPr>
                                  <m:e>
                                    <m:r>
                                      <w:rPr>
                                        <w:rFonts w:ascii="Cambria Math" w:hAnsi="Cambria Math"/>
                                        <w:sz w:val="18"/>
                                        <w:szCs w:val="18"/>
                                      </w:rPr>
                                      <m:t>φ</m:t>
                                    </m:r>
                                  </m:e>
                                  <m:sub>
                                    <m:r>
                                      <w:rPr>
                                        <w:rFonts w:ascii="Cambria Math" w:hAnsi="Cambria Math"/>
                                        <w:sz w:val="18"/>
                                        <w:szCs w:val="18"/>
                                      </w:rPr>
                                      <m:t>i</m:t>
                                    </m:r>
                                  </m:sub>
                                </m:sSub>
                              </m:e>
                            </m:func>
                          </m:num>
                          <m:den>
                            <m:r>
                              <w:rPr>
                                <w:rFonts w:ascii="Cambria Math" w:hAnsi="Cambria Math"/>
                                <w:sz w:val="18"/>
                                <w:szCs w:val="18"/>
                              </w:rPr>
                              <m:t>FS</m:t>
                            </m:r>
                          </m:den>
                        </m:f>
                        <m:r>
                          <w:rPr>
                            <w:rFonts w:ascii="Cambria Math" w:hAnsi="Cambria Math"/>
                            <w:sz w:val="18"/>
                            <w:szCs w:val="18"/>
                          </w:rPr>
                          <m:t>+</m:t>
                        </m:r>
                        <m:func>
                          <m:funcPr>
                            <m:ctrlPr>
                              <w:rPr>
                                <w:rFonts w:ascii="Cambria Math" w:hAnsi="Cambria Math"/>
                                <w:i/>
                                <w:sz w:val="18"/>
                                <w:szCs w:val="18"/>
                              </w:rPr>
                            </m:ctrlPr>
                          </m:funcPr>
                          <m:fName>
                            <m:r>
                              <m:rPr>
                                <m:sty m:val="p"/>
                              </m:rPr>
                              <w:rPr>
                                <w:rFonts w:ascii="Cambria Math" w:hAnsi="Cambria Math"/>
                                <w:sz w:val="18"/>
                                <w:szCs w:val="18"/>
                              </w:rPr>
                              <m:t>cos</m:t>
                            </m:r>
                          </m:fName>
                          <m:e>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α</m:t>
                                </m:r>
                              </m:e>
                              <m:sub>
                                <m:r>
                                  <w:rPr>
                                    <w:rFonts w:ascii="Cambria Math" w:hAnsi="Cambria Math"/>
                                    <w:sz w:val="18"/>
                                    <w:szCs w:val="18"/>
                                  </w:rPr>
                                  <m:t>i</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δ</m:t>
                                </m:r>
                              </m:e>
                              <m:sub>
                                <m:r>
                                  <w:rPr>
                                    <w:rFonts w:ascii="Cambria Math" w:hAnsi="Cambria Math"/>
                                    <w:sz w:val="18"/>
                                    <w:szCs w:val="18"/>
                                  </w:rPr>
                                  <m:t>i+1</m:t>
                                </m:r>
                              </m:sub>
                            </m:sSub>
                            <m:r>
                              <w:rPr>
                                <w:rFonts w:ascii="Cambria Math" w:hAnsi="Cambria Math"/>
                                <w:sz w:val="18"/>
                                <w:szCs w:val="18"/>
                              </w:rPr>
                              <m:t>)</m:t>
                            </m:r>
                          </m:e>
                        </m:func>
                      </m:e>
                    </m:func>
                  </m:den>
                </m:f>
              </m:oMath>
            </m:oMathPara>
          </w:p>
          <w:p w14:paraId="65ECF516" w14:textId="77777777" w:rsidR="00051297" w:rsidRPr="00051297" w:rsidRDefault="00536556" w:rsidP="00051297">
            <w:pPr>
              <w:spacing w:after="160"/>
              <w:rPr>
                <w:sz w:val="20"/>
                <w:szCs w:val="20"/>
              </w:rPr>
            </w:pPr>
            <m:oMathPara>
              <m:oMath>
                <m:f>
                  <m:fPr>
                    <m:ctrlPr>
                      <w:rPr>
                        <w:rFonts w:ascii="Cambria Math" w:hAnsi="Cambria Math"/>
                        <w:i/>
                        <w:sz w:val="20"/>
                        <w:szCs w:val="20"/>
                      </w:rPr>
                    </m:ctrlPr>
                  </m:fPr>
                  <m:num>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W</m:t>
                        </m:r>
                      </m:e>
                      <m:sub>
                        <m:r>
                          <w:rPr>
                            <w:rFonts w:ascii="Cambria Math" w:hAnsi="Cambria Math"/>
                            <w:sz w:val="20"/>
                            <w:szCs w:val="20"/>
                          </w:rPr>
                          <m:t>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Fy</m:t>
                        </m:r>
                      </m:e>
                      <m:sub>
                        <m:r>
                          <w:rPr>
                            <w:rFonts w:ascii="Cambria Math" w:hAnsi="Cambria Math"/>
                            <w:sz w:val="20"/>
                            <w:szCs w:val="20"/>
                          </w:rPr>
                          <m:t>i</m:t>
                        </m:r>
                      </m:sub>
                    </m:sSub>
                    <m:r>
                      <w:rPr>
                        <w:rFonts w:ascii="Cambria Math" w:hAnsi="Cambria Math"/>
                        <w:sz w:val="20"/>
                        <w:szCs w:val="20"/>
                      </w:rPr>
                      <m:t>)</m:t>
                    </m:r>
                    <m:func>
                      <m:funcPr>
                        <m:ctrlPr>
                          <w:rPr>
                            <w:rFonts w:ascii="Cambria Math" w:hAnsi="Cambria Math"/>
                            <w:i/>
                            <w:sz w:val="20"/>
                            <w:szCs w:val="20"/>
                          </w:rPr>
                        </m:ctrlPr>
                      </m:funcPr>
                      <m:fName>
                        <m:r>
                          <m:rPr>
                            <m:sty m:val="p"/>
                          </m:rPr>
                          <w:rPr>
                            <w:rFonts w:ascii="Cambria Math" w:hAnsi="Cambria Math"/>
                            <w:sz w:val="20"/>
                            <w:szCs w:val="20"/>
                          </w:rPr>
                          <m:t>sin</m:t>
                        </m:r>
                      </m:fName>
                      <m:e>
                        <m:sSub>
                          <m:sSubPr>
                            <m:ctrlPr>
                              <w:rPr>
                                <w:rFonts w:ascii="Cambria Math" w:hAnsi="Cambria Math"/>
                                <w:i/>
                                <w:sz w:val="20"/>
                                <w:szCs w:val="20"/>
                              </w:rPr>
                            </m:ctrlPr>
                          </m:sSubPr>
                          <m:e>
                            <m:r>
                              <w:rPr>
                                <w:rFonts w:ascii="Cambria Math" w:hAnsi="Cambria Math"/>
                                <w:sz w:val="20"/>
                                <w:szCs w:val="20"/>
                              </w:rPr>
                              <m:t>α</m:t>
                            </m:r>
                          </m:e>
                          <m:sub>
                            <m:r>
                              <w:rPr>
                                <w:rFonts w:ascii="Cambria Math" w:hAnsi="Cambria Math"/>
                                <w:sz w:val="20"/>
                                <w:szCs w:val="20"/>
                              </w:rPr>
                              <m:t>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h</m:t>
                            </m:r>
                          </m:sub>
                        </m:sSub>
                        <m:sSub>
                          <m:sSubPr>
                            <m:ctrlPr>
                              <w:rPr>
                                <w:rFonts w:ascii="Cambria Math" w:hAnsi="Cambria Math"/>
                                <w:i/>
                                <w:sz w:val="20"/>
                                <w:szCs w:val="20"/>
                              </w:rPr>
                            </m:ctrlPr>
                          </m:sSubPr>
                          <m:e>
                            <m:r>
                              <w:rPr>
                                <w:rFonts w:ascii="Cambria Math" w:hAnsi="Cambria Math"/>
                                <w:sz w:val="20"/>
                                <w:szCs w:val="20"/>
                              </w:rPr>
                              <m:t>W</m:t>
                            </m:r>
                          </m:e>
                          <m:sub>
                            <m:r>
                              <w:rPr>
                                <w:rFonts w:ascii="Cambria Math" w:hAnsi="Cambria Math"/>
                                <w:sz w:val="20"/>
                                <w:szCs w:val="20"/>
                              </w:rPr>
                              <m:t>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Fx</m:t>
                            </m:r>
                          </m:e>
                          <m:sub>
                            <m:r>
                              <w:rPr>
                                <w:rFonts w:ascii="Cambria Math" w:hAnsi="Cambria Math"/>
                                <w:sz w:val="20"/>
                                <w:szCs w:val="20"/>
                              </w:rPr>
                              <m:t>i</m:t>
                            </m:r>
                          </m:sub>
                        </m:sSub>
                        <m:r>
                          <w:rPr>
                            <w:rFonts w:ascii="Cambria Math" w:hAnsi="Cambria Math"/>
                            <w:sz w:val="20"/>
                            <w:szCs w:val="20"/>
                          </w:rPr>
                          <m:t>)</m:t>
                        </m:r>
                        <m:func>
                          <m:funcPr>
                            <m:ctrlPr>
                              <w:rPr>
                                <w:rFonts w:ascii="Cambria Math" w:hAnsi="Cambria Math"/>
                                <w:i/>
                                <w:sz w:val="20"/>
                                <w:szCs w:val="20"/>
                              </w:rPr>
                            </m:ctrlPr>
                          </m:funcPr>
                          <m:fName>
                            <m:r>
                              <m:rPr>
                                <m:sty m:val="p"/>
                              </m:rPr>
                              <w:rPr>
                                <w:rFonts w:ascii="Cambria Math" w:hAnsi="Cambria Math"/>
                                <w:sz w:val="20"/>
                                <w:szCs w:val="20"/>
                              </w:rPr>
                              <m:t>cos</m:t>
                            </m:r>
                          </m:fName>
                          <m:e>
                            <m:sSub>
                              <m:sSubPr>
                                <m:ctrlPr>
                                  <w:rPr>
                                    <w:rFonts w:ascii="Cambria Math" w:hAnsi="Cambria Math"/>
                                    <w:i/>
                                    <w:sz w:val="20"/>
                                    <w:szCs w:val="20"/>
                                  </w:rPr>
                                </m:ctrlPr>
                              </m:sSubPr>
                              <m:e>
                                <m:r>
                                  <w:rPr>
                                    <w:rFonts w:ascii="Cambria Math" w:hAnsi="Cambria Math"/>
                                    <w:sz w:val="20"/>
                                    <w:szCs w:val="20"/>
                                  </w:rPr>
                                  <m:t>α</m:t>
                                </m:r>
                              </m:e>
                              <m:sub>
                                <m:r>
                                  <w:rPr>
                                    <w:rFonts w:ascii="Cambria Math" w:hAnsi="Cambria Math"/>
                                    <w:sz w:val="20"/>
                                    <w:szCs w:val="20"/>
                                  </w:rPr>
                                  <m:t>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i</m:t>
                                </m:r>
                              </m:sub>
                            </m:sSub>
                            <m:func>
                              <m:funcPr>
                                <m:ctrlPr>
                                  <w:rPr>
                                    <w:rFonts w:ascii="Cambria Math" w:hAnsi="Cambria Math"/>
                                    <w:i/>
                                    <w:sz w:val="20"/>
                                    <w:szCs w:val="20"/>
                                  </w:rPr>
                                </m:ctrlPr>
                              </m:funcPr>
                              <m:fName>
                                <m:r>
                                  <m:rPr>
                                    <m:sty m:val="p"/>
                                  </m:rPr>
                                  <w:rPr>
                                    <w:rFonts w:ascii="Cambria Math" w:hAnsi="Cambria Math"/>
                                    <w:sz w:val="20"/>
                                    <w:szCs w:val="20"/>
                                  </w:rPr>
                                  <m:t>cos</m:t>
                                </m:r>
                              </m:fName>
                              <m:e>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α</m:t>
                                    </m:r>
                                  </m:e>
                                  <m:sub>
                                    <m:r>
                                      <w:rPr>
                                        <w:rFonts w:ascii="Cambria Math" w:hAnsi="Cambria Math"/>
                                        <w:sz w:val="20"/>
                                        <w:szCs w:val="20"/>
                                      </w:rPr>
                                      <m:t>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δ</m:t>
                                    </m:r>
                                  </m:e>
                                  <m:sub>
                                    <m:r>
                                      <w:rPr>
                                        <w:rFonts w:ascii="Cambria Math" w:hAnsi="Cambria Math"/>
                                        <w:sz w:val="20"/>
                                        <w:szCs w:val="20"/>
                                      </w:rPr>
                                      <m:t>i</m:t>
                                    </m:r>
                                  </m:sub>
                                </m:sSub>
                                <m:r>
                                  <w:rPr>
                                    <w:rFonts w:ascii="Cambria Math" w:hAnsi="Cambria Math"/>
                                    <w:sz w:val="20"/>
                                    <w:szCs w:val="20"/>
                                  </w:rPr>
                                  <m:t>)</m:t>
                                </m:r>
                              </m:e>
                            </m:func>
                          </m:e>
                        </m:func>
                      </m:e>
                    </m:func>
                  </m:num>
                  <m:den>
                    <m:func>
                      <m:funcPr>
                        <m:ctrlPr>
                          <w:rPr>
                            <w:rFonts w:ascii="Cambria Math" w:hAnsi="Cambria Math"/>
                            <w:i/>
                            <w:sz w:val="20"/>
                            <w:szCs w:val="20"/>
                          </w:rPr>
                        </m:ctrlPr>
                      </m:funcPr>
                      <m:fName>
                        <m:r>
                          <m:rPr>
                            <m:sty m:val="p"/>
                          </m:rPr>
                          <w:rPr>
                            <w:rFonts w:ascii="Cambria Math" w:hAnsi="Cambria Math"/>
                            <w:sz w:val="20"/>
                            <w:szCs w:val="20"/>
                          </w:rPr>
                          <m:t>sin</m:t>
                        </m:r>
                      </m:fName>
                      <m:e>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α</m:t>
                                </m:r>
                              </m:e>
                              <m:sub>
                                <m:r>
                                  <w:rPr>
                                    <w:rFonts w:ascii="Cambria Math" w:hAnsi="Cambria Math"/>
                                    <w:sz w:val="20"/>
                                    <w:szCs w:val="20"/>
                                  </w:rPr>
                                  <m:t>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δ</m:t>
                                </m:r>
                              </m:e>
                              <m:sub>
                                <m:r>
                                  <w:rPr>
                                    <w:rFonts w:ascii="Cambria Math" w:hAnsi="Cambria Math"/>
                                    <w:sz w:val="20"/>
                                    <w:szCs w:val="20"/>
                                  </w:rPr>
                                  <m:t>i+1</m:t>
                                </m:r>
                              </m:sub>
                            </m:sSub>
                          </m:e>
                        </m:d>
                        <m:r>
                          <w:rPr>
                            <w:rFonts w:ascii="Cambria Math" w:hAnsi="Cambria Math"/>
                            <w:sz w:val="20"/>
                            <w:szCs w:val="20"/>
                          </w:rPr>
                          <m:t>×</m:t>
                        </m:r>
                        <m:f>
                          <m:fPr>
                            <m:ctrlPr>
                              <w:rPr>
                                <w:rFonts w:ascii="Cambria Math" w:hAnsi="Cambria Math"/>
                                <w:i/>
                                <w:sz w:val="20"/>
                                <w:szCs w:val="20"/>
                              </w:rPr>
                            </m:ctrlPr>
                          </m:fPr>
                          <m:num>
                            <m:func>
                              <m:funcPr>
                                <m:ctrlPr>
                                  <w:rPr>
                                    <w:rFonts w:ascii="Cambria Math" w:hAnsi="Cambria Math"/>
                                    <w:i/>
                                    <w:sz w:val="20"/>
                                    <w:szCs w:val="20"/>
                                  </w:rPr>
                                </m:ctrlPr>
                              </m:funcPr>
                              <m:fName>
                                <m:r>
                                  <m:rPr>
                                    <m:sty m:val="p"/>
                                  </m:rPr>
                                  <w:rPr>
                                    <w:rFonts w:ascii="Cambria Math" w:hAnsi="Cambria Math"/>
                                    <w:sz w:val="20"/>
                                    <w:szCs w:val="20"/>
                                  </w:rPr>
                                  <m:t>tan</m:t>
                                </m:r>
                              </m:fName>
                              <m:e>
                                <m:sSub>
                                  <m:sSubPr>
                                    <m:ctrlPr>
                                      <w:rPr>
                                        <w:rFonts w:ascii="Cambria Math" w:hAnsi="Cambria Math"/>
                                        <w:i/>
                                        <w:sz w:val="20"/>
                                        <w:szCs w:val="20"/>
                                      </w:rPr>
                                    </m:ctrlPr>
                                  </m:sSubPr>
                                  <m:e>
                                    <m:r>
                                      <w:rPr>
                                        <w:rFonts w:ascii="Cambria Math" w:hAnsi="Cambria Math"/>
                                        <w:sz w:val="20"/>
                                        <w:szCs w:val="20"/>
                                      </w:rPr>
                                      <m:t>φ</m:t>
                                    </m:r>
                                  </m:e>
                                  <m:sub>
                                    <m:r>
                                      <w:rPr>
                                        <w:rFonts w:ascii="Cambria Math" w:hAnsi="Cambria Math"/>
                                        <w:sz w:val="20"/>
                                        <w:szCs w:val="20"/>
                                      </w:rPr>
                                      <m:t>i</m:t>
                                    </m:r>
                                  </m:sub>
                                </m:sSub>
                              </m:e>
                            </m:func>
                          </m:num>
                          <m:den>
                            <m:r>
                              <w:rPr>
                                <w:rFonts w:ascii="Cambria Math" w:hAnsi="Cambria Math"/>
                                <w:sz w:val="20"/>
                                <w:szCs w:val="20"/>
                              </w:rPr>
                              <m:t>FS</m:t>
                            </m:r>
                          </m:den>
                        </m:f>
                        <m:r>
                          <w:rPr>
                            <w:rFonts w:ascii="Cambria Math" w:hAnsi="Cambria Math"/>
                            <w:sz w:val="20"/>
                            <w:szCs w:val="20"/>
                          </w:rPr>
                          <m:t>+</m:t>
                        </m:r>
                        <m:func>
                          <m:funcPr>
                            <m:ctrlPr>
                              <w:rPr>
                                <w:rFonts w:ascii="Cambria Math" w:hAnsi="Cambria Math"/>
                                <w:i/>
                                <w:sz w:val="20"/>
                                <w:szCs w:val="20"/>
                              </w:rPr>
                            </m:ctrlPr>
                          </m:funcPr>
                          <m:fName>
                            <m:r>
                              <m:rPr>
                                <m:sty m:val="p"/>
                              </m:rPr>
                              <w:rPr>
                                <w:rFonts w:ascii="Cambria Math" w:hAnsi="Cambria Math"/>
                                <w:sz w:val="20"/>
                                <w:szCs w:val="20"/>
                              </w:rPr>
                              <m:t>cos</m:t>
                            </m:r>
                          </m:fName>
                          <m:e>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α</m:t>
                                </m:r>
                              </m:e>
                              <m:sub>
                                <m:r>
                                  <w:rPr>
                                    <w:rFonts w:ascii="Cambria Math" w:hAnsi="Cambria Math"/>
                                    <w:sz w:val="20"/>
                                    <w:szCs w:val="20"/>
                                  </w:rPr>
                                  <m:t>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δ</m:t>
                                </m:r>
                              </m:e>
                              <m:sub>
                                <m:r>
                                  <w:rPr>
                                    <w:rFonts w:ascii="Cambria Math" w:hAnsi="Cambria Math"/>
                                    <w:sz w:val="20"/>
                                    <w:szCs w:val="20"/>
                                  </w:rPr>
                                  <m:t>i+1</m:t>
                                </m:r>
                              </m:sub>
                            </m:sSub>
                            <m:r>
                              <w:rPr>
                                <w:rFonts w:ascii="Cambria Math" w:hAnsi="Cambria Math"/>
                                <w:sz w:val="20"/>
                                <w:szCs w:val="20"/>
                              </w:rPr>
                              <m:t>)</m:t>
                            </m:r>
                          </m:e>
                        </m:func>
                      </m:e>
                    </m:func>
                  </m:den>
                </m:f>
              </m:oMath>
            </m:oMathPara>
          </w:p>
        </w:tc>
        <w:tc>
          <w:tcPr>
            <w:tcW w:w="265" w:type="dxa"/>
          </w:tcPr>
          <w:p w14:paraId="4E833D9C" w14:textId="70FCC2ED" w:rsidR="00051297" w:rsidRPr="00051297" w:rsidRDefault="00051297" w:rsidP="00051297">
            <w:pPr>
              <w:spacing w:after="160"/>
            </w:pPr>
            <w:bookmarkStart w:id="312" w:name="_Ref103556478"/>
            <w:r w:rsidRPr="00051297">
              <w:rPr>
                <w:sz w:val="20"/>
                <w:szCs w:val="20"/>
                <w:lang w:val="en-US"/>
              </w:rPr>
              <w:t>(</w:t>
            </w:r>
            <w:r w:rsidRPr="00051297">
              <w:rPr>
                <w:sz w:val="20"/>
                <w:szCs w:val="20"/>
                <w:lang w:val="en-US"/>
              </w:rPr>
              <w:fldChar w:fldCharType="begin"/>
            </w:r>
            <w:r w:rsidRPr="00051297">
              <w:rPr>
                <w:sz w:val="20"/>
                <w:szCs w:val="20"/>
                <w:lang w:val="en-US"/>
              </w:rPr>
              <w:instrText xml:space="preserve"> STYLEREF 1 \s </w:instrText>
            </w:r>
            <w:r w:rsidRPr="00051297">
              <w:rPr>
                <w:sz w:val="20"/>
                <w:szCs w:val="20"/>
                <w:lang w:val="en-US"/>
              </w:rPr>
              <w:fldChar w:fldCharType="separate"/>
            </w:r>
            <w:r w:rsidR="004870F1">
              <w:rPr>
                <w:noProof/>
                <w:sz w:val="20"/>
                <w:szCs w:val="20"/>
                <w:lang w:val="en-US"/>
              </w:rPr>
              <w:t>1</w:t>
            </w:r>
            <w:r w:rsidRPr="00051297">
              <w:rPr>
                <w:sz w:val="20"/>
                <w:szCs w:val="20"/>
                <w:lang w:val="en-US"/>
              </w:rPr>
              <w:fldChar w:fldCharType="end"/>
            </w:r>
            <w:r w:rsidRPr="00051297">
              <w:rPr>
                <w:sz w:val="20"/>
                <w:szCs w:val="20"/>
                <w:lang w:val="en-US"/>
              </w:rPr>
              <w:t>.</w:t>
            </w:r>
            <w:r w:rsidRPr="00051297">
              <w:rPr>
                <w:sz w:val="20"/>
                <w:szCs w:val="20"/>
                <w:lang w:val="en-US"/>
              </w:rPr>
              <w:fldChar w:fldCharType="begin"/>
            </w:r>
            <w:r w:rsidRPr="00051297">
              <w:rPr>
                <w:sz w:val="20"/>
                <w:szCs w:val="20"/>
                <w:lang w:val="en-US"/>
              </w:rPr>
              <w:instrText xml:space="preserve"> SEQ Equation \* ARABIC \s 1 </w:instrText>
            </w:r>
            <w:r w:rsidRPr="00051297">
              <w:rPr>
                <w:sz w:val="20"/>
                <w:szCs w:val="20"/>
                <w:lang w:val="en-US"/>
              </w:rPr>
              <w:fldChar w:fldCharType="separate"/>
            </w:r>
            <w:r w:rsidR="004870F1">
              <w:rPr>
                <w:noProof/>
                <w:sz w:val="20"/>
                <w:szCs w:val="20"/>
                <w:lang w:val="en-US"/>
              </w:rPr>
              <w:t>24</w:t>
            </w:r>
            <w:r w:rsidRPr="00051297">
              <w:rPr>
                <w:sz w:val="20"/>
                <w:szCs w:val="20"/>
                <w:lang w:val="en-US"/>
              </w:rPr>
              <w:fldChar w:fldCharType="end"/>
            </w:r>
            <w:r w:rsidRPr="00051297">
              <w:rPr>
                <w:sz w:val="20"/>
                <w:szCs w:val="20"/>
                <w:lang w:val="en-US"/>
              </w:rPr>
              <w:t>)</w:t>
            </w:r>
            <w:bookmarkEnd w:id="312"/>
          </w:p>
        </w:tc>
      </w:tr>
    </w:tbl>
    <w:p w14:paraId="640209DF" w14:textId="77777777" w:rsidR="00051297" w:rsidRPr="00051297" w:rsidRDefault="00051297" w:rsidP="00051297">
      <w:pPr>
        <w:rPr>
          <w:rFonts w:cs="Times New Roman"/>
          <w:szCs w:val="24"/>
          <w:lang w:val="en-US"/>
        </w:rPr>
      </w:pPr>
      <w:r w:rsidRPr="00051297">
        <w:rPr>
          <w:rFonts w:cs="Times New Roman"/>
          <w:szCs w:val="24"/>
          <w:lang w:val="en-US"/>
        </w:rPr>
        <w:t xml:space="preserve">For a set of given values of </w:t>
      </w:r>
      <w:r w:rsidRPr="00051297">
        <w:rPr>
          <w:rFonts w:cs="Times New Roman"/>
          <w:i/>
          <w:iCs/>
          <w:szCs w:val="24"/>
        </w:rPr>
        <w:t>δ</w:t>
      </w:r>
      <w:r w:rsidRPr="00051297">
        <w:rPr>
          <w:rFonts w:cs="Times New Roman"/>
          <w:i/>
          <w:iCs/>
          <w:szCs w:val="24"/>
          <w:vertAlign w:val="subscript"/>
          <w:lang w:val="en-US"/>
        </w:rPr>
        <w:t>i</w:t>
      </w:r>
      <w:r w:rsidRPr="00051297">
        <w:rPr>
          <w:rFonts w:cs="Times New Roman"/>
          <w:szCs w:val="24"/>
          <w:lang w:val="en-US"/>
        </w:rPr>
        <w:t xml:space="preserve"> and FS, this formula can be used to calculate all forces Ei acting between blocks. This solution assumes that the value of E at the slip surface origin is known and equal to E</w:t>
      </w:r>
      <w:r w:rsidRPr="00051297">
        <w:rPr>
          <w:rFonts w:cs="Times New Roman"/>
          <w:szCs w:val="24"/>
          <w:vertAlign w:val="subscript"/>
          <w:lang w:val="en-US"/>
        </w:rPr>
        <w:t>1</w:t>
      </w:r>
      <w:r w:rsidRPr="00051297">
        <w:rPr>
          <w:rFonts w:cs="Times New Roman"/>
          <w:szCs w:val="24"/>
          <w:lang w:val="en-US"/>
        </w:rPr>
        <w:t xml:space="preserve"> = 0. </w:t>
      </w:r>
    </w:p>
    <w:p w14:paraId="3D41A367" w14:textId="3CCCF48A" w:rsidR="00051297" w:rsidRPr="00051297" w:rsidRDefault="00051297" w:rsidP="00051297">
      <w:pPr>
        <w:rPr>
          <w:rFonts w:cs="Times New Roman"/>
          <w:szCs w:val="24"/>
          <w:lang w:val="en-US"/>
        </w:rPr>
      </w:pPr>
      <w:r w:rsidRPr="00051297">
        <w:rPr>
          <w:rFonts w:cs="Times New Roman"/>
          <w:szCs w:val="24"/>
          <w:lang w:val="en-US"/>
        </w:rPr>
        <w:t>From the moment equation of equilibrium (</w:t>
      </w:r>
      <w:r w:rsidRPr="00051297">
        <w:rPr>
          <w:szCs w:val="24"/>
          <w:lang w:val="en-US"/>
        </w:rPr>
        <w:fldChar w:fldCharType="begin"/>
      </w:r>
      <w:r w:rsidRPr="00051297">
        <w:rPr>
          <w:rFonts w:cs="Times New Roman"/>
          <w:szCs w:val="24"/>
          <w:lang w:val="en-US"/>
        </w:rPr>
        <w:instrText xml:space="preserve"> REF _Ref103556424 \h </w:instrText>
      </w:r>
      <w:r w:rsidRPr="00051297">
        <w:rPr>
          <w:szCs w:val="24"/>
          <w:lang w:val="en-US"/>
        </w:rPr>
      </w:r>
      <w:r w:rsidRPr="00051297">
        <w:rPr>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23</w:t>
      </w:r>
      <w:r w:rsidR="004870F1" w:rsidRPr="00051297">
        <w:rPr>
          <w:szCs w:val="24"/>
          <w:lang w:val="en-US"/>
        </w:rPr>
        <w:t>)</w:t>
      </w:r>
      <w:r w:rsidRPr="00051297">
        <w:rPr>
          <w:szCs w:val="24"/>
          <w:lang w:val="en-US"/>
        </w:rPr>
        <w:fldChar w:fldCharType="end"/>
      </w:r>
      <w:r w:rsidRPr="00051297">
        <w:rPr>
          <w:rFonts w:cs="Times New Roman"/>
          <w:szCs w:val="24"/>
          <w:lang w:val="en-US"/>
        </w:rPr>
        <w:t>), an additional recursive formula (</w:t>
      </w:r>
      <w:r w:rsidRPr="00051297">
        <w:rPr>
          <w:sz w:val="22"/>
          <w:lang w:val="en-US"/>
        </w:rPr>
        <w:fldChar w:fldCharType="begin"/>
      </w:r>
      <w:r w:rsidRPr="00051297">
        <w:rPr>
          <w:rFonts w:cs="Times New Roman"/>
          <w:szCs w:val="24"/>
          <w:lang w:val="en-US"/>
        </w:rPr>
        <w:instrText xml:space="preserve"> REF _Ref103556510 \h </w:instrText>
      </w:r>
      <w:r w:rsidRPr="00051297">
        <w:rPr>
          <w:sz w:val="22"/>
          <w:lang w:val="en-US"/>
        </w:rPr>
      </w:r>
      <w:r w:rsidRPr="00051297">
        <w:rPr>
          <w:sz w:val="22"/>
          <w:lang w:val="en-US"/>
        </w:rPr>
        <w:fldChar w:fldCharType="separate"/>
      </w:r>
      <w:r w:rsidR="004870F1" w:rsidRPr="00051297">
        <w:rPr>
          <w:sz w:val="22"/>
          <w:lang w:val="en-US"/>
        </w:rPr>
        <w:t>(</w:t>
      </w:r>
      <w:r w:rsidR="004870F1">
        <w:rPr>
          <w:noProof/>
          <w:sz w:val="22"/>
          <w:lang w:val="en-US"/>
        </w:rPr>
        <w:t>1</w:t>
      </w:r>
      <w:r w:rsidR="004870F1" w:rsidRPr="00051297">
        <w:rPr>
          <w:sz w:val="22"/>
          <w:lang w:val="en-US"/>
        </w:rPr>
        <w:t>.</w:t>
      </w:r>
      <w:r w:rsidR="004870F1">
        <w:rPr>
          <w:noProof/>
          <w:sz w:val="22"/>
          <w:lang w:val="en-US"/>
        </w:rPr>
        <w:t>25</w:t>
      </w:r>
      <w:r w:rsidR="004870F1" w:rsidRPr="00051297">
        <w:rPr>
          <w:sz w:val="22"/>
          <w:lang w:val="en-US"/>
        </w:rPr>
        <w:t>)</w:t>
      </w:r>
      <w:r w:rsidRPr="00051297">
        <w:rPr>
          <w:sz w:val="22"/>
          <w:lang w:val="en-US"/>
        </w:rPr>
        <w:fldChar w:fldCharType="end"/>
      </w:r>
      <w:r w:rsidRPr="00051297">
        <w:rPr>
          <w:rFonts w:cs="Times New Roman"/>
          <w:szCs w:val="24"/>
          <w:lang w:val="en-US"/>
        </w:rPr>
        <w:t>) follows:</w:t>
      </w:r>
    </w:p>
    <w:tbl>
      <w:tblPr>
        <w:tblStyle w:val="a8"/>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
        <w:gridCol w:w="8413"/>
        <w:gridCol w:w="810"/>
      </w:tblGrid>
      <w:tr w:rsidR="00051297" w:rsidRPr="00051297" w14:paraId="6DCB7080" w14:textId="77777777" w:rsidTr="00D20B01">
        <w:tc>
          <w:tcPr>
            <w:tcW w:w="227" w:type="dxa"/>
          </w:tcPr>
          <w:p w14:paraId="1A2675C5" w14:textId="77777777" w:rsidR="00051297" w:rsidRPr="00051297" w:rsidRDefault="00051297" w:rsidP="00051297">
            <w:pPr>
              <w:spacing w:after="160"/>
              <w:rPr>
                <w:sz w:val="22"/>
                <w:lang w:val="en-US"/>
              </w:rPr>
            </w:pPr>
          </w:p>
        </w:tc>
        <w:tc>
          <w:tcPr>
            <w:tcW w:w="8413" w:type="dxa"/>
          </w:tcPr>
          <w:p w14:paraId="5080C7C1" w14:textId="77777777" w:rsidR="00051297" w:rsidRPr="00051297" w:rsidRDefault="00536556" w:rsidP="00051297">
            <w:pPr>
              <w:spacing w:after="160"/>
              <w:rPr>
                <w:sz w:val="22"/>
              </w:rPr>
            </w:pPr>
            <m:oMathPara>
              <m:oMath>
                <m:sSub>
                  <m:sSubPr>
                    <m:ctrlPr>
                      <w:rPr>
                        <w:rFonts w:ascii="Cambria Math" w:hAnsi="Cambria Math"/>
                        <w:i/>
                        <w:sz w:val="22"/>
                      </w:rPr>
                    </m:ctrlPr>
                  </m:sSubPr>
                  <m:e>
                    <m:r>
                      <w:rPr>
                        <w:rFonts w:ascii="Cambria Math" w:hAnsi="Cambria Math"/>
                        <w:sz w:val="22"/>
                      </w:rPr>
                      <m:t>Z</m:t>
                    </m:r>
                  </m:e>
                  <m:sub>
                    <m:r>
                      <w:rPr>
                        <w:rFonts w:ascii="Cambria Math" w:hAnsi="Cambria Math"/>
                        <w:sz w:val="22"/>
                      </w:rPr>
                      <m:t>i+1</m:t>
                    </m:r>
                  </m:sub>
                </m:sSub>
                <m:r>
                  <w:rPr>
                    <w:rFonts w:ascii="Cambria Math" w:hAnsi="Cambria Math"/>
                    <w:sz w:val="22"/>
                  </w:rPr>
                  <m:t>=</m:t>
                </m:r>
                <m:f>
                  <m:fPr>
                    <m:ctrlPr>
                      <w:rPr>
                        <w:rFonts w:ascii="Cambria Math" w:hAnsi="Cambria Math"/>
                        <w:i/>
                        <w:sz w:val="22"/>
                      </w:rPr>
                    </m:ctrlPr>
                  </m:fPr>
                  <m:num>
                    <m:f>
                      <m:fPr>
                        <m:ctrlPr>
                          <w:rPr>
                            <w:rFonts w:ascii="Cambria Math" w:hAnsi="Cambria Math"/>
                            <w:i/>
                            <w:sz w:val="22"/>
                          </w:rPr>
                        </m:ctrlPr>
                      </m:fPr>
                      <m:num>
                        <m:sSub>
                          <m:sSubPr>
                            <m:ctrlPr>
                              <w:rPr>
                                <w:rFonts w:ascii="Cambria Math" w:hAnsi="Cambria Math"/>
                                <w:i/>
                                <w:sz w:val="22"/>
                              </w:rPr>
                            </m:ctrlPr>
                          </m:sSubPr>
                          <m:e>
                            <m:r>
                              <w:rPr>
                                <w:rFonts w:ascii="Cambria Math" w:hAnsi="Cambria Math"/>
                                <w:sz w:val="22"/>
                              </w:rPr>
                              <m:t>b</m:t>
                            </m:r>
                          </m:e>
                          <m:sub>
                            <m:r>
                              <w:rPr>
                                <w:rFonts w:ascii="Cambria Math" w:hAnsi="Cambria Math"/>
                                <w:sz w:val="22"/>
                              </w:rPr>
                              <m:t>i</m:t>
                            </m:r>
                          </m:sub>
                        </m:sSub>
                      </m:num>
                      <m:den>
                        <m:r>
                          <w:rPr>
                            <w:rFonts w:ascii="Cambria Math" w:hAnsi="Cambria Math"/>
                            <w:sz w:val="22"/>
                          </w:rPr>
                          <m:t>2</m:t>
                        </m:r>
                      </m:den>
                    </m:f>
                    <m:d>
                      <m:dPr>
                        <m:begChr m:val="["/>
                        <m:endChr m:val="]"/>
                        <m:ctrlPr>
                          <w:rPr>
                            <w:rFonts w:ascii="Cambria Math" w:hAnsi="Cambria Math"/>
                            <w:i/>
                            <w:sz w:val="22"/>
                          </w:rPr>
                        </m:ctrlPr>
                      </m:dPr>
                      <m:e>
                        <m:sSub>
                          <m:sSubPr>
                            <m:ctrlPr>
                              <w:rPr>
                                <w:rFonts w:ascii="Cambria Math" w:hAnsi="Cambria Math"/>
                                <w:i/>
                                <w:sz w:val="22"/>
                              </w:rPr>
                            </m:ctrlPr>
                          </m:sSubPr>
                          <m:e>
                            <m:r>
                              <w:rPr>
                                <w:rFonts w:ascii="Cambria Math" w:hAnsi="Cambria Math"/>
                                <w:sz w:val="22"/>
                              </w:rPr>
                              <m:t>E</m:t>
                            </m:r>
                          </m:e>
                          <m:sub>
                            <m:r>
                              <w:rPr>
                                <w:rFonts w:ascii="Cambria Math" w:hAnsi="Cambria Math"/>
                                <w:sz w:val="22"/>
                              </w:rPr>
                              <m:t>i+1</m:t>
                            </m:r>
                          </m:sub>
                        </m:sSub>
                        <m:r>
                          <w:rPr>
                            <w:rFonts w:ascii="Cambria Math" w:hAnsi="Cambria Math"/>
                            <w:sz w:val="22"/>
                          </w:rPr>
                          <m:t>(</m:t>
                        </m:r>
                        <m:func>
                          <m:funcPr>
                            <m:ctrlPr>
                              <w:rPr>
                                <w:rFonts w:ascii="Cambria Math" w:hAnsi="Cambria Math"/>
                                <w:i/>
                                <w:sz w:val="22"/>
                              </w:rPr>
                            </m:ctrlPr>
                          </m:funcPr>
                          <m:fName>
                            <m:r>
                              <m:rPr>
                                <m:sty m:val="p"/>
                              </m:rPr>
                              <w:rPr>
                                <w:rFonts w:ascii="Cambria Math" w:hAnsi="Cambria Math"/>
                                <w:sz w:val="22"/>
                              </w:rPr>
                              <m:t>sin</m:t>
                            </m:r>
                          </m:fName>
                          <m:e>
                            <m:sSub>
                              <m:sSubPr>
                                <m:ctrlPr>
                                  <w:rPr>
                                    <w:rFonts w:ascii="Cambria Math" w:hAnsi="Cambria Math"/>
                                    <w:i/>
                                    <w:sz w:val="22"/>
                                  </w:rPr>
                                </m:ctrlPr>
                              </m:sSubPr>
                              <m:e>
                                <m:r>
                                  <w:rPr>
                                    <w:rFonts w:ascii="Cambria Math" w:hAnsi="Cambria Math"/>
                                    <w:sz w:val="22"/>
                                  </w:rPr>
                                  <m:t>δ</m:t>
                                </m:r>
                              </m:e>
                              <m:sub>
                                <m:r>
                                  <w:rPr>
                                    <w:rFonts w:ascii="Cambria Math" w:hAnsi="Cambria Math"/>
                                    <w:sz w:val="22"/>
                                  </w:rPr>
                                  <m:t>i+1</m:t>
                                </m:r>
                              </m:sub>
                            </m:sSub>
                            <m:r>
                              <w:rPr>
                                <w:rFonts w:ascii="Cambria Math" w:hAnsi="Cambria Math"/>
                                <w:sz w:val="22"/>
                              </w:rPr>
                              <m:t>-</m:t>
                            </m:r>
                            <m:func>
                              <m:funcPr>
                                <m:ctrlPr>
                                  <w:rPr>
                                    <w:rFonts w:ascii="Cambria Math" w:hAnsi="Cambria Math"/>
                                    <w:i/>
                                    <w:sz w:val="22"/>
                                  </w:rPr>
                                </m:ctrlPr>
                              </m:funcPr>
                              <m:fName>
                                <m:r>
                                  <m:rPr>
                                    <m:sty m:val="p"/>
                                  </m:rPr>
                                  <w:rPr>
                                    <w:rFonts w:ascii="Cambria Math" w:hAnsi="Cambria Math"/>
                                    <w:sz w:val="22"/>
                                  </w:rPr>
                                  <m:t>cos</m:t>
                                </m:r>
                              </m:fName>
                              <m:e>
                                <m:sSub>
                                  <m:sSubPr>
                                    <m:ctrlPr>
                                      <w:rPr>
                                        <w:rFonts w:ascii="Cambria Math" w:hAnsi="Cambria Math"/>
                                        <w:i/>
                                        <w:sz w:val="22"/>
                                      </w:rPr>
                                    </m:ctrlPr>
                                  </m:sSubPr>
                                  <m:e>
                                    <m:r>
                                      <w:rPr>
                                        <w:rFonts w:ascii="Cambria Math" w:hAnsi="Cambria Math"/>
                                        <w:sz w:val="22"/>
                                      </w:rPr>
                                      <m:t>δ</m:t>
                                    </m:r>
                                  </m:e>
                                  <m:sub>
                                    <m:r>
                                      <w:rPr>
                                        <w:rFonts w:ascii="Cambria Math" w:hAnsi="Cambria Math"/>
                                        <w:sz w:val="22"/>
                                      </w:rPr>
                                      <m:t>i+1</m:t>
                                    </m:r>
                                  </m:sub>
                                </m:sSub>
                                <m:r>
                                  <w:rPr>
                                    <w:rFonts w:ascii="Cambria Math" w:hAnsi="Cambria Math"/>
                                    <w:sz w:val="22"/>
                                  </w:rPr>
                                  <m:t>×</m:t>
                                </m:r>
                                <m:func>
                                  <m:funcPr>
                                    <m:ctrlPr>
                                      <w:rPr>
                                        <w:rFonts w:ascii="Cambria Math" w:hAnsi="Cambria Math"/>
                                        <w:i/>
                                        <w:sz w:val="22"/>
                                      </w:rPr>
                                    </m:ctrlPr>
                                  </m:funcPr>
                                  <m:fName>
                                    <m:r>
                                      <m:rPr>
                                        <m:sty m:val="p"/>
                                      </m:rPr>
                                      <w:rPr>
                                        <w:rFonts w:ascii="Cambria Math" w:hAnsi="Cambria Math"/>
                                        <w:sz w:val="22"/>
                                      </w:rPr>
                                      <m:t>tan</m:t>
                                    </m:r>
                                  </m:fName>
                                  <m:e>
                                    <m:sSub>
                                      <m:sSubPr>
                                        <m:ctrlPr>
                                          <w:rPr>
                                            <w:rFonts w:ascii="Cambria Math" w:hAnsi="Cambria Math"/>
                                            <w:i/>
                                            <w:sz w:val="22"/>
                                          </w:rPr>
                                        </m:ctrlPr>
                                      </m:sSubPr>
                                      <m:e>
                                        <m:r>
                                          <w:rPr>
                                            <w:rFonts w:ascii="Cambria Math" w:hAnsi="Cambria Math"/>
                                            <w:sz w:val="22"/>
                                          </w:rPr>
                                          <m:t>α</m:t>
                                        </m:r>
                                      </m:e>
                                      <m:sub>
                                        <m:r>
                                          <w:rPr>
                                            <w:rFonts w:ascii="Cambria Math" w:hAnsi="Cambria Math"/>
                                            <w:sz w:val="22"/>
                                          </w:rPr>
                                          <m:t>i</m:t>
                                        </m:r>
                                      </m:sub>
                                    </m:sSub>
                                    <m:r>
                                      <w:rPr>
                                        <w:rFonts w:ascii="Cambria Math" w:hAnsi="Cambria Math"/>
                                        <w:sz w:val="22"/>
                                      </w:rPr>
                                      <m:t>)</m:t>
                                    </m:r>
                                  </m:e>
                                </m:func>
                              </m:e>
                            </m:func>
                          </m:e>
                        </m:func>
                      </m:e>
                    </m:d>
                    <m:r>
                      <w:rPr>
                        <w:rFonts w:ascii="Cambria Math" w:hAnsi="Cambria Math"/>
                        <w:sz w:val="22"/>
                      </w:rPr>
                      <m:t>+</m:t>
                    </m:r>
                    <m:sSub>
                      <m:sSubPr>
                        <m:ctrlPr>
                          <w:rPr>
                            <w:rFonts w:ascii="Cambria Math" w:hAnsi="Cambria Math"/>
                            <w:i/>
                            <w:sz w:val="22"/>
                          </w:rPr>
                        </m:ctrlPr>
                      </m:sSubPr>
                      <m:e>
                        <m:r>
                          <w:rPr>
                            <w:rFonts w:ascii="Cambria Math" w:hAnsi="Cambria Math"/>
                            <w:sz w:val="22"/>
                          </w:rPr>
                          <m:t>E</m:t>
                        </m:r>
                      </m:e>
                      <m:sub>
                        <m:r>
                          <w:rPr>
                            <w:rFonts w:ascii="Cambria Math" w:hAnsi="Cambria Math"/>
                            <w:sz w:val="22"/>
                          </w:rPr>
                          <m:t>i</m:t>
                        </m:r>
                      </m:sub>
                    </m:sSub>
                    <m:sSub>
                      <m:sSubPr>
                        <m:ctrlPr>
                          <w:rPr>
                            <w:rFonts w:ascii="Cambria Math" w:hAnsi="Cambria Math"/>
                            <w:i/>
                            <w:sz w:val="22"/>
                          </w:rPr>
                        </m:ctrlPr>
                      </m:sSubPr>
                      <m:e>
                        <m:r>
                          <w:rPr>
                            <w:rFonts w:ascii="Cambria Math" w:hAnsi="Cambria Math"/>
                            <w:sz w:val="22"/>
                          </w:rPr>
                          <m:t>Z</m:t>
                        </m:r>
                      </m:e>
                      <m:sub>
                        <m:r>
                          <w:rPr>
                            <w:rFonts w:ascii="Cambria Math" w:hAnsi="Cambria Math"/>
                            <w:sz w:val="22"/>
                          </w:rPr>
                          <m:t>i</m:t>
                        </m:r>
                      </m:sub>
                    </m:sSub>
                    <m:func>
                      <m:funcPr>
                        <m:ctrlPr>
                          <w:rPr>
                            <w:rFonts w:ascii="Cambria Math" w:hAnsi="Cambria Math"/>
                            <w:i/>
                            <w:sz w:val="22"/>
                          </w:rPr>
                        </m:ctrlPr>
                      </m:funcPr>
                      <m:fName>
                        <m:r>
                          <m:rPr>
                            <m:sty m:val="p"/>
                          </m:rPr>
                          <w:rPr>
                            <w:rFonts w:ascii="Cambria Math" w:hAnsi="Cambria Math"/>
                            <w:sz w:val="22"/>
                          </w:rPr>
                          <m:t>cos</m:t>
                        </m:r>
                      </m:fName>
                      <m:e>
                        <m:sSub>
                          <m:sSubPr>
                            <m:ctrlPr>
                              <w:rPr>
                                <w:rFonts w:ascii="Cambria Math" w:hAnsi="Cambria Math"/>
                                <w:i/>
                                <w:sz w:val="22"/>
                              </w:rPr>
                            </m:ctrlPr>
                          </m:sSubPr>
                          <m:e>
                            <m:r>
                              <w:rPr>
                                <w:rFonts w:ascii="Cambria Math" w:hAnsi="Cambria Math"/>
                                <w:sz w:val="22"/>
                              </w:rPr>
                              <m:t>δ</m:t>
                            </m:r>
                          </m:e>
                          <m:sub>
                            <m:r>
                              <w:rPr>
                                <w:rFonts w:ascii="Cambria Math" w:hAnsi="Cambria Math"/>
                                <w:sz w:val="22"/>
                              </w:rPr>
                              <m:t>i</m:t>
                            </m:r>
                          </m:sub>
                        </m:sSub>
                        <m:r>
                          <w:rPr>
                            <w:rFonts w:ascii="Cambria Math" w:hAnsi="Cambria Math"/>
                            <w:sz w:val="22"/>
                          </w:rPr>
                          <m:t>-</m:t>
                        </m:r>
                        <m:sSub>
                          <m:sSubPr>
                            <m:ctrlPr>
                              <w:rPr>
                                <w:rFonts w:ascii="Cambria Math" w:hAnsi="Cambria Math"/>
                                <w:i/>
                                <w:sz w:val="22"/>
                              </w:rPr>
                            </m:ctrlPr>
                          </m:sSubPr>
                          <m:e>
                            <m:r>
                              <w:rPr>
                                <w:rFonts w:ascii="Cambria Math" w:hAnsi="Cambria Math"/>
                                <w:sz w:val="22"/>
                              </w:rPr>
                              <m:t>M1</m:t>
                            </m:r>
                          </m:e>
                          <m:sub>
                            <m:r>
                              <w:rPr>
                                <w:rFonts w:ascii="Cambria Math" w:hAnsi="Cambria Math"/>
                                <w:sz w:val="22"/>
                              </w:rPr>
                              <m:t>i</m:t>
                            </m:r>
                          </m:sub>
                        </m:sSub>
                        <m:r>
                          <w:rPr>
                            <w:rFonts w:ascii="Cambria Math" w:hAnsi="Cambria Math"/>
                            <w:sz w:val="22"/>
                          </w:rPr>
                          <m:t>+</m:t>
                        </m:r>
                        <m:sSub>
                          <m:sSubPr>
                            <m:ctrlPr>
                              <w:rPr>
                                <w:rFonts w:ascii="Cambria Math" w:hAnsi="Cambria Math"/>
                                <w:i/>
                                <w:sz w:val="22"/>
                              </w:rPr>
                            </m:ctrlPr>
                          </m:sSubPr>
                          <m:e>
                            <m:r>
                              <w:rPr>
                                <w:rFonts w:ascii="Cambria Math" w:hAnsi="Cambria Math"/>
                                <w:sz w:val="22"/>
                              </w:rPr>
                              <m:t>K</m:t>
                            </m:r>
                          </m:e>
                          <m:sub>
                            <m:r>
                              <w:rPr>
                                <w:rFonts w:ascii="Cambria Math" w:hAnsi="Cambria Math"/>
                                <w:sz w:val="22"/>
                              </w:rPr>
                              <m:t>h</m:t>
                            </m:r>
                          </m:sub>
                        </m:sSub>
                        <m:sSub>
                          <m:sSubPr>
                            <m:ctrlPr>
                              <w:rPr>
                                <w:rFonts w:ascii="Cambria Math" w:hAnsi="Cambria Math"/>
                                <w:i/>
                                <w:sz w:val="22"/>
                              </w:rPr>
                            </m:ctrlPr>
                          </m:sSubPr>
                          <m:e>
                            <m:r>
                              <w:rPr>
                                <w:rFonts w:ascii="Cambria Math" w:hAnsi="Cambria Math"/>
                                <w:sz w:val="22"/>
                              </w:rPr>
                              <m:t>W</m:t>
                            </m:r>
                          </m:e>
                          <m:sub>
                            <m:r>
                              <w:rPr>
                                <w:rFonts w:ascii="Cambria Math" w:hAnsi="Cambria Math"/>
                                <w:sz w:val="22"/>
                              </w:rPr>
                              <m:t>i</m:t>
                            </m:r>
                          </m:sub>
                        </m:sSub>
                        <m:r>
                          <w:rPr>
                            <w:rFonts w:ascii="Cambria Math" w:hAnsi="Cambria Math"/>
                            <w:sz w:val="22"/>
                          </w:rPr>
                          <m:t>(</m:t>
                        </m:r>
                        <m:sSub>
                          <m:sSubPr>
                            <m:ctrlPr>
                              <w:rPr>
                                <w:rFonts w:ascii="Cambria Math" w:hAnsi="Cambria Math"/>
                                <w:i/>
                                <w:sz w:val="22"/>
                              </w:rPr>
                            </m:ctrlPr>
                          </m:sSubPr>
                          <m:e>
                            <m:r>
                              <w:rPr>
                                <w:rFonts w:ascii="Cambria Math" w:hAnsi="Cambria Math"/>
                                <w:sz w:val="22"/>
                              </w:rPr>
                              <m:t>y</m:t>
                            </m:r>
                          </m:e>
                          <m:sub>
                            <m:r>
                              <w:rPr>
                                <w:rFonts w:ascii="Cambria Math" w:hAnsi="Cambria Math"/>
                                <w:sz w:val="22"/>
                              </w:rPr>
                              <m:t>M</m:t>
                            </m:r>
                          </m:sub>
                        </m:sSub>
                        <m:r>
                          <w:rPr>
                            <w:rFonts w:ascii="Cambria Math" w:hAnsi="Cambria Math"/>
                            <w:sz w:val="22"/>
                          </w:rPr>
                          <m:t>-</m:t>
                        </m:r>
                        <m:sSub>
                          <m:sSubPr>
                            <m:ctrlPr>
                              <w:rPr>
                                <w:rFonts w:ascii="Cambria Math" w:hAnsi="Cambria Math"/>
                                <w:i/>
                                <w:sz w:val="22"/>
                              </w:rPr>
                            </m:ctrlPr>
                          </m:sSubPr>
                          <m:e>
                            <m:r>
                              <w:rPr>
                                <w:rFonts w:ascii="Cambria Math" w:hAnsi="Cambria Math"/>
                                <w:sz w:val="22"/>
                              </w:rPr>
                              <m:t>y</m:t>
                            </m:r>
                          </m:e>
                          <m:sub>
                            <m:r>
                              <w:rPr>
                                <w:rFonts w:ascii="Cambria Math" w:hAnsi="Cambria Math"/>
                                <w:sz w:val="22"/>
                              </w:rPr>
                              <m:t>gi</m:t>
                            </m:r>
                          </m:sub>
                        </m:sSub>
                      </m:e>
                    </m:func>
                    <m:r>
                      <w:rPr>
                        <w:rFonts w:ascii="Cambria Math" w:hAnsi="Cambria Math"/>
                        <w:sz w:val="22"/>
                      </w:rPr>
                      <m:t>)</m:t>
                    </m:r>
                  </m:num>
                  <m:den>
                    <m:sSub>
                      <m:sSubPr>
                        <m:ctrlPr>
                          <w:rPr>
                            <w:rFonts w:ascii="Cambria Math" w:hAnsi="Cambria Math"/>
                            <w:i/>
                            <w:sz w:val="22"/>
                          </w:rPr>
                        </m:ctrlPr>
                      </m:sSubPr>
                      <m:e>
                        <m:r>
                          <w:rPr>
                            <w:rFonts w:ascii="Cambria Math" w:hAnsi="Cambria Math"/>
                            <w:sz w:val="22"/>
                          </w:rPr>
                          <m:t>E</m:t>
                        </m:r>
                      </m:e>
                      <m:sub>
                        <m:r>
                          <w:rPr>
                            <w:rFonts w:ascii="Cambria Math" w:hAnsi="Cambria Math"/>
                            <w:sz w:val="22"/>
                          </w:rPr>
                          <m:t>i+1</m:t>
                        </m:r>
                      </m:sub>
                    </m:sSub>
                    <m:func>
                      <m:funcPr>
                        <m:ctrlPr>
                          <w:rPr>
                            <w:rFonts w:ascii="Cambria Math" w:hAnsi="Cambria Math"/>
                            <w:i/>
                            <w:sz w:val="22"/>
                          </w:rPr>
                        </m:ctrlPr>
                      </m:funcPr>
                      <m:fName>
                        <m:r>
                          <m:rPr>
                            <m:sty m:val="p"/>
                          </m:rPr>
                          <w:rPr>
                            <w:rFonts w:ascii="Cambria Math" w:hAnsi="Cambria Math"/>
                            <w:sz w:val="22"/>
                          </w:rPr>
                          <m:t>cos</m:t>
                        </m:r>
                      </m:fName>
                      <m:e>
                        <m:sSub>
                          <m:sSubPr>
                            <m:ctrlPr>
                              <w:rPr>
                                <w:rFonts w:ascii="Cambria Math" w:hAnsi="Cambria Math"/>
                                <w:i/>
                                <w:sz w:val="22"/>
                              </w:rPr>
                            </m:ctrlPr>
                          </m:sSubPr>
                          <m:e>
                            <m:r>
                              <w:rPr>
                                <w:rFonts w:ascii="Cambria Math" w:hAnsi="Cambria Math"/>
                                <w:sz w:val="22"/>
                              </w:rPr>
                              <m:t>δ</m:t>
                            </m:r>
                          </m:e>
                          <m:sub>
                            <m:r>
                              <w:rPr>
                                <w:rFonts w:ascii="Cambria Math" w:hAnsi="Cambria Math"/>
                                <w:sz w:val="22"/>
                              </w:rPr>
                              <m:t>i+1</m:t>
                            </m:r>
                          </m:sub>
                        </m:sSub>
                      </m:e>
                    </m:func>
                  </m:den>
                </m:f>
              </m:oMath>
            </m:oMathPara>
          </w:p>
        </w:tc>
        <w:tc>
          <w:tcPr>
            <w:tcW w:w="810" w:type="dxa"/>
          </w:tcPr>
          <w:p w14:paraId="777C1200" w14:textId="22BD7503" w:rsidR="00051297" w:rsidRPr="00051297" w:rsidRDefault="00051297" w:rsidP="00051297">
            <w:pPr>
              <w:spacing w:after="160"/>
              <w:ind w:firstLine="0"/>
            </w:pPr>
            <w:bookmarkStart w:id="313" w:name="_Ref103556510"/>
            <w:r w:rsidRPr="00051297">
              <w:rPr>
                <w:sz w:val="22"/>
                <w:lang w:val="en-US"/>
              </w:rPr>
              <w:t>(</w:t>
            </w:r>
            <w:r w:rsidRPr="00051297">
              <w:rPr>
                <w:sz w:val="22"/>
                <w:lang w:val="en-US"/>
              </w:rPr>
              <w:fldChar w:fldCharType="begin"/>
            </w:r>
            <w:r w:rsidRPr="00051297">
              <w:rPr>
                <w:sz w:val="22"/>
                <w:lang w:val="en-US"/>
              </w:rPr>
              <w:instrText xml:space="preserve"> STYLEREF 1 \s </w:instrText>
            </w:r>
            <w:r w:rsidRPr="00051297">
              <w:rPr>
                <w:sz w:val="22"/>
                <w:lang w:val="en-US"/>
              </w:rPr>
              <w:fldChar w:fldCharType="separate"/>
            </w:r>
            <w:r w:rsidR="004870F1">
              <w:rPr>
                <w:noProof/>
                <w:sz w:val="22"/>
                <w:lang w:val="en-US"/>
              </w:rPr>
              <w:t>1</w:t>
            </w:r>
            <w:r w:rsidRPr="00051297">
              <w:rPr>
                <w:sz w:val="22"/>
                <w:lang w:val="en-US"/>
              </w:rPr>
              <w:fldChar w:fldCharType="end"/>
            </w:r>
            <w:r w:rsidRPr="00051297">
              <w:rPr>
                <w:sz w:val="22"/>
                <w:lang w:val="en-US"/>
              </w:rPr>
              <w:t>.</w:t>
            </w:r>
            <w:r w:rsidRPr="00051297">
              <w:rPr>
                <w:sz w:val="22"/>
                <w:lang w:val="en-US"/>
              </w:rPr>
              <w:fldChar w:fldCharType="begin"/>
            </w:r>
            <w:r w:rsidRPr="00051297">
              <w:rPr>
                <w:sz w:val="22"/>
                <w:lang w:val="en-US"/>
              </w:rPr>
              <w:instrText xml:space="preserve"> SEQ Equation \* ARABIC \s 1 </w:instrText>
            </w:r>
            <w:r w:rsidRPr="00051297">
              <w:rPr>
                <w:sz w:val="22"/>
                <w:lang w:val="en-US"/>
              </w:rPr>
              <w:fldChar w:fldCharType="separate"/>
            </w:r>
            <w:r w:rsidR="004870F1">
              <w:rPr>
                <w:noProof/>
                <w:sz w:val="22"/>
                <w:lang w:val="en-US"/>
              </w:rPr>
              <w:t>25</w:t>
            </w:r>
            <w:r w:rsidRPr="00051297">
              <w:rPr>
                <w:sz w:val="22"/>
                <w:lang w:val="en-US"/>
              </w:rPr>
              <w:fldChar w:fldCharType="end"/>
            </w:r>
            <w:r w:rsidRPr="00051297">
              <w:rPr>
                <w:sz w:val="22"/>
                <w:lang w:val="en-US"/>
              </w:rPr>
              <w:t>)</w:t>
            </w:r>
            <w:bookmarkEnd w:id="313"/>
          </w:p>
        </w:tc>
      </w:tr>
    </w:tbl>
    <w:p w14:paraId="30A7CAEC" w14:textId="77777777" w:rsidR="00051297" w:rsidRPr="00051297" w:rsidRDefault="00051297" w:rsidP="00051297">
      <w:pPr>
        <w:rPr>
          <w:rFonts w:cs="Times New Roman"/>
          <w:szCs w:val="24"/>
          <w:lang w:val="en-US"/>
        </w:rPr>
      </w:pPr>
      <w:r w:rsidRPr="00051297">
        <w:rPr>
          <w:rFonts w:cs="Times New Roman"/>
          <w:szCs w:val="24"/>
          <w:lang w:val="en-US"/>
        </w:rPr>
        <w:lastRenderedPageBreak/>
        <w:t>Knowing the value at the slip surface origin on the left, where z</w:t>
      </w:r>
      <w:r w:rsidRPr="00051297">
        <w:rPr>
          <w:rFonts w:cs="Times New Roman"/>
          <w:szCs w:val="24"/>
          <w:vertAlign w:val="subscript"/>
          <w:lang w:val="en-US"/>
        </w:rPr>
        <w:t>1</w:t>
      </w:r>
      <w:r w:rsidRPr="00051297">
        <w:rPr>
          <w:rFonts w:cs="Times New Roman"/>
          <w:szCs w:val="24"/>
          <w:lang w:val="en-US"/>
        </w:rPr>
        <w:t xml:space="preserve"> = 0, we may use this method to determine all arms z</w:t>
      </w:r>
      <w:r w:rsidRPr="00051297">
        <w:rPr>
          <w:rFonts w:cs="Times New Roman"/>
          <w:szCs w:val="24"/>
          <w:vertAlign w:val="subscript"/>
          <w:lang w:val="en-US"/>
        </w:rPr>
        <w:t>i</w:t>
      </w:r>
      <w:r w:rsidRPr="00051297">
        <w:rPr>
          <w:rFonts w:cs="Times New Roman"/>
          <w:szCs w:val="24"/>
          <w:lang w:val="en-US"/>
        </w:rPr>
        <w:t xml:space="preserve"> of forces acting between blocks for a given value of </w:t>
      </w:r>
      <w:r w:rsidRPr="00051297">
        <w:rPr>
          <w:rFonts w:cs="Times New Roman"/>
          <w:i/>
          <w:iCs/>
          <w:szCs w:val="24"/>
        </w:rPr>
        <w:t>δ</w:t>
      </w:r>
      <w:r w:rsidRPr="00051297">
        <w:rPr>
          <w:rFonts w:cs="Times New Roman"/>
          <w:i/>
          <w:iCs/>
          <w:szCs w:val="24"/>
          <w:vertAlign w:val="subscript"/>
          <w:lang w:val="en-US"/>
        </w:rPr>
        <w:t>i</w:t>
      </w:r>
      <w:r w:rsidRPr="00051297">
        <w:rPr>
          <w:rFonts w:cs="Times New Roman"/>
          <w:szCs w:val="24"/>
          <w:lang w:val="en-US"/>
        </w:rPr>
        <w:t>.</w:t>
      </w:r>
    </w:p>
    <w:p w14:paraId="30209348" w14:textId="77777777" w:rsidR="00051297" w:rsidRPr="00051297" w:rsidRDefault="00051297" w:rsidP="00051297">
      <w:pPr>
        <w:rPr>
          <w:rFonts w:cs="Times New Roman"/>
          <w:szCs w:val="24"/>
          <w:lang w:val="en-US"/>
        </w:rPr>
      </w:pPr>
      <w:r w:rsidRPr="00051297">
        <w:rPr>
          <w:rFonts w:cs="Times New Roman"/>
          <w:szCs w:val="24"/>
          <w:lang w:val="en-US"/>
        </w:rPr>
        <w:t>The following iteration technique is used to find the factor of safety FS:</w:t>
      </w:r>
    </w:p>
    <w:p w14:paraId="6CBEF8EF" w14:textId="77777777" w:rsidR="00051297" w:rsidRPr="00051297" w:rsidRDefault="00051297" w:rsidP="00051297">
      <w:pPr>
        <w:numPr>
          <w:ilvl w:val="0"/>
          <w:numId w:val="29"/>
        </w:numPr>
        <w:tabs>
          <w:tab w:val="clear" w:pos="720"/>
          <w:tab w:val="num" w:pos="993"/>
        </w:tabs>
        <w:ind w:left="0" w:firstLine="709"/>
        <w:rPr>
          <w:rFonts w:cs="Times New Roman"/>
          <w:szCs w:val="24"/>
          <w:lang w:val="en-US"/>
        </w:rPr>
      </w:pPr>
      <w:r w:rsidRPr="00051297">
        <w:rPr>
          <w:rFonts w:cs="Times New Roman"/>
          <w:szCs w:val="24"/>
          <w:lang w:val="en-US"/>
        </w:rPr>
        <w:t>The half-sine function (</w:t>
      </w:r>
      <w:r w:rsidRPr="00051297">
        <w:rPr>
          <w:rFonts w:cs="Times New Roman"/>
          <w:i/>
          <w:iCs/>
          <w:szCs w:val="24"/>
        </w:rPr>
        <w:t>δ</w:t>
      </w:r>
      <w:r w:rsidRPr="00051297">
        <w:rPr>
          <w:rFonts w:cs="Times New Roman"/>
          <w:i/>
          <w:iCs/>
          <w:szCs w:val="24"/>
          <w:vertAlign w:val="subscript"/>
          <w:lang w:val="en-US"/>
        </w:rPr>
        <w:t>i</w:t>
      </w:r>
      <w:r w:rsidRPr="00051297">
        <w:rPr>
          <w:rFonts w:cs="Times New Roman"/>
          <w:i/>
          <w:iCs/>
          <w:szCs w:val="24"/>
          <w:lang w:val="en-US"/>
        </w:rPr>
        <w:t xml:space="preserve"> = </w:t>
      </w:r>
      <w:r w:rsidRPr="00051297">
        <w:rPr>
          <w:rFonts w:cs="Times New Roman"/>
          <w:i/>
          <w:iCs/>
          <w:szCs w:val="24"/>
        </w:rPr>
        <w:t>λ</w:t>
      </w:r>
      <w:r w:rsidRPr="00051297">
        <w:rPr>
          <w:rFonts w:cs="Times New Roman"/>
          <w:i/>
          <w:iCs/>
          <w:szCs w:val="24"/>
          <w:vertAlign w:val="subscript"/>
          <w:lang w:val="en-US"/>
        </w:rPr>
        <w:t>*</w:t>
      </w:r>
      <w:r w:rsidRPr="00051297">
        <w:rPr>
          <w:rFonts w:cs="Times New Roman"/>
          <w:i/>
          <w:iCs/>
          <w:szCs w:val="24"/>
          <w:lang w:val="en-US"/>
        </w:rPr>
        <w:t>f</w:t>
      </w:r>
      <w:r w:rsidRPr="00051297">
        <w:rPr>
          <w:rFonts w:cs="Times New Roman"/>
          <w:szCs w:val="24"/>
          <w:lang w:val="en-US"/>
        </w:rPr>
        <w:t>(</w:t>
      </w:r>
      <w:r w:rsidRPr="00051297">
        <w:rPr>
          <w:rFonts w:cs="Times New Roman"/>
          <w:i/>
          <w:iCs/>
          <w:szCs w:val="24"/>
          <w:lang w:val="en-US"/>
        </w:rPr>
        <w:t>x</w:t>
      </w:r>
      <w:r w:rsidRPr="00051297">
        <w:rPr>
          <w:rFonts w:cs="Times New Roman"/>
          <w:i/>
          <w:iCs/>
          <w:szCs w:val="24"/>
          <w:vertAlign w:val="subscript"/>
          <w:lang w:val="en-US"/>
        </w:rPr>
        <w:t>i</w:t>
      </w:r>
      <w:r w:rsidRPr="00051297">
        <w:rPr>
          <w:rFonts w:cs="Times New Roman"/>
          <w:szCs w:val="24"/>
          <w:lang w:val="en-US"/>
        </w:rPr>
        <w:t xml:space="preserve">)) is used to set the starting value of angles </w:t>
      </w:r>
      <w:r w:rsidRPr="00051297">
        <w:rPr>
          <w:rFonts w:cs="Times New Roman"/>
          <w:i/>
          <w:iCs/>
          <w:szCs w:val="24"/>
        </w:rPr>
        <w:t>δ</w:t>
      </w:r>
      <w:r w:rsidRPr="00051297">
        <w:rPr>
          <w:rFonts w:cs="Times New Roman"/>
          <w:i/>
          <w:iCs/>
          <w:szCs w:val="24"/>
          <w:vertAlign w:val="subscript"/>
          <w:lang w:val="en-US"/>
        </w:rPr>
        <w:t>i</w:t>
      </w:r>
      <w:r w:rsidRPr="00051297">
        <w:rPr>
          <w:rFonts w:cs="Times New Roman"/>
          <w:szCs w:val="24"/>
          <w:lang w:val="en-US"/>
        </w:rPr>
        <w:t>.</w:t>
      </w:r>
    </w:p>
    <w:p w14:paraId="7560E979" w14:textId="04DE0309" w:rsidR="00051297" w:rsidRPr="00051297" w:rsidRDefault="00051297" w:rsidP="00051297">
      <w:pPr>
        <w:numPr>
          <w:ilvl w:val="0"/>
          <w:numId w:val="29"/>
        </w:numPr>
        <w:tabs>
          <w:tab w:val="clear" w:pos="720"/>
          <w:tab w:val="num" w:pos="993"/>
        </w:tabs>
        <w:ind w:left="0" w:firstLine="709"/>
        <w:rPr>
          <w:rFonts w:cs="Times New Roman"/>
          <w:szCs w:val="24"/>
          <w:lang w:val="en-US"/>
        </w:rPr>
      </w:pPr>
      <w:r w:rsidRPr="00051297">
        <w:rPr>
          <w:rFonts w:cs="Times New Roman"/>
          <w:szCs w:val="24"/>
          <w:lang w:val="en-US"/>
        </w:rPr>
        <w:t xml:space="preserve">Equation </w:t>
      </w:r>
      <w:r w:rsidRPr="00051297">
        <w:rPr>
          <w:rFonts w:cs="Times New Roman"/>
          <w:szCs w:val="24"/>
          <w:lang w:val="en-US"/>
        </w:rPr>
        <w:fldChar w:fldCharType="begin"/>
      </w:r>
      <w:r w:rsidRPr="00051297">
        <w:rPr>
          <w:rFonts w:cs="Times New Roman"/>
          <w:szCs w:val="24"/>
          <w:lang w:val="en-US"/>
        </w:rPr>
        <w:instrText xml:space="preserve"> REF _Ref103556478 \h  \* MERGEFORMAT </w:instrText>
      </w:r>
      <w:r w:rsidRPr="00051297">
        <w:rPr>
          <w:rFonts w:cs="Times New Roman"/>
          <w:szCs w:val="24"/>
          <w:lang w:val="en-US"/>
        </w:rPr>
      </w:r>
      <w:r w:rsidRPr="00051297">
        <w:rPr>
          <w:rFonts w:cs="Times New Roman"/>
          <w:szCs w:val="24"/>
          <w:lang w:val="en-US"/>
        </w:rPr>
        <w:fldChar w:fldCharType="separate"/>
      </w:r>
      <w:r w:rsidR="004870F1" w:rsidRPr="004870F1">
        <w:rPr>
          <w:szCs w:val="24"/>
          <w:lang w:val="en-US"/>
        </w:rPr>
        <w:t>(</w:t>
      </w:r>
      <w:r w:rsidR="004870F1" w:rsidRPr="004870F1">
        <w:rPr>
          <w:noProof/>
          <w:szCs w:val="24"/>
          <w:lang w:val="en-US"/>
        </w:rPr>
        <w:t>1.24</w:t>
      </w:r>
      <w:r w:rsidR="004870F1" w:rsidRPr="004870F1">
        <w:rPr>
          <w:szCs w:val="24"/>
          <w:lang w:val="en-US"/>
        </w:rPr>
        <w:t>)</w:t>
      </w:r>
      <w:r w:rsidRPr="00051297">
        <w:rPr>
          <w:rFonts w:cs="Times New Roman"/>
          <w:szCs w:val="24"/>
          <w:lang w:val="en-US"/>
        </w:rPr>
        <w:fldChar w:fldCharType="end"/>
      </w:r>
      <w:r w:rsidRPr="00051297">
        <w:rPr>
          <w:rFonts w:cs="Times New Roman"/>
          <w:szCs w:val="24"/>
          <w:lang w:val="en-US"/>
        </w:rPr>
        <w:t xml:space="preserve"> yields the factor of safety FS for a particular value of </w:t>
      </w:r>
      <w:r w:rsidRPr="00051297">
        <w:rPr>
          <w:rFonts w:cs="Times New Roman"/>
          <w:i/>
          <w:iCs/>
          <w:szCs w:val="24"/>
        </w:rPr>
        <w:t>δ</w:t>
      </w:r>
      <w:r w:rsidRPr="00051297">
        <w:rPr>
          <w:rFonts w:cs="Times New Roman"/>
          <w:i/>
          <w:iCs/>
          <w:szCs w:val="24"/>
          <w:vertAlign w:val="subscript"/>
          <w:lang w:val="en-US"/>
        </w:rPr>
        <w:t>i</w:t>
      </w:r>
      <w:r w:rsidRPr="00051297">
        <w:rPr>
          <w:rFonts w:cs="Times New Roman"/>
          <w:szCs w:val="24"/>
          <w:lang w:val="en-US"/>
        </w:rPr>
        <w:t xml:space="preserve"> when </w:t>
      </w:r>
      <w:r w:rsidRPr="00051297">
        <w:rPr>
          <w:rFonts w:cs="Times New Roman"/>
          <w:i/>
          <w:iCs/>
          <w:szCs w:val="24"/>
          <w:lang w:val="en-US"/>
        </w:rPr>
        <w:t>E</w:t>
      </w:r>
      <w:r w:rsidRPr="00051297">
        <w:rPr>
          <w:rFonts w:cs="Times New Roman"/>
          <w:i/>
          <w:iCs/>
          <w:szCs w:val="24"/>
          <w:vertAlign w:val="subscript"/>
          <w:lang w:val="en-US"/>
        </w:rPr>
        <w:t>n+1</w:t>
      </w:r>
      <w:r w:rsidRPr="00051297">
        <w:rPr>
          <w:rFonts w:cs="Times New Roman"/>
          <w:i/>
          <w:iCs/>
          <w:szCs w:val="24"/>
          <w:lang w:val="en-US"/>
        </w:rPr>
        <w:t> =</w:t>
      </w:r>
      <w:r w:rsidRPr="00051297">
        <w:rPr>
          <w:rFonts w:cs="Times New Roman"/>
          <w:szCs w:val="24"/>
          <w:lang w:val="en-US"/>
        </w:rPr>
        <w:t> 0 is assumed at the end of the slip surface.</w:t>
      </w:r>
    </w:p>
    <w:p w14:paraId="21E9C284" w14:textId="3E6FBC56" w:rsidR="00051297" w:rsidRPr="00051297" w:rsidRDefault="00051297" w:rsidP="00051297">
      <w:pPr>
        <w:numPr>
          <w:ilvl w:val="0"/>
          <w:numId w:val="29"/>
        </w:numPr>
        <w:tabs>
          <w:tab w:val="clear" w:pos="720"/>
          <w:tab w:val="num" w:pos="993"/>
        </w:tabs>
        <w:ind w:left="0" w:firstLine="709"/>
        <w:rPr>
          <w:rFonts w:cs="Times New Roman"/>
          <w:szCs w:val="24"/>
          <w:lang w:val="en-US"/>
        </w:rPr>
      </w:pPr>
      <w:r w:rsidRPr="00051297">
        <w:rPr>
          <w:rFonts w:cs="Times New Roman"/>
          <w:szCs w:val="24"/>
          <w:lang w:val="en-US"/>
        </w:rPr>
        <w:t xml:space="preserve">Equation </w:t>
      </w:r>
      <w:r w:rsidRPr="00051297">
        <w:rPr>
          <w:rFonts w:cs="Times New Roman"/>
          <w:szCs w:val="24"/>
          <w:lang w:val="en-US"/>
        </w:rPr>
        <w:fldChar w:fldCharType="begin"/>
      </w:r>
      <w:r w:rsidRPr="00051297">
        <w:rPr>
          <w:rFonts w:cs="Times New Roman"/>
          <w:szCs w:val="24"/>
          <w:lang w:val="en-US"/>
        </w:rPr>
        <w:instrText xml:space="preserve"> REF _Ref103556510 \h </w:instrText>
      </w:r>
      <w:r w:rsidRPr="00051297">
        <w:rPr>
          <w:rFonts w:cs="Times New Roman"/>
          <w:szCs w:val="24"/>
          <w:lang w:val="en-US"/>
        </w:rPr>
      </w:r>
      <w:r w:rsidRPr="00051297">
        <w:rPr>
          <w:rFonts w:cs="Times New Roman"/>
          <w:szCs w:val="24"/>
          <w:lang w:val="en-US"/>
        </w:rPr>
        <w:fldChar w:fldCharType="separate"/>
      </w:r>
      <w:r w:rsidR="004870F1" w:rsidRPr="00051297">
        <w:rPr>
          <w:sz w:val="22"/>
          <w:lang w:val="en-US"/>
        </w:rPr>
        <w:t>(</w:t>
      </w:r>
      <w:r w:rsidR="004870F1">
        <w:rPr>
          <w:noProof/>
          <w:sz w:val="22"/>
          <w:lang w:val="en-US"/>
        </w:rPr>
        <w:t>1</w:t>
      </w:r>
      <w:r w:rsidR="004870F1" w:rsidRPr="00051297">
        <w:rPr>
          <w:sz w:val="22"/>
          <w:lang w:val="en-US"/>
        </w:rPr>
        <w:t>.</w:t>
      </w:r>
      <w:r w:rsidR="004870F1">
        <w:rPr>
          <w:noProof/>
          <w:sz w:val="22"/>
          <w:lang w:val="en-US"/>
        </w:rPr>
        <w:t>25</w:t>
      </w:r>
      <w:r w:rsidR="004870F1" w:rsidRPr="00051297">
        <w:rPr>
          <w:sz w:val="22"/>
          <w:lang w:val="en-US"/>
        </w:rPr>
        <w:t>)</w:t>
      </w:r>
      <w:r w:rsidRPr="00051297">
        <w:rPr>
          <w:rFonts w:cs="Times New Roman"/>
          <w:szCs w:val="24"/>
          <w:lang w:val="en-US"/>
        </w:rPr>
        <w:fldChar w:fldCharType="end"/>
      </w:r>
      <w:r w:rsidRPr="00051297">
        <w:rPr>
          <w:rFonts w:cs="Times New Roman"/>
          <w:szCs w:val="24"/>
          <w:lang w:val="en-US"/>
        </w:rPr>
        <w:t xml:space="preserve"> yields the value of </w:t>
      </w:r>
      <w:r w:rsidRPr="00051297">
        <w:rPr>
          <w:rFonts w:cs="Times New Roman"/>
          <w:i/>
          <w:iCs/>
          <w:szCs w:val="24"/>
        </w:rPr>
        <w:t>δ</w:t>
      </w:r>
      <w:r w:rsidRPr="00051297">
        <w:rPr>
          <w:rFonts w:cs="Times New Roman"/>
          <w:i/>
          <w:iCs/>
          <w:szCs w:val="24"/>
          <w:vertAlign w:val="subscript"/>
          <w:lang w:val="en-US"/>
        </w:rPr>
        <w:t>i</w:t>
      </w:r>
      <w:r w:rsidRPr="00051297">
        <w:rPr>
          <w:rFonts w:cs="Times New Roman"/>
          <w:szCs w:val="24"/>
          <w:lang w:val="en-US"/>
        </w:rPr>
        <w:t xml:space="preserve"> by combining the values of E</w:t>
      </w:r>
      <w:r w:rsidRPr="00051297">
        <w:rPr>
          <w:rFonts w:cs="Times New Roman"/>
          <w:szCs w:val="24"/>
          <w:vertAlign w:val="subscript"/>
          <w:lang w:val="en-US"/>
        </w:rPr>
        <w:t>i</w:t>
      </w:r>
      <w:r w:rsidRPr="00051297">
        <w:rPr>
          <w:rFonts w:cs="Times New Roman"/>
          <w:szCs w:val="24"/>
          <w:lang w:val="en-US"/>
        </w:rPr>
        <w:t xml:space="preserve"> determined in the previous step with the requirement that the moment on the last block be zero. The functional values </w:t>
      </w:r>
      <w:r w:rsidRPr="00051297">
        <w:rPr>
          <w:rFonts w:cs="Times New Roman"/>
          <w:i/>
          <w:iCs/>
          <w:szCs w:val="24"/>
          <w:lang w:val="en-US"/>
        </w:rPr>
        <w:t>f</w:t>
      </w:r>
      <w:r w:rsidRPr="00051297">
        <w:rPr>
          <w:rFonts w:cs="Times New Roman"/>
          <w:szCs w:val="24"/>
          <w:lang w:val="en-US"/>
        </w:rPr>
        <w:t>(</w:t>
      </w:r>
      <w:r w:rsidRPr="00051297">
        <w:rPr>
          <w:rFonts w:cs="Times New Roman"/>
          <w:i/>
          <w:iCs/>
          <w:szCs w:val="24"/>
          <w:lang w:val="en-US"/>
        </w:rPr>
        <w:t>x</w:t>
      </w:r>
      <w:r w:rsidRPr="00051297">
        <w:rPr>
          <w:rFonts w:cs="Times New Roman"/>
          <w:i/>
          <w:iCs/>
          <w:szCs w:val="24"/>
          <w:vertAlign w:val="subscript"/>
          <w:lang w:val="en-US"/>
        </w:rPr>
        <w:t>i</w:t>
      </w:r>
      <w:r w:rsidRPr="00051297">
        <w:rPr>
          <w:rFonts w:cs="Times New Roman"/>
          <w:szCs w:val="24"/>
          <w:lang w:val="en-US"/>
        </w:rPr>
        <w:t xml:space="preserve">) remain constant throughout the iteration; only the parameter is iterated. Because </w:t>
      </w:r>
      <w:r w:rsidRPr="00051297">
        <w:rPr>
          <w:rFonts w:cs="Times New Roman"/>
          <w:i/>
          <w:iCs/>
          <w:szCs w:val="24"/>
          <w:lang w:val="en-US"/>
        </w:rPr>
        <w:t>z</w:t>
      </w:r>
      <w:r w:rsidRPr="00051297">
        <w:rPr>
          <w:rFonts w:cs="Times New Roman"/>
          <w:i/>
          <w:iCs/>
          <w:szCs w:val="24"/>
          <w:vertAlign w:val="subscript"/>
          <w:lang w:val="en-US"/>
        </w:rPr>
        <w:t>n+1</w:t>
      </w:r>
      <w:r w:rsidRPr="00051297">
        <w:rPr>
          <w:rFonts w:cs="Times New Roman"/>
          <w:szCs w:val="24"/>
          <w:lang w:val="en-US"/>
        </w:rPr>
        <w:t xml:space="preserve"> is equal to zero, equation </w:t>
      </w:r>
      <w:r w:rsidRPr="00051297">
        <w:rPr>
          <w:rFonts w:cs="Times New Roman"/>
          <w:szCs w:val="24"/>
          <w:lang w:val="en-US"/>
        </w:rPr>
        <w:fldChar w:fldCharType="begin"/>
      </w:r>
      <w:r w:rsidRPr="00051297">
        <w:rPr>
          <w:rFonts w:cs="Times New Roman"/>
          <w:szCs w:val="24"/>
          <w:lang w:val="en-US"/>
        </w:rPr>
        <w:instrText xml:space="preserve"> REF _Ref103556510 \h </w:instrText>
      </w:r>
      <w:r w:rsidRPr="00051297">
        <w:rPr>
          <w:rFonts w:cs="Times New Roman"/>
          <w:szCs w:val="24"/>
          <w:lang w:val="en-US"/>
        </w:rPr>
      </w:r>
      <w:r w:rsidRPr="00051297">
        <w:rPr>
          <w:rFonts w:cs="Times New Roman"/>
          <w:szCs w:val="24"/>
          <w:lang w:val="en-US"/>
        </w:rPr>
        <w:fldChar w:fldCharType="separate"/>
      </w:r>
      <w:r w:rsidR="004870F1" w:rsidRPr="00051297">
        <w:rPr>
          <w:sz w:val="22"/>
          <w:lang w:val="en-US"/>
        </w:rPr>
        <w:t>(</w:t>
      </w:r>
      <w:r w:rsidR="004870F1">
        <w:rPr>
          <w:noProof/>
          <w:sz w:val="22"/>
          <w:lang w:val="en-US"/>
        </w:rPr>
        <w:t>1</w:t>
      </w:r>
      <w:r w:rsidR="004870F1" w:rsidRPr="00051297">
        <w:rPr>
          <w:sz w:val="22"/>
          <w:lang w:val="en-US"/>
        </w:rPr>
        <w:t>.</w:t>
      </w:r>
      <w:r w:rsidR="004870F1">
        <w:rPr>
          <w:noProof/>
          <w:sz w:val="22"/>
          <w:lang w:val="en-US"/>
        </w:rPr>
        <w:t>25</w:t>
      </w:r>
      <w:r w:rsidR="004870F1" w:rsidRPr="00051297">
        <w:rPr>
          <w:sz w:val="22"/>
          <w:lang w:val="en-US"/>
        </w:rPr>
        <w:t>)</w:t>
      </w:r>
      <w:r w:rsidRPr="00051297">
        <w:rPr>
          <w:rFonts w:cs="Times New Roman"/>
          <w:szCs w:val="24"/>
          <w:lang w:val="en-US"/>
        </w:rPr>
        <w:fldChar w:fldCharType="end"/>
      </w:r>
      <w:r w:rsidRPr="00051297">
        <w:rPr>
          <w:rFonts w:cs="Times New Roman"/>
          <w:szCs w:val="24"/>
          <w:lang w:val="en-US"/>
        </w:rPr>
        <w:t xml:space="preserve"> does not offer a value for it. The equilibrium moment equation </w:t>
      </w:r>
      <w:r w:rsidRPr="00051297">
        <w:rPr>
          <w:rFonts w:cs="Times New Roman"/>
          <w:szCs w:val="24"/>
          <w:lang w:val="en-US"/>
        </w:rPr>
        <w:fldChar w:fldCharType="begin"/>
      </w:r>
      <w:r w:rsidRPr="00051297">
        <w:rPr>
          <w:rFonts w:cs="Times New Roman"/>
          <w:szCs w:val="24"/>
          <w:lang w:val="en-US"/>
        </w:rPr>
        <w:instrText xml:space="preserve"> REF _Ref103556424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23</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must be satisfied for this value.</w:t>
      </w:r>
    </w:p>
    <w:p w14:paraId="1FD809A9" w14:textId="03997E2D" w:rsidR="00051297" w:rsidRPr="00051297" w:rsidRDefault="00051297" w:rsidP="00051297">
      <w:pPr>
        <w:numPr>
          <w:ilvl w:val="0"/>
          <w:numId w:val="29"/>
        </w:numPr>
        <w:tabs>
          <w:tab w:val="clear" w:pos="720"/>
          <w:tab w:val="num" w:pos="993"/>
        </w:tabs>
        <w:ind w:left="0" w:firstLine="709"/>
        <w:rPr>
          <w:rFonts w:cs="Times New Roman"/>
          <w:szCs w:val="24"/>
          <w:lang w:val="en-US"/>
        </w:rPr>
      </w:pPr>
      <w:r w:rsidRPr="00051297">
        <w:rPr>
          <w:rFonts w:cs="Times New Roman"/>
          <w:szCs w:val="24"/>
          <w:lang w:val="en-US"/>
        </w:rPr>
        <w:t xml:space="preserve">Steps </w:t>
      </w:r>
      <w:r w:rsidRPr="00051297">
        <w:rPr>
          <w:rFonts w:cs="Times New Roman"/>
          <w:szCs w:val="24"/>
          <w:lang w:val="en-US"/>
        </w:rPr>
        <w:fldChar w:fldCharType="begin"/>
      </w:r>
      <w:r w:rsidRPr="00051297">
        <w:rPr>
          <w:rFonts w:cs="Times New Roman"/>
          <w:szCs w:val="24"/>
          <w:lang w:val="en-US"/>
        </w:rPr>
        <w:instrText xml:space="preserve"> REF _Ref103556457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20</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and </w:t>
      </w:r>
      <w:r w:rsidRPr="00051297">
        <w:rPr>
          <w:rFonts w:cs="Times New Roman"/>
          <w:szCs w:val="24"/>
          <w:lang w:val="en-US"/>
        </w:rPr>
        <w:fldChar w:fldCharType="begin"/>
      </w:r>
      <w:r w:rsidRPr="00051297">
        <w:rPr>
          <w:rFonts w:cs="Times New Roman"/>
          <w:szCs w:val="24"/>
          <w:lang w:val="en-US"/>
        </w:rPr>
        <w:instrText xml:space="preserve"> REF _Ref103556463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21</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are then repeated until the value of </w:t>
      </w:r>
      <w:r w:rsidRPr="00051297">
        <w:rPr>
          <w:rFonts w:cs="Times New Roman"/>
          <w:i/>
          <w:iCs/>
          <w:szCs w:val="24"/>
        </w:rPr>
        <w:t>δ</w:t>
      </w:r>
      <w:r w:rsidRPr="00051297">
        <w:rPr>
          <w:rFonts w:cs="Times New Roman"/>
          <w:i/>
          <w:iCs/>
          <w:szCs w:val="24"/>
          <w:vertAlign w:val="subscript"/>
          <w:lang w:val="en-US"/>
        </w:rPr>
        <w:t>i</w:t>
      </w:r>
      <w:r w:rsidRPr="00051297">
        <w:rPr>
          <w:rFonts w:cs="Times New Roman"/>
          <w:szCs w:val="24"/>
          <w:lang w:val="en-US"/>
        </w:rPr>
        <w:t> (resp. parameter </w:t>
      </w:r>
      <w:r w:rsidRPr="00051297">
        <w:rPr>
          <w:rFonts w:cs="Times New Roman"/>
          <w:i/>
          <w:iCs/>
          <w:szCs w:val="24"/>
        </w:rPr>
        <w:t>λ</w:t>
      </w:r>
      <w:r w:rsidRPr="00051297">
        <w:rPr>
          <w:rFonts w:cs="Times New Roman"/>
          <w:szCs w:val="24"/>
          <w:lang w:val="en-US"/>
        </w:rPr>
        <w:t>) does not change.</w:t>
      </w:r>
    </w:p>
    <w:p w14:paraId="3DF76BB7" w14:textId="2E9F9599" w:rsidR="00051297" w:rsidRPr="00051297" w:rsidRDefault="00051297" w:rsidP="00051297">
      <w:pPr>
        <w:rPr>
          <w:rFonts w:cs="Times New Roman"/>
          <w:szCs w:val="24"/>
          <w:lang w:val="en-US"/>
        </w:rPr>
      </w:pPr>
      <w:r w:rsidRPr="00051297">
        <w:rPr>
          <w:rFonts w:cs="Times New Roman"/>
          <w:szCs w:val="24"/>
          <w:lang w:val="en-US"/>
        </w:rPr>
        <w:t xml:space="preserve">For a good iteration process, unstable solutions must be avoided. Such instabilities develop at the sites where the formulas </w:t>
      </w:r>
      <w:r w:rsidRPr="00051297">
        <w:rPr>
          <w:rFonts w:cs="Times New Roman"/>
          <w:szCs w:val="24"/>
          <w:lang w:val="en-US"/>
        </w:rPr>
        <w:fldChar w:fldCharType="begin"/>
      </w:r>
      <w:r w:rsidRPr="00051297">
        <w:rPr>
          <w:rFonts w:cs="Times New Roman"/>
          <w:szCs w:val="24"/>
          <w:lang w:val="en-US"/>
        </w:rPr>
        <w:instrText xml:space="preserve"> REF _Ref103556478 \h </w:instrText>
      </w:r>
      <w:r w:rsidRPr="00051297">
        <w:rPr>
          <w:rFonts w:cs="Times New Roman"/>
          <w:szCs w:val="24"/>
          <w:lang w:val="en-US"/>
        </w:rPr>
      </w:r>
      <w:r w:rsidRPr="00051297">
        <w:rPr>
          <w:rFonts w:cs="Times New Roman"/>
          <w:szCs w:val="24"/>
          <w:lang w:val="en-US"/>
        </w:rPr>
        <w:fldChar w:fldCharType="separate"/>
      </w:r>
      <w:r w:rsidR="004870F1" w:rsidRPr="00051297">
        <w:rPr>
          <w:sz w:val="20"/>
          <w:szCs w:val="20"/>
          <w:lang w:val="en-US"/>
        </w:rPr>
        <w:t>(</w:t>
      </w:r>
      <w:r w:rsidR="004870F1">
        <w:rPr>
          <w:noProof/>
          <w:sz w:val="20"/>
          <w:szCs w:val="20"/>
          <w:lang w:val="en-US"/>
        </w:rPr>
        <w:t>1</w:t>
      </w:r>
      <w:r w:rsidR="004870F1" w:rsidRPr="00051297">
        <w:rPr>
          <w:sz w:val="20"/>
          <w:szCs w:val="20"/>
          <w:lang w:val="en-US"/>
        </w:rPr>
        <w:t>.</w:t>
      </w:r>
      <w:r w:rsidR="004870F1">
        <w:rPr>
          <w:noProof/>
          <w:sz w:val="20"/>
          <w:szCs w:val="20"/>
          <w:lang w:val="en-US"/>
        </w:rPr>
        <w:t>24</w:t>
      </w:r>
      <w:r w:rsidR="004870F1" w:rsidRPr="00051297">
        <w:rPr>
          <w:sz w:val="20"/>
          <w:szCs w:val="20"/>
          <w:lang w:val="en-US"/>
        </w:rPr>
        <w:t>)</w:t>
      </w:r>
      <w:r w:rsidRPr="00051297">
        <w:rPr>
          <w:rFonts w:cs="Times New Roman"/>
          <w:szCs w:val="24"/>
          <w:lang w:val="en-US"/>
        </w:rPr>
        <w:fldChar w:fldCharType="end"/>
      </w:r>
      <w:r w:rsidRPr="00051297">
        <w:rPr>
          <w:rFonts w:cs="Times New Roman"/>
          <w:szCs w:val="24"/>
          <w:lang w:val="en-US"/>
        </w:rPr>
        <w:t xml:space="preserve"> and </w:t>
      </w:r>
      <w:r w:rsidRPr="00051297">
        <w:rPr>
          <w:rFonts w:cs="Times New Roman"/>
          <w:szCs w:val="24"/>
          <w:lang w:val="en-US"/>
        </w:rPr>
        <w:fldChar w:fldCharType="begin"/>
      </w:r>
      <w:r w:rsidRPr="00051297">
        <w:rPr>
          <w:rFonts w:cs="Times New Roman"/>
          <w:szCs w:val="24"/>
          <w:lang w:val="en-US"/>
        </w:rPr>
        <w:instrText xml:space="preserve"> REF _Ref103556510 \h </w:instrText>
      </w:r>
      <w:r w:rsidRPr="00051297">
        <w:rPr>
          <w:rFonts w:cs="Times New Roman"/>
          <w:szCs w:val="24"/>
          <w:lang w:val="en-US"/>
        </w:rPr>
      </w:r>
      <w:r w:rsidRPr="00051297">
        <w:rPr>
          <w:rFonts w:cs="Times New Roman"/>
          <w:szCs w:val="24"/>
          <w:lang w:val="en-US"/>
        </w:rPr>
        <w:fldChar w:fldCharType="separate"/>
      </w:r>
      <w:r w:rsidR="004870F1" w:rsidRPr="00051297">
        <w:rPr>
          <w:sz w:val="22"/>
          <w:lang w:val="en-US"/>
        </w:rPr>
        <w:t>(</w:t>
      </w:r>
      <w:r w:rsidR="004870F1">
        <w:rPr>
          <w:noProof/>
          <w:sz w:val="22"/>
          <w:lang w:val="en-US"/>
        </w:rPr>
        <w:t>1</w:t>
      </w:r>
      <w:r w:rsidR="004870F1" w:rsidRPr="00051297">
        <w:rPr>
          <w:sz w:val="22"/>
          <w:lang w:val="en-US"/>
        </w:rPr>
        <w:t>.</w:t>
      </w:r>
      <w:r w:rsidR="004870F1">
        <w:rPr>
          <w:noProof/>
          <w:sz w:val="22"/>
          <w:lang w:val="en-US"/>
        </w:rPr>
        <w:t>25</w:t>
      </w:r>
      <w:r w:rsidR="004870F1" w:rsidRPr="00051297">
        <w:rPr>
          <w:sz w:val="22"/>
          <w:lang w:val="en-US"/>
        </w:rPr>
        <w:t>)</w:t>
      </w:r>
      <w:r w:rsidRPr="00051297">
        <w:rPr>
          <w:rFonts w:cs="Times New Roman"/>
          <w:szCs w:val="24"/>
          <w:lang w:val="en-US"/>
        </w:rPr>
        <w:fldChar w:fldCharType="end"/>
      </w:r>
      <w:r w:rsidRPr="00051297">
        <w:rPr>
          <w:rFonts w:cs="Times New Roman"/>
          <w:szCs w:val="24"/>
          <w:lang w:val="en-US"/>
        </w:rPr>
        <w:t xml:space="preserve"> divide by zero. For </w:t>
      </w:r>
      <w:r w:rsidRPr="00051297">
        <w:rPr>
          <w:rFonts w:cs="Times New Roman"/>
          <w:i/>
          <w:iCs/>
          <w:szCs w:val="24"/>
        </w:rPr>
        <w:t>δ</w:t>
      </w:r>
      <w:r w:rsidRPr="00051297">
        <w:rPr>
          <w:rFonts w:cs="Times New Roman"/>
          <w:i/>
          <w:iCs/>
          <w:szCs w:val="24"/>
          <w:vertAlign w:val="subscript"/>
          <w:lang w:val="en-US"/>
        </w:rPr>
        <w:t>i</w:t>
      </w:r>
      <w:r w:rsidRPr="00051297">
        <w:rPr>
          <w:rFonts w:cs="Times New Roman"/>
          <w:i/>
          <w:iCs/>
          <w:szCs w:val="24"/>
          <w:lang w:val="en-US"/>
        </w:rPr>
        <w:t xml:space="preserve">= </w:t>
      </w:r>
      <w:r w:rsidRPr="00051297">
        <w:rPr>
          <w:rFonts w:cs="Times New Roman"/>
          <w:i/>
          <w:iCs/>
          <w:szCs w:val="24"/>
        </w:rPr>
        <w:t>π</w:t>
      </w:r>
      <w:r w:rsidRPr="00051297">
        <w:rPr>
          <w:rFonts w:cs="Times New Roman"/>
          <w:i/>
          <w:iCs/>
          <w:szCs w:val="24"/>
          <w:lang w:val="en-US"/>
        </w:rPr>
        <w:t>/2</w:t>
      </w:r>
      <w:r w:rsidRPr="00051297">
        <w:rPr>
          <w:rFonts w:cs="Times New Roman"/>
          <w:szCs w:val="24"/>
          <w:lang w:val="en-US"/>
        </w:rPr>
        <w:t> or </w:t>
      </w:r>
      <w:r w:rsidRPr="00051297">
        <w:rPr>
          <w:rFonts w:cs="Times New Roman"/>
          <w:i/>
          <w:iCs/>
          <w:szCs w:val="24"/>
        </w:rPr>
        <w:t>δ</w:t>
      </w:r>
      <w:r w:rsidRPr="00051297">
        <w:rPr>
          <w:rFonts w:cs="Times New Roman"/>
          <w:i/>
          <w:iCs/>
          <w:szCs w:val="24"/>
          <w:vertAlign w:val="subscript"/>
          <w:lang w:val="en-US"/>
        </w:rPr>
        <w:t>i </w:t>
      </w:r>
      <w:r w:rsidRPr="00051297">
        <w:rPr>
          <w:rFonts w:cs="Times New Roman"/>
          <w:i/>
          <w:iCs/>
          <w:szCs w:val="24"/>
          <w:lang w:val="en-US"/>
        </w:rPr>
        <w:t>= -</w:t>
      </w:r>
      <w:r w:rsidRPr="00051297">
        <w:rPr>
          <w:rFonts w:cs="Times New Roman"/>
          <w:i/>
          <w:iCs/>
          <w:szCs w:val="24"/>
        </w:rPr>
        <w:t>π</w:t>
      </w:r>
      <w:r w:rsidRPr="00051297">
        <w:rPr>
          <w:rFonts w:cs="Times New Roman"/>
          <w:i/>
          <w:iCs/>
          <w:szCs w:val="24"/>
          <w:lang w:val="en-US"/>
        </w:rPr>
        <w:t>/2</w:t>
      </w:r>
      <w:r w:rsidRPr="00051297">
        <w:rPr>
          <w:rFonts w:cs="Times New Roman"/>
          <w:szCs w:val="24"/>
          <w:lang w:val="en-US"/>
        </w:rPr>
        <w:t xml:space="preserve">, division by zero is encountered in equation </w:t>
      </w:r>
      <w:r w:rsidRPr="00051297">
        <w:rPr>
          <w:rFonts w:cs="Times New Roman"/>
          <w:szCs w:val="24"/>
          <w:lang w:val="en-US"/>
        </w:rPr>
        <w:fldChar w:fldCharType="begin"/>
      </w:r>
      <w:r w:rsidRPr="00051297">
        <w:rPr>
          <w:rFonts w:cs="Times New Roman"/>
          <w:szCs w:val="24"/>
          <w:lang w:val="en-US"/>
        </w:rPr>
        <w:instrText xml:space="preserve"> REF _Ref103556510 \h </w:instrText>
      </w:r>
      <w:r w:rsidRPr="00051297">
        <w:rPr>
          <w:rFonts w:cs="Times New Roman"/>
          <w:szCs w:val="24"/>
          <w:lang w:val="en-US"/>
        </w:rPr>
      </w:r>
      <w:r w:rsidRPr="00051297">
        <w:rPr>
          <w:rFonts w:cs="Times New Roman"/>
          <w:szCs w:val="24"/>
          <w:lang w:val="en-US"/>
        </w:rPr>
        <w:fldChar w:fldCharType="separate"/>
      </w:r>
      <w:r w:rsidR="004870F1" w:rsidRPr="00051297">
        <w:rPr>
          <w:sz w:val="22"/>
          <w:lang w:val="en-US"/>
        </w:rPr>
        <w:t>(</w:t>
      </w:r>
      <w:r w:rsidR="004870F1">
        <w:rPr>
          <w:noProof/>
          <w:sz w:val="22"/>
          <w:lang w:val="en-US"/>
        </w:rPr>
        <w:t>1</w:t>
      </w:r>
      <w:r w:rsidR="004870F1" w:rsidRPr="00051297">
        <w:rPr>
          <w:sz w:val="22"/>
          <w:lang w:val="en-US"/>
        </w:rPr>
        <w:t>.</w:t>
      </w:r>
      <w:r w:rsidR="004870F1">
        <w:rPr>
          <w:noProof/>
          <w:sz w:val="22"/>
          <w:lang w:val="en-US"/>
        </w:rPr>
        <w:t>25</w:t>
      </w:r>
      <w:r w:rsidR="004870F1" w:rsidRPr="00051297">
        <w:rPr>
          <w:sz w:val="22"/>
          <w:lang w:val="en-US"/>
        </w:rPr>
        <w:t>)</w:t>
      </w:r>
      <w:r w:rsidRPr="00051297">
        <w:rPr>
          <w:rFonts w:cs="Times New Roman"/>
          <w:szCs w:val="24"/>
          <w:lang w:val="en-US"/>
        </w:rPr>
        <w:fldChar w:fldCharType="end"/>
      </w:r>
      <w:r w:rsidRPr="00051297">
        <w:rPr>
          <w:rFonts w:cs="Times New Roman"/>
          <w:szCs w:val="24"/>
          <w:lang w:val="en-US"/>
        </w:rPr>
        <w:t xml:space="preserve">. As a result, the value of angle </w:t>
      </w:r>
      <w:r w:rsidRPr="00051297">
        <w:rPr>
          <w:rFonts w:cs="Times New Roman"/>
          <w:i/>
          <w:iCs/>
          <w:szCs w:val="24"/>
        </w:rPr>
        <w:t>δ</w:t>
      </w:r>
      <w:r w:rsidRPr="00051297">
        <w:rPr>
          <w:rFonts w:cs="Times New Roman"/>
          <w:i/>
          <w:iCs/>
          <w:szCs w:val="24"/>
          <w:vertAlign w:val="subscript"/>
          <w:lang w:val="en-US"/>
        </w:rPr>
        <w:t xml:space="preserve">i </w:t>
      </w:r>
      <w:r w:rsidRPr="00051297">
        <w:rPr>
          <w:rFonts w:cs="Times New Roman"/>
          <w:szCs w:val="24"/>
          <w:lang w:val="en-US"/>
        </w:rPr>
        <w:t>must be obtained within the range (</w:t>
      </w:r>
      <w:r w:rsidRPr="00051297">
        <w:rPr>
          <w:rFonts w:cs="Times New Roman"/>
          <w:i/>
          <w:iCs/>
          <w:szCs w:val="24"/>
          <w:lang w:val="en-US"/>
        </w:rPr>
        <w:t>-</w:t>
      </w:r>
      <w:r w:rsidRPr="00051297">
        <w:rPr>
          <w:rFonts w:cs="Times New Roman"/>
          <w:i/>
          <w:iCs/>
          <w:szCs w:val="24"/>
        </w:rPr>
        <w:t>π</w:t>
      </w:r>
      <w:r w:rsidRPr="00051297">
        <w:rPr>
          <w:rFonts w:cs="Times New Roman"/>
          <w:i/>
          <w:iCs/>
          <w:szCs w:val="24"/>
          <w:lang w:val="en-US"/>
        </w:rPr>
        <w:t>/2</w:t>
      </w:r>
      <w:r w:rsidRPr="00051297">
        <w:rPr>
          <w:rFonts w:cs="Times New Roman"/>
          <w:szCs w:val="24"/>
          <w:lang w:val="en-US"/>
        </w:rPr>
        <w:t>; </w:t>
      </w:r>
      <w:r w:rsidRPr="00051297">
        <w:rPr>
          <w:rFonts w:cs="Times New Roman"/>
          <w:i/>
          <w:iCs/>
          <w:szCs w:val="24"/>
        </w:rPr>
        <w:t>π</w:t>
      </w:r>
      <w:r w:rsidRPr="00051297">
        <w:rPr>
          <w:rFonts w:cs="Times New Roman"/>
          <w:i/>
          <w:iCs/>
          <w:szCs w:val="24"/>
          <w:lang w:val="en-US"/>
        </w:rPr>
        <w:t>/2</w:t>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{"citationItems":[{"id":"ITEM-1","itemData":{"DOI":"10.1093/comjnl/9.4.388","ISSN":"0010-4620","abstract":"A practical method of solving the equations of statical equilibrium to obtain the factor of safety of earth slopes, with slip surfaces of arbitrary shape, is described. The basic mathematical problem is the solution of a pair of. simultaneous non-linear equations which arise from the boundary con-ditions on the solution of an ordinary differential equation.","author":[{"dropping-particle":"","family":"Morgenstern","given":"N. R.","non-dropping-particle":"","parse-names":false,"suffix":""},{"dropping-particle":"","family":"Price","given":"V. E.","non-dropping-particle":"","parse-names":false,"suffix":""}],"container-title":"The Computer Journal","id":"ITEM-1","issue":"4","issued":{"date-parts":[["1967","2"]]},"page":"388-393","title":"A Numerical Method for Solving the Equations of Stability of General Slip Surfaces","type":"article-journal","volume":"9"},"uris":["http://www.mendeley.com/documents/?uuid=4f6de1a4-8e78-4f1f-be1d-2748f35c7457","http://www.mendeley.com/documents/?uuid=9b237a03-03d2-4423-b5bc-91d559bddd32","http://www.mendeley.com/documents/?uuid=944f3752-2a1b-4858-ae2e-868a3e1a36f0"]}],"mendeley":{"formattedCitation":"[159]","plainTextFormattedCitation":"[159]","previouslyFormattedCitation":"[159]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[159]</w:t>
      </w:r>
      <w:r w:rsidRPr="00051297">
        <w:rPr>
          <w:rFonts w:cs="Times New Roman"/>
          <w:szCs w:val="24"/>
        </w:rPr>
        <w:fldChar w:fldCharType="end"/>
      </w:r>
      <w:r w:rsidRPr="00051297">
        <w:rPr>
          <w:rFonts w:cs="Times New Roman"/>
          <w:szCs w:val="24"/>
          <w:lang w:val="en-US"/>
        </w:rPr>
        <w:t>.</w:t>
      </w:r>
    </w:p>
    <w:p w14:paraId="57EC24B8" w14:textId="77777777" w:rsidR="00051297" w:rsidRPr="00051297" w:rsidRDefault="00051297" w:rsidP="00051297">
      <w:pPr>
        <w:rPr>
          <w:rFonts w:cs="Times New Roman"/>
          <w:szCs w:val="24"/>
          <w:lang w:val="en-US"/>
        </w:rPr>
      </w:pPr>
      <w:r w:rsidRPr="00051297">
        <w:rPr>
          <w:rFonts w:cs="Times New Roman"/>
          <w:szCs w:val="24"/>
          <w:lang w:val="en-US"/>
        </w:rPr>
        <w:t>In expression (6), division by zero appears when: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051297" w14:paraId="395C09B1" w14:textId="77777777" w:rsidTr="00D20B01">
        <w:tc>
          <w:tcPr>
            <w:tcW w:w="265" w:type="dxa"/>
          </w:tcPr>
          <w:p w14:paraId="19498D80" w14:textId="77777777" w:rsidR="00051297" w:rsidRPr="00051297" w:rsidRDefault="00051297" w:rsidP="00051297">
            <w:pPr>
              <w:spacing w:after="160"/>
              <w:rPr>
                <w:szCs w:val="24"/>
                <w:lang w:val="en-US"/>
              </w:rPr>
            </w:pPr>
          </w:p>
        </w:tc>
        <w:tc>
          <w:tcPr>
            <w:tcW w:w="8820" w:type="dxa"/>
          </w:tcPr>
          <w:p w14:paraId="35C61522" w14:textId="77777777" w:rsidR="00051297" w:rsidRPr="00051297" w:rsidRDefault="00051297" w:rsidP="00051297">
            <w:pPr>
              <w:spacing w:after="160"/>
              <w:rPr>
                <w:szCs w:val="24"/>
              </w:rPr>
            </w:pPr>
            <m:oMathPara>
              <m:oMath>
                <m:r>
                  <w:rPr>
                    <w:rFonts w:ascii="Cambria Math" w:hAnsi="Cambria Math"/>
                    <w:szCs w:val="24"/>
                  </w:rPr>
                  <m:t>FS=</m:t>
                </m:r>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tan</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δ</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e>
                    </m:func>
                  </m:e>
                </m:func>
              </m:oMath>
            </m:oMathPara>
          </w:p>
        </w:tc>
        <w:tc>
          <w:tcPr>
            <w:tcW w:w="265" w:type="dxa"/>
          </w:tcPr>
          <w:p w14:paraId="0B258495" w14:textId="208E8DF0"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26</w:t>
            </w:r>
            <w:r w:rsidRPr="00051297">
              <w:rPr>
                <w:szCs w:val="24"/>
                <w:lang w:val="en-US"/>
              </w:rPr>
              <w:fldChar w:fldCharType="end"/>
            </w:r>
            <w:r w:rsidRPr="00051297">
              <w:rPr>
                <w:szCs w:val="24"/>
                <w:lang w:val="en-US"/>
              </w:rPr>
              <w:t>)</w:t>
            </w:r>
          </w:p>
        </w:tc>
      </w:tr>
    </w:tbl>
    <w:p w14:paraId="1AECA2AB" w14:textId="77777777" w:rsidR="00051297" w:rsidRPr="00051297" w:rsidRDefault="00051297" w:rsidP="00051297">
      <w:pPr>
        <w:rPr>
          <w:rFonts w:cs="Times New Roman"/>
          <w:szCs w:val="24"/>
          <w:lang w:val="en-US"/>
        </w:rPr>
      </w:pPr>
      <w:r w:rsidRPr="00051297">
        <w:rPr>
          <w:rFonts w:cs="Times New Roman"/>
          <w:szCs w:val="24"/>
          <w:lang w:val="en-US"/>
        </w:rPr>
        <w:t xml:space="preserve">Verification of the parameter </w:t>
      </w:r>
      <w:r w:rsidRPr="00051297">
        <w:rPr>
          <w:rFonts w:cs="Times New Roman"/>
          <w:i/>
          <w:iCs/>
          <w:szCs w:val="24"/>
          <w:lang w:val="en-US"/>
        </w:rPr>
        <w:t>m</w:t>
      </w:r>
      <w:r w:rsidRPr="00051297">
        <w:rPr>
          <w:rFonts w:cs="Times New Roman"/>
          <w:i/>
          <w:iCs/>
          <w:szCs w:val="24"/>
          <w:vertAlign w:val="subscript"/>
        </w:rPr>
        <w:t>α</w:t>
      </w:r>
      <w:r w:rsidRPr="00051297">
        <w:rPr>
          <w:rFonts w:cs="Times New Roman"/>
          <w:szCs w:val="24"/>
          <w:lang w:val="en-US"/>
        </w:rPr>
        <w:t xml:space="preserve"> is another check that prevents numerical instability; the following criterion must be met: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0DBCF0EB" w14:textId="77777777" w:rsidTr="00D20B01">
        <w:tc>
          <w:tcPr>
            <w:tcW w:w="265" w:type="dxa"/>
          </w:tcPr>
          <w:p w14:paraId="03294C06" w14:textId="77777777" w:rsidR="00051297" w:rsidRPr="00051297" w:rsidRDefault="00051297" w:rsidP="00051297">
            <w:pPr>
              <w:spacing w:after="160"/>
              <w:rPr>
                <w:szCs w:val="24"/>
                <w:lang w:val="en-US"/>
              </w:rPr>
            </w:pPr>
          </w:p>
        </w:tc>
        <w:tc>
          <w:tcPr>
            <w:tcW w:w="8820" w:type="dxa"/>
          </w:tcPr>
          <w:p w14:paraId="625623BF"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m</m:t>
                    </m:r>
                  </m:e>
                  <m:sub>
                    <m:r>
                      <w:rPr>
                        <w:rFonts w:ascii="Cambria Math" w:hAnsi="Cambria Math"/>
                        <w:szCs w:val="24"/>
                      </w:rPr>
                      <m:t>α</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e>
                        </m:func>
                      </m:num>
                      <m:den>
                        <m:r>
                          <w:rPr>
                            <w:rFonts w:ascii="Cambria Math" w:hAnsi="Cambria Math"/>
                            <w:szCs w:val="24"/>
                          </w:rPr>
                          <m:t>FS</m:t>
                        </m:r>
                      </m:den>
                    </m:f>
                    <m:r>
                      <w:rPr>
                        <w:rFonts w:ascii="Cambria Math" w:hAnsi="Cambria Math"/>
                        <w:szCs w:val="24"/>
                      </w:rPr>
                      <m:t>&gt;0.2</m:t>
                    </m:r>
                  </m:e>
                </m:func>
              </m:oMath>
            </m:oMathPara>
          </w:p>
        </w:tc>
        <w:tc>
          <w:tcPr>
            <w:tcW w:w="265" w:type="dxa"/>
          </w:tcPr>
          <w:p w14:paraId="1DA63E9E" w14:textId="798C562A"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27</w:t>
            </w:r>
            <w:r w:rsidRPr="00051297">
              <w:rPr>
                <w:szCs w:val="24"/>
                <w:lang w:val="en-US"/>
              </w:rPr>
              <w:fldChar w:fldCharType="end"/>
            </w:r>
            <w:r w:rsidRPr="00051297">
              <w:rPr>
                <w:szCs w:val="24"/>
                <w:lang w:val="en-US"/>
              </w:rPr>
              <w:t>)</w:t>
            </w:r>
          </w:p>
        </w:tc>
      </w:tr>
    </w:tbl>
    <w:p w14:paraId="24731FB8" w14:textId="2C62508F" w:rsidR="00051297" w:rsidRPr="00051297" w:rsidRDefault="00051297" w:rsidP="00051297">
      <w:pPr>
        <w:rPr>
          <w:rFonts w:cs="Times New Roman"/>
          <w:szCs w:val="24"/>
          <w:lang w:val="en-US" w:bidi="en-US"/>
        </w:rPr>
      </w:pPr>
      <w:r w:rsidRPr="00051297">
        <w:rPr>
          <w:rFonts w:cs="Times New Roman"/>
          <w:szCs w:val="24"/>
          <w:lang w:val="en-US"/>
        </w:rPr>
        <w:t>As a result, before the iteration runs, the highest of the crucial values FS</w:t>
      </w:r>
      <w:r w:rsidRPr="00051297">
        <w:rPr>
          <w:rFonts w:cs="Times New Roman"/>
          <w:szCs w:val="24"/>
          <w:vertAlign w:val="subscript"/>
          <w:lang w:val="en-US"/>
        </w:rPr>
        <w:t>min</w:t>
      </w:r>
      <w:r w:rsidRPr="00051297">
        <w:rPr>
          <w:rFonts w:cs="Times New Roman"/>
          <w:szCs w:val="24"/>
          <w:lang w:val="en-US"/>
        </w:rPr>
        <w:t xml:space="preserve"> that satisfy the above-mentioned constraints must be found. Because values below FS</w:t>
      </w:r>
      <w:r w:rsidRPr="00051297">
        <w:rPr>
          <w:rFonts w:cs="Times New Roman"/>
          <w:szCs w:val="24"/>
          <w:vertAlign w:val="subscript"/>
          <w:lang w:val="en-US"/>
        </w:rPr>
        <w:t>min</w:t>
      </w:r>
      <w:r w:rsidRPr="00051297">
        <w:rPr>
          <w:rFonts w:cs="Times New Roman"/>
          <w:szCs w:val="24"/>
          <w:lang w:val="en-US"/>
        </w:rPr>
        <w:t xml:space="preserve"> are in an unstable solution area, iteration begins by setting FS to a value "just" above FS</w:t>
      </w:r>
      <w:r w:rsidRPr="00051297">
        <w:rPr>
          <w:rFonts w:cs="Times New Roman"/>
          <w:szCs w:val="24"/>
          <w:vertAlign w:val="subscript"/>
          <w:lang w:val="en-US"/>
        </w:rPr>
        <w:t>min</w:t>
      </w:r>
      <w:r w:rsidRPr="00051297">
        <w:rPr>
          <w:rFonts w:cs="Times New Roman"/>
          <w:szCs w:val="24"/>
          <w:lang w:val="en-US"/>
        </w:rPr>
        <w:t>, and all FS result values from iteration runs are higher than FS</w:t>
      </w:r>
      <w:r w:rsidRPr="00051297">
        <w:rPr>
          <w:rFonts w:cs="Times New Roman"/>
          <w:szCs w:val="24"/>
          <w:vertAlign w:val="subscript"/>
          <w:lang w:val="en-US"/>
        </w:rPr>
        <w:t xml:space="preserve">min </w:t>
      </w:r>
      <w:r w:rsidRPr="00051297">
        <w:rPr>
          <w:rFonts w:cs="Times New Roman"/>
          <w:szCs w:val="24"/>
          <w:vertAlign w:val="subscript"/>
        </w:rPr>
        <w:fldChar w:fldCharType="begin" w:fldLock="1"/>
      </w:r>
      <w:r w:rsidR="00FA5896">
        <w:rPr>
          <w:rFonts w:cs="Times New Roman"/>
          <w:szCs w:val="24"/>
          <w:vertAlign w:val="subscript"/>
          <w:lang w:val="en-US"/>
        </w:rPr>
        <w:instrText>ADDIN CSL_CITATION {"citationItems":[{"id":"ITEM-1","itemData":{"DOI":"10.1139/t04-072","ISSN":"0008-3674","abstract":"A concise algorithm is proposed in this paper for the calculation of the factor of safety of a slope using the Morgenstern–Price method. Based on force and moment equilibrium considerations, two expressions are derived for the factor of safety F s and the scaling factor λ, respectively, both in relatively simple forms. With this algorithm and assumed initial values of F s and λ, the solutions for F s and λ are found to converge within a few iterations. Compared to other procedures, the present algorithm possesses the advantages of simplicity and high efficiency in application. It is rather straightforward to implement this algorithm into a computer program.Key words: slope, stability, factor of safety, limit equilibrium method.","author":[{"dropping-particle":"","family":"Zhu","given":"D. Y.","non-dropping-particle":"","parse-names":false,"suffix":""},{"dropping-particle":"","family":"Lee","given":"C. F.","non-dropping-particle":"","parse-names":false,"suffix":""},{"dropping-particle":"","family":"Qian","given":"Q. H.","non-dropping-particle":"","parse-names":false,"suffix":""},{"dropping-particle":"","family":"Chen","given":"G. R.","non-dropping-particle":"","parse-names":false,"suffix":""}],"container-title":"Canadian Geotechnical Journal","id":"ITEM-1","issue":"1","issued":{"date-parts":[["2005","2"]]},"page":"272-278","title":"A concise algorithm for computing the factor of safety using the Morgenstern&amp;#150;Price method","type":"article-journal","volume":"42"},"uris":["http://www.mendeley.com/documents/?uuid=52ab2855-a761-4faf-8047-8848c7c03357","http://www.mendeley.com/documents/?uuid=4c44d2ce-b66d-44c2-8c87-19f0b93dab82"]}],"mendeley":{"formattedCitation":"[160]","plainTextFormattedCitation":"[160]","previouslyFormattedCitation":"[160]"},"properties":{"noteIndex":0},"schema":"https://github.com/citation-style-language/schema/raw/master/csl-citation.json"}</w:instrText>
      </w:r>
      <w:r w:rsidRPr="00051297">
        <w:rPr>
          <w:rFonts w:cs="Times New Roman"/>
          <w:szCs w:val="24"/>
          <w:vertAlign w:val="subscript"/>
        </w:rPr>
        <w:fldChar w:fldCharType="separate"/>
      </w:r>
      <w:r w:rsidR="0032684D" w:rsidRPr="0032684D">
        <w:rPr>
          <w:rFonts w:cs="Times New Roman"/>
          <w:noProof/>
          <w:szCs w:val="24"/>
          <w:lang w:val="en-US"/>
        </w:rPr>
        <w:t>[160]</w:t>
      </w:r>
      <w:r w:rsidRPr="00051297">
        <w:rPr>
          <w:rFonts w:cs="Times New Roman"/>
          <w:szCs w:val="24"/>
        </w:rPr>
        <w:fldChar w:fldCharType="end"/>
      </w:r>
      <w:r w:rsidRPr="00051297">
        <w:rPr>
          <w:rFonts w:cs="Times New Roman"/>
          <w:szCs w:val="24"/>
          <w:lang w:val="en-US"/>
        </w:rPr>
        <w:t>.</w:t>
      </w:r>
    </w:p>
    <w:p w14:paraId="6F94A018" w14:textId="77777777" w:rsidR="00051297" w:rsidRPr="00051297" w:rsidRDefault="00051297" w:rsidP="00051297">
      <w:pPr>
        <w:rPr>
          <w:rFonts w:cs="Times New Roman"/>
          <w:szCs w:val="24"/>
          <w:lang w:val="en-US"/>
        </w:rPr>
      </w:pPr>
      <w:r w:rsidRPr="00051297">
        <w:rPr>
          <w:rFonts w:cs="Times New Roman"/>
          <w:szCs w:val="24"/>
          <w:lang w:val="en-US"/>
        </w:rPr>
        <w:t>(f) Spencer</w:t>
      </w:r>
    </w:p>
    <w:p w14:paraId="33CEB926" w14:textId="3DD5D6B1" w:rsidR="00051297" w:rsidRPr="00051297" w:rsidRDefault="00051297" w:rsidP="00051297">
      <w:pPr>
        <w:rPr>
          <w:rFonts w:cs="Times New Roman"/>
          <w:szCs w:val="24"/>
          <w:lang w:val="en-US"/>
        </w:rPr>
      </w:pPr>
      <w:bookmarkStart w:id="314" w:name="_Hlk100678907"/>
      <w:r w:rsidRPr="00051297">
        <w:rPr>
          <w:rFonts w:cs="Times New Roman"/>
          <w:szCs w:val="24"/>
          <w:lang w:val="en-US"/>
        </w:rPr>
        <w:t>Spencer invented the Spencer Method of Slices in 1967. Because it fulfills both force and moment equilibrium of the failure mass, it is one of the most theoretically rigorous Methods of Slices. As a result, more precise estimations of the Factor of Safety are possible. Both circular and non-circular failure surfaces can be analyzed using Spencer's approach</w:t>
      </w:r>
      <w:r w:rsidR="009118D6">
        <w:rPr>
          <w:rFonts w:cs="Times New Roman"/>
          <w:szCs w:val="24"/>
          <w:lang w:val="en-US"/>
        </w:rPr>
        <w:t xml:space="preserve"> </w:t>
      </w:r>
      <w:r w:rsidR="009118D6"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{"citationItems":[{"id":"ITEM-1","itemData":{"author":[{"dropping-particle":"","family":"Geoengineer.org","given":"","non-dropping-particle":"","parse-names":false,"suffix":""}],"id":"ITEM-1","issued":{"date-parts":[["2021"]]},"title":"Slope Stability: The Spencer Method of Slices","type":"webpage"},"uris":["http://www.mendeley.com/documents/?uuid=4222005e-27dc-45d6-8528-186d4366c19f","http://www.mendeley.com/documents/?uuid=52e51fcb-7dcf-4618-8a76-13ee6c495a68"]}],"mendeley":{"formattedCitation":"[161]","plainTextFormattedCitation":"[161]","previouslyFormattedCitation":"[161]"},"properties":{"noteIndex":0},"schema":"https://github.com/citation-style-language/schema/raw/master/csl-citation.json"}</w:instrText>
      </w:r>
      <w:r w:rsidR="009118D6" w:rsidRPr="00051297">
        <w:rPr>
          <w:rFonts w:cs="Times New Roman"/>
          <w:szCs w:val="24"/>
          <w:lang w:val="en-US" w:bidi="en-US"/>
        </w:rPr>
        <w:fldChar w:fldCharType="separate"/>
      </w:r>
      <w:r w:rsidR="009118D6" w:rsidRPr="0032684D">
        <w:rPr>
          <w:rFonts w:cs="Times New Roman"/>
          <w:noProof/>
          <w:szCs w:val="24"/>
          <w:lang w:val="en-US" w:bidi="en-US"/>
        </w:rPr>
        <w:t>[161]</w:t>
      </w:r>
      <w:r w:rsidR="009118D6" w:rsidRPr="00051297">
        <w:rPr>
          <w:rFonts w:cs="Times New Roman"/>
          <w:szCs w:val="24"/>
          <w:lang w:val="en-US" w:bidi="en-US"/>
        </w:rPr>
        <w:fldChar w:fldCharType="end"/>
      </w:r>
      <w:r w:rsidRPr="00051297">
        <w:rPr>
          <w:rFonts w:cs="Times New Roman"/>
          <w:szCs w:val="24"/>
          <w:lang w:val="en-US"/>
        </w:rPr>
        <w:t>.</w:t>
      </w:r>
    </w:p>
    <w:p w14:paraId="1CA1A72C" w14:textId="31B950D8" w:rsidR="00051297" w:rsidRPr="00051297" w:rsidRDefault="00051297" w:rsidP="00051297">
      <w:pPr>
        <w:rPr>
          <w:rFonts w:cs="Times New Roman"/>
          <w:szCs w:val="24"/>
          <w:lang w:val="en-US"/>
        </w:rPr>
      </w:pPr>
      <w:r w:rsidRPr="00051297">
        <w:rPr>
          <w:rFonts w:cs="Times New Roman"/>
          <w:szCs w:val="24"/>
          <w:lang w:val="en-US"/>
        </w:rPr>
        <w:t xml:space="preserve">It should be emphasized that every approach of slices necessitates some simplifications to account for the fact that the number of unknown parameters exceeds the number of equations </w:t>
      </w:r>
      <w:r w:rsidRPr="00051297">
        <w:rPr>
          <w:rFonts w:cs="Times New Roman"/>
          <w:szCs w:val="24"/>
          <w:lang w:val="en-US"/>
        </w:rPr>
        <w:lastRenderedPageBreak/>
        <w:t xml:space="preserve">available. While other approaches ignore interslice normal and/or shear forces, Spencer's method incorporates them by replacing them with an equivalent resultant force Q that acts at the midpoint of a slice's base M. The approach makes the assumption that the resulting forces' inclination is constant and equal to degrees. The slice forces considered in the Spencer Method are depicted schematically in </w:t>
      </w:r>
      <w:r w:rsidRPr="00051297">
        <w:rPr>
          <w:rFonts w:cs="Times New Roman"/>
          <w:szCs w:val="24"/>
          <w:lang w:val="en-US"/>
        </w:rPr>
        <w:fldChar w:fldCharType="begin"/>
      </w:r>
      <w:r w:rsidRPr="00051297">
        <w:rPr>
          <w:rFonts w:cs="Times New Roman"/>
          <w:szCs w:val="24"/>
          <w:lang w:val="en-US"/>
        </w:rPr>
        <w:instrText xml:space="preserve"> REF _Ref100691922 \h  \* MERGEFORMAT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rPr>
        <w:t xml:space="preserve">Figure </w:t>
      </w:r>
      <w:r w:rsidR="004870F1">
        <w:rPr>
          <w:rFonts w:cs="Times New Roman"/>
          <w:szCs w:val="24"/>
          <w:lang w:val="en-US"/>
        </w:rPr>
        <w:t>1.14</w:t>
      </w:r>
      <w:r w:rsidRPr="00051297">
        <w:rPr>
          <w:rFonts w:cs="Times New Roman"/>
          <w:szCs w:val="24"/>
          <w:lang w:val="en-US"/>
        </w:rPr>
        <w:fldChar w:fldCharType="end"/>
      </w:r>
      <w:r w:rsidRPr="00051297">
        <w:rPr>
          <w:rFonts w:cs="Times New Roman"/>
          <w:szCs w:val="24"/>
          <w:lang w:val="en-US"/>
        </w:rPr>
        <w:t>.</w:t>
      </w:r>
    </w:p>
    <w:p w14:paraId="0096F797" w14:textId="77777777" w:rsidR="00051297" w:rsidRPr="00051297" w:rsidRDefault="00051297" w:rsidP="00051297">
      <w:pPr>
        <w:ind w:firstLine="0"/>
        <w:jc w:val="center"/>
        <w:rPr>
          <w:rFonts w:cs="Times New Roman"/>
          <w:szCs w:val="24"/>
          <w:lang w:val="en-US"/>
        </w:rPr>
      </w:pPr>
      <w:r w:rsidRPr="00051297">
        <w:rPr>
          <w:noProof/>
        </w:rPr>
        <w:drawing>
          <wp:inline distT="0" distB="0" distL="0" distR="0" wp14:anchorId="1FB77108" wp14:editId="5EE4B9AB">
            <wp:extent cx="5760000" cy="3519177"/>
            <wp:effectExtent l="0" t="0" r="0" b="508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00" cy="3519177"/>
                    </a:xfrm>
                    <a:prstGeom prst="rect">
                      <a:avLst/>
                    </a:prstGeom>
                    <a:noFill/>
                    <a:ln>
                      <a:noFill/>
                    </a:ln>
                  </pic:spPr>
                </pic:pic>
              </a:graphicData>
            </a:graphic>
          </wp:inline>
        </w:drawing>
      </w:r>
    </w:p>
    <w:p w14:paraId="3AA4FC9A" w14:textId="1B29095E" w:rsidR="00051297" w:rsidRPr="00051297" w:rsidRDefault="00051297" w:rsidP="00BC7CF3">
      <w:pPr>
        <w:spacing w:after="200" w:line="240" w:lineRule="auto"/>
        <w:ind w:firstLine="0"/>
        <w:jc w:val="center"/>
        <w:rPr>
          <w:rFonts w:cs="Times New Roman"/>
          <w:szCs w:val="24"/>
          <w:lang w:val="en-US" w:bidi="en-US"/>
        </w:rPr>
      </w:pPr>
      <w:bookmarkStart w:id="315" w:name="_Ref100691922"/>
      <w:bookmarkStart w:id="316" w:name="_Toc104985401"/>
      <w:bookmarkStart w:id="317" w:name="_Toc103544078"/>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14</w:t>
      </w:r>
      <w:r w:rsidR="00527861">
        <w:rPr>
          <w:rFonts w:cs="Times New Roman"/>
          <w:szCs w:val="24"/>
          <w:lang w:val="en-US" w:bidi="en-US"/>
        </w:rPr>
        <w:fldChar w:fldCharType="end"/>
      </w:r>
      <w:bookmarkEnd w:id="315"/>
      <w:r w:rsidRPr="00051297">
        <w:rPr>
          <w:rFonts w:cs="Times New Roman"/>
          <w:szCs w:val="24"/>
          <w:lang w:val="en-US" w:bidi="en-US"/>
        </w:rPr>
        <w:t xml:space="preserve">  Forces acting on a single slice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{"citationItems":[{"id":"ITEM-1","itemData":{"author":[{"dropping-particle":"","family":"Geoengineer.org","given":"","non-dropping-particle":"","parse-names":false,"suffix":""}],"id":"ITEM-1","issued":{"date-parts":[["2021"]]},"title":"Slope Stability: The Spencer Method of Slices","type":"webpage"},"uris":["http://www.mendeley.com/documents/?uuid=4222005e-27dc-45d6-8528-186d4366c19f","http://www.mendeley.com/documents/?uuid=52e51fcb-7dcf-4618-8a76-13ee6c495a68"]}],"mendeley":{"formattedCitation":"[161]","plainTextFormattedCitation":"[161]","previouslyFormattedCitation":"[161]"},"properties":{"noteIndex":0},"schema":"https://github.com/citation-style-language/schema/raw/master/csl-citation.json"}</w:instrText>
      </w:r>
      <w:r w:rsidRPr="00051297">
        <w:rPr>
          <w:rFonts w:cs="Times New Roman"/>
          <w:szCs w:val="24"/>
          <w:lang w:val="en-US" w:bidi="en-US"/>
        </w:rPr>
        <w:fldChar w:fldCharType="separate"/>
      </w:r>
      <w:bookmarkEnd w:id="317"/>
      <w:r w:rsidR="0032684D" w:rsidRPr="0032684D">
        <w:rPr>
          <w:rFonts w:cs="Times New Roman"/>
          <w:noProof/>
          <w:szCs w:val="24"/>
          <w:lang w:val="en-US" w:bidi="en-US"/>
        </w:rPr>
        <w:t>[161]</w:t>
      </w:r>
      <w:bookmarkEnd w:id="316"/>
      <w:r w:rsidRPr="00051297">
        <w:rPr>
          <w:rFonts w:cs="Times New Roman"/>
          <w:szCs w:val="24"/>
          <w:lang w:val="en-US" w:bidi="en-US"/>
        </w:rPr>
        <w:fldChar w:fldCharType="end"/>
      </w:r>
    </w:p>
    <w:p w14:paraId="667B61E2" w14:textId="77777777" w:rsidR="00051297" w:rsidRPr="006437C5" w:rsidRDefault="00051297" w:rsidP="00EE7BED">
      <w:pPr>
        <w:rPr>
          <w:i/>
          <w:iCs/>
          <w:lang w:val="en-US"/>
        </w:rPr>
      </w:pPr>
      <w:r w:rsidRPr="006437C5">
        <w:rPr>
          <w:i/>
          <w:iCs/>
          <w:lang w:val="en-US"/>
        </w:rPr>
        <w:t>Estimation procedures</w:t>
      </w:r>
    </w:p>
    <w:p w14:paraId="2666FA6A" w14:textId="77777777" w:rsidR="00051297" w:rsidRPr="00051297" w:rsidRDefault="00051297" w:rsidP="00051297">
      <w:pPr>
        <w:rPr>
          <w:rFonts w:cs="Times New Roman"/>
          <w:szCs w:val="24"/>
          <w:lang w:val="en-US"/>
        </w:rPr>
      </w:pPr>
      <w:r w:rsidRPr="00051297">
        <w:rPr>
          <w:rFonts w:cs="Times New Roman"/>
          <w:szCs w:val="24"/>
          <w:lang w:val="en-US"/>
        </w:rPr>
        <w:t>The interslice forces assumptions in Spencer's method provide a more complex system of equations that must be solved in order to obtain the FS of a failure surface.</w:t>
      </w:r>
    </w:p>
    <w:p w14:paraId="57A169C8" w14:textId="77777777" w:rsidR="00051297" w:rsidRPr="00051297" w:rsidRDefault="00051297" w:rsidP="00051297">
      <w:pPr>
        <w:rPr>
          <w:rFonts w:cs="Times New Roman"/>
          <w:szCs w:val="24"/>
          <w:lang w:val="en-US"/>
        </w:rPr>
      </w:pPr>
      <w:r w:rsidRPr="00051297">
        <w:rPr>
          <w:rFonts w:cs="Times New Roman"/>
          <w:szCs w:val="24"/>
          <w:lang w:val="en-US"/>
        </w:rPr>
        <w:t>Firstly, the two force equilibriums for each slice (parallel and perpendicular to the failure surface) yield the following equations: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
        <w:gridCol w:w="8296"/>
        <w:gridCol w:w="796"/>
      </w:tblGrid>
      <w:tr w:rsidR="00051297" w:rsidRPr="00051297" w14:paraId="5884C849" w14:textId="77777777" w:rsidTr="00D20B01">
        <w:tc>
          <w:tcPr>
            <w:tcW w:w="265" w:type="dxa"/>
          </w:tcPr>
          <w:p w14:paraId="6663FD1D" w14:textId="77777777" w:rsidR="00051297" w:rsidRPr="00051297" w:rsidRDefault="00051297" w:rsidP="00051297">
            <w:pPr>
              <w:ind w:firstLine="0"/>
              <w:rPr>
                <w:rFonts w:cs="Times New Roman"/>
                <w:szCs w:val="24"/>
                <w:lang w:val="en-US"/>
              </w:rPr>
            </w:pPr>
          </w:p>
        </w:tc>
        <w:tc>
          <w:tcPr>
            <w:tcW w:w="8820" w:type="dxa"/>
          </w:tcPr>
          <w:p w14:paraId="24F22B1C" w14:textId="77777777" w:rsidR="00051297" w:rsidRPr="00051297" w:rsidRDefault="00536556" w:rsidP="00051297">
            <w:pPr>
              <w:rPr>
                <w:rFonts w:cs="Times New Roman"/>
                <w:szCs w:val="24"/>
                <w:lang w:val="en-US"/>
              </w:rPr>
            </w:pPr>
            <m:oMathPara>
              <m:oMath>
                <m:nary>
                  <m:naryPr>
                    <m:chr m:val="∑"/>
                    <m:limLoc m:val="undOvr"/>
                    <m:subHide m:val="1"/>
                    <m:supHide m:val="1"/>
                    <m:ctrlPr>
                      <w:rPr>
                        <w:rFonts w:ascii="Cambria Math" w:hAnsi="Cambria Math" w:cs="Times New Roman"/>
                        <w:i/>
                        <w:szCs w:val="24"/>
                        <w:lang w:val="en-US"/>
                      </w:rPr>
                    </m:ctrlPr>
                  </m:naryPr>
                  <m:sub/>
                  <m:sup/>
                  <m:e>
                    <m:sSub>
                      <m:sSubPr>
                        <m:ctrlPr>
                          <w:rPr>
                            <w:rFonts w:ascii="Cambria Math" w:hAnsi="Cambria Math" w:cs="Times New Roman"/>
                            <w:i/>
                            <w:szCs w:val="24"/>
                            <w:lang w:val="en-US"/>
                          </w:rPr>
                        </m:ctrlPr>
                      </m:sSubPr>
                      <m:e>
                        <m:r>
                          <w:rPr>
                            <w:rFonts w:ascii="Cambria Math" w:hAnsi="Cambria Math" w:cs="Times New Roman"/>
                            <w:szCs w:val="24"/>
                            <w:lang w:val="en-US"/>
                          </w:rPr>
                          <m:t>F</m:t>
                        </m:r>
                      </m:e>
                      <m:sub>
                        <m:r>
                          <w:rPr>
                            <w:rFonts w:ascii="Cambria Math" w:hAnsi="Cambria Math" w:cs="Times New Roman"/>
                            <w:szCs w:val="24"/>
                            <w:lang w:val="en-US"/>
                          </w:rPr>
                          <m:t>x</m:t>
                        </m:r>
                      </m:sub>
                    </m:sSub>
                  </m:e>
                </m:nary>
                <m:r>
                  <w:rPr>
                    <w:rFonts w:ascii="Cambria Math" w:hAnsi="Cambria Math" w:cs="Times New Roman"/>
                    <w:szCs w:val="24"/>
                    <w:lang w:val="en-US"/>
                  </w:rPr>
                  <m:t xml:space="preserve">=0, means: </m:t>
                </m:r>
                <m:sSub>
                  <m:sSubPr>
                    <m:ctrlPr>
                      <w:rPr>
                        <w:rFonts w:ascii="Cambria Math" w:hAnsi="Cambria Math" w:cs="Times New Roman"/>
                        <w:i/>
                        <w:szCs w:val="24"/>
                        <w:lang w:val="en-US"/>
                      </w:rPr>
                    </m:ctrlPr>
                  </m:sSubPr>
                  <m:e>
                    <m:r>
                      <w:rPr>
                        <w:rFonts w:ascii="Cambria Math" w:hAnsi="Cambria Math" w:cs="Times New Roman"/>
                        <w:szCs w:val="24"/>
                        <w:lang w:val="en-US"/>
                      </w:rPr>
                      <m:t>T</m:t>
                    </m:r>
                  </m:e>
                  <m:sub>
                    <m:r>
                      <w:rPr>
                        <w:rFonts w:ascii="Cambria Math" w:hAnsi="Cambria Math" w:cs="Times New Roman"/>
                        <w:szCs w:val="24"/>
                        <w:lang w:val="en-US"/>
                      </w:rPr>
                      <m:t>i</m:t>
                    </m:r>
                  </m:sub>
                </m:sSub>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Q</m:t>
                    </m:r>
                  </m:e>
                  <m:sub>
                    <m:r>
                      <w:rPr>
                        <w:rFonts w:ascii="Cambria Math" w:hAnsi="Cambria Math" w:cs="Times New Roman"/>
                        <w:szCs w:val="24"/>
                        <w:lang w:val="en-US"/>
                      </w:rPr>
                      <m:t>i</m:t>
                    </m:r>
                  </m:sub>
                </m:sSub>
                <m:func>
                  <m:funcPr>
                    <m:ctrlPr>
                      <w:rPr>
                        <w:rFonts w:ascii="Cambria Math" w:hAnsi="Cambria Math" w:cs="Times New Roman"/>
                        <w:i/>
                        <w:szCs w:val="24"/>
                        <w:lang w:val="en-US"/>
                      </w:rPr>
                    </m:ctrlPr>
                  </m:funcPr>
                  <m:fName>
                    <m:r>
                      <m:rPr>
                        <m:sty m:val="p"/>
                      </m:rPr>
                      <w:rPr>
                        <w:rFonts w:ascii="Cambria Math" w:hAnsi="Cambria Math" w:cs="Times New Roman"/>
                        <w:szCs w:val="24"/>
                        <w:lang w:val="en-US"/>
                      </w:rPr>
                      <m:t>cos</m:t>
                    </m:r>
                  </m:fName>
                  <m:e>
                    <m:d>
                      <m:dPr>
                        <m:ctrlPr>
                          <w:rPr>
                            <w:rFonts w:ascii="Cambria Math" w:hAnsi="Cambria Math" w:cs="Times New Roman"/>
                            <w:i/>
                            <w:szCs w:val="24"/>
                            <w:lang w:val="en-US"/>
                          </w:rPr>
                        </m:ctrlPr>
                      </m:dPr>
                      <m:e>
                        <m:sSub>
                          <m:sSubPr>
                            <m:ctrlPr>
                              <w:rPr>
                                <w:rFonts w:ascii="Cambria Math" w:hAnsi="Cambria Math" w:cs="Times New Roman"/>
                                <w:i/>
                                <w:szCs w:val="24"/>
                                <w:lang w:val="en-US"/>
                              </w:rPr>
                            </m:ctrlPr>
                          </m:sSubPr>
                          <m:e>
                            <m:r>
                              <w:rPr>
                                <w:rFonts w:ascii="Cambria Math" w:hAnsi="Cambria Math" w:cs="Times New Roman"/>
                                <w:szCs w:val="24"/>
                                <w:lang w:val="en-US"/>
                              </w:rPr>
                              <m:t>a</m:t>
                            </m:r>
                          </m:e>
                          <m:sub>
                            <m:r>
                              <w:rPr>
                                <w:rFonts w:ascii="Cambria Math" w:hAnsi="Cambria Math" w:cs="Times New Roman"/>
                                <w:szCs w:val="24"/>
                                <w:lang w:val="en-US"/>
                              </w:rPr>
                              <m:t>i</m:t>
                            </m:r>
                          </m:sub>
                        </m:sSub>
                        <m:r>
                          <w:rPr>
                            <w:rFonts w:ascii="Cambria Math" w:hAnsi="Cambria Math" w:cs="Times New Roman"/>
                            <w:szCs w:val="24"/>
                            <w:lang w:val="en-US"/>
                          </w:rPr>
                          <m:t>-</m:t>
                        </m:r>
                        <m:sSup>
                          <m:sSupPr>
                            <m:ctrlPr>
                              <w:rPr>
                                <w:rFonts w:ascii="Cambria Math" w:hAnsi="Cambria Math" w:cs="Times New Roman"/>
                                <w:i/>
                                <w:szCs w:val="24"/>
                                <w:lang w:val="en-US"/>
                              </w:rPr>
                            </m:ctrlPr>
                          </m:sSupPr>
                          <m:e>
                            <m:r>
                              <w:rPr>
                                <w:rFonts w:ascii="Cambria Math" w:hAnsi="Cambria Math" w:cs="Times New Roman"/>
                                <w:szCs w:val="24"/>
                                <w:lang w:val="en-US"/>
                              </w:rPr>
                              <m:t>θ</m:t>
                            </m:r>
                          </m:e>
                          <m:sup>
                            <m:r>
                              <w:rPr>
                                <w:rFonts w:ascii="Cambria Math" w:hAnsi="Cambria Math" w:cs="Times New Roman"/>
                                <w:szCs w:val="24"/>
                                <w:lang w:val="en-US"/>
                              </w:rPr>
                              <m:t>*</m:t>
                            </m:r>
                          </m:sup>
                        </m:sSup>
                      </m:e>
                    </m:d>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W</m:t>
                        </m:r>
                      </m:e>
                      <m:sub>
                        <m:r>
                          <w:rPr>
                            <w:rFonts w:ascii="Cambria Math" w:hAnsi="Cambria Math" w:cs="Times New Roman"/>
                            <w:szCs w:val="24"/>
                            <w:lang w:val="en-US"/>
                          </w:rPr>
                          <m:t>i</m:t>
                        </m:r>
                      </m:sub>
                    </m:sSub>
                    <m:func>
                      <m:funcPr>
                        <m:ctrlPr>
                          <w:rPr>
                            <w:rFonts w:ascii="Cambria Math" w:hAnsi="Cambria Math" w:cs="Times New Roman"/>
                            <w:i/>
                            <w:szCs w:val="24"/>
                            <w:lang w:val="en-US"/>
                          </w:rPr>
                        </m:ctrlPr>
                      </m:funcPr>
                      <m:fName>
                        <m:r>
                          <m:rPr>
                            <m:sty m:val="p"/>
                          </m:rPr>
                          <w:rPr>
                            <w:rFonts w:ascii="Cambria Math" w:hAnsi="Cambria Math" w:cs="Times New Roman"/>
                            <w:szCs w:val="24"/>
                            <w:lang w:val="en-US"/>
                          </w:rPr>
                          <m:t>sin</m:t>
                        </m:r>
                      </m:fName>
                      <m:e>
                        <m:d>
                          <m:dPr>
                            <m:ctrlPr>
                              <w:rPr>
                                <w:rFonts w:ascii="Cambria Math" w:hAnsi="Cambria Math" w:cs="Times New Roman"/>
                                <w:i/>
                                <w:szCs w:val="24"/>
                                <w:lang w:val="en-US"/>
                              </w:rPr>
                            </m:ctrlPr>
                          </m:dPr>
                          <m:e>
                            <m:sSub>
                              <m:sSubPr>
                                <m:ctrlPr>
                                  <w:rPr>
                                    <w:rFonts w:ascii="Cambria Math" w:hAnsi="Cambria Math" w:cs="Times New Roman"/>
                                    <w:i/>
                                    <w:szCs w:val="24"/>
                                    <w:lang w:val="en-US"/>
                                  </w:rPr>
                                </m:ctrlPr>
                              </m:sSubPr>
                              <m:e>
                                <m:r>
                                  <w:rPr>
                                    <w:rFonts w:ascii="Cambria Math" w:hAnsi="Cambria Math" w:cs="Times New Roman"/>
                                    <w:szCs w:val="24"/>
                                    <w:lang w:val="en-US"/>
                                  </w:rPr>
                                  <m:t>a</m:t>
                                </m:r>
                              </m:e>
                              <m:sub>
                                <m:r>
                                  <w:rPr>
                                    <w:rFonts w:ascii="Cambria Math" w:hAnsi="Cambria Math" w:cs="Times New Roman"/>
                                    <w:szCs w:val="24"/>
                                    <w:lang w:val="en-US"/>
                                  </w:rPr>
                                  <m:t>i</m:t>
                                </m:r>
                              </m:sub>
                            </m:sSub>
                          </m:e>
                        </m:d>
                        <m:r>
                          <w:rPr>
                            <w:rFonts w:ascii="Cambria Math" w:hAnsi="Cambria Math" w:cs="Times New Roman"/>
                            <w:szCs w:val="24"/>
                            <w:lang w:val="en-US"/>
                          </w:rPr>
                          <m:t>=0</m:t>
                        </m:r>
                      </m:e>
                    </m:func>
                  </m:e>
                </m:func>
              </m:oMath>
            </m:oMathPara>
          </w:p>
        </w:tc>
        <w:tc>
          <w:tcPr>
            <w:tcW w:w="259" w:type="dxa"/>
          </w:tcPr>
          <w:p w14:paraId="796CA863" w14:textId="6307AE77" w:rsidR="00051297" w:rsidRPr="00051297" w:rsidRDefault="00051297" w:rsidP="00051297">
            <w:pPr>
              <w:ind w:firstLine="0"/>
            </w:pPr>
            <w:bookmarkStart w:id="318" w:name="_Ref103556952"/>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28</w:t>
            </w:r>
            <w:r w:rsidRPr="00051297">
              <w:rPr>
                <w:rFonts w:cs="Times New Roman"/>
                <w:szCs w:val="24"/>
                <w:lang w:val="en-US"/>
              </w:rPr>
              <w:fldChar w:fldCharType="end"/>
            </w:r>
            <w:r w:rsidRPr="00051297">
              <w:rPr>
                <w:rFonts w:cs="Times New Roman"/>
                <w:szCs w:val="24"/>
                <w:lang w:val="en-US"/>
              </w:rPr>
              <w:t>)</w:t>
            </w:r>
            <w:bookmarkEnd w:id="318"/>
          </w:p>
        </w:tc>
      </w:tr>
    </w:tbl>
    <w:p w14:paraId="79048F21" w14:textId="77777777" w:rsidR="00051297" w:rsidRPr="00051297" w:rsidRDefault="00051297" w:rsidP="00051297">
      <w:pPr>
        <w:ind w:firstLine="0"/>
        <w:rPr>
          <w:rFonts w:cs="Times New Roman"/>
          <w:szCs w:val="24"/>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
        <w:gridCol w:w="8296"/>
        <w:gridCol w:w="796"/>
      </w:tblGrid>
      <w:tr w:rsidR="00051297" w:rsidRPr="00051297" w14:paraId="1E489149" w14:textId="77777777" w:rsidTr="00D20B01">
        <w:tc>
          <w:tcPr>
            <w:tcW w:w="265" w:type="dxa"/>
          </w:tcPr>
          <w:p w14:paraId="3EF3D36F" w14:textId="77777777" w:rsidR="00051297" w:rsidRPr="00051297" w:rsidRDefault="00051297" w:rsidP="00051297">
            <w:pPr>
              <w:ind w:firstLine="0"/>
              <w:rPr>
                <w:rFonts w:cs="Times New Roman"/>
                <w:szCs w:val="24"/>
                <w:lang w:val="en-US"/>
              </w:rPr>
            </w:pPr>
          </w:p>
        </w:tc>
        <w:tc>
          <w:tcPr>
            <w:tcW w:w="8820" w:type="dxa"/>
          </w:tcPr>
          <w:p w14:paraId="2B031946" w14:textId="77777777" w:rsidR="00051297" w:rsidRPr="00051297" w:rsidRDefault="00536556" w:rsidP="00051297">
            <w:pPr>
              <w:rPr>
                <w:rFonts w:cs="Times New Roman"/>
                <w:szCs w:val="24"/>
                <w:lang w:val="en-US"/>
              </w:rPr>
            </w:pPr>
            <m:oMathPara>
              <m:oMath>
                <m:nary>
                  <m:naryPr>
                    <m:chr m:val="∑"/>
                    <m:limLoc m:val="undOvr"/>
                    <m:subHide m:val="1"/>
                    <m:supHide m:val="1"/>
                    <m:ctrlPr>
                      <w:rPr>
                        <w:rFonts w:ascii="Cambria Math" w:hAnsi="Cambria Math" w:cs="Times New Roman"/>
                        <w:i/>
                        <w:szCs w:val="24"/>
                        <w:lang w:val="en-US"/>
                      </w:rPr>
                    </m:ctrlPr>
                  </m:naryPr>
                  <m:sub/>
                  <m:sup/>
                  <m:e>
                    <m:sSub>
                      <m:sSubPr>
                        <m:ctrlPr>
                          <w:rPr>
                            <w:rFonts w:ascii="Cambria Math" w:hAnsi="Cambria Math" w:cs="Times New Roman"/>
                            <w:i/>
                            <w:szCs w:val="24"/>
                            <w:lang w:val="en-US"/>
                          </w:rPr>
                        </m:ctrlPr>
                      </m:sSubPr>
                      <m:e>
                        <m:r>
                          <w:rPr>
                            <w:rFonts w:ascii="Cambria Math" w:hAnsi="Cambria Math" w:cs="Times New Roman"/>
                            <w:szCs w:val="24"/>
                            <w:lang w:val="en-US"/>
                          </w:rPr>
                          <m:t>F</m:t>
                        </m:r>
                      </m:e>
                      <m:sub>
                        <m:r>
                          <w:rPr>
                            <w:rFonts w:ascii="Cambria Math" w:hAnsi="Cambria Math" w:cs="Times New Roman"/>
                            <w:szCs w:val="24"/>
                            <w:lang w:val="en-US"/>
                          </w:rPr>
                          <m:t>y</m:t>
                        </m:r>
                      </m:sub>
                    </m:sSub>
                  </m:e>
                </m:nary>
                <m:r>
                  <w:rPr>
                    <w:rFonts w:ascii="Cambria Math" w:hAnsi="Cambria Math" w:cs="Times New Roman"/>
                    <w:szCs w:val="24"/>
                    <w:lang w:val="en-US"/>
                  </w:rPr>
                  <m:t xml:space="preserve">=0, means: </m:t>
                </m:r>
                <m:sSubSup>
                  <m:sSubSupPr>
                    <m:ctrlPr>
                      <w:rPr>
                        <w:rFonts w:ascii="Cambria Math" w:hAnsi="Cambria Math" w:cs="Times New Roman"/>
                        <w:i/>
                        <w:szCs w:val="24"/>
                        <w:lang w:val="en-US"/>
                      </w:rPr>
                    </m:ctrlPr>
                  </m:sSubSupPr>
                  <m:e>
                    <m:r>
                      <w:rPr>
                        <w:rFonts w:ascii="Cambria Math" w:hAnsi="Cambria Math" w:cs="Times New Roman"/>
                        <w:szCs w:val="24"/>
                        <w:lang w:val="en-US"/>
                      </w:rPr>
                      <m:t>N</m:t>
                    </m:r>
                  </m:e>
                  <m:sub>
                    <m:r>
                      <w:rPr>
                        <w:rFonts w:ascii="Cambria Math" w:hAnsi="Cambria Math" w:cs="Times New Roman"/>
                        <w:szCs w:val="24"/>
                        <w:lang w:val="en-US"/>
                      </w:rPr>
                      <m:t>i</m:t>
                    </m:r>
                  </m:sub>
                  <m:sup>
                    <m:r>
                      <w:rPr>
                        <w:rFonts w:ascii="Cambria Math" w:hAnsi="Cambria Math" w:cs="Times New Roman"/>
                        <w:szCs w:val="24"/>
                        <w:lang w:val="en-US"/>
                      </w:rPr>
                      <m:t>'</m:t>
                    </m:r>
                  </m:sup>
                </m:sSubSup>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U</m:t>
                    </m:r>
                  </m:e>
                  <m:sub>
                    <m:r>
                      <w:rPr>
                        <w:rFonts w:ascii="Cambria Math" w:hAnsi="Cambria Math" w:cs="Times New Roman"/>
                        <w:szCs w:val="24"/>
                        <w:lang w:val="en-US"/>
                      </w:rPr>
                      <m:t>i</m:t>
                    </m:r>
                  </m:sub>
                </m:sSub>
                <m:r>
                  <w:rPr>
                    <w:rFonts w:ascii="Cambria Math" w:hAnsi="Cambria Math" w:cs="Times New Roman"/>
                    <w:szCs w:val="24"/>
                    <w:lang w:val="en-US"/>
                  </w:rPr>
                  <m:t>+Q</m:t>
                </m:r>
                <m:func>
                  <m:funcPr>
                    <m:ctrlPr>
                      <w:rPr>
                        <w:rFonts w:ascii="Cambria Math" w:hAnsi="Cambria Math" w:cs="Times New Roman"/>
                        <w:i/>
                        <w:szCs w:val="24"/>
                        <w:lang w:val="en-US"/>
                      </w:rPr>
                    </m:ctrlPr>
                  </m:funcPr>
                  <m:fName>
                    <m:r>
                      <m:rPr>
                        <m:sty m:val="p"/>
                      </m:rPr>
                      <w:rPr>
                        <w:rFonts w:ascii="Cambria Math" w:hAnsi="Cambria Math" w:cs="Times New Roman"/>
                        <w:szCs w:val="24"/>
                        <w:lang w:val="en-US"/>
                      </w:rPr>
                      <m:t>sin</m:t>
                    </m:r>
                  </m:fName>
                  <m:e>
                    <m:d>
                      <m:dPr>
                        <m:ctrlPr>
                          <w:rPr>
                            <w:rFonts w:ascii="Cambria Math" w:hAnsi="Cambria Math" w:cs="Times New Roman"/>
                            <w:i/>
                            <w:szCs w:val="24"/>
                            <w:lang w:val="en-US"/>
                          </w:rPr>
                        </m:ctrlPr>
                      </m:dPr>
                      <m:e>
                        <m:sSub>
                          <m:sSubPr>
                            <m:ctrlPr>
                              <w:rPr>
                                <w:rFonts w:ascii="Cambria Math" w:hAnsi="Cambria Math" w:cs="Times New Roman"/>
                                <w:i/>
                                <w:szCs w:val="24"/>
                                <w:lang w:val="en-US"/>
                              </w:rPr>
                            </m:ctrlPr>
                          </m:sSubPr>
                          <m:e>
                            <m:r>
                              <w:rPr>
                                <w:rFonts w:ascii="Cambria Math" w:hAnsi="Cambria Math" w:cs="Times New Roman"/>
                                <w:szCs w:val="24"/>
                                <w:lang w:val="en-US"/>
                              </w:rPr>
                              <m:t>a</m:t>
                            </m:r>
                          </m:e>
                          <m:sub>
                            <m:r>
                              <w:rPr>
                                <w:rFonts w:ascii="Cambria Math" w:hAnsi="Cambria Math" w:cs="Times New Roman"/>
                                <w:szCs w:val="24"/>
                                <w:lang w:val="en-US"/>
                              </w:rPr>
                              <m:t>i</m:t>
                            </m:r>
                          </m:sub>
                        </m:sSub>
                        <m:r>
                          <w:rPr>
                            <w:rFonts w:ascii="Cambria Math" w:hAnsi="Cambria Math" w:cs="Times New Roman"/>
                            <w:szCs w:val="24"/>
                            <w:lang w:val="en-US"/>
                          </w:rPr>
                          <m:t>-</m:t>
                        </m:r>
                        <m:sSup>
                          <m:sSupPr>
                            <m:ctrlPr>
                              <w:rPr>
                                <w:rFonts w:ascii="Cambria Math" w:hAnsi="Cambria Math" w:cs="Times New Roman"/>
                                <w:i/>
                                <w:szCs w:val="24"/>
                                <w:lang w:val="en-US"/>
                              </w:rPr>
                            </m:ctrlPr>
                          </m:sSupPr>
                          <m:e>
                            <m:r>
                              <w:rPr>
                                <w:rFonts w:ascii="Cambria Math" w:hAnsi="Cambria Math" w:cs="Times New Roman"/>
                                <w:szCs w:val="24"/>
                                <w:lang w:val="en-US"/>
                              </w:rPr>
                              <m:t>θ</m:t>
                            </m:r>
                          </m:e>
                          <m:sup>
                            <m:r>
                              <w:rPr>
                                <w:rFonts w:ascii="Cambria Math" w:hAnsi="Cambria Math" w:cs="Times New Roman"/>
                                <w:szCs w:val="24"/>
                                <w:lang w:val="en-US"/>
                              </w:rPr>
                              <m:t>*</m:t>
                            </m:r>
                          </m:sup>
                        </m:sSup>
                      </m:e>
                    </m:d>
                    <m:r>
                      <w:rPr>
                        <w:rFonts w:ascii="Cambria Math" w:hAnsi="Cambria Math" w:cs="Times New Roman"/>
                        <w:szCs w:val="24"/>
                        <w:lang w:val="en-US"/>
                      </w:rPr>
                      <m:t>-W</m:t>
                    </m:r>
                    <m:func>
                      <m:funcPr>
                        <m:ctrlPr>
                          <w:rPr>
                            <w:rFonts w:ascii="Cambria Math" w:hAnsi="Cambria Math" w:cs="Times New Roman"/>
                            <w:i/>
                            <w:szCs w:val="24"/>
                            <w:lang w:val="en-US"/>
                          </w:rPr>
                        </m:ctrlPr>
                      </m:funcPr>
                      <m:fName>
                        <m:r>
                          <m:rPr>
                            <m:sty m:val="p"/>
                          </m:rPr>
                          <w:rPr>
                            <w:rFonts w:ascii="Cambria Math" w:hAnsi="Cambria Math" w:cs="Times New Roman"/>
                            <w:szCs w:val="24"/>
                            <w:lang w:val="en-US"/>
                          </w:rPr>
                          <m:t>cos</m:t>
                        </m:r>
                      </m:fName>
                      <m:e>
                        <m:d>
                          <m:dPr>
                            <m:ctrlPr>
                              <w:rPr>
                                <w:rFonts w:ascii="Cambria Math" w:hAnsi="Cambria Math" w:cs="Times New Roman"/>
                                <w:i/>
                                <w:szCs w:val="24"/>
                                <w:lang w:val="en-US"/>
                              </w:rPr>
                            </m:ctrlPr>
                          </m:dPr>
                          <m:e>
                            <m:sSub>
                              <m:sSubPr>
                                <m:ctrlPr>
                                  <w:rPr>
                                    <w:rFonts w:ascii="Cambria Math" w:hAnsi="Cambria Math" w:cs="Times New Roman"/>
                                    <w:i/>
                                    <w:szCs w:val="24"/>
                                    <w:lang w:val="en-US"/>
                                  </w:rPr>
                                </m:ctrlPr>
                              </m:sSubPr>
                              <m:e>
                                <m:r>
                                  <w:rPr>
                                    <w:rFonts w:ascii="Cambria Math" w:hAnsi="Cambria Math" w:cs="Times New Roman"/>
                                    <w:szCs w:val="24"/>
                                    <w:lang w:val="en-US"/>
                                  </w:rPr>
                                  <m:t>a</m:t>
                                </m:r>
                              </m:e>
                              <m:sub>
                                <m:r>
                                  <w:rPr>
                                    <w:rFonts w:ascii="Cambria Math" w:hAnsi="Cambria Math" w:cs="Times New Roman"/>
                                    <w:szCs w:val="24"/>
                                    <w:lang w:val="en-US"/>
                                  </w:rPr>
                                  <m:t>i</m:t>
                                </m:r>
                              </m:sub>
                            </m:sSub>
                          </m:e>
                        </m:d>
                        <m:r>
                          <w:rPr>
                            <w:rFonts w:ascii="Cambria Math" w:hAnsi="Cambria Math" w:cs="Times New Roman"/>
                            <w:szCs w:val="24"/>
                            <w:lang w:val="en-US"/>
                          </w:rPr>
                          <m:t>=0</m:t>
                        </m:r>
                      </m:e>
                    </m:func>
                  </m:e>
                </m:func>
              </m:oMath>
            </m:oMathPara>
          </w:p>
        </w:tc>
        <w:tc>
          <w:tcPr>
            <w:tcW w:w="259" w:type="dxa"/>
          </w:tcPr>
          <w:p w14:paraId="30ED6500" w14:textId="209B0FB4" w:rsidR="00051297" w:rsidRPr="00051297" w:rsidRDefault="00051297" w:rsidP="00051297">
            <w:pPr>
              <w:ind w:firstLine="0"/>
            </w:pP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29</w:t>
            </w:r>
            <w:r w:rsidRPr="00051297">
              <w:rPr>
                <w:rFonts w:cs="Times New Roman"/>
                <w:szCs w:val="24"/>
                <w:lang w:val="en-US"/>
              </w:rPr>
              <w:fldChar w:fldCharType="end"/>
            </w:r>
            <w:r w:rsidRPr="00051297">
              <w:rPr>
                <w:rFonts w:cs="Times New Roman"/>
                <w:szCs w:val="24"/>
                <w:lang w:val="en-US"/>
              </w:rPr>
              <w:t>)</w:t>
            </w:r>
          </w:p>
        </w:tc>
      </w:tr>
    </w:tbl>
    <w:p w14:paraId="60FA60A7" w14:textId="77777777" w:rsidR="00051297" w:rsidRPr="00051297" w:rsidRDefault="00051297" w:rsidP="00051297">
      <w:pPr>
        <w:ind w:firstLine="0"/>
        <w:rPr>
          <w:rFonts w:cs="Times New Roman"/>
          <w:szCs w:val="24"/>
          <w:lang w:val="en-US"/>
        </w:rPr>
      </w:pPr>
    </w:p>
    <w:p w14:paraId="005ADD49" w14:textId="77777777" w:rsidR="00051297" w:rsidRPr="00051297" w:rsidRDefault="00051297" w:rsidP="00051297">
      <w:pPr>
        <w:rPr>
          <w:rFonts w:cs="Times New Roman"/>
          <w:szCs w:val="24"/>
          <w:lang w:val="en-US"/>
        </w:rPr>
      </w:pPr>
      <w:r w:rsidRPr="00051297">
        <w:rPr>
          <w:rFonts w:cs="Times New Roman"/>
          <w:szCs w:val="24"/>
          <w:lang w:val="en-US"/>
        </w:rPr>
        <w:t>The utilization of the Mohr-Coulomb failure criterion regarding the shear strength of the ground, hence, yields: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
        <w:gridCol w:w="8296"/>
        <w:gridCol w:w="796"/>
      </w:tblGrid>
      <w:tr w:rsidR="00051297" w:rsidRPr="00051297" w14:paraId="628ABBB1" w14:textId="77777777" w:rsidTr="00D20B01">
        <w:tc>
          <w:tcPr>
            <w:tcW w:w="265" w:type="dxa"/>
          </w:tcPr>
          <w:p w14:paraId="38E7DB3D" w14:textId="77777777" w:rsidR="00051297" w:rsidRPr="00051297" w:rsidRDefault="00051297" w:rsidP="00051297">
            <w:pPr>
              <w:ind w:firstLine="0"/>
              <w:rPr>
                <w:rFonts w:cs="Times New Roman"/>
                <w:szCs w:val="24"/>
                <w:lang w:val="en-US"/>
              </w:rPr>
            </w:pPr>
          </w:p>
        </w:tc>
        <w:tc>
          <w:tcPr>
            <w:tcW w:w="8820" w:type="dxa"/>
          </w:tcPr>
          <w:p w14:paraId="31D282F6" w14:textId="77777777" w:rsidR="00051297" w:rsidRPr="00051297" w:rsidRDefault="00536556" w:rsidP="00051297">
            <w:pPr>
              <w:rPr>
                <w:rFonts w:cs="Times New Roman"/>
                <w:szCs w:val="24"/>
                <w:lang w:val="en-US"/>
              </w:rPr>
            </w:pPr>
            <m:oMathPara>
              <m:oMath>
                <m:sSub>
                  <m:sSubPr>
                    <m:ctrlPr>
                      <w:rPr>
                        <w:rFonts w:ascii="Cambria Math" w:hAnsi="Cambria Math" w:cs="Times New Roman"/>
                        <w:i/>
                        <w:szCs w:val="24"/>
                        <w:lang w:val="en-US"/>
                      </w:rPr>
                    </m:ctrlPr>
                  </m:sSubPr>
                  <m:e>
                    <m:r>
                      <w:rPr>
                        <w:rFonts w:ascii="Cambria Math" w:hAnsi="Cambria Math" w:cs="Times New Roman"/>
                        <w:szCs w:val="24"/>
                        <w:lang w:val="en-US"/>
                      </w:rPr>
                      <m:t>T</m:t>
                    </m:r>
                  </m:e>
                  <m:sub>
                    <m:r>
                      <w:rPr>
                        <w:rFonts w:ascii="Cambria Math" w:hAnsi="Cambria Math" w:cs="Times New Roman"/>
                        <w:szCs w:val="24"/>
                        <w:lang w:val="en-US"/>
                      </w:rPr>
                      <m:t>ULT</m:t>
                    </m:r>
                  </m:sub>
                </m:sSub>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C</m:t>
                    </m:r>
                  </m:e>
                  <m:sub>
                    <m:r>
                      <w:rPr>
                        <w:rFonts w:ascii="Cambria Math" w:hAnsi="Cambria Math" w:cs="Times New Roman"/>
                        <w:szCs w:val="24"/>
                        <w:lang w:val="en-US"/>
                      </w:rPr>
                      <m:t>i</m:t>
                    </m:r>
                  </m:sub>
                </m:sSub>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L</m:t>
                    </m:r>
                  </m:e>
                  <m:sub>
                    <m:r>
                      <w:rPr>
                        <w:rFonts w:ascii="Cambria Math" w:hAnsi="Cambria Math" w:cs="Times New Roman"/>
                        <w:szCs w:val="24"/>
                        <w:lang w:val="en-US"/>
                      </w:rPr>
                      <m:t>i</m:t>
                    </m:r>
                  </m:sub>
                </m:sSub>
                <m:r>
                  <w:rPr>
                    <w:rFonts w:ascii="Cambria Math" w:hAnsi="Cambria Math" w:cs="Times New Roman"/>
                    <w:szCs w:val="24"/>
                    <w:lang w:val="en-US"/>
                  </w:rPr>
                  <m:t>+</m:t>
                </m:r>
                <m:sSubSup>
                  <m:sSubSupPr>
                    <m:ctrlPr>
                      <w:rPr>
                        <w:rFonts w:ascii="Cambria Math" w:hAnsi="Cambria Math" w:cs="Times New Roman"/>
                        <w:i/>
                        <w:szCs w:val="24"/>
                        <w:lang w:val="en-US"/>
                      </w:rPr>
                    </m:ctrlPr>
                  </m:sSubSupPr>
                  <m:e>
                    <m:r>
                      <w:rPr>
                        <w:rFonts w:ascii="Cambria Math" w:hAnsi="Cambria Math" w:cs="Times New Roman"/>
                        <w:szCs w:val="24"/>
                        <w:lang w:val="en-US"/>
                      </w:rPr>
                      <m:t>N</m:t>
                    </m:r>
                  </m:e>
                  <m:sub>
                    <m:r>
                      <w:rPr>
                        <w:rFonts w:ascii="Cambria Math" w:hAnsi="Cambria Math" w:cs="Times New Roman"/>
                        <w:szCs w:val="24"/>
                        <w:lang w:val="en-US"/>
                      </w:rPr>
                      <m:t>i</m:t>
                    </m:r>
                  </m:sub>
                  <m:sup>
                    <m:r>
                      <w:rPr>
                        <w:rFonts w:ascii="Cambria Math" w:hAnsi="Cambria Math" w:cs="Times New Roman"/>
                        <w:szCs w:val="24"/>
                        <w:lang w:val="en-US"/>
                      </w:rPr>
                      <m:t>'</m:t>
                    </m:r>
                  </m:sup>
                </m:sSubSup>
                <m:func>
                  <m:funcPr>
                    <m:ctrlPr>
                      <w:rPr>
                        <w:rFonts w:ascii="Cambria Math" w:hAnsi="Cambria Math" w:cs="Times New Roman"/>
                        <w:i/>
                        <w:szCs w:val="24"/>
                        <w:lang w:val="en-US"/>
                      </w:rPr>
                    </m:ctrlPr>
                  </m:funcPr>
                  <m:fName>
                    <m:r>
                      <m:rPr>
                        <m:sty m:val="p"/>
                      </m:rPr>
                      <w:rPr>
                        <w:rFonts w:ascii="Cambria Math" w:hAnsi="Cambria Math" w:cs="Times New Roman"/>
                        <w:szCs w:val="24"/>
                        <w:lang w:val="en-US"/>
                      </w:rPr>
                      <m:t>tan</m:t>
                    </m:r>
                  </m:fName>
                  <m:e>
                    <m:sSub>
                      <m:sSubPr>
                        <m:ctrlPr>
                          <w:rPr>
                            <w:rFonts w:ascii="Cambria Math" w:hAnsi="Cambria Math" w:cs="Times New Roman"/>
                            <w:i/>
                            <w:szCs w:val="24"/>
                            <w:lang w:val="en-US"/>
                          </w:rPr>
                        </m:ctrlPr>
                      </m:sSubPr>
                      <m:e>
                        <m:r>
                          <w:rPr>
                            <w:rFonts w:ascii="Cambria Math" w:hAnsi="Cambria Math" w:cs="Times New Roman"/>
                            <w:szCs w:val="24"/>
                            <w:lang w:val="en-US"/>
                          </w:rPr>
                          <m:t>φ</m:t>
                        </m:r>
                      </m:e>
                      <m:sub>
                        <m:r>
                          <w:rPr>
                            <w:rFonts w:ascii="Cambria Math" w:hAnsi="Cambria Math" w:cs="Times New Roman"/>
                            <w:szCs w:val="24"/>
                            <w:lang w:val="en-US"/>
                          </w:rPr>
                          <m:t>i</m:t>
                        </m:r>
                      </m:sub>
                    </m:sSub>
                  </m:e>
                </m:func>
              </m:oMath>
            </m:oMathPara>
          </w:p>
        </w:tc>
        <w:tc>
          <w:tcPr>
            <w:tcW w:w="259" w:type="dxa"/>
          </w:tcPr>
          <w:p w14:paraId="73F6EA63" w14:textId="7DDB1DEE" w:rsidR="00051297" w:rsidRPr="00051297" w:rsidRDefault="00051297" w:rsidP="00051297">
            <w:pPr>
              <w:ind w:firstLine="0"/>
            </w:pP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30</w:t>
            </w:r>
            <w:r w:rsidRPr="00051297">
              <w:rPr>
                <w:rFonts w:cs="Times New Roman"/>
                <w:szCs w:val="24"/>
                <w:lang w:val="en-US"/>
              </w:rPr>
              <w:fldChar w:fldCharType="end"/>
            </w:r>
            <w:r w:rsidRPr="00051297">
              <w:rPr>
                <w:rFonts w:cs="Times New Roman"/>
                <w:szCs w:val="24"/>
                <w:lang w:val="en-US"/>
              </w:rPr>
              <w:t>)</w:t>
            </w:r>
          </w:p>
        </w:tc>
      </w:tr>
    </w:tbl>
    <w:p w14:paraId="7F4F6C82" w14:textId="77777777" w:rsidR="00051297" w:rsidRPr="00051297" w:rsidRDefault="00051297" w:rsidP="00051297">
      <w:pPr>
        <w:ind w:firstLine="0"/>
        <w:rPr>
          <w:rFonts w:cs="Times New Roman"/>
          <w:szCs w:val="24"/>
          <w:lang w:val="en-US"/>
        </w:rPr>
      </w:pPr>
    </w:p>
    <w:p w14:paraId="2502B70E" w14:textId="77777777" w:rsidR="00051297" w:rsidRPr="00051297" w:rsidRDefault="00051297" w:rsidP="00051297">
      <w:pPr>
        <w:rPr>
          <w:rFonts w:cs="Times New Roman"/>
          <w:szCs w:val="24"/>
          <w:lang w:val="en-US"/>
        </w:rPr>
      </w:pPr>
    </w:p>
    <w:p w14:paraId="7435696D" w14:textId="77777777" w:rsidR="00051297" w:rsidRPr="00051297" w:rsidRDefault="00051297" w:rsidP="00051297">
      <w:pPr>
        <w:rPr>
          <w:rFonts w:cs="Times New Roman"/>
          <w:szCs w:val="24"/>
          <w:lang w:val="en-US"/>
        </w:rPr>
      </w:pPr>
      <w:r w:rsidRPr="00051297">
        <w:rPr>
          <w:rFonts w:cs="Times New Roman"/>
          <w:szCs w:val="24"/>
          <w:lang w:val="en-US"/>
        </w:rPr>
        <w:lastRenderedPageBreak/>
        <w:t xml:space="preserve">Whereby: </w:t>
      </w:r>
    </w:p>
    <w:p w14:paraId="401A7688" w14:textId="77777777" w:rsidR="00051297" w:rsidRPr="00051297" w:rsidRDefault="00051297" w:rsidP="00051297">
      <w:pPr>
        <w:rPr>
          <w:rFonts w:cs="Times New Roman"/>
          <w:szCs w:val="24"/>
          <w:lang w:val="en-US"/>
        </w:rPr>
      </w:pPr>
      <w:r w:rsidRPr="006437C5">
        <w:rPr>
          <w:rFonts w:cs="Times New Roman"/>
          <w:i/>
          <w:iCs/>
          <w:szCs w:val="24"/>
          <w:lang w:val="en-US"/>
        </w:rPr>
        <w:t>T</w:t>
      </w:r>
      <w:r w:rsidRPr="00051297">
        <w:rPr>
          <w:rFonts w:cs="Times New Roman"/>
          <w:b/>
          <w:bCs/>
          <w:i/>
          <w:iCs/>
          <w:szCs w:val="24"/>
          <w:vertAlign w:val="subscript"/>
          <w:lang w:val="en-US"/>
        </w:rPr>
        <w:t>ULT</w:t>
      </w:r>
      <w:r w:rsidRPr="00051297">
        <w:rPr>
          <w:rFonts w:cs="Times New Roman"/>
          <w:szCs w:val="24"/>
          <w:lang w:val="en-US"/>
        </w:rPr>
        <w:t xml:space="preserve"> – is the soil mass's shear strength; c – is cohesion; L – is the length of the slice's base, and </w:t>
      </w:r>
      <w:r w:rsidRPr="006437C5">
        <w:rPr>
          <w:rFonts w:cs="Times New Roman"/>
          <w:i/>
          <w:iCs/>
          <w:szCs w:val="24"/>
          <w:lang w:val="en-US"/>
        </w:rPr>
        <w:t>φ</w:t>
      </w:r>
      <w:r w:rsidRPr="00051297">
        <w:rPr>
          <w:rFonts w:cs="Times New Roman"/>
          <w:szCs w:val="24"/>
          <w:lang w:val="en-US"/>
        </w:rPr>
        <w:t xml:space="preserve"> – is the soil's friction angle.</w:t>
      </w:r>
    </w:p>
    <w:p w14:paraId="524203AA" w14:textId="77777777" w:rsidR="00051297" w:rsidRPr="00051297" w:rsidRDefault="00051297" w:rsidP="00051297">
      <w:pPr>
        <w:rPr>
          <w:rFonts w:cs="Times New Roman"/>
          <w:szCs w:val="24"/>
          <w:lang w:val="en-US"/>
        </w:rPr>
      </w:pPr>
      <w:r w:rsidRPr="00051297">
        <w:rPr>
          <w:rFonts w:cs="Times New Roman"/>
          <w:szCs w:val="24"/>
          <w:lang w:val="en-US"/>
        </w:rPr>
        <w:t>T is the shear force at the base of each slice.</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
        <w:gridCol w:w="8296"/>
        <w:gridCol w:w="796"/>
      </w:tblGrid>
      <w:tr w:rsidR="00051297" w:rsidRPr="00051297" w14:paraId="1AE0F9DD" w14:textId="77777777" w:rsidTr="00D20B01">
        <w:tc>
          <w:tcPr>
            <w:tcW w:w="265" w:type="dxa"/>
          </w:tcPr>
          <w:p w14:paraId="49937CCE" w14:textId="77777777" w:rsidR="00051297" w:rsidRPr="00051297" w:rsidRDefault="00051297" w:rsidP="00051297">
            <w:pPr>
              <w:ind w:firstLine="0"/>
              <w:rPr>
                <w:rFonts w:cs="Times New Roman"/>
                <w:szCs w:val="24"/>
                <w:lang w:val="en-US"/>
              </w:rPr>
            </w:pPr>
          </w:p>
        </w:tc>
        <w:tc>
          <w:tcPr>
            <w:tcW w:w="8820" w:type="dxa"/>
          </w:tcPr>
          <w:p w14:paraId="3A27C1D4" w14:textId="77777777" w:rsidR="00051297" w:rsidRPr="00051297" w:rsidRDefault="00536556" w:rsidP="00051297">
            <w:pPr>
              <w:rPr>
                <w:rFonts w:cs="Times New Roman"/>
                <w:szCs w:val="24"/>
                <w:lang w:val="en-US"/>
              </w:rPr>
            </w:pPr>
            <m:oMathPara>
              <m:oMath>
                <m:sSub>
                  <m:sSubPr>
                    <m:ctrlPr>
                      <w:rPr>
                        <w:rFonts w:ascii="Cambria Math" w:hAnsi="Cambria Math" w:cs="Times New Roman"/>
                        <w:i/>
                        <w:szCs w:val="24"/>
                        <w:lang w:val="en-US"/>
                      </w:rPr>
                    </m:ctrlPr>
                  </m:sSubPr>
                  <m:e>
                    <m:r>
                      <w:rPr>
                        <w:rFonts w:ascii="Cambria Math" w:hAnsi="Cambria Math" w:cs="Times New Roman"/>
                        <w:szCs w:val="24"/>
                        <w:lang w:val="en-US"/>
                      </w:rPr>
                      <m:t>T</m:t>
                    </m:r>
                  </m:e>
                  <m:sub>
                    <m:r>
                      <w:rPr>
                        <w:rFonts w:ascii="Cambria Math" w:hAnsi="Cambria Math" w:cs="Times New Roman"/>
                        <w:szCs w:val="24"/>
                        <w:lang w:val="en-US"/>
                      </w:rPr>
                      <m:t>i</m:t>
                    </m:r>
                  </m:sub>
                </m:sSub>
                <m:r>
                  <w:rPr>
                    <w:rFonts w:ascii="Cambria Math" w:hAnsi="Cambria Math" w:cs="Times New Roman"/>
                    <w:szCs w:val="24"/>
                    <w:lang w:val="en-US"/>
                  </w:rPr>
                  <m:t>=</m:t>
                </m:r>
                <m:f>
                  <m:fPr>
                    <m:ctrlPr>
                      <w:rPr>
                        <w:rFonts w:ascii="Cambria Math" w:hAnsi="Cambria Math" w:cs="Times New Roman"/>
                        <w:i/>
                        <w:szCs w:val="24"/>
                        <w:lang w:val="en-US"/>
                      </w:rPr>
                    </m:ctrlPr>
                  </m:fPr>
                  <m:num>
                    <m:sSub>
                      <m:sSubPr>
                        <m:ctrlPr>
                          <w:rPr>
                            <w:rFonts w:ascii="Cambria Math" w:hAnsi="Cambria Math" w:cs="Times New Roman"/>
                            <w:i/>
                            <w:szCs w:val="24"/>
                            <w:lang w:val="en-US"/>
                          </w:rPr>
                        </m:ctrlPr>
                      </m:sSubPr>
                      <m:e>
                        <m:r>
                          <w:rPr>
                            <w:rFonts w:ascii="Cambria Math" w:hAnsi="Cambria Math" w:cs="Times New Roman"/>
                            <w:szCs w:val="24"/>
                            <w:lang w:val="en-US"/>
                          </w:rPr>
                          <m:t>T</m:t>
                        </m:r>
                      </m:e>
                      <m:sub>
                        <m:r>
                          <w:rPr>
                            <w:rFonts w:ascii="Cambria Math" w:hAnsi="Cambria Math" w:cs="Times New Roman"/>
                            <w:szCs w:val="24"/>
                            <w:lang w:val="en-US"/>
                          </w:rPr>
                          <m:t>ULT</m:t>
                        </m:r>
                      </m:sub>
                    </m:sSub>
                  </m:num>
                  <m:den>
                    <m:r>
                      <w:rPr>
                        <w:rFonts w:ascii="Cambria Math" w:hAnsi="Cambria Math" w:cs="Times New Roman"/>
                        <w:szCs w:val="24"/>
                        <w:lang w:val="en-US"/>
                      </w:rPr>
                      <m:t>FS</m:t>
                    </m:r>
                  </m:den>
                </m:f>
                <m:r>
                  <w:rPr>
                    <w:rFonts w:ascii="Cambria Math" w:hAnsi="Cambria Math" w:cs="Times New Roman"/>
                    <w:szCs w:val="24"/>
                    <w:lang w:val="en-US"/>
                  </w:rPr>
                  <m:t>, means:FS=</m:t>
                </m:r>
                <m:f>
                  <m:fPr>
                    <m:ctrlPr>
                      <w:rPr>
                        <w:rFonts w:ascii="Cambria Math" w:hAnsi="Cambria Math" w:cs="Times New Roman"/>
                        <w:i/>
                        <w:szCs w:val="24"/>
                        <w:lang w:val="en-US"/>
                      </w:rPr>
                    </m:ctrlPr>
                  </m:fPr>
                  <m:num>
                    <m:sSub>
                      <m:sSubPr>
                        <m:ctrlPr>
                          <w:rPr>
                            <w:rFonts w:ascii="Cambria Math" w:hAnsi="Cambria Math" w:cs="Times New Roman"/>
                            <w:i/>
                            <w:szCs w:val="24"/>
                            <w:lang w:val="en-US"/>
                          </w:rPr>
                        </m:ctrlPr>
                      </m:sSubPr>
                      <m:e>
                        <m:r>
                          <w:rPr>
                            <w:rFonts w:ascii="Cambria Math" w:hAnsi="Cambria Math" w:cs="Times New Roman"/>
                            <w:szCs w:val="24"/>
                            <w:lang w:val="en-US"/>
                          </w:rPr>
                          <m:t>T</m:t>
                        </m:r>
                      </m:e>
                      <m:sub>
                        <m:r>
                          <w:rPr>
                            <w:rFonts w:ascii="Cambria Math" w:hAnsi="Cambria Math" w:cs="Times New Roman"/>
                            <w:szCs w:val="24"/>
                            <w:lang w:val="en-US"/>
                          </w:rPr>
                          <m:t>ULT</m:t>
                        </m:r>
                      </m:sub>
                    </m:sSub>
                  </m:num>
                  <m:den>
                    <m:sSub>
                      <m:sSubPr>
                        <m:ctrlPr>
                          <w:rPr>
                            <w:rFonts w:ascii="Cambria Math" w:hAnsi="Cambria Math" w:cs="Times New Roman"/>
                            <w:i/>
                            <w:szCs w:val="24"/>
                            <w:lang w:val="en-US"/>
                          </w:rPr>
                        </m:ctrlPr>
                      </m:sSubPr>
                      <m:e>
                        <m:r>
                          <w:rPr>
                            <w:rFonts w:ascii="Cambria Math" w:hAnsi="Cambria Math" w:cs="Times New Roman"/>
                            <w:szCs w:val="24"/>
                            <w:lang w:val="en-US"/>
                          </w:rPr>
                          <m:t>T</m:t>
                        </m:r>
                      </m:e>
                      <m:sub>
                        <m:r>
                          <w:rPr>
                            <w:rFonts w:ascii="Cambria Math" w:hAnsi="Cambria Math" w:cs="Times New Roman"/>
                            <w:szCs w:val="24"/>
                            <w:lang w:val="en-US"/>
                          </w:rPr>
                          <m:t>i</m:t>
                        </m:r>
                      </m:sub>
                    </m:sSub>
                  </m:den>
                </m:f>
              </m:oMath>
            </m:oMathPara>
          </w:p>
        </w:tc>
        <w:tc>
          <w:tcPr>
            <w:tcW w:w="259" w:type="dxa"/>
          </w:tcPr>
          <w:p w14:paraId="2243B770" w14:textId="366E4CB0" w:rsidR="00051297" w:rsidRPr="00051297" w:rsidRDefault="00051297" w:rsidP="00051297">
            <w:pPr>
              <w:ind w:firstLine="0"/>
            </w:pP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31</w:t>
            </w:r>
            <w:r w:rsidRPr="00051297">
              <w:rPr>
                <w:rFonts w:cs="Times New Roman"/>
                <w:szCs w:val="24"/>
                <w:lang w:val="en-US"/>
              </w:rPr>
              <w:fldChar w:fldCharType="end"/>
            </w:r>
            <w:r w:rsidRPr="00051297">
              <w:rPr>
                <w:rFonts w:cs="Times New Roman"/>
                <w:szCs w:val="24"/>
                <w:lang w:val="en-US"/>
              </w:rPr>
              <w:t>)</w:t>
            </w:r>
          </w:p>
        </w:tc>
      </w:tr>
    </w:tbl>
    <w:p w14:paraId="43DE5346" w14:textId="77777777" w:rsidR="00051297" w:rsidRPr="00051297" w:rsidRDefault="00051297" w:rsidP="00051297">
      <w:pPr>
        <w:ind w:firstLine="0"/>
        <w:rPr>
          <w:rFonts w:cs="Times New Roman"/>
          <w:szCs w:val="24"/>
          <w:lang w:val="en-US"/>
        </w:rPr>
      </w:pPr>
    </w:p>
    <w:p w14:paraId="432D82EA" w14:textId="77777777" w:rsidR="00051297" w:rsidRPr="00051297" w:rsidRDefault="00051297" w:rsidP="00051297">
      <w:pPr>
        <w:rPr>
          <w:rFonts w:cs="Times New Roman"/>
          <w:szCs w:val="24"/>
          <w:lang w:val="en-US"/>
        </w:rPr>
      </w:pPr>
      <w:r w:rsidRPr="00051297">
        <w:rPr>
          <w:rFonts w:cs="Times New Roman"/>
          <w:szCs w:val="24"/>
          <w:lang w:val="en-US"/>
        </w:rPr>
        <w:t>Equations 2.28 to 2.31 are used to calculate the equivalent resultant interslice force Q:</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
        <w:gridCol w:w="8297"/>
        <w:gridCol w:w="796"/>
      </w:tblGrid>
      <w:tr w:rsidR="00051297" w:rsidRPr="00051297" w14:paraId="445A510F" w14:textId="77777777" w:rsidTr="00D20B01">
        <w:tc>
          <w:tcPr>
            <w:tcW w:w="265" w:type="dxa"/>
          </w:tcPr>
          <w:p w14:paraId="440426B8" w14:textId="77777777" w:rsidR="00051297" w:rsidRPr="00051297" w:rsidRDefault="00051297" w:rsidP="00051297">
            <w:pPr>
              <w:ind w:firstLine="0"/>
              <w:rPr>
                <w:rFonts w:cs="Times New Roman"/>
                <w:szCs w:val="24"/>
                <w:lang w:val="en-US"/>
              </w:rPr>
            </w:pPr>
          </w:p>
        </w:tc>
        <w:tc>
          <w:tcPr>
            <w:tcW w:w="8820" w:type="dxa"/>
          </w:tcPr>
          <w:p w14:paraId="6E4E4745" w14:textId="77777777" w:rsidR="00051297" w:rsidRPr="00051297" w:rsidRDefault="00536556" w:rsidP="00051297">
            <w:pPr>
              <w:rPr>
                <w:rFonts w:cs="Times New Roman"/>
                <w:szCs w:val="24"/>
                <w:lang w:val="en-US"/>
              </w:rPr>
            </w:pPr>
            <m:oMathPara>
              <m:oMath>
                <m:sSub>
                  <m:sSubPr>
                    <m:ctrlPr>
                      <w:rPr>
                        <w:rFonts w:ascii="Cambria Math" w:hAnsi="Cambria Math" w:cs="Times New Roman"/>
                        <w:i/>
                        <w:szCs w:val="24"/>
                        <w:lang w:val="en-US"/>
                      </w:rPr>
                    </m:ctrlPr>
                  </m:sSubPr>
                  <m:e>
                    <m:r>
                      <w:rPr>
                        <w:rFonts w:ascii="Cambria Math" w:hAnsi="Cambria Math" w:cs="Times New Roman"/>
                        <w:szCs w:val="24"/>
                        <w:lang w:val="en-US"/>
                      </w:rPr>
                      <m:t>Q</m:t>
                    </m:r>
                  </m:e>
                  <m:sub>
                    <m:r>
                      <w:rPr>
                        <w:rFonts w:ascii="Cambria Math" w:hAnsi="Cambria Math" w:cs="Times New Roman"/>
                        <w:szCs w:val="24"/>
                        <w:lang w:val="en-US"/>
                      </w:rPr>
                      <m:t>i</m:t>
                    </m:r>
                  </m:sub>
                </m:sSub>
                <m:r>
                  <w:rPr>
                    <w:rFonts w:ascii="Cambria Math" w:hAnsi="Cambria Math" w:cs="Times New Roman"/>
                    <w:szCs w:val="24"/>
                    <w:lang w:val="en-US"/>
                  </w:rPr>
                  <m:t>=</m:t>
                </m:r>
                <m:f>
                  <m:fPr>
                    <m:ctrlPr>
                      <w:rPr>
                        <w:rFonts w:ascii="Cambria Math" w:hAnsi="Cambria Math" w:cs="Times New Roman"/>
                        <w:i/>
                        <w:szCs w:val="24"/>
                        <w:lang w:val="en-US"/>
                      </w:rPr>
                    </m:ctrlPr>
                  </m:fPr>
                  <m:num>
                    <m:f>
                      <m:fPr>
                        <m:ctrlPr>
                          <w:rPr>
                            <w:rFonts w:ascii="Cambria Math" w:hAnsi="Cambria Math" w:cs="Times New Roman"/>
                            <w:i/>
                            <w:szCs w:val="24"/>
                            <w:lang w:val="en-US"/>
                          </w:rPr>
                        </m:ctrlPr>
                      </m:fPr>
                      <m:num>
                        <m:sSub>
                          <m:sSubPr>
                            <m:ctrlPr>
                              <w:rPr>
                                <w:rFonts w:ascii="Cambria Math" w:hAnsi="Cambria Math" w:cs="Times New Roman"/>
                                <w:i/>
                                <w:szCs w:val="24"/>
                                <w:lang w:val="en-US"/>
                              </w:rPr>
                            </m:ctrlPr>
                          </m:sSubPr>
                          <m:e>
                            <m:r>
                              <w:rPr>
                                <w:rFonts w:ascii="Cambria Math" w:hAnsi="Cambria Math" w:cs="Times New Roman"/>
                                <w:szCs w:val="24"/>
                                <w:lang w:val="en-US"/>
                              </w:rPr>
                              <m:t>S</m:t>
                            </m:r>
                          </m:e>
                          <m:sub>
                            <m:r>
                              <w:rPr>
                                <w:rFonts w:ascii="Cambria Math" w:hAnsi="Cambria Math" w:cs="Times New Roman"/>
                                <w:szCs w:val="24"/>
                                <w:lang w:val="en-US"/>
                              </w:rPr>
                              <m:t>i</m:t>
                            </m:r>
                          </m:sub>
                        </m:sSub>
                      </m:num>
                      <m:den>
                        <m:r>
                          <w:rPr>
                            <w:rFonts w:ascii="Cambria Math" w:hAnsi="Cambria Math" w:cs="Times New Roman"/>
                            <w:szCs w:val="24"/>
                            <w:lang w:val="en-US"/>
                          </w:rPr>
                          <m:t>FS</m:t>
                        </m:r>
                      </m:den>
                    </m:f>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S</m:t>
                        </m:r>
                      </m:e>
                      <m:sub>
                        <m:r>
                          <w:rPr>
                            <w:rFonts w:ascii="Cambria Math" w:hAnsi="Cambria Math" w:cs="Times New Roman"/>
                            <w:szCs w:val="24"/>
                            <w:lang w:val="en-US"/>
                          </w:rPr>
                          <m:t>2</m:t>
                        </m:r>
                      </m:sub>
                    </m:sSub>
                  </m:num>
                  <m:den>
                    <m:r>
                      <w:rPr>
                        <w:rFonts w:ascii="Cambria Math" w:hAnsi="Cambria Math" w:cs="Times New Roman"/>
                        <w:szCs w:val="24"/>
                        <w:lang w:val="en-US"/>
                      </w:rPr>
                      <m:t>(1+</m:t>
                    </m:r>
                    <m:f>
                      <m:fPr>
                        <m:ctrlPr>
                          <w:rPr>
                            <w:rFonts w:ascii="Cambria Math" w:hAnsi="Cambria Math" w:cs="Times New Roman"/>
                            <w:i/>
                            <w:szCs w:val="24"/>
                            <w:lang w:val="en-US"/>
                          </w:rPr>
                        </m:ctrlPr>
                      </m:fPr>
                      <m:num>
                        <m:sSub>
                          <m:sSubPr>
                            <m:ctrlPr>
                              <w:rPr>
                                <w:rFonts w:ascii="Cambria Math" w:hAnsi="Cambria Math" w:cs="Times New Roman"/>
                                <w:i/>
                                <w:szCs w:val="24"/>
                                <w:lang w:val="en-US"/>
                              </w:rPr>
                            </m:ctrlPr>
                          </m:sSubPr>
                          <m:e>
                            <m:r>
                              <w:rPr>
                                <w:rFonts w:ascii="Cambria Math" w:hAnsi="Cambria Math" w:cs="Times New Roman"/>
                                <w:szCs w:val="24"/>
                                <w:lang w:val="en-US"/>
                              </w:rPr>
                              <m:t>S</m:t>
                            </m:r>
                          </m:e>
                          <m:sub>
                            <m:r>
                              <w:rPr>
                                <w:rFonts w:ascii="Cambria Math" w:hAnsi="Cambria Math" w:cs="Times New Roman"/>
                                <w:szCs w:val="24"/>
                                <w:lang w:val="en-US"/>
                              </w:rPr>
                              <m:t>3</m:t>
                            </m:r>
                          </m:sub>
                        </m:sSub>
                      </m:num>
                      <m:den>
                        <m:r>
                          <w:rPr>
                            <w:rFonts w:ascii="Cambria Math" w:hAnsi="Cambria Math" w:cs="Times New Roman"/>
                            <w:szCs w:val="24"/>
                            <w:lang w:val="en-US"/>
                          </w:rPr>
                          <m:t>FS</m:t>
                        </m:r>
                      </m:den>
                    </m:f>
                    <m:r>
                      <w:rPr>
                        <w:rFonts w:ascii="Cambria Math" w:hAnsi="Cambria Math" w:cs="Times New Roman"/>
                        <w:szCs w:val="24"/>
                        <w:lang w:val="en-US"/>
                      </w:rPr>
                      <m:t>)×</m:t>
                    </m:r>
                    <m:func>
                      <m:funcPr>
                        <m:ctrlPr>
                          <w:rPr>
                            <w:rFonts w:ascii="Cambria Math" w:hAnsi="Cambria Math" w:cs="Times New Roman"/>
                            <w:i/>
                            <w:szCs w:val="24"/>
                            <w:lang w:val="en-US"/>
                          </w:rPr>
                        </m:ctrlPr>
                      </m:funcPr>
                      <m:fName>
                        <m:r>
                          <m:rPr>
                            <m:sty m:val="p"/>
                          </m:rPr>
                          <w:rPr>
                            <w:rFonts w:ascii="Cambria Math" w:hAnsi="Cambria Math" w:cs="Times New Roman"/>
                            <w:szCs w:val="24"/>
                            <w:lang w:val="en-US"/>
                          </w:rPr>
                          <m:t>cos</m:t>
                        </m:r>
                      </m:fName>
                      <m:e>
                        <m:r>
                          <w:rPr>
                            <w:rFonts w:ascii="Cambria Math" w:hAnsi="Cambria Math" w:cs="Times New Roman"/>
                            <w:szCs w:val="24"/>
                            <w:lang w:val="en-US"/>
                          </w:rPr>
                          <m:t>(a-θ)</m:t>
                        </m:r>
                      </m:e>
                    </m:func>
                  </m:den>
                </m:f>
              </m:oMath>
            </m:oMathPara>
          </w:p>
        </w:tc>
        <w:tc>
          <w:tcPr>
            <w:tcW w:w="259" w:type="dxa"/>
          </w:tcPr>
          <w:p w14:paraId="4C110785" w14:textId="43E2CDC7" w:rsidR="00051297" w:rsidRPr="00051297" w:rsidRDefault="00051297" w:rsidP="00051297">
            <w:pPr>
              <w:ind w:firstLine="0"/>
            </w:pPr>
            <w:bookmarkStart w:id="319" w:name="_Ref103556962"/>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32</w:t>
            </w:r>
            <w:r w:rsidRPr="00051297">
              <w:rPr>
                <w:rFonts w:cs="Times New Roman"/>
                <w:szCs w:val="24"/>
                <w:lang w:val="en-US"/>
              </w:rPr>
              <w:fldChar w:fldCharType="end"/>
            </w:r>
            <w:r w:rsidRPr="00051297">
              <w:rPr>
                <w:rFonts w:cs="Times New Roman"/>
                <w:szCs w:val="24"/>
                <w:lang w:val="en-US"/>
              </w:rPr>
              <w:t>)</w:t>
            </w:r>
            <w:bookmarkEnd w:id="319"/>
          </w:p>
        </w:tc>
      </w:tr>
    </w:tbl>
    <w:p w14:paraId="57E47AD3" w14:textId="77777777" w:rsidR="00051297" w:rsidRPr="00051297" w:rsidRDefault="00051297" w:rsidP="00051297">
      <w:pPr>
        <w:ind w:firstLine="0"/>
        <w:rPr>
          <w:rFonts w:cs="Times New Roman"/>
          <w:szCs w:val="24"/>
          <w:lang w:val="en-US"/>
        </w:rPr>
      </w:pPr>
      <w:r w:rsidRPr="00051297">
        <w:rPr>
          <w:rFonts w:cs="Times New Roman"/>
          <w:szCs w:val="24"/>
          <w:lang w:val="en-US"/>
        </w:rPr>
        <w:br/>
        <w:t>Whereby:</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
        <w:gridCol w:w="8296"/>
        <w:gridCol w:w="796"/>
      </w:tblGrid>
      <w:tr w:rsidR="00051297" w:rsidRPr="00051297" w14:paraId="3C0CFFA8" w14:textId="77777777" w:rsidTr="00D20B01">
        <w:tc>
          <w:tcPr>
            <w:tcW w:w="265" w:type="dxa"/>
          </w:tcPr>
          <w:p w14:paraId="7348CA57" w14:textId="77777777" w:rsidR="00051297" w:rsidRPr="00051297" w:rsidRDefault="00051297" w:rsidP="00051297">
            <w:pPr>
              <w:ind w:firstLine="0"/>
              <w:rPr>
                <w:rFonts w:cs="Times New Roman"/>
                <w:szCs w:val="24"/>
                <w:lang w:val="en-US"/>
              </w:rPr>
            </w:pPr>
          </w:p>
        </w:tc>
        <w:tc>
          <w:tcPr>
            <w:tcW w:w="8820" w:type="dxa"/>
          </w:tcPr>
          <w:p w14:paraId="4A8755B4" w14:textId="77777777" w:rsidR="00051297" w:rsidRPr="00051297" w:rsidRDefault="00536556" w:rsidP="00051297">
            <w:pPr>
              <w:rPr>
                <w:rFonts w:cs="Times New Roman"/>
                <w:szCs w:val="24"/>
                <w:lang w:val="en-US"/>
              </w:rPr>
            </w:pPr>
            <m:oMathPara>
              <m:oMath>
                <m:sSub>
                  <m:sSubPr>
                    <m:ctrlPr>
                      <w:rPr>
                        <w:rFonts w:ascii="Cambria Math" w:hAnsi="Cambria Math" w:cs="Times New Roman"/>
                        <w:i/>
                        <w:szCs w:val="24"/>
                        <w:lang w:val="en-US"/>
                      </w:rPr>
                    </m:ctrlPr>
                  </m:sSubPr>
                  <m:e>
                    <m:r>
                      <w:rPr>
                        <w:rFonts w:ascii="Cambria Math" w:hAnsi="Cambria Math" w:cs="Times New Roman"/>
                        <w:szCs w:val="24"/>
                        <w:lang w:val="en-US"/>
                      </w:rPr>
                      <m:t>S</m:t>
                    </m:r>
                  </m:e>
                  <m:sub>
                    <m:r>
                      <w:rPr>
                        <w:rFonts w:ascii="Cambria Math" w:hAnsi="Cambria Math" w:cs="Times New Roman"/>
                        <w:szCs w:val="24"/>
                        <w:lang w:val="en-US"/>
                      </w:rPr>
                      <m:t>1</m:t>
                    </m:r>
                  </m:sub>
                </m:sSub>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C</m:t>
                    </m:r>
                  </m:e>
                  <m:sub>
                    <m:r>
                      <w:rPr>
                        <w:rFonts w:ascii="Cambria Math" w:hAnsi="Cambria Math" w:cs="Times New Roman"/>
                        <w:szCs w:val="24"/>
                        <w:lang w:val="en-US"/>
                      </w:rPr>
                      <m:t>i</m:t>
                    </m:r>
                  </m:sub>
                </m:sSub>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L</m:t>
                    </m:r>
                  </m:e>
                  <m:sub>
                    <m:r>
                      <w:rPr>
                        <w:rFonts w:ascii="Cambria Math" w:hAnsi="Cambria Math" w:cs="Times New Roman"/>
                        <w:szCs w:val="24"/>
                        <w:lang w:val="en-US"/>
                      </w:rPr>
                      <m:t>i</m:t>
                    </m:r>
                  </m:sub>
                </m:sSub>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W</m:t>
                    </m:r>
                  </m:e>
                  <m:sub>
                    <m:r>
                      <w:rPr>
                        <w:rFonts w:ascii="Cambria Math" w:hAnsi="Cambria Math" w:cs="Times New Roman"/>
                        <w:szCs w:val="24"/>
                        <w:lang w:val="en-US"/>
                      </w:rPr>
                      <m:t>i</m:t>
                    </m:r>
                  </m:sub>
                </m:sSub>
                <m:func>
                  <m:funcPr>
                    <m:ctrlPr>
                      <w:rPr>
                        <w:rFonts w:ascii="Cambria Math" w:hAnsi="Cambria Math" w:cs="Times New Roman"/>
                        <w:i/>
                        <w:szCs w:val="24"/>
                        <w:lang w:val="en-US"/>
                      </w:rPr>
                    </m:ctrlPr>
                  </m:funcPr>
                  <m:fName>
                    <m:r>
                      <m:rPr>
                        <m:sty m:val="p"/>
                      </m:rPr>
                      <w:rPr>
                        <w:rFonts w:ascii="Cambria Math" w:hAnsi="Cambria Math" w:cs="Times New Roman"/>
                        <w:szCs w:val="24"/>
                        <w:lang w:val="en-US"/>
                      </w:rPr>
                      <m:t>cos</m:t>
                    </m:r>
                  </m:fName>
                  <m:e>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a</m:t>
                        </m:r>
                      </m:e>
                      <m:sub>
                        <m:r>
                          <w:rPr>
                            <w:rFonts w:ascii="Cambria Math" w:hAnsi="Cambria Math" w:cs="Times New Roman"/>
                            <w:szCs w:val="24"/>
                            <w:lang w:val="en-US"/>
                          </w:rPr>
                          <m:t>i</m:t>
                        </m:r>
                      </m:sub>
                    </m:sSub>
                    <m:r>
                      <w:rPr>
                        <w:rFonts w:ascii="Cambria Math" w:hAnsi="Cambria Math" w:cs="Times New Roman"/>
                        <w:szCs w:val="24"/>
                        <w:lang w:val="en-US"/>
                      </w:rPr>
                      <m:t>)</m:t>
                    </m:r>
                  </m:e>
                </m:func>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U</m:t>
                    </m:r>
                  </m:e>
                  <m:sub>
                    <m:r>
                      <w:rPr>
                        <w:rFonts w:ascii="Cambria Math" w:hAnsi="Cambria Math" w:cs="Times New Roman"/>
                        <w:szCs w:val="24"/>
                        <w:lang w:val="en-US"/>
                      </w:rPr>
                      <m:t>i</m:t>
                    </m:r>
                  </m:sub>
                </m:sSub>
              </m:oMath>
            </m:oMathPara>
          </w:p>
        </w:tc>
        <w:tc>
          <w:tcPr>
            <w:tcW w:w="259" w:type="dxa"/>
          </w:tcPr>
          <w:p w14:paraId="44EFBC06" w14:textId="7F1E8B56" w:rsidR="00051297" w:rsidRPr="00051297" w:rsidRDefault="00051297" w:rsidP="00051297">
            <w:pPr>
              <w:ind w:firstLine="0"/>
            </w:pP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33</w:t>
            </w:r>
            <w:r w:rsidRPr="00051297">
              <w:rPr>
                <w:rFonts w:cs="Times New Roman"/>
                <w:szCs w:val="24"/>
                <w:lang w:val="en-US"/>
              </w:rPr>
              <w:fldChar w:fldCharType="end"/>
            </w:r>
            <w:r w:rsidRPr="00051297">
              <w:rPr>
                <w:rFonts w:cs="Times New Roman"/>
                <w:szCs w:val="24"/>
                <w:lang w:val="en-US"/>
              </w:rPr>
              <w:t>)</w:t>
            </w:r>
          </w:p>
        </w:tc>
      </w:tr>
    </w:tbl>
    <w:p w14:paraId="59B8A2D3" w14:textId="77777777" w:rsidR="00051297" w:rsidRPr="00051297" w:rsidRDefault="00051297" w:rsidP="00051297">
      <w:pPr>
        <w:ind w:firstLine="0"/>
        <w:rPr>
          <w:rFonts w:cs="Times New Roman"/>
          <w:szCs w:val="24"/>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
        <w:gridCol w:w="8296"/>
        <w:gridCol w:w="796"/>
      </w:tblGrid>
      <w:tr w:rsidR="00051297" w:rsidRPr="00051297" w14:paraId="50C0A212" w14:textId="77777777" w:rsidTr="00D20B01">
        <w:tc>
          <w:tcPr>
            <w:tcW w:w="265" w:type="dxa"/>
          </w:tcPr>
          <w:p w14:paraId="1B4B6DD8" w14:textId="77777777" w:rsidR="00051297" w:rsidRPr="00051297" w:rsidRDefault="00051297" w:rsidP="00051297">
            <w:pPr>
              <w:ind w:firstLine="0"/>
              <w:rPr>
                <w:rFonts w:cs="Times New Roman"/>
                <w:szCs w:val="24"/>
                <w:lang w:val="en-US"/>
              </w:rPr>
            </w:pPr>
          </w:p>
        </w:tc>
        <w:tc>
          <w:tcPr>
            <w:tcW w:w="8820" w:type="dxa"/>
          </w:tcPr>
          <w:p w14:paraId="37C1AE3E" w14:textId="77777777" w:rsidR="00051297" w:rsidRPr="00051297" w:rsidRDefault="00536556" w:rsidP="00051297">
            <w:pPr>
              <w:rPr>
                <w:rFonts w:cs="Times New Roman"/>
                <w:szCs w:val="24"/>
                <w:lang w:val="en-US"/>
              </w:rPr>
            </w:pPr>
            <m:oMathPara>
              <m:oMath>
                <m:sSub>
                  <m:sSubPr>
                    <m:ctrlPr>
                      <w:rPr>
                        <w:rFonts w:ascii="Cambria Math" w:hAnsi="Cambria Math" w:cs="Times New Roman"/>
                        <w:i/>
                        <w:szCs w:val="24"/>
                        <w:lang w:val="en-US"/>
                      </w:rPr>
                    </m:ctrlPr>
                  </m:sSubPr>
                  <m:e>
                    <m:r>
                      <w:rPr>
                        <w:rFonts w:ascii="Cambria Math" w:hAnsi="Cambria Math" w:cs="Times New Roman"/>
                        <w:szCs w:val="24"/>
                        <w:lang w:val="en-US"/>
                      </w:rPr>
                      <m:t>S</m:t>
                    </m:r>
                  </m:e>
                  <m:sub>
                    <m:r>
                      <w:rPr>
                        <w:rFonts w:ascii="Cambria Math" w:hAnsi="Cambria Math" w:cs="Times New Roman"/>
                        <w:szCs w:val="24"/>
                        <w:lang w:val="en-US"/>
                      </w:rPr>
                      <m:t>2</m:t>
                    </m:r>
                  </m:sub>
                </m:sSub>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W</m:t>
                    </m:r>
                  </m:e>
                  <m:sub>
                    <m:r>
                      <w:rPr>
                        <w:rFonts w:ascii="Cambria Math" w:hAnsi="Cambria Math" w:cs="Times New Roman"/>
                        <w:szCs w:val="24"/>
                        <w:lang w:val="en-US"/>
                      </w:rPr>
                      <m:t>i</m:t>
                    </m:r>
                  </m:sub>
                </m:sSub>
                <m:func>
                  <m:funcPr>
                    <m:ctrlPr>
                      <w:rPr>
                        <w:rFonts w:ascii="Cambria Math" w:hAnsi="Cambria Math" w:cs="Times New Roman"/>
                        <w:i/>
                        <w:szCs w:val="24"/>
                        <w:lang w:val="en-US"/>
                      </w:rPr>
                    </m:ctrlPr>
                  </m:funcPr>
                  <m:fName>
                    <m:r>
                      <m:rPr>
                        <m:sty m:val="p"/>
                      </m:rPr>
                      <w:rPr>
                        <w:rFonts w:ascii="Cambria Math" w:hAnsi="Cambria Math" w:cs="Times New Roman"/>
                        <w:szCs w:val="24"/>
                        <w:lang w:val="en-US"/>
                      </w:rPr>
                      <m:t>sin</m:t>
                    </m:r>
                  </m:fName>
                  <m:e>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a</m:t>
                        </m:r>
                      </m:e>
                      <m:sub>
                        <m:r>
                          <w:rPr>
                            <w:rFonts w:ascii="Cambria Math" w:hAnsi="Cambria Math" w:cs="Times New Roman"/>
                            <w:szCs w:val="24"/>
                            <w:lang w:val="en-US"/>
                          </w:rPr>
                          <m:t>i</m:t>
                        </m:r>
                      </m:sub>
                    </m:sSub>
                    <m:r>
                      <w:rPr>
                        <w:rFonts w:ascii="Cambria Math" w:hAnsi="Cambria Math" w:cs="Times New Roman"/>
                        <w:szCs w:val="24"/>
                        <w:lang w:val="en-US"/>
                      </w:rPr>
                      <m:t>)</m:t>
                    </m:r>
                  </m:e>
                </m:func>
              </m:oMath>
            </m:oMathPara>
          </w:p>
        </w:tc>
        <w:tc>
          <w:tcPr>
            <w:tcW w:w="259" w:type="dxa"/>
          </w:tcPr>
          <w:p w14:paraId="1C4651E6" w14:textId="38BDF44C" w:rsidR="00051297" w:rsidRPr="00051297" w:rsidRDefault="00051297" w:rsidP="00051297">
            <w:pPr>
              <w:ind w:firstLine="0"/>
            </w:pP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34</w:t>
            </w:r>
            <w:r w:rsidRPr="00051297">
              <w:rPr>
                <w:rFonts w:cs="Times New Roman"/>
                <w:szCs w:val="24"/>
                <w:lang w:val="en-US"/>
              </w:rPr>
              <w:fldChar w:fldCharType="end"/>
            </w:r>
            <w:r w:rsidRPr="00051297">
              <w:rPr>
                <w:rFonts w:cs="Times New Roman"/>
                <w:szCs w:val="24"/>
                <w:lang w:val="en-US"/>
              </w:rPr>
              <w:t>)</w:t>
            </w:r>
          </w:p>
        </w:tc>
      </w:tr>
    </w:tbl>
    <w:p w14:paraId="09166B41" w14:textId="77777777" w:rsidR="00051297" w:rsidRPr="00051297" w:rsidRDefault="00051297" w:rsidP="00051297">
      <w:pPr>
        <w:ind w:firstLine="0"/>
        <w:rPr>
          <w:rFonts w:cs="Times New Roman"/>
          <w:szCs w:val="24"/>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
        <w:gridCol w:w="8296"/>
        <w:gridCol w:w="796"/>
      </w:tblGrid>
      <w:tr w:rsidR="00051297" w:rsidRPr="00051297" w14:paraId="524599E0" w14:textId="77777777" w:rsidTr="00D20B01">
        <w:tc>
          <w:tcPr>
            <w:tcW w:w="265" w:type="dxa"/>
          </w:tcPr>
          <w:p w14:paraId="3C1D4081" w14:textId="77777777" w:rsidR="00051297" w:rsidRPr="00051297" w:rsidRDefault="00051297" w:rsidP="00051297">
            <w:pPr>
              <w:ind w:firstLine="0"/>
              <w:rPr>
                <w:rFonts w:cs="Times New Roman"/>
                <w:szCs w:val="24"/>
                <w:lang w:val="en-US"/>
              </w:rPr>
            </w:pPr>
          </w:p>
        </w:tc>
        <w:tc>
          <w:tcPr>
            <w:tcW w:w="8820" w:type="dxa"/>
          </w:tcPr>
          <w:p w14:paraId="49406EED" w14:textId="77777777" w:rsidR="00051297" w:rsidRPr="00051297" w:rsidRDefault="00536556" w:rsidP="00051297">
            <w:pPr>
              <w:rPr>
                <w:rFonts w:cs="Times New Roman"/>
                <w:szCs w:val="24"/>
                <w:lang w:val="en-US"/>
              </w:rPr>
            </w:pPr>
            <m:oMathPara>
              <m:oMath>
                <m:sSub>
                  <m:sSubPr>
                    <m:ctrlPr>
                      <w:rPr>
                        <w:rFonts w:ascii="Cambria Math" w:hAnsi="Cambria Math" w:cs="Times New Roman"/>
                        <w:i/>
                        <w:szCs w:val="24"/>
                        <w:lang w:val="en-US"/>
                      </w:rPr>
                    </m:ctrlPr>
                  </m:sSubPr>
                  <m:e>
                    <m:r>
                      <w:rPr>
                        <w:rFonts w:ascii="Cambria Math" w:hAnsi="Cambria Math" w:cs="Times New Roman"/>
                        <w:szCs w:val="24"/>
                        <w:lang w:val="en-US"/>
                      </w:rPr>
                      <m:t>S</m:t>
                    </m:r>
                  </m:e>
                  <m:sub>
                    <m:r>
                      <w:rPr>
                        <w:rFonts w:ascii="Cambria Math" w:hAnsi="Cambria Math" w:cs="Times New Roman"/>
                        <w:szCs w:val="24"/>
                        <w:lang w:val="en-US"/>
                      </w:rPr>
                      <m:t>2</m:t>
                    </m:r>
                  </m:sub>
                </m:sSub>
                <m:r>
                  <w:rPr>
                    <w:rFonts w:ascii="Cambria Math" w:hAnsi="Cambria Math" w:cs="Times New Roman"/>
                    <w:szCs w:val="24"/>
                    <w:lang w:val="en-US"/>
                  </w:rPr>
                  <m:t>=</m:t>
                </m:r>
                <m:func>
                  <m:funcPr>
                    <m:ctrlPr>
                      <w:rPr>
                        <w:rFonts w:ascii="Cambria Math" w:hAnsi="Cambria Math" w:cs="Times New Roman"/>
                        <w:i/>
                        <w:szCs w:val="24"/>
                        <w:lang w:val="en-US"/>
                      </w:rPr>
                    </m:ctrlPr>
                  </m:funcPr>
                  <m:fName>
                    <m:r>
                      <m:rPr>
                        <m:sty m:val="p"/>
                      </m:rPr>
                      <w:rPr>
                        <w:rFonts w:ascii="Cambria Math" w:hAnsi="Cambria Math" w:cs="Times New Roman"/>
                        <w:szCs w:val="24"/>
                        <w:lang w:val="en-US"/>
                      </w:rPr>
                      <m:t>tan</m:t>
                    </m:r>
                  </m:fName>
                  <m:e>
                    <m:d>
                      <m:dPr>
                        <m:ctrlPr>
                          <w:rPr>
                            <w:rFonts w:ascii="Cambria Math" w:hAnsi="Cambria Math" w:cs="Times New Roman"/>
                            <w:i/>
                            <w:szCs w:val="24"/>
                            <w:lang w:val="en-US"/>
                          </w:rPr>
                        </m:ctrlPr>
                      </m:dPr>
                      <m:e>
                        <m:sSub>
                          <m:sSubPr>
                            <m:ctrlPr>
                              <w:rPr>
                                <w:rFonts w:ascii="Cambria Math" w:hAnsi="Cambria Math" w:cs="Times New Roman"/>
                                <w:i/>
                                <w:szCs w:val="24"/>
                                <w:lang w:val="en-US"/>
                              </w:rPr>
                            </m:ctrlPr>
                          </m:sSubPr>
                          <m:e>
                            <m:r>
                              <w:rPr>
                                <w:rFonts w:ascii="Cambria Math" w:hAnsi="Cambria Math" w:cs="Times New Roman"/>
                                <w:szCs w:val="24"/>
                                <w:lang w:val="en-US"/>
                              </w:rPr>
                              <m:t>φ</m:t>
                            </m:r>
                          </m:e>
                          <m:sub>
                            <m:r>
                              <w:rPr>
                                <w:rFonts w:ascii="Cambria Math" w:hAnsi="Cambria Math" w:cs="Times New Roman"/>
                                <w:szCs w:val="24"/>
                                <w:lang w:val="en-US"/>
                              </w:rPr>
                              <m:t>i</m:t>
                            </m:r>
                          </m:sub>
                        </m:sSub>
                      </m:e>
                    </m:d>
                  </m:e>
                </m:func>
                <m:r>
                  <w:rPr>
                    <w:rFonts w:ascii="Cambria Math" w:hAnsi="Cambria Math" w:cs="Times New Roman"/>
                    <w:szCs w:val="24"/>
                    <w:lang w:val="en-US"/>
                  </w:rPr>
                  <m:t>×</m:t>
                </m:r>
                <m:func>
                  <m:funcPr>
                    <m:ctrlPr>
                      <w:rPr>
                        <w:rFonts w:ascii="Cambria Math" w:hAnsi="Cambria Math" w:cs="Times New Roman"/>
                        <w:i/>
                        <w:szCs w:val="24"/>
                        <w:lang w:val="en-US"/>
                      </w:rPr>
                    </m:ctrlPr>
                  </m:funcPr>
                  <m:fName>
                    <m:r>
                      <m:rPr>
                        <m:sty m:val="p"/>
                      </m:rPr>
                      <w:rPr>
                        <w:rFonts w:ascii="Cambria Math" w:hAnsi="Cambria Math" w:cs="Times New Roman"/>
                        <w:szCs w:val="24"/>
                        <w:lang w:val="en-US"/>
                      </w:rPr>
                      <m:t>tan</m:t>
                    </m:r>
                  </m:fName>
                  <m:e>
                    <m:d>
                      <m:dPr>
                        <m:ctrlPr>
                          <w:rPr>
                            <w:rFonts w:ascii="Cambria Math" w:hAnsi="Cambria Math" w:cs="Times New Roman"/>
                            <w:i/>
                            <w:szCs w:val="24"/>
                            <w:lang w:val="en-US"/>
                          </w:rPr>
                        </m:ctrlPr>
                      </m:dPr>
                      <m:e>
                        <m:sSub>
                          <m:sSubPr>
                            <m:ctrlPr>
                              <w:rPr>
                                <w:rFonts w:ascii="Cambria Math" w:hAnsi="Cambria Math" w:cs="Times New Roman"/>
                                <w:i/>
                                <w:szCs w:val="24"/>
                                <w:lang w:val="en-US"/>
                              </w:rPr>
                            </m:ctrlPr>
                          </m:sSubPr>
                          <m:e>
                            <m:r>
                              <w:rPr>
                                <w:rFonts w:ascii="Cambria Math" w:hAnsi="Cambria Math" w:cs="Times New Roman"/>
                                <w:szCs w:val="24"/>
                                <w:lang w:val="en-US"/>
                              </w:rPr>
                              <m:t>a</m:t>
                            </m:r>
                          </m:e>
                          <m:sub>
                            <m:r>
                              <w:rPr>
                                <w:rFonts w:ascii="Cambria Math" w:hAnsi="Cambria Math" w:cs="Times New Roman"/>
                                <w:szCs w:val="24"/>
                                <w:lang w:val="en-US"/>
                              </w:rPr>
                              <m:t>i</m:t>
                            </m:r>
                          </m:sub>
                        </m:sSub>
                        <m:r>
                          <w:rPr>
                            <w:rFonts w:ascii="Cambria Math" w:hAnsi="Cambria Math" w:cs="Times New Roman"/>
                            <w:szCs w:val="24"/>
                            <w:lang w:val="en-US"/>
                          </w:rPr>
                          <m:t>-θ</m:t>
                        </m:r>
                      </m:e>
                    </m:d>
                  </m:e>
                </m:func>
              </m:oMath>
            </m:oMathPara>
          </w:p>
        </w:tc>
        <w:tc>
          <w:tcPr>
            <w:tcW w:w="259" w:type="dxa"/>
          </w:tcPr>
          <w:p w14:paraId="47EC60AD" w14:textId="0AB9A95E" w:rsidR="00051297" w:rsidRPr="00051297" w:rsidRDefault="00051297" w:rsidP="00051297">
            <w:pPr>
              <w:ind w:firstLine="0"/>
            </w:pP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35</w:t>
            </w:r>
            <w:r w:rsidRPr="00051297">
              <w:rPr>
                <w:rFonts w:cs="Times New Roman"/>
                <w:szCs w:val="24"/>
                <w:lang w:val="en-US"/>
              </w:rPr>
              <w:fldChar w:fldCharType="end"/>
            </w:r>
            <w:r w:rsidRPr="00051297">
              <w:rPr>
                <w:rFonts w:cs="Times New Roman"/>
                <w:szCs w:val="24"/>
                <w:lang w:val="en-US"/>
              </w:rPr>
              <w:t>)</w:t>
            </w:r>
          </w:p>
        </w:tc>
      </w:tr>
    </w:tbl>
    <w:p w14:paraId="532CF5B9" w14:textId="77777777" w:rsidR="00051297" w:rsidRPr="00051297" w:rsidRDefault="00051297" w:rsidP="00051297">
      <w:pPr>
        <w:ind w:firstLine="0"/>
        <w:rPr>
          <w:rFonts w:cs="Times New Roman"/>
          <w:szCs w:val="24"/>
          <w:lang w:val="en-US"/>
        </w:rPr>
      </w:pPr>
    </w:p>
    <w:p w14:paraId="7EDBA1C1" w14:textId="77777777" w:rsidR="00051297" w:rsidRPr="00051297" w:rsidRDefault="00051297" w:rsidP="00051297">
      <w:pPr>
        <w:rPr>
          <w:rFonts w:cs="Times New Roman"/>
          <w:szCs w:val="24"/>
          <w:lang w:val="en-US"/>
        </w:rPr>
      </w:pPr>
      <w:r w:rsidRPr="00051297">
        <w:rPr>
          <w:rFonts w:cs="Times New Roman"/>
          <w:szCs w:val="24"/>
          <w:lang w:val="en-US"/>
        </w:rPr>
        <w:t>After that, the entire sliding mass equilibrium is considered. If the overall moment is zero with regard to the center of rotation, then the internal interslice forces Q must likewise be zero, resulting in: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
        <w:gridCol w:w="8296"/>
        <w:gridCol w:w="796"/>
      </w:tblGrid>
      <w:tr w:rsidR="00051297" w:rsidRPr="00051297" w14:paraId="5CE95EE9" w14:textId="77777777" w:rsidTr="00D20B01">
        <w:tc>
          <w:tcPr>
            <w:tcW w:w="265" w:type="dxa"/>
          </w:tcPr>
          <w:p w14:paraId="4AD96A5D" w14:textId="77777777" w:rsidR="00051297" w:rsidRPr="00051297" w:rsidRDefault="00051297" w:rsidP="00051297">
            <w:pPr>
              <w:ind w:firstLine="0"/>
              <w:rPr>
                <w:rFonts w:cs="Times New Roman"/>
                <w:szCs w:val="24"/>
                <w:lang w:val="en-US"/>
              </w:rPr>
            </w:pPr>
          </w:p>
        </w:tc>
        <w:tc>
          <w:tcPr>
            <w:tcW w:w="8820" w:type="dxa"/>
          </w:tcPr>
          <w:p w14:paraId="11D2585D" w14:textId="77777777" w:rsidR="00051297" w:rsidRPr="00051297" w:rsidRDefault="00536556" w:rsidP="00051297">
            <w:pPr>
              <w:rPr>
                <w:rFonts w:cs="Times New Roman"/>
                <w:szCs w:val="24"/>
                <w:lang w:val="en-US"/>
              </w:rPr>
            </w:pPr>
            <m:oMathPara>
              <m:oMath>
                <m:nary>
                  <m:naryPr>
                    <m:chr m:val="∑"/>
                    <m:limLoc m:val="undOvr"/>
                    <m:ctrlPr>
                      <w:rPr>
                        <w:rFonts w:ascii="Cambria Math" w:hAnsi="Cambria Math" w:cs="Times New Roman"/>
                        <w:i/>
                        <w:szCs w:val="24"/>
                        <w:lang w:val="en-US"/>
                      </w:rPr>
                    </m:ctrlPr>
                  </m:naryPr>
                  <m:sub>
                    <m:r>
                      <w:rPr>
                        <w:rFonts w:ascii="Cambria Math" w:hAnsi="Cambria Math" w:cs="Times New Roman"/>
                        <w:szCs w:val="24"/>
                        <w:lang w:val="en-US"/>
                      </w:rPr>
                      <m:t>i=1</m:t>
                    </m:r>
                  </m:sub>
                  <m:sup>
                    <m:r>
                      <w:rPr>
                        <w:rFonts w:ascii="Cambria Math" w:hAnsi="Cambria Math" w:cs="Times New Roman"/>
                        <w:szCs w:val="24"/>
                        <w:lang w:val="en-US"/>
                      </w:rPr>
                      <m:t>N</m:t>
                    </m:r>
                  </m:sup>
                  <m:e>
                    <m:sSub>
                      <m:sSubPr>
                        <m:ctrlPr>
                          <w:rPr>
                            <w:rFonts w:ascii="Cambria Math" w:hAnsi="Cambria Math" w:cs="Times New Roman"/>
                            <w:i/>
                            <w:szCs w:val="24"/>
                            <w:lang w:val="en-US"/>
                          </w:rPr>
                        </m:ctrlPr>
                      </m:sSubPr>
                      <m:e>
                        <m:r>
                          <w:rPr>
                            <w:rFonts w:ascii="Cambria Math" w:hAnsi="Cambria Math" w:cs="Times New Roman"/>
                            <w:szCs w:val="24"/>
                            <w:lang w:val="en-US"/>
                          </w:rPr>
                          <m:t>Q</m:t>
                        </m:r>
                      </m:e>
                      <m:sub>
                        <m:r>
                          <w:rPr>
                            <w:rFonts w:ascii="Cambria Math" w:hAnsi="Cambria Math" w:cs="Times New Roman"/>
                            <w:szCs w:val="24"/>
                            <w:lang w:val="en-US"/>
                          </w:rPr>
                          <m:t>i</m:t>
                        </m:r>
                      </m:sub>
                    </m:sSub>
                    <m:r>
                      <w:rPr>
                        <w:rFonts w:ascii="Cambria Math" w:hAnsi="Cambria Math" w:cs="Times New Roman"/>
                        <w:szCs w:val="24"/>
                        <w:lang w:val="en-US"/>
                      </w:rPr>
                      <m:t>×</m:t>
                    </m:r>
                    <m:sSub>
                      <m:sSubPr>
                        <m:ctrlPr>
                          <w:rPr>
                            <w:rFonts w:ascii="Cambria Math" w:hAnsi="Cambria Math" w:cs="Times New Roman"/>
                            <w:i/>
                            <w:szCs w:val="24"/>
                            <w:lang w:val="en-US"/>
                          </w:rPr>
                        </m:ctrlPr>
                      </m:sSubPr>
                      <m:e>
                        <m:r>
                          <w:rPr>
                            <w:rFonts w:ascii="Cambria Math" w:hAnsi="Cambria Math" w:cs="Times New Roman"/>
                            <w:szCs w:val="24"/>
                            <w:lang w:val="en-US"/>
                          </w:rPr>
                          <m:t>R</m:t>
                        </m:r>
                      </m:e>
                      <m:sub>
                        <m:r>
                          <w:rPr>
                            <w:rFonts w:ascii="Cambria Math" w:hAnsi="Cambria Math" w:cs="Times New Roman"/>
                            <w:szCs w:val="24"/>
                            <w:lang w:val="en-US"/>
                          </w:rPr>
                          <m:t>i</m:t>
                        </m:r>
                      </m:sub>
                    </m:sSub>
                    <m:r>
                      <w:rPr>
                        <w:rFonts w:ascii="Cambria Math" w:hAnsi="Cambria Math" w:cs="Times New Roman"/>
                        <w:szCs w:val="24"/>
                        <w:lang w:val="en-US"/>
                      </w:rPr>
                      <m:t>×</m:t>
                    </m:r>
                    <m:func>
                      <m:funcPr>
                        <m:ctrlPr>
                          <w:rPr>
                            <w:rFonts w:ascii="Cambria Math" w:hAnsi="Cambria Math" w:cs="Times New Roman"/>
                            <w:i/>
                            <w:szCs w:val="24"/>
                            <w:lang w:val="en-US"/>
                          </w:rPr>
                        </m:ctrlPr>
                      </m:funcPr>
                      <m:fName>
                        <m:r>
                          <m:rPr>
                            <m:sty m:val="p"/>
                          </m:rPr>
                          <w:rPr>
                            <w:rFonts w:ascii="Cambria Math" w:hAnsi="Cambria Math" w:cs="Times New Roman"/>
                            <w:szCs w:val="24"/>
                            <w:lang w:val="en-US"/>
                          </w:rPr>
                          <m:t>cos</m:t>
                        </m:r>
                      </m:fName>
                      <m:e>
                        <m:d>
                          <m:dPr>
                            <m:ctrlPr>
                              <w:rPr>
                                <w:rFonts w:ascii="Cambria Math" w:hAnsi="Cambria Math" w:cs="Times New Roman"/>
                                <w:i/>
                                <w:szCs w:val="24"/>
                                <w:lang w:val="en-US"/>
                              </w:rPr>
                            </m:ctrlPr>
                          </m:dPr>
                          <m:e>
                            <m:sSub>
                              <m:sSubPr>
                                <m:ctrlPr>
                                  <w:rPr>
                                    <w:rFonts w:ascii="Cambria Math" w:hAnsi="Cambria Math" w:cs="Times New Roman"/>
                                    <w:i/>
                                    <w:szCs w:val="24"/>
                                    <w:lang w:val="en-US"/>
                                  </w:rPr>
                                </m:ctrlPr>
                              </m:sSubPr>
                              <m:e>
                                <m:r>
                                  <w:rPr>
                                    <w:rFonts w:ascii="Cambria Math" w:hAnsi="Cambria Math" w:cs="Times New Roman"/>
                                    <w:szCs w:val="24"/>
                                    <w:lang w:val="en-US"/>
                                  </w:rPr>
                                  <m:t>a</m:t>
                                </m:r>
                              </m:e>
                              <m:sub>
                                <m:r>
                                  <w:rPr>
                                    <w:rFonts w:ascii="Cambria Math" w:hAnsi="Cambria Math" w:cs="Times New Roman"/>
                                    <w:szCs w:val="24"/>
                                    <w:lang w:val="en-US"/>
                                  </w:rPr>
                                  <m:t>i</m:t>
                                </m:r>
                              </m:sub>
                            </m:sSub>
                            <m:r>
                              <w:rPr>
                                <w:rFonts w:ascii="Cambria Math" w:hAnsi="Cambria Math" w:cs="Times New Roman"/>
                                <w:szCs w:val="24"/>
                                <w:lang w:val="en-US"/>
                              </w:rPr>
                              <m:t>-θ</m:t>
                            </m:r>
                          </m:e>
                        </m:d>
                        <m:r>
                          <w:rPr>
                            <w:rFonts w:ascii="Cambria Math" w:hAnsi="Cambria Math" w:cs="Times New Roman"/>
                            <w:szCs w:val="24"/>
                            <w:lang w:val="en-US"/>
                          </w:rPr>
                          <m:t>=0</m:t>
                        </m:r>
                      </m:e>
                    </m:func>
                  </m:e>
                </m:nary>
              </m:oMath>
            </m:oMathPara>
          </w:p>
        </w:tc>
        <w:tc>
          <w:tcPr>
            <w:tcW w:w="259" w:type="dxa"/>
          </w:tcPr>
          <w:p w14:paraId="4D94B4D0" w14:textId="583CBA30" w:rsidR="00051297" w:rsidRPr="00051297" w:rsidRDefault="00051297" w:rsidP="00051297">
            <w:pPr>
              <w:ind w:firstLine="0"/>
            </w:pPr>
            <w:bookmarkStart w:id="320" w:name="_Ref103556898"/>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36</w:t>
            </w:r>
            <w:r w:rsidRPr="00051297">
              <w:rPr>
                <w:rFonts w:cs="Times New Roman"/>
                <w:szCs w:val="24"/>
                <w:lang w:val="en-US"/>
              </w:rPr>
              <w:fldChar w:fldCharType="end"/>
            </w:r>
            <w:r w:rsidRPr="00051297">
              <w:rPr>
                <w:rFonts w:cs="Times New Roman"/>
                <w:szCs w:val="24"/>
                <w:lang w:val="en-US"/>
              </w:rPr>
              <w:t>)</w:t>
            </w:r>
            <w:bookmarkEnd w:id="320"/>
          </w:p>
        </w:tc>
      </w:tr>
    </w:tbl>
    <w:p w14:paraId="7FEAF831" w14:textId="77777777" w:rsidR="00051297" w:rsidRPr="00051297" w:rsidRDefault="00051297" w:rsidP="00051297">
      <w:pPr>
        <w:ind w:firstLine="0"/>
        <w:rPr>
          <w:rFonts w:cs="Times New Roman"/>
          <w:szCs w:val="24"/>
          <w:lang w:val="en-US"/>
        </w:rPr>
      </w:pPr>
    </w:p>
    <w:p w14:paraId="7440710D" w14:textId="12CB0C9E" w:rsidR="00051297" w:rsidRPr="00051297" w:rsidRDefault="00051297" w:rsidP="00051297">
      <w:pPr>
        <w:rPr>
          <w:rFonts w:cs="Times New Roman"/>
          <w:szCs w:val="24"/>
          <w:lang w:val="en-US"/>
        </w:rPr>
      </w:pPr>
      <w:r w:rsidRPr="00051297">
        <w:rPr>
          <w:rFonts w:cs="Times New Roman"/>
          <w:szCs w:val="24"/>
          <w:lang w:val="en-US"/>
        </w:rPr>
        <w:t>Whereby</w:t>
      </w:r>
      <w:r w:rsidR="006437C5">
        <w:rPr>
          <w:rFonts w:cs="Times New Roman"/>
          <w:szCs w:val="24"/>
          <w:lang w:val="en-US"/>
        </w:rPr>
        <w:t>:</w:t>
      </w:r>
      <w:r w:rsidRPr="00051297">
        <w:rPr>
          <w:rFonts w:cs="Times New Roman"/>
          <w:szCs w:val="24"/>
          <w:lang w:val="en-US"/>
        </w:rPr>
        <w:t xml:space="preserve"> R</w:t>
      </w:r>
      <w:r w:rsidRPr="00051297">
        <w:rPr>
          <w:rFonts w:cs="Times New Roman"/>
          <w:szCs w:val="24"/>
          <w:vertAlign w:val="subscript"/>
          <w:lang w:val="en-US"/>
        </w:rPr>
        <w:t>i</w:t>
      </w:r>
      <w:r w:rsidRPr="00051297">
        <w:rPr>
          <w:rFonts w:cs="Times New Roman"/>
          <w:szCs w:val="24"/>
          <w:lang w:val="en-US"/>
        </w:rPr>
        <w:t xml:space="preserve"> – is the distance between the rotation's center and each slice's midway. All radii are equivalent in a circular failure surface and can be ignored in Equation </w:t>
      </w:r>
      <w:r w:rsidRPr="00051297">
        <w:rPr>
          <w:rFonts w:cs="Times New Roman"/>
          <w:szCs w:val="24"/>
          <w:lang w:val="en-US"/>
        </w:rPr>
        <w:fldChar w:fldCharType="begin"/>
      </w:r>
      <w:r w:rsidRPr="00051297">
        <w:rPr>
          <w:rFonts w:cs="Times New Roman"/>
          <w:szCs w:val="24"/>
          <w:lang w:val="en-US"/>
        </w:rPr>
        <w:instrText xml:space="preserve"> REF _Ref103556898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rPr>
        <w:t>(</w:t>
      </w:r>
      <w:r w:rsidR="004870F1">
        <w:rPr>
          <w:rFonts w:cs="Times New Roman"/>
          <w:noProof/>
          <w:szCs w:val="24"/>
          <w:lang w:val="en-US"/>
        </w:rPr>
        <w:t>1</w:t>
      </w:r>
      <w:r w:rsidR="004870F1" w:rsidRPr="00051297">
        <w:rPr>
          <w:rFonts w:cs="Times New Roman"/>
          <w:szCs w:val="24"/>
          <w:lang w:val="en-US"/>
        </w:rPr>
        <w:t>.</w:t>
      </w:r>
      <w:r w:rsidR="004870F1">
        <w:rPr>
          <w:rFonts w:cs="Times New Roman"/>
          <w:noProof/>
          <w:szCs w:val="24"/>
          <w:lang w:val="en-US"/>
        </w:rPr>
        <w:t>36</w:t>
      </w:r>
      <w:r w:rsidR="004870F1" w:rsidRPr="00051297">
        <w:rPr>
          <w:rFonts w:cs="Times New Roman"/>
          <w:szCs w:val="24"/>
          <w:lang w:val="en-US"/>
        </w:rPr>
        <w:t>)</w:t>
      </w:r>
      <w:r w:rsidRPr="00051297">
        <w:rPr>
          <w:rFonts w:cs="Times New Roman"/>
          <w:szCs w:val="24"/>
          <w:lang w:val="en-US"/>
        </w:rPr>
        <w:fldChar w:fldCharType="end"/>
      </w:r>
      <w:r w:rsidRPr="00051297">
        <w:rPr>
          <w:rFonts w:cs="Times New Roman"/>
          <w:szCs w:val="24"/>
          <w:lang w:val="en-US"/>
        </w:rPr>
        <w:t>, but they must be considered in a non-circular surface.</w:t>
      </w:r>
    </w:p>
    <w:p w14:paraId="673DE64C" w14:textId="77777777" w:rsidR="00051297" w:rsidRPr="00051297" w:rsidRDefault="00051297" w:rsidP="00051297">
      <w:pPr>
        <w:rPr>
          <w:rFonts w:cs="Times New Roman"/>
          <w:szCs w:val="24"/>
          <w:lang w:val="en-US"/>
        </w:rPr>
      </w:pPr>
      <w:r w:rsidRPr="00051297">
        <w:rPr>
          <w:rFonts w:cs="Times New Roman"/>
          <w:szCs w:val="24"/>
          <w:lang w:val="en-US"/>
        </w:rPr>
        <w:t>The force equilibrium follows the same principle. To comply with the underlying conditions of the method, in both the vertical and horizontal directions, the composite internal forces of the entire sliding mass must be zero. As a result, two additional equations emerge:</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
        <w:gridCol w:w="8296"/>
        <w:gridCol w:w="796"/>
      </w:tblGrid>
      <w:tr w:rsidR="00051297" w:rsidRPr="00051297" w14:paraId="30773245" w14:textId="77777777" w:rsidTr="00D20B01">
        <w:tc>
          <w:tcPr>
            <w:tcW w:w="265" w:type="dxa"/>
          </w:tcPr>
          <w:p w14:paraId="4CB8E513" w14:textId="77777777" w:rsidR="00051297" w:rsidRPr="00051297" w:rsidRDefault="00051297" w:rsidP="00051297">
            <w:pPr>
              <w:ind w:firstLine="0"/>
              <w:rPr>
                <w:rFonts w:cs="Times New Roman"/>
                <w:szCs w:val="24"/>
                <w:lang w:val="en-US"/>
              </w:rPr>
            </w:pPr>
          </w:p>
        </w:tc>
        <w:tc>
          <w:tcPr>
            <w:tcW w:w="8820" w:type="dxa"/>
          </w:tcPr>
          <w:p w14:paraId="6C38E038" w14:textId="77777777" w:rsidR="00051297" w:rsidRPr="00051297" w:rsidRDefault="00536556" w:rsidP="00051297">
            <w:pPr>
              <w:rPr>
                <w:rFonts w:cs="Times New Roman"/>
                <w:szCs w:val="24"/>
                <w:lang w:val="en-US"/>
              </w:rPr>
            </w:pPr>
            <m:oMathPara>
              <m:oMath>
                <m:nary>
                  <m:naryPr>
                    <m:chr m:val="∑"/>
                    <m:limLoc m:val="undOvr"/>
                    <m:ctrlPr>
                      <w:rPr>
                        <w:rFonts w:ascii="Cambria Math" w:hAnsi="Cambria Math" w:cs="Times New Roman"/>
                        <w:i/>
                        <w:szCs w:val="24"/>
                        <w:lang w:val="en-US"/>
                      </w:rPr>
                    </m:ctrlPr>
                  </m:naryPr>
                  <m:sub>
                    <m:r>
                      <w:rPr>
                        <w:rFonts w:ascii="Cambria Math" w:hAnsi="Cambria Math" w:cs="Times New Roman"/>
                        <w:szCs w:val="24"/>
                        <w:lang w:val="en-US"/>
                      </w:rPr>
                      <m:t>i=1</m:t>
                    </m:r>
                  </m:sub>
                  <m:sup>
                    <m:r>
                      <w:rPr>
                        <w:rFonts w:ascii="Cambria Math" w:hAnsi="Cambria Math" w:cs="Times New Roman"/>
                        <w:szCs w:val="24"/>
                        <w:lang w:val="en-US"/>
                      </w:rPr>
                      <m:t>N</m:t>
                    </m:r>
                  </m:sup>
                  <m:e>
                    <m:sSub>
                      <m:sSubPr>
                        <m:ctrlPr>
                          <w:rPr>
                            <w:rFonts w:ascii="Cambria Math" w:hAnsi="Cambria Math" w:cs="Times New Roman"/>
                            <w:i/>
                            <w:szCs w:val="24"/>
                            <w:lang w:val="en-US"/>
                          </w:rPr>
                        </m:ctrlPr>
                      </m:sSubPr>
                      <m:e>
                        <m:r>
                          <w:rPr>
                            <w:rFonts w:ascii="Cambria Math" w:hAnsi="Cambria Math" w:cs="Times New Roman"/>
                            <w:szCs w:val="24"/>
                            <w:lang w:val="en-US"/>
                          </w:rPr>
                          <m:t>Q</m:t>
                        </m:r>
                      </m:e>
                      <m:sub>
                        <m:r>
                          <w:rPr>
                            <w:rFonts w:ascii="Cambria Math" w:hAnsi="Cambria Math" w:cs="Times New Roman"/>
                            <w:szCs w:val="24"/>
                            <w:lang w:val="en-US"/>
                          </w:rPr>
                          <m:t>i</m:t>
                        </m:r>
                      </m:sub>
                    </m:sSub>
                    <m:r>
                      <w:rPr>
                        <w:rFonts w:ascii="Cambria Math" w:hAnsi="Cambria Math" w:cs="Times New Roman"/>
                        <w:szCs w:val="24"/>
                        <w:lang w:val="en-US"/>
                      </w:rPr>
                      <m:t>×</m:t>
                    </m:r>
                    <m:func>
                      <m:funcPr>
                        <m:ctrlPr>
                          <w:rPr>
                            <w:rFonts w:ascii="Cambria Math" w:hAnsi="Cambria Math" w:cs="Times New Roman"/>
                            <w:i/>
                            <w:szCs w:val="24"/>
                            <w:lang w:val="en-US"/>
                          </w:rPr>
                        </m:ctrlPr>
                      </m:funcPr>
                      <m:fName>
                        <m:r>
                          <m:rPr>
                            <m:sty m:val="p"/>
                          </m:rPr>
                          <w:rPr>
                            <w:rFonts w:ascii="Cambria Math" w:hAnsi="Cambria Math" w:cs="Times New Roman"/>
                            <w:szCs w:val="24"/>
                            <w:lang w:val="en-US"/>
                          </w:rPr>
                          <m:t>cos</m:t>
                        </m:r>
                      </m:fName>
                      <m:e>
                        <m:d>
                          <m:dPr>
                            <m:ctrlPr>
                              <w:rPr>
                                <w:rFonts w:ascii="Cambria Math" w:hAnsi="Cambria Math" w:cs="Times New Roman"/>
                                <w:i/>
                                <w:szCs w:val="24"/>
                                <w:lang w:val="en-US"/>
                              </w:rPr>
                            </m:ctrlPr>
                          </m:dPr>
                          <m:e>
                            <m:r>
                              <w:rPr>
                                <w:rFonts w:ascii="Cambria Math" w:hAnsi="Cambria Math" w:cs="Times New Roman"/>
                                <w:szCs w:val="24"/>
                                <w:lang w:val="en-US"/>
                              </w:rPr>
                              <m:t>θ</m:t>
                            </m:r>
                          </m:e>
                        </m:d>
                        <m:r>
                          <w:rPr>
                            <w:rFonts w:ascii="Cambria Math" w:hAnsi="Cambria Math" w:cs="Times New Roman"/>
                            <w:szCs w:val="24"/>
                            <w:lang w:val="en-US"/>
                          </w:rPr>
                          <m:t>=0</m:t>
                        </m:r>
                      </m:e>
                    </m:func>
                  </m:e>
                </m:nary>
              </m:oMath>
            </m:oMathPara>
          </w:p>
        </w:tc>
        <w:tc>
          <w:tcPr>
            <w:tcW w:w="259" w:type="dxa"/>
          </w:tcPr>
          <w:p w14:paraId="5CFEA7C6" w14:textId="7ABB1833" w:rsidR="00051297" w:rsidRPr="00051297" w:rsidRDefault="00051297" w:rsidP="00051297">
            <w:pPr>
              <w:ind w:firstLine="0"/>
            </w:pP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37</w:t>
            </w:r>
            <w:r w:rsidRPr="00051297">
              <w:rPr>
                <w:rFonts w:cs="Times New Roman"/>
                <w:szCs w:val="24"/>
                <w:lang w:val="en-US"/>
              </w:rPr>
              <w:fldChar w:fldCharType="end"/>
            </w:r>
            <w:r w:rsidRPr="00051297">
              <w:rPr>
                <w:rFonts w:cs="Times New Roman"/>
                <w:szCs w:val="24"/>
                <w:lang w:val="en-US"/>
              </w:rPr>
              <w:t>)</w:t>
            </w:r>
          </w:p>
        </w:tc>
      </w:tr>
    </w:tbl>
    <w:p w14:paraId="3BE68E5D" w14:textId="77777777" w:rsidR="00051297" w:rsidRPr="00051297" w:rsidRDefault="00051297" w:rsidP="00051297">
      <w:pPr>
        <w:rPr>
          <w:rFonts w:cs="Times New Roman"/>
          <w:szCs w:val="24"/>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
        <w:gridCol w:w="8296"/>
        <w:gridCol w:w="796"/>
      </w:tblGrid>
      <w:tr w:rsidR="00051297" w:rsidRPr="00051297" w14:paraId="2F0EDE93" w14:textId="77777777" w:rsidTr="00D20B01">
        <w:tc>
          <w:tcPr>
            <w:tcW w:w="265" w:type="dxa"/>
          </w:tcPr>
          <w:p w14:paraId="16F05B82" w14:textId="77777777" w:rsidR="00051297" w:rsidRPr="00051297" w:rsidRDefault="00051297" w:rsidP="00051297">
            <w:pPr>
              <w:ind w:firstLine="0"/>
              <w:rPr>
                <w:rFonts w:cs="Times New Roman"/>
                <w:szCs w:val="24"/>
                <w:lang w:val="en-US"/>
              </w:rPr>
            </w:pPr>
          </w:p>
        </w:tc>
        <w:tc>
          <w:tcPr>
            <w:tcW w:w="8820" w:type="dxa"/>
          </w:tcPr>
          <w:p w14:paraId="1DF335EA" w14:textId="77777777" w:rsidR="00051297" w:rsidRPr="00051297" w:rsidRDefault="00536556" w:rsidP="00051297">
            <w:pPr>
              <w:rPr>
                <w:rFonts w:cs="Times New Roman"/>
                <w:szCs w:val="24"/>
                <w:lang w:val="en-US"/>
              </w:rPr>
            </w:pPr>
            <m:oMathPara>
              <m:oMath>
                <m:nary>
                  <m:naryPr>
                    <m:chr m:val="∑"/>
                    <m:limLoc m:val="undOvr"/>
                    <m:ctrlPr>
                      <w:rPr>
                        <w:rFonts w:ascii="Cambria Math" w:hAnsi="Cambria Math" w:cs="Times New Roman"/>
                        <w:i/>
                        <w:szCs w:val="24"/>
                        <w:lang w:val="en-US"/>
                      </w:rPr>
                    </m:ctrlPr>
                  </m:naryPr>
                  <m:sub>
                    <m:r>
                      <w:rPr>
                        <w:rFonts w:ascii="Cambria Math" w:hAnsi="Cambria Math" w:cs="Times New Roman"/>
                        <w:szCs w:val="24"/>
                        <w:lang w:val="en-US"/>
                      </w:rPr>
                      <m:t>i=1</m:t>
                    </m:r>
                  </m:sub>
                  <m:sup>
                    <m:r>
                      <w:rPr>
                        <w:rFonts w:ascii="Cambria Math" w:hAnsi="Cambria Math" w:cs="Times New Roman"/>
                        <w:szCs w:val="24"/>
                        <w:lang w:val="en-US"/>
                      </w:rPr>
                      <m:t>N</m:t>
                    </m:r>
                  </m:sup>
                  <m:e>
                    <m:sSub>
                      <m:sSubPr>
                        <m:ctrlPr>
                          <w:rPr>
                            <w:rFonts w:ascii="Cambria Math" w:hAnsi="Cambria Math" w:cs="Times New Roman"/>
                            <w:i/>
                            <w:szCs w:val="24"/>
                            <w:lang w:val="en-US"/>
                          </w:rPr>
                        </m:ctrlPr>
                      </m:sSubPr>
                      <m:e>
                        <m:r>
                          <w:rPr>
                            <w:rFonts w:ascii="Cambria Math" w:hAnsi="Cambria Math" w:cs="Times New Roman"/>
                            <w:szCs w:val="24"/>
                            <w:lang w:val="en-US"/>
                          </w:rPr>
                          <m:t>Q</m:t>
                        </m:r>
                      </m:e>
                      <m:sub>
                        <m:r>
                          <w:rPr>
                            <w:rFonts w:ascii="Cambria Math" w:hAnsi="Cambria Math" w:cs="Times New Roman"/>
                            <w:szCs w:val="24"/>
                            <w:lang w:val="en-US"/>
                          </w:rPr>
                          <m:t>i</m:t>
                        </m:r>
                      </m:sub>
                    </m:sSub>
                    <m:r>
                      <w:rPr>
                        <w:rFonts w:ascii="Cambria Math" w:hAnsi="Cambria Math" w:cs="Times New Roman"/>
                        <w:szCs w:val="24"/>
                        <w:lang w:val="en-US"/>
                      </w:rPr>
                      <m:t>×</m:t>
                    </m:r>
                    <m:func>
                      <m:funcPr>
                        <m:ctrlPr>
                          <w:rPr>
                            <w:rFonts w:ascii="Cambria Math" w:hAnsi="Cambria Math" w:cs="Times New Roman"/>
                            <w:i/>
                            <w:szCs w:val="24"/>
                            <w:lang w:val="en-US"/>
                          </w:rPr>
                        </m:ctrlPr>
                      </m:funcPr>
                      <m:fName>
                        <m:r>
                          <m:rPr>
                            <m:sty m:val="p"/>
                          </m:rPr>
                          <w:rPr>
                            <w:rFonts w:ascii="Cambria Math" w:hAnsi="Cambria Math" w:cs="Times New Roman"/>
                            <w:szCs w:val="24"/>
                            <w:lang w:val="en-US"/>
                          </w:rPr>
                          <m:t>sin</m:t>
                        </m:r>
                      </m:fName>
                      <m:e>
                        <m:d>
                          <m:dPr>
                            <m:ctrlPr>
                              <w:rPr>
                                <w:rFonts w:ascii="Cambria Math" w:hAnsi="Cambria Math" w:cs="Times New Roman"/>
                                <w:i/>
                                <w:szCs w:val="24"/>
                                <w:lang w:val="en-US"/>
                              </w:rPr>
                            </m:ctrlPr>
                          </m:dPr>
                          <m:e>
                            <m:r>
                              <w:rPr>
                                <w:rFonts w:ascii="Cambria Math" w:hAnsi="Cambria Math" w:cs="Times New Roman"/>
                                <w:szCs w:val="24"/>
                                <w:lang w:val="en-US"/>
                              </w:rPr>
                              <m:t>θ</m:t>
                            </m:r>
                          </m:e>
                        </m:d>
                        <m:r>
                          <w:rPr>
                            <w:rFonts w:ascii="Cambria Math" w:hAnsi="Cambria Math" w:cs="Times New Roman"/>
                            <w:szCs w:val="24"/>
                            <w:lang w:val="en-US"/>
                          </w:rPr>
                          <m:t>=0</m:t>
                        </m:r>
                      </m:e>
                    </m:func>
                  </m:e>
                </m:nary>
              </m:oMath>
            </m:oMathPara>
          </w:p>
        </w:tc>
        <w:tc>
          <w:tcPr>
            <w:tcW w:w="259" w:type="dxa"/>
          </w:tcPr>
          <w:p w14:paraId="16680184" w14:textId="56BCCFFA" w:rsidR="00051297" w:rsidRPr="00051297" w:rsidRDefault="00051297" w:rsidP="00051297">
            <w:pPr>
              <w:ind w:firstLine="0"/>
            </w:pP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38</w:t>
            </w:r>
            <w:r w:rsidRPr="00051297">
              <w:rPr>
                <w:rFonts w:cs="Times New Roman"/>
                <w:szCs w:val="24"/>
                <w:lang w:val="en-US"/>
              </w:rPr>
              <w:fldChar w:fldCharType="end"/>
            </w:r>
            <w:r w:rsidRPr="00051297">
              <w:rPr>
                <w:rFonts w:cs="Times New Roman"/>
                <w:szCs w:val="24"/>
                <w:lang w:val="en-US"/>
              </w:rPr>
              <w:t>)</w:t>
            </w:r>
          </w:p>
        </w:tc>
      </w:tr>
    </w:tbl>
    <w:p w14:paraId="687D7B07" w14:textId="77777777" w:rsidR="00051297" w:rsidRPr="00051297" w:rsidRDefault="00051297" w:rsidP="00051297">
      <w:pPr>
        <w:rPr>
          <w:rFonts w:cs="Times New Roman"/>
          <w:szCs w:val="24"/>
          <w:lang w:val="en-US"/>
        </w:rPr>
      </w:pPr>
      <w:r w:rsidRPr="00051297">
        <w:rPr>
          <w:rFonts w:cs="Times New Roman"/>
          <w:szCs w:val="24"/>
          <w:lang w:val="en-US"/>
        </w:rPr>
        <w:t>Because the inclination of the corresponding interslice force Q is constant, equations 2.37 and 2.38 are theoretically equivalent and provide the same result: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
        <w:gridCol w:w="8296"/>
        <w:gridCol w:w="796"/>
      </w:tblGrid>
      <w:tr w:rsidR="00051297" w:rsidRPr="00051297" w14:paraId="0E90893F" w14:textId="77777777" w:rsidTr="00D20B01">
        <w:tc>
          <w:tcPr>
            <w:tcW w:w="265" w:type="dxa"/>
          </w:tcPr>
          <w:p w14:paraId="30E59C47" w14:textId="77777777" w:rsidR="00051297" w:rsidRPr="00051297" w:rsidRDefault="00051297" w:rsidP="00051297">
            <w:pPr>
              <w:ind w:firstLine="0"/>
              <w:rPr>
                <w:rFonts w:cs="Times New Roman"/>
                <w:szCs w:val="24"/>
                <w:lang w:val="en-US"/>
              </w:rPr>
            </w:pPr>
          </w:p>
        </w:tc>
        <w:tc>
          <w:tcPr>
            <w:tcW w:w="8820" w:type="dxa"/>
          </w:tcPr>
          <w:p w14:paraId="73A9165F" w14:textId="77777777" w:rsidR="00051297" w:rsidRPr="00051297" w:rsidRDefault="00536556" w:rsidP="00051297">
            <w:pPr>
              <w:rPr>
                <w:rFonts w:cs="Times New Roman"/>
                <w:szCs w:val="24"/>
                <w:lang w:val="en-US"/>
              </w:rPr>
            </w:pPr>
            <m:oMathPara>
              <m:oMath>
                <m:nary>
                  <m:naryPr>
                    <m:chr m:val="∑"/>
                    <m:limLoc m:val="undOvr"/>
                    <m:ctrlPr>
                      <w:rPr>
                        <w:rFonts w:ascii="Cambria Math" w:hAnsi="Cambria Math" w:cs="Times New Roman"/>
                        <w:i/>
                        <w:szCs w:val="24"/>
                        <w:lang w:val="en-US"/>
                      </w:rPr>
                    </m:ctrlPr>
                  </m:naryPr>
                  <m:sub>
                    <m:r>
                      <w:rPr>
                        <w:rFonts w:ascii="Cambria Math" w:hAnsi="Cambria Math" w:cs="Times New Roman"/>
                        <w:szCs w:val="24"/>
                        <w:lang w:val="en-US"/>
                      </w:rPr>
                      <m:t>i=1</m:t>
                    </m:r>
                  </m:sub>
                  <m:sup>
                    <m:r>
                      <w:rPr>
                        <w:rFonts w:ascii="Cambria Math" w:hAnsi="Cambria Math" w:cs="Times New Roman"/>
                        <w:szCs w:val="24"/>
                        <w:lang w:val="en-US"/>
                      </w:rPr>
                      <m:t>N</m:t>
                    </m:r>
                  </m:sup>
                  <m:e>
                    <m:sSub>
                      <m:sSubPr>
                        <m:ctrlPr>
                          <w:rPr>
                            <w:rFonts w:ascii="Cambria Math" w:hAnsi="Cambria Math" w:cs="Times New Roman"/>
                            <w:i/>
                            <w:szCs w:val="24"/>
                            <w:lang w:val="en-US"/>
                          </w:rPr>
                        </m:ctrlPr>
                      </m:sSubPr>
                      <m:e>
                        <m:r>
                          <w:rPr>
                            <w:rFonts w:ascii="Cambria Math" w:hAnsi="Cambria Math" w:cs="Times New Roman"/>
                            <w:szCs w:val="24"/>
                            <w:lang w:val="en-US"/>
                          </w:rPr>
                          <m:t>Q</m:t>
                        </m:r>
                      </m:e>
                      <m:sub>
                        <m:r>
                          <w:rPr>
                            <w:rFonts w:ascii="Cambria Math" w:hAnsi="Cambria Math" w:cs="Times New Roman"/>
                            <w:szCs w:val="24"/>
                            <w:lang w:val="en-US"/>
                          </w:rPr>
                          <m:t>i</m:t>
                        </m:r>
                      </m:sub>
                    </m:sSub>
                    <m:r>
                      <w:rPr>
                        <w:rFonts w:ascii="Cambria Math" w:hAnsi="Cambria Math" w:cs="Times New Roman"/>
                        <w:szCs w:val="24"/>
                        <w:lang w:val="en-US"/>
                      </w:rPr>
                      <m:t>=0</m:t>
                    </m:r>
                  </m:e>
                </m:nary>
              </m:oMath>
            </m:oMathPara>
          </w:p>
        </w:tc>
        <w:tc>
          <w:tcPr>
            <w:tcW w:w="259" w:type="dxa"/>
          </w:tcPr>
          <w:p w14:paraId="38CC3EC3" w14:textId="21A6CBA8" w:rsidR="00051297" w:rsidRPr="00051297" w:rsidRDefault="00051297" w:rsidP="00051297">
            <w:pPr>
              <w:ind w:firstLine="0"/>
            </w:pPr>
            <w:bookmarkStart w:id="321" w:name="_Ref103556925"/>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39</w:t>
            </w:r>
            <w:r w:rsidRPr="00051297">
              <w:rPr>
                <w:rFonts w:cs="Times New Roman"/>
                <w:szCs w:val="24"/>
                <w:lang w:val="en-US"/>
              </w:rPr>
              <w:fldChar w:fldCharType="end"/>
            </w:r>
            <w:r w:rsidRPr="00051297">
              <w:rPr>
                <w:rFonts w:cs="Times New Roman"/>
                <w:szCs w:val="24"/>
                <w:lang w:val="en-US"/>
              </w:rPr>
              <w:t>)</w:t>
            </w:r>
            <w:bookmarkEnd w:id="321"/>
          </w:p>
        </w:tc>
      </w:tr>
    </w:tbl>
    <w:p w14:paraId="59EDF786" w14:textId="291F6732" w:rsidR="00051297" w:rsidRPr="00051297" w:rsidRDefault="00051297" w:rsidP="00051297">
      <w:pPr>
        <w:rPr>
          <w:rFonts w:cs="Times New Roman"/>
          <w:szCs w:val="24"/>
          <w:lang w:val="en-US"/>
        </w:rPr>
      </w:pPr>
      <w:r w:rsidRPr="00051297">
        <w:rPr>
          <w:rFonts w:cs="Times New Roman"/>
          <w:szCs w:val="24"/>
          <w:lang w:val="en-US"/>
        </w:rPr>
        <w:t xml:space="preserve">For a particular failure surface, solving Equations </w:t>
      </w:r>
      <w:r w:rsidRPr="00051297">
        <w:rPr>
          <w:rFonts w:cs="Times New Roman"/>
          <w:szCs w:val="24"/>
          <w:lang w:val="en-US"/>
        </w:rPr>
        <w:fldChar w:fldCharType="begin"/>
      </w:r>
      <w:r w:rsidRPr="00051297">
        <w:rPr>
          <w:rFonts w:cs="Times New Roman"/>
          <w:szCs w:val="24"/>
          <w:lang w:val="en-US"/>
        </w:rPr>
        <w:instrText xml:space="preserve"> REF _Ref103556898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rPr>
        <w:t>(</w:t>
      </w:r>
      <w:r w:rsidR="004870F1">
        <w:rPr>
          <w:rFonts w:cs="Times New Roman"/>
          <w:noProof/>
          <w:szCs w:val="24"/>
          <w:lang w:val="en-US"/>
        </w:rPr>
        <w:t>1</w:t>
      </w:r>
      <w:r w:rsidR="004870F1" w:rsidRPr="00051297">
        <w:rPr>
          <w:rFonts w:cs="Times New Roman"/>
          <w:szCs w:val="24"/>
          <w:lang w:val="en-US"/>
        </w:rPr>
        <w:t>.</w:t>
      </w:r>
      <w:r w:rsidR="004870F1">
        <w:rPr>
          <w:rFonts w:cs="Times New Roman"/>
          <w:noProof/>
          <w:szCs w:val="24"/>
          <w:lang w:val="en-US"/>
        </w:rPr>
        <w:t>36</w:t>
      </w:r>
      <w:r w:rsidR="004870F1" w:rsidRPr="00051297">
        <w:rPr>
          <w:rFonts w:cs="Times New Roman"/>
          <w:szCs w:val="24"/>
          <w:lang w:val="en-US"/>
        </w:rPr>
        <w:t>)</w:t>
      </w:r>
      <w:r w:rsidRPr="00051297">
        <w:rPr>
          <w:rFonts w:cs="Times New Roman"/>
          <w:szCs w:val="24"/>
          <w:lang w:val="en-US"/>
        </w:rPr>
        <w:fldChar w:fldCharType="end"/>
      </w:r>
      <w:r w:rsidRPr="00051297">
        <w:rPr>
          <w:rFonts w:cs="Times New Roman"/>
          <w:szCs w:val="24"/>
          <w:lang w:val="en-US"/>
        </w:rPr>
        <w:t xml:space="preserve"> and </w:t>
      </w:r>
      <w:r w:rsidRPr="00051297">
        <w:rPr>
          <w:rFonts w:cs="Times New Roman"/>
          <w:szCs w:val="24"/>
          <w:lang w:val="en-US"/>
        </w:rPr>
        <w:fldChar w:fldCharType="begin"/>
      </w:r>
      <w:r w:rsidRPr="00051297">
        <w:rPr>
          <w:rFonts w:cs="Times New Roman"/>
          <w:szCs w:val="24"/>
          <w:lang w:val="en-US"/>
        </w:rPr>
        <w:instrText xml:space="preserve"> REF _Ref103556925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rPr>
        <w:t>(</w:t>
      </w:r>
      <w:r w:rsidR="004870F1">
        <w:rPr>
          <w:rFonts w:cs="Times New Roman"/>
          <w:noProof/>
          <w:szCs w:val="24"/>
          <w:lang w:val="en-US"/>
        </w:rPr>
        <w:t>1</w:t>
      </w:r>
      <w:r w:rsidR="004870F1" w:rsidRPr="00051297">
        <w:rPr>
          <w:rFonts w:cs="Times New Roman"/>
          <w:szCs w:val="24"/>
          <w:lang w:val="en-US"/>
        </w:rPr>
        <w:t>.</w:t>
      </w:r>
      <w:r w:rsidR="004870F1">
        <w:rPr>
          <w:rFonts w:cs="Times New Roman"/>
          <w:noProof/>
          <w:szCs w:val="24"/>
          <w:lang w:val="en-US"/>
        </w:rPr>
        <w:t>39</w:t>
      </w:r>
      <w:r w:rsidR="004870F1" w:rsidRPr="00051297">
        <w:rPr>
          <w:rFonts w:cs="Times New Roman"/>
          <w:szCs w:val="24"/>
          <w:lang w:val="en-US"/>
        </w:rPr>
        <w:t>)</w:t>
      </w:r>
      <w:r w:rsidRPr="00051297">
        <w:rPr>
          <w:rFonts w:cs="Times New Roman"/>
          <w:szCs w:val="24"/>
          <w:lang w:val="en-US"/>
        </w:rPr>
        <w:fldChar w:fldCharType="end"/>
      </w:r>
      <w:r w:rsidRPr="00051297">
        <w:rPr>
          <w:rFonts w:cs="Times New Roman"/>
          <w:szCs w:val="24"/>
          <w:lang w:val="en-US"/>
        </w:rPr>
        <w:t xml:space="preserve"> yields two FS values, assuming an interslice force inclination of. However, because there is only one value that satisfies both moment and force equilibrium, an iterative approach is used to calculate this value and the accompanying FS.</w:t>
      </w:r>
    </w:p>
    <w:p w14:paraId="193DAE04" w14:textId="77777777" w:rsidR="00051297" w:rsidRPr="00051297" w:rsidRDefault="00051297" w:rsidP="00051297">
      <w:pPr>
        <w:rPr>
          <w:rFonts w:cs="Times New Roman"/>
          <w:szCs w:val="24"/>
          <w:lang w:val="en-US"/>
        </w:rPr>
      </w:pPr>
      <w:r w:rsidRPr="00051297">
        <w:rPr>
          <w:rFonts w:cs="Times New Roman"/>
          <w:szCs w:val="24"/>
          <w:lang w:val="en-US"/>
        </w:rPr>
        <w:t>In the hunt for an optimum iterative technique to calculate FS, many schemes have been proposed. The following are some frequent steps in a simple technique:</w:t>
      </w:r>
    </w:p>
    <w:p w14:paraId="6E499D3A" w14:textId="77777777" w:rsidR="00051297" w:rsidRPr="00051297" w:rsidRDefault="00051297" w:rsidP="00051297">
      <w:pPr>
        <w:numPr>
          <w:ilvl w:val="0"/>
          <w:numId w:val="29"/>
        </w:numPr>
        <w:tabs>
          <w:tab w:val="clear" w:pos="720"/>
          <w:tab w:val="num" w:pos="993"/>
        </w:tabs>
        <w:ind w:left="0" w:firstLine="709"/>
        <w:rPr>
          <w:rFonts w:cs="Times New Roman"/>
          <w:szCs w:val="24"/>
          <w:lang w:val="en-US"/>
        </w:rPr>
      </w:pPr>
      <w:r w:rsidRPr="00051297">
        <w:rPr>
          <w:rFonts w:cs="Times New Roman"/>
          <w:szCs w:val="24"/>
          <w:lang w:val="en-US"/>
        </w:rPr>
        <w:t>Assume various different values of and calculate the FS values for Force and Moment equilibrium (FF and FM)</w:t>
      </w:r>
    </w:p>
    <w:p w14:paraId="1921A8BE" w14:textId="77777777" w:rsidR="00051297" w:rsidRPr="00051297" w:rsidRDefault="00051297" w:rsidP="00051297">
      <w:pPr>
        <w:numPr>
          <w:ilvl w:val="0"/>
          <w:numId w:val="29"/>
        </w:numPr>
        <w:tabs>
          <w:tab w:val="clear" w:pos="720"/>
          <w:tab w:val="num" w:pos="993"/>
        </w:tabs>
        <w:ind w:left="0" w:firstLine="709"/>
        <w:rPr>
          <w:rFonts w:cs="Times New Roman"/>
          <w:szCs w:val="24"/>
          <w:lang w:val="en-US"/>
        </w:rPr>
      </w:pPr>
      <w:r w:rsidRPr="00051297">
        <w:rPr>
          <w:rFonts w:cs="Times New Roman"/>
          <w:szCs w:val="24"/>
          <w:lang w:val="en-US"/>
        </w:rPr>
        <w:t>Draw the FF and FM curves versus each other.</w:t>
      </w:r>
    </w:p>
    <w:p w14:paraId="3B533F70" w14:textId="507697F6" w:rsidR="00051297" w:rsidRPr="00051297" w:rsidRDefault="00051297" w:rsidP="00051297">
      <w:pPr>
        <w:numPr>
          <w:ilvl w:val="0"/>
          <w:numId w:val="29"/>
        </w:numPr>
        <w:tabs>
          <w:tab w:val="clear" w:pos="720"/>
          <w:tab w:val="num" w:pos="993"/>
        </w:tabs>
        <w:ind w:left="0" w:firstLine="709"/>
        <w:rPr>
          <w:rFonts w:cs="Times New Roman"/>
          <w:szCs w:val="24"/>
          <w:lang w:val="en-US"/>
        </w:rPr>
      </w:pPr>
      <w:r w:rsidRPr="00051297">
        <w:rPr>
          <w:rFonts w:cs="Times New Roman"/>
          <w:szCs w:val="24"/>
          <w:lang w:val="en-US"/>
        </w:rPr>
        <w:t xml:space="preserve">Determine the intersection point of the curves corresponding to the real FS and the assessed surface. </w:t>
      </w:r>
      <w:r w:rsidRPr="00051297">
        <w:rPr>
          <w:rFonts w:cs="Times New Roman"/>
          <w:szCs w:val="24"/>
          <w:lang w:val="en-US"/>
        </w:rPr>
        <w:fldChar w:fldCharType="begin"/>
      </w:r>
      <w:r w:rsidRPr="00051297">
        <w:rPr>
          <w:rFonts w:cs="Times New Roman"/>
          <w:szCs w:val="24"/>
          <w:lang w:val="en-US"/>
        </w:rPr>
        <w:instrText xml:space="preserve"> REF _Ref100691810 \h  \* MERGEFORMAT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rPr>
        <w:t xml:space="preserve">Figure </w:t>
      </w:r>
      <w:r w:rsidR="004870F1">
        <w:rPr>
          <w:rFonts w:cs="Times New Roman"/>
          <w:szCs w:val="24"/>
          <w:lang w:val="en-US"/>
        </w:rPr>
        <w:t>1.15</w:t>
      </w:r>
      <w:r w:rsidRPr="00051297">
        <w:rPr>
          <w:rFonts w:cs="Times New Roman"/>
          <w:szCs w:val="24"/>
          <w:lang w:val="en-US"/>
        </w:rPr>
        <w:fldChar w:fldCharType="end"/>
      </w:r>
      <w:r w:rsidRPr="00051297">
        <w:rPr>
          <w:rFonts w:cs="Times New Roman"/>
          <w:szCs w:val="24"/>
          <w:lang w:val="en-US"/>
        </w:rPr>
        <w:t xml:space="preserve"> shows an illustration of the aforementioned curves as an example.</w:t>
      </w:r>
    </w:p>
    <w:p w14:paraId="03B5914B" w14:textId="77777777" w:rsidR="00051297" w:rsidRPr="00051297" w:rsidRDefault="00051297" w:rsidP="00051297">
      <w:pPr>
        <w:ind w:firstLine="0"/>
        <w:jc w:val="center"/>
        <w:rPr>
          <w:rFonts w:cs="Times New Roman"/>
          <w:b/>
          <w:bCs/>
          <w:szCs w:val="24"/>
          <w:lang w:val="en-US"/>
        </w:rPr>
      </w:pPr>
      <w:r w:rsidRPr="00051297">
        <w:rPr>
          <w:rFonts w:cs="Times New Roman"/>
          <w:noProof/>
          <w:szCs w:val="24"/>
          <w:lang w:val="en-US"/>
        </w:rPr>
        <w:drawing>
          <wp:inline distT="0" distB="0" distL="0" distR="0" wp14:anchorId="23F485F3" wp14:editId="0CB152E5">
            <wp:extent cx="3154680" cy="3119550"/>
            <wp:effectExtent l="0" t="0" r="7620" b="5080"/>
            <wp:docPr id="461" name="Picture 461">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59581" cy="3124397"/>
                    </a:xfrm>
                    <a:prstGeom prst="rect">
                      <a:avLst/>
                    </a:prstGeom>
                    <a:noFill/>
                    <a:ln>
                      <a:noFill/>
                    </a:ln>
                  </pic:spPr>
                </pic:pic>
              </a:graphicData>
            </a:graphic>
          </wp:inline>
        </w:drawing>
      </w:r>
    </w:p>
    <w:p w14:paraId="6793A969" w14:textId="5C78AE5A" w:rsidR="00051297" w:rsidRPr="00051297" w:rsidRDefault="00051297" w:rsidP="006437C5">
      <w:pPr>
        <w:spacing w:after="200" w:line="240" w:lineRule="auto"/>
        <w:ind w:firstLine="0"/>
        <w:jc w:val="center"/>
        <w:rPr>
          <w:rFonts w:cs="Times New Roman"/>
          <w:szCs w:val="24"/>
          <w:lang w:val="en-US" w:bidi="en-US"/>
        </w:rPr>
      </w:pPr>
      <w:bookmarkStart w:id="322" w:name="_Ref100691810"/>
      <w:bookmarkStart w:id="323" w:name="_Toc104985402"/>
      <w:bookmarkStart w:id="324" w:name="_Toc103544079"/>
      <w:bookmarkStart w:id="325" w:name="_Ref100691792"/>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15</w:t>
      </w:r>
      <w:r w:rsidR="00527861">
        <w:rPr>
          <w:rFonts w:cs="Times New Roman"/>
          <w:szCs w:val="24"/>
          <w:lang w:val="en-US" w:bidi="en-US"/>
        </w:rPr>
        <w:fldChar w:fldCharType="end"/>
      </w:r>
      <w:bookmarkEnd w:id="322"/>
      <w:r w:rsidRPr="00051297">
        <w:rPr>
          <w:rFonts w:cs="Times New Roman"/>
          <w:szCs w:val="24"/>
          <w:lang w:val="en-US" w:bidi="en-US"/>
        </w:rPr>
        <w:t xml:space="preserve"> Spencer's Method of Slices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{"citationItems":[{"id":"ITEM-1","itemData":{"author":[{"dropping-particle":"","family":"Geoengineer.org","given":"","non-dropping-particle":"","parse-names":false,"suffix":""}],"id":"ITEM-1","issued":{"date-parts":[["2021"]]},"title":"Slope Stability: The Spencer Method of Slices","type":"webpage"},"uris":["http://www.mendeley.com/documents/?uuid=52e51fcb-7dcf-4618-8a76-13ee6c495a68","http://www.mendeley.com/documents/?uuid=4222005e-27dc-45d6-8528-186d4366c19f"]}],"mendeley":{"formattedCitation":"[161]","plainTextFormattedCitation":"[161]","previouslyFormattedCitation":"[161]"},"properties":{"noteIndex":0},"schema":"https://github.com/citation-style-language/schema/raw/master/csl-citation.json"}</w:instrText>
      </w:r>
      <w:r w:rsidRPr="00051297">
        <w:rPr>
          <w:rFonts w:cs="Times New Roman"/>
          <w:szCs w:val="24"/>
          <w:lang w:val="en-US" w:bidi="en-US"/>
        </w:rPr>
        <w:fldChar w:fldCharType="separate"/>
      </w:r>
      <w:bookmarkEnd w:id="324"/>
      <w:r w:rsidR="0032684D" w:rsidRPr="0032684D">
        <w:rPr>
          <w:rFonts w:cs="Times New Roman"/>
          <w:noProof/>
          <w:szCs w:val="24"/>
          <w:lang w:val="en-US" w:bidi="en-US"/>
        </w:rPr>
        <w:t>[161]</w:t>
      </w:r>
      <w:bookmarkEnd w:id="323"/>
      <w:r w:rsidRPr="00051297">
        <w:rPr>
          <w:rFonts w:cs="Times New Roman"/>
          <w:szCs w:val="24"/>
          <w:lang w:val="en-US" w:bidi="en-US"/>
        </w:rPr>
        <w:fldChar w:fldCharType="end"/>
      </w:r>
      <w:bookmarkEnd w:id="325"/>
    </w:p>
    <w:p w14:paraId="26D6FFB5" w14:textId="77777777" w:rsidR="00051297" w:rsidRPr="00051297" w:rsidRDefault="00051297" w:rsidP="00051297">
      <w:pPr>
        <w:rPr>
          <w:rFonts w:cs="Times New Roman"/>
          <w:szCs w:val="24"/>
          <w:lang w:val="en-US"/>
        </w:rPr>
      </w:pPr>
      <w:r w:rsidRPr="00051297">
        <w:rPr>
          <w:rFonts w:cs="Times New Roman"/>
          <w:szCs w:val="24"/>
          <w:lang w:val="en-US"/>
        </w:rPr>
        <w:t>Nonetheless, advanced techniques based on computer means, such as efficient iterative processes, have been developed over time. The Spencer Method takes longer than other methods (Bishop or Janbu); however, with the rapid advancement of computing capabilities, this is no longer a concern.</w:t>
      </w:r>
    </w:p>
    <w:p w14:paraId="211C7F13" w14:textId="77777777" w:rsidR="00051297" w:rsidRPr="00051297" w:rsidRDefault="00051297" w:rsidP="00051297">
      <w:pPr>
        <w:rPr>
          <w:rFonts w:cs="Times New Roman"/>
          <w:szCs w:val="24"/>
          <w:lang w:val="en-US"/>
        </w:rPr>
      </w:pPr>
      <w:r w:rsidRPr="00051297">
        <w:rPr>
          <w:rFonts w:cs="Times New Roman"/>
          <w:szCs w:val="24"/>
          <w:lang w:val="en-US"/>
        </w:rPr>
        <w:lastRenderedPageBreak/>
        <w:t>Spencer's method becomes equivalent to Bishop's simplified method when the inclination is adjusted to zero. As a result, Spencer's method might be thought of as a more advanced form of Bishop's method.</w:t>
      </w:r>
    </w:p>
    <w:p w14:paraId="5D43B7D8" w14:textId="77777777" w:rsidR="00051297" w:rsidRPr="00051297" w:rsidRDefault="00051297" w:rsidP="00051297">
      <w:pPr>
        <w:rPr>
          <w:rFonts w:cs="Times New Roman"/>
          <w:szCs w:val="24"/>
          <w:lang w:val="en-US"/>
        </w:rPr>
      </w:pPr>
      <w:r w:rsidRPr="00051297">
        <w:rPr>
          <w:rFonts w:cs="Times New Roman"/>
          <w:szCs w:val="24"/>
          <w:lang w:val="en-US"/>
        </w:rPr>
        <w:t>Some of the inferences that can be derived from the outcomes of Spencer's technique are as follows:</w:t>
      </w:r>
    </w:p>
    <w:p w14:paraId="09F0BF4D" w14:textId="0D06A262" w:rsidR="00051297" w:rsidRPr="00051297" w:rsidRDefault="00051297" w:rsidP="00051297">
      <w:pPr>
        <w:numPr>
          <w:ilvl w:val="0"/>
          <w:numId w:val="29"/>
        </w:numPr>
        <w:tabs>
          <w:tab w:val="clear" w:pos="720"/>
          <w:tab w:val="num" w:pos="993"/>
        </w:tabs>
        <w:ind w:left="0" w:firstLine="709"/>
        <w:rPr>
          <w:rFonts w:cs="Times New Roman"/>
          <w:szCs w:val="24"/>
          <w:lang w:val="en-US"/>
        </w:rPr>
      </w:pPr>
      <w:r w:rsidRPr="00051297">
        <w:rPr>
          <w:rFonts w:cs="Times New Roman"/>
          <w:szCs w:val="24"/>
          <w:lang w:val="en-US"/>
        </w:rPr>
        <w:t xml:space="preserve">When compared to Moment equilibrium FS (FM), Force equilibrium FS (FF) is altered more pronouncedly. </w:t>
      </w:r>
    </w:p>
    <w:bookmarkEnd w:id="314"/>
    <w:p w14:paraId="73E79AAD" w14:textId="77777777" w:rsidR="00051297" w:rsidRPr="00051297" w:rsidRDefault="00051297" w:rsidP="00051297">
      <w:pPr>
        <w:numPr>
          <w:ilvl w:val="0"/>
          <w:numId w:val="29"/>
        </w:numPr>
        <w:tabs>
          <w:tab w:val="clear" w:pos="720"/>
          <w:tab w:val="num" w:pos="993"/>
        </w:tabs>
        <w:ind w:left="0" w:firstLine="709"/>
        <w:rPr>
          <w:rFonts w:cs="Times New Roman"/>
          <w:szCs w:val="24"/>
          <w:lang w:val="en-US"/>
        </w:rPr>
      </w:pPr>
      <w:r w:rsidRPr="00051297">
        <w:rPr>
          <w:rFonts w:cs="Times New Roman"/>
          <w:szCs w:val="24"/>
          <w:lang w:val="en-US"/>
        </w:rPr>
        <w:t>The method's accuracy is determined by the number of slices used in the study. Increasing the number of slices, however, necessitates longer processing durations. Once the number of slices employed exceeds 32, according to Spencer (1967), the gain in accuracy is modest. In reality, with each case study being unique, even a lesser number of slices is sufficient to generate an accurate FS.</w:t>
      </w:r>
    </w:p>
    <w:p w14:paraId="1725D769" w14:textId="77777777" w:rsidR="00051297" w:rsidRPr="00051297" w:rsidRDefault="00051297" w:rsidP="00051297">
      <w:pPr>
        <w:numPr>
          <w:ilvl w:val="0"/>
          <w:numId w:val="29"/>
        </w:numPr>
        <w:tabs>
          <w:tab w:val="clear" w:pos="720"/>
          <w:tab w:val="num" w:pos="993"/>
        </w:tabs>
        <w:ind w:left="0" w:firstLine="709"/>
        <w:rPr>
          <w:rFonts w:cs="Times New Roman"/>
          <w:szCs w:val="24"/>
          <w:lang w:val="en-US"/>
        </w:rPr>
      </w:pPr>
      <w:r w:rsidRPr="00051297">
        <w:rPr>
          <w:rFonts w:cs="Times New Roman"/>
          <w:szCs w:val="24"/>
          <w:lang w:val="en-US"/>
        </w:rPr>
        <w:t>The Spencer technique may or may not always converge to a single FS and. When the failure surface has steep parts, complex geometry, or jumps, convergence issues arise. A modest adjustment in the input data or the use of a simpler procedure is recommended in this scenario.</w:t>
      </w:r>
    </w:p>
    <w:p w14:paraId="21C594AA" w14:textId="34C094FA" w:rsidR="00051297" w:rsidRPr="00051297" w:rsidRDefault="00051297" w:rsidP="00051297">
      <w:pPr>
        <w:rPr>
          <w:rFonts w:cs="Times New Roman"/>
          <w:szCs w:val="24"/>
          <w:lang w:val="en-US"/>
        </w:rPr>
      </w:pPr>
      <w:r w:rsidRPr="00051297">
        <w:rPr>
          <w:rFonts w:cs="Times New Roman"/>
          <w:szCs w:val="24"/>
          <w:lang w:val="en-US"/>
        </w:rPr>
        <w:t>Moreover, the Spencer method is a generic slice approach founded on the concept of limit equilibrium. It necessitates a harmonious balance of forces and moments operating on individual blocks. By splitting the soil above the slip surface into dividing planes, the blocks are formed. The forces acting on individual blocks are depicted in the diagram below (</w:t>
      </w:r>
      <w:r w:rsidRPr="00051297">
        <w:rPr>
          <w:rFonts w:cs="Times New Roman"/>
          <w:szCs w:val="24"/>
          <w:lang w:val="en-US"/>
        </w:rPr>
        <w:fldChar w:fldCharType="begin"/>
      </w:r>
      <w:r w:rsidRPr="00051297">
        <w:rPr>
          <w:rFonts w:cs="Times New Roman"/>
          <w:szCs w:val="24"/>
          <w:lang w:val="en-US"/>
        </w:rPr>
        <w:instrText xml:space="preserve"> REF _Ref98103109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16</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DOI":"10.1680/geot.1967.17.1.11","ISSN":"0016-8505","abstract":"Synopsis","author":[{"dropping-particle":"","family":"Spencer","given":"E","non-dropping-particle":"","parse-names":false,"suffix":""}],"container-title":"Géotechnique","id":"ITEM-1","issue":"1","issued":{"date-parts":[["1967","3"]]},"page":"11-26","title":"A Method of analysis of the Stability of Embankments Assuming Parallel Inter-Slice Forces","type":"article-journal","volume":"17"},"uris":["http://www.mendeley.com/documents/?uuid=9cc38f8b-f416-404d-b157-0c8fac403c46","http://www.mendeley.com/documents/?uuid=502b264c-6829-4848-bca5-5e05bc27b973"]}],"mendeley":{"formattedCitation":"[162]","plainTextFormattedCitation":"[162]","previouslyFormattedCitation":"[162]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[162]</w:t>
      </w:r>
      <w:r w:rsidRPr="00051297">
        <w:rPr>
          <w:rFonts w:cs="Times New Roman"/>
          <w:szCs w:val="24"/>
        </w:rPr>
        <w:fldChar w:fldCharType="end"/>
      </w:r>
      <w:r w:rsidRPr="00051297">
        <w:rPr>
          <w:rFonts w:cs="Times New Roman"/>
          <w:szCs w:val="24"/>
          <w:lang w:val="en-US"/>
        </w:rPr>
        <w:t>. It is important to note that, A Spencer analysis is the same as a Morgenstern-Price analysis with a constant function. Therefore, most of the steps and procedures discussed in the Morgenstern -price section are also applicable to Spencer’s static approach.</w:t>
      </w:r>
    </w:p>
    <w:p w14:paraId="33E4F61B"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42CD302A" wp14:editId="68978801">
            <wp:extent cx="5744996" cy="2849880"/>
            <wp:effectExtent l="0" t="0" r="8255"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750711" cy="2852715"/>
                    </a:xfrm>
                    <a:prstGeom prst="rect">
                      <a:avLst/>
                    </a:prstGeom>
                    <a:noFill/>
                    <a:ln>
                      <a:noFill/>
                    </a:ln>
                  </pic:spPr>
                </pic:pic>
              </a:graphicData>
            </a:graphic>
          </wp:inline>
        </w:drawing>
      </w:r>
    </w:p>
    <w:p w14:paraId="71C2340F" w14:textId="7009CC28" w:rsidR="00051297" w:rsidRPr="00051297" w:rsidRDefault="00051297" w:rsidP="00051297">
      <w:pPr>
        <w:ind w:firstLine="0"/>
        <w:jc w:val="center"/>
        <w:rPr>
          <w:rFonts w:cs="Times New Roman"/>
          <w:szCs w:val="24"/>
          <w:lang w:val="en-US" w:bidi="en-US"/>
        </w:rPr>
      </w:pPr>
      <w:bookmarkStart w:id="326" w:name="_Ref98103109"/>
      <w:bookmarkStart w:id="327" w:name="_Toc104985403"/>
      <w:bookmarkStart w:id="328" w:name="_Toc98085881"/>
      <w:bookmarkStart w:id="329" w:name="_Toc97428206"/>
      <w:bookmarkStart w:id="330" w:name="_Toc103544080"/>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16</w:t>
      </w:r>
      <w:r w:rsidR="00527861">
        <w:rPr>
          <w:rFonts w:cs="Times New Roman"/>
          <w:szCs w:val="24"/>
          <w:lang w:val="en-US" w:bidi="en-US"/>
        </w:rPr>
        <w:fldChar w:fldCharType="end"/>
      </w:r>
      <w:bookmarkEnd w:id="326"/>
      <w:r w:rsidRPr="00051297">
        <w:rPr>
          <w:rFonts w:cs="Times New Roman"/>
          <w:szCs w:val="24"/>
          <w:lang w:val="en-US" w:bidi="en-US"/>
        </w:rPr>
        <w:t xml:space="preserve"> – Spencer method's static approach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{"citationItems":[{"id":"ITEM-1","itemData":{"author":[{"dropping-particle":"","family":"Fine spol. s r.o","given":"","non-dropping-particle":"","parse-names":false,"suffix":""}],"id":"ITEM-1","issued":{"date-parts":[["2021"]]},"title":"Online Help- GEO5: Spencer","type":"webpage"},"uris":["http://www.mendeley.com/documents/?uuid=9783f183-3b3d-4660-987b-439a0b2503d2","http://www.mendeley.com/documents/?uuid=d893d07f-9267-4ded-8d4a-560b4edb85a7"]}],"mendeley":{"formattedCitation":"[163]","plainTextFormattedCitation":"[163]","previouslyFormattedCitation":"[163]"},"properties":{"noteIndex":0},"schema":"https://github.com/citation-style-language/schema/raw/master/csl-citation.json"}</w:instrText>
      </w:r>
      <w:r w:rsidRPr="00051297">
        <w:rPr>
          <w:rFonts w:cs="Times New Roman"/>
          <w:szCs w:val="24"/>
          <w:lang w:val="en-US" w:bidi="en-US"/>
        </w:rPr>
        <w:fldChar w:fldCharType="separate"/>
      </w:r>
      <w:bookmarkEnd w:id="328"/>
      <w:bookmarkEnd w:id="329"/>
      <w:bookmarkEnd w:id="330"/>
      <w:r w:rsidR="0032684D" w:rsidRPr="0032684D">
        <w:rPr>
          <w:rFonts w:cs="Times New Roman"/>
          <w:noProof/>
          <w:szCs w:val="24"/>
          <w:lang w:val="en-US" w:bidi="en-US"/>
        </w:rPr>
        <w:t>[163]</w:t>
      </w:r>
      <w:bookmarkEnd w:id="327"/>
      <w:r w:rsidRPr="00051297">
        <w:rPr>
          <w:rFonts w:cs="Times New Roman"/>
          <w:szCs w:val="24"/>
          <w:lang w:val="en-US" w:bidi="en-US"/>
        </w:rPr>
        <w:fldChar w:fldCharType="end"/>
      </w:r>
    </w:p>
    <w:p w14:paraId="425423E0" w14:textId="46436B7C" w:rsidR="00051297" w:rsidRPr="00051297" w:rsidRDefault="00051297" w:rsidP="00051297">
      <w:pPr>
        <w:rPr>
          <w:rFonts w:cs="Times New Roman"/>
          <w:szCs w:val="24"/>
          <w:lang w:val="en-US"/>
        </w:rPr>
      </w:pPr>
      <w:r w:rsidRPr="00051297">
        <w:rPr>
          <w:rFonts w:cs="Times New Roman"/>
          <w:szCs w:val="24"/>
          <w:lang w:val="en-US"/>
        </w:rPr>
        <w:lastRenderedPageBreak/>
        <w:t xml:space="preserve">Due to the following forces, each block is estimated to contribute </w:t>
      </w:r>
      <w:r w:rsidRPr="00051297">
        <w:rPr>
          <w:rFonts w:cs="Times New Roman"/>
          <w:szCs w:val="24"/>
        </w:rPr>
        <w:fldChar w:fldCharType="begin" w:fldLock="1"/>
      </w:r>
      <w:r w:rsidR="00FA5896">
        <w:rPr>
          <w:rFonts w:cs="Times New Roman"/>
          <w:szCs w:val="24"/>
          <w:lang w:val="en-US"/>
        </w:rPr>
        <w:instrText>ADDIN CSL_CITATION {"citationItems":[{"id":"ITEM-1","itemData":{"DOI":"10.1680/geot.1967.17.1.11","ISSN":"0016-8505","abstract":"Synopsis","author":[{"dropping-particle":"","family":"Spencer","given":"E","non-dropping-particle":"","parse-names":false,"suffix":""}],"container-title":"Géotechnique","id":"ITEM-1","issue":"1","issued":{"date-parts":[["1967","3"]]},"page":"11-26","title":"A Method of analysis of the Stability of Embankments Assuming Parallel Inter-Slice Forces","type":"article-journal","volume":"17"},"uris":["http://www.mendeley.com/documents/?uuid=502b264c-6829-4848-bca5-5e05bc27b973","http://www.mendeley.com/documents/?uuid=9cc38f8b-f416-404d-b157-0c8fac403c46"]}],"mendeley":{"formattedCitation":"[162]","plainTextFormattedCitation":"[162]","previouslyFormattedCitation":"[162]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[162]</w:t>
      </w:r>
      <w:r w:rsidRPr="00051297">
        <w:rPr>
          <w:rFonts w:cs="Times New Roman"/>
          <w:szCs w:val="24"/>
        </w:rPr>
        <w:fldChar w:fldCharType="end"/>
      </w:r>
      <w:r w:rsidRPr="00051297">
        <w:rPr>
          <w:rFonts w:cs="Times New Roman"/>
          <w:szCs w:val="24"/>
          <w:lang w:val="en-US"/>
        </w:rPr>
        <w:t>:</w:t>
      </w:r>
    </w:p>
    <w:p w14:paraId="30F12F1A" w14:textId="77777777" w:rsidR="00051297" w:rsidRPr="00051297" w:rsidRDefault="00051297" w:rsidP="00051297">
      <w:pPr>
        <w:numPr>
          <w:ilvl w:val="0"/>
          <w:numId w:val="17"/>
        </w:numPr>
        <w:tabs>
          <w:tab w:val="left" w:pos="993"/>
        </w:tabs>
        <w:ind w:left="0" w:firstLine="709"/>
        <w:rPr>
          <w:rFonts w:cs="Times New Roman"/>
          <w:szCs w:val="24"/>
          <w:lang w:val="en-US"/>
        </w:rPr>
      </w:pPr>
      <w:bookmarkStart w:id="331" w:name="_Hlk97948174"/>
      <w:r w:rsidRPr="00051297">
        <w:rPr>
          <w:rFonts w:cs="Times New Roman"/>
          <w:szCs w:val="24"/>
          <w:lang w:val="en-US"/>
        </w:rPr>
        <w:t>W</w:t>
      </w:r>
      <w:r w:rsidRPr="00051297">
        <w:rPr>
          <w:rFonts w:cs="Times New Roman"/>
          <w:szCs w:val="24"/>
          <w:vertAlign w:val="subscript"/>
          <w:lang w:val="en-US"/>
        </w:rPr>
        <w:t>i</w:t>
      </w:r>
      <w:r w:rsidRPr="00051297">
        <w:rPr>
          <w:rFonts w:cs="Times New Roman"/>
          <w:szCs w:val="24"/>
          <w:lang w:val="en-US"/>
        </w:rPr>
        <w:t>, which is the block weight, includes a material surcharge with the character of weight, as well as the influence of the vertical earthquake coefficient K</w:t>
      </w:r>
      <w:r w:rsidRPr="00051297">
        <w:rPr>
          <w:rFonts w:cs="Times New Roman"/>
          <w:szCs w:val="24"/>
          <w:vertAlign w:val="subscript"/>
          <w:lang w:val="en-US"/>
        </w:rPr>
        <w:t>v</w:t>
      </w:r>
      <w:r w:rsidRPr="00051297">
        <w:rPr>
          <w:rFonts w:cs="Times New Roman"/>
          <w:szCs w:val="24"/>
          <w:lang w:val="en-US"/>
        </w:rPr>
        <w:t>.</w:t>
      </w:r>
    </w:p>
    <w:p w14:paraId="2FA8D369"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The horizontal inertia force describing the influence of an earthquake is represented as K</w:t>
      </w:r>
      <w:r w:rsidRPr="00051297">
        <w:rPr>
          <w:rFonts w:cs="Times New Roman"/>
          <w:szCs w:val="24"/>
          <w:vertAlign w:val="subscript"/>
          <w:lang w:val="en-US"/>
        </w:rPr>
        <w:t>h</w:t>
      </w:r>
      <w:r w:rsidRPr="00051297">
        <w:rPr>
          <w:rFonts w:cs="Times New Roman"/>
          <w:szCs w:val="24"/>
          <w:lang w:val="en-US"/>
        </w:rPr>
        <w:t>*W</w:t>
      </w:r>
      <w:r w:rsidRPr="00051297">
        <w:rPr>
          <w:rFonts w:cs="Times New Roman"/>
          <w:szCs w:val="24"/>
          <w:vertAlign w:val="subscript"/>
          <w:lang w:val="en-US"/>
        </w:rPr>
        <w:t>i</w:t>
      </w:r>
      <w:r w:rsidRPr="00051297">
        <w:rPr>
          <w:rFonts w:cs="Times New Roman"/>
          <w:szCs w:val="24"/>
          <w:lang w:val="en-US"/>
        </w:rPr>
        <w:t>, Whereby K</w:t>
      </w:r>
      <w:r w:rsidRPr="00051297">
        <w:rPr>
          <w:rFonts w:cs="Times New Roman"/>
          <w:szCs w:val="24"/>
          <w:vertAlign w:val="subscript"/>
          <w:lang w:val="en-US"/>
        </w:rPr>
        <w:t>h</w:t>
      </w:r>
      <w:r w:rsidRPr="00051297">
        <w:rPr>
          <w:rFonts w:cs="Times New Roman"/>
          <w:szCs w:val="24"/>
          <w:lang w:val="en-US"/>
        </w:rPr>
        <w:t xml:space="preserve"> – is the horizontal acceleration factor during the earthquake.</w:t>
      </w:r>
    </w:p>
    <w:p w14:paraId="7AC32A40"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The normal force on the slip surface is N</w:t>
      </w:r>
      <w:r w:rsidRPr="00051297">
        <w:rPr>
          <w:rFonts w:cs="Times New Roman"/>
          <w:szCs w:val="24"/>
          <w:vertAlign w:val="subscript"/>
          <w:lang w:val="en-US"/>
        </w:rPr>
        <w:t>i</w:t>
      </w:r>
      <w:r w:rsidRPr="00051297">
        <w:rPr>
          <w:rFonts w:cs="Times New Roman"/>
          <w:szCs w:val="24"/>
          <w:lang w:val="en-US"/>
        </w:rPr>
        <w:t>.</w:t>
      </w:r>
    </w:p>
    <w:p w14:paraId="2C38C18D"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The shear force on the slip surface is T</w:t>
      </w:r>
      <w:r w:rsidRPr="00051297">
        <w:rPr>
          <w:rFonts w:cs="Times New Roman"/>
          <w:szCs w:val="24"/>
          <w:vertAlign w:val="subscript"/>
          <w:lang w:val="en-US"/>
        </w:rPr>
        <w:t>i</w:t>
      </w:r>
      <w:r w:rsidRPr="00051297">
        <w:rPr>
          <w:rFonts w:cs="Times New Roman"/>
          <w:szCs w:val="24"/>
          <w:lang w:val="en-US"/>
        </w:rPr>
        <w:t>.</w:t>
      </w:r>
    </w:p>
    <w:p w14:paraId="18661212"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The forces exerted by nearby blocks, E</w:t>
      </w:r>
      <w:r w:rsidRPr="00051297">
        <w:rPr>
          <w:rFonts w:cs="Times New Roman"/>
          <w:szCs w:val="24"/>
          <w:vertAlign w:val="subscript"/>
          <w:lang w:val="en-US"/>
        </w:rPr>
        <w:t>i</w:t>
      </w:r>
      <w:r w:rsidRPr="00051297">
        <w:rPr>
          <w:rFonts w:cs="Times New Roman"/>
          <w:szCs w:val="24"/>
          <w:lang w:val="en-US"/>
        </w:rPr>
        <w:t>, E</w:t>
      </w:r>
      <w:r w:rsidRPr="00051297">
        <w:rPr>
          <w:rFonts w:cs="Times New Roman"/>
          <w:szCs w:val="24"/>
          <w:vertAlign w:val="subscript"/>
          <w:lang w:val="en-US"/>
        </w:rPr>
        <w:t>i+1</w:t>
      </w:r>
      <w:r w:rsidRPr="00051297">
        <w:rPr>
          <w:rFonts w:cs="Times New Roman"/>
          <w:szCs w:val="24"/>
          <w:lang w:val="en-US"/>
        </w:rPr>
        <w:t>, are inclined by the angle from the horizontal plane.</w:t>
      </w:r>
    </w:p>
    <w:p w14:paraId="1ECFF9D5"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The other horizontal and vertical forces operating on the block are Fx</w:t>
      </w:r>
      <w:r w:rsidRPr="00051297">
        <w:rPr>
          <w:rFonts w:cs="Times New Roman"/>
          <w:szCs w:val="24"/>
          <w:vertAlign w:val="subscript"/>
          <w:lang w:val="en-US"/>
        </w:rPr>
        <w:t>i</w:t>
      </w:r>
      <w:r w:rsidRPr="00051297">
        <w:rPr>
          <w:rFonts w:cs="Times New Roman"/>
          <w:szCs w:val="24"/>
          <w:lang w:val="en-US"/>
        </w:rPr>
        <w:t xml:space="preserve"> and Fy</w:t>
      </w:r>
      <w:r w:rsidRPr="00051297">
        <w:rPr>
          <w:rFonts w:cs="Times New Roman"/>
          <w:szCs w:val="24"/>
          <w:vertAlign w:val="subscript"/>
          <w:lang w:val="en-US"/>
        </w:rPr>
        <w:t>i</w:t>
      </w:r>
      <w:r w:rsidRPr="00051297">
        <w:rPr>
          <w:rFonts w:cs="Times New Roman"/>
          <w:szCs w:val="24"/>
          <w:lang w:val="en-US"/>
        </w:rPr>
        <w:t>.</w:t>
      </w:r>
    </w:p>
    <w:p w14:paraId="2BB02A2F"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M1</w:t>
      </w:r>
      <w:r w:rsidRPr="00051297">
        <w:rPr>
          <w:rFonts w:cs="Times New Roman"/>
          <w:szCs w:val="24"/>
          <w:vertAlign w:val="subscript"/>
          <w:lang w:val="en-US"/>
        </w:rPr>
        <w:t>i</w:t>
      </w:r>
      <w:r w:rsidRPr="00051297">
        <w:rPr>
          <w:rFonts w:cs="Times New Roman"/>
          <w:szCs w:val="24"/>
          <w:lang w:val="en-US"/>
        </w:rPr>
        <w:t xml:space="preserve"> is the moment of forces Fx</w:t>
      </w:r>
      <w:r w:rsidRPr="00051297">
        <w:rPr>
          <w:rFonts w:cs="Times New Roman"/>
          <w:szCs w:val="24"/>
          <w:vertAlign w:val="subscript"/>
          <w:lang w:val="en-US"/>
        </w:rPr>
        <w:t>i</w:t>
      </w:r>
      <w:r w:rsidRPr="00051297">
        <w:rPr>
          <w:rFonts w:cs="Times New Roman"/>
          <w:szCs w:val="24"/>
          <w:lang w:val="en-US"/>
        </w:rPr>
        <w:t>, Fy</w:t>
      </w:r>
      <w:r w:rsidRPr="00051297">
        <w:rPr>
          <w:rFonts w:cs="Times New Roman"/>
          <w:szCs w:val="24"/>
          <w:vertAlign w:val="subscript"/>
          <w:lang w:val="en-US"/>
        </w:rPr>
        <w:t>i</w:t>
      </w:r>
      <w:r w:rsidRPr="00051297">
        <w:rPr>
          <w:rFonts w:cs="Times New Roman"/>
          <w:szCs w:val="24"/>
          <w:lang w:val="en-US"/>
        </w:rPr>
        <w:t xml:space="preserve"> revolving around point M, which is the center of the i</w:t>
      </w:r>
      <w:r w:rsidRPr="00051297">
        <w:rPr>
          <w:rFonts w:cs="Times New Roman"/>
          <w:szCs w:val="24"/>
          <w:vertAlign w:val="superscript"/>
          <w:lang w:val="en-US"/>
        </w:rPr>
        <w:t>th</w:t>
      </w:r>
      <w:r w:rsidRPr="00051297">
        <w:rPr>
          <w:rFonts w:cs="Times New Roman"/>
          <w:szCs w:val="24"/>
          <w:lang w:val="en-US"/>
        </w:rPr>
        <w:t xml:space="preserve"> slip surface segment.</w:t>
      </w:r>
    </w:p>
    <w:p w14:paraId="204F23B2"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U</w:t>
      </w:r>
      <w:r w:rsidRPr="00051297">
        <w:rPr>
          <w:rFonts w:cs="Times New Roman"/>
          <w:szCs w:val="24"/>
          <w:vertAlign w:val="subscript"/>
          <w:lang w:val="en-US"/>
        </w:rPr>
        <w:t>i</w:t>
      </w:r>
      <w:r w:rsidRPr="00051297">
        <w:rPr>
          <w:rFonts w:cs="Times New Roman"/>
          <w:szCs w:val="24"/>
          <w:lang w:val="en-US"/>
        </w:rPr>
        <w:t xml:space="preserve"> is the resultant pore pressure on the i</w:t>
      </w:r>
      <w:r w:rsidRPr="00051297">
        <w:rPr>
          <w:rFonts w:cs="Times New Roman"/>
          <w:szCs w:val="24"/>
          <w:vertAlign w:val="superscript"/>
          <w:lang w:val="en-US"/>
        </w:rPr>
        <w:t>th</w:t>
      </w:r>
      <w:r w:rsidRPr="00051297">
        <w:rPr>
          <w:rFonts w:cs="Times New Roman"/>
          <w:szCs w:val="24"/>
          <w:lang w:val="en-US"/>
        </w:rPr>
        <w:t xml:space="preserve"> section of the slip surface.</w:t>
      </w:r>
    </w:p>
    <w:bookmarkEnd w:id="331"/>
    <w:p w14:paraId="1719163E" w14:textId="17B0F066" w:rsidR="00051297" w:rsidRPr="00051297" w:rsidRDefault="00051297" w:rsidP="00051297">
      <w:pPr>
        <w:rPr>
          <w:rFonts w:cs="Times New Roman"/>
          <w:szCs w:val="24"/>
          <w:lang w:val="en-US"/>
        </w:rPr>
      </w:pPr>
      <w:r w:rsidRPr="00051297">
        <w:rPr>
          <w:rFonts w:cs="Times New Roman"/>
          <w:szCs w:val="24"/>
          <w:lang w:val="en-US"/>
        </w:rPr>
        <w:t xml:space="preserve">The Spencer technique for calculating the limit equilibrium of forces and moments on individual blocks makes the following assumptions </w:t>
      </w:r>
      <w:r w:rsidRPr="00051297">
        <w:rPr>
          <w:rFonts w:cs="Times New Roman"/>
          <w:szCs w:val="24"/>
        </w:rPr>
        <w:fldChar w:fldCharType="begin" w:fldLock="1"/>
      </w:r>
      <w:r w:rsidR="00FA5896">
        <w:rPr>
          <w:rFonts w:cs="Times New Roman"/>
          <w:szCs w:val="24"/>
          <w:lang w:val="en-US"/>
        </w:rPr>
        <w:instrText>ADDIN CSL_CITATION {"citationItems":[{"id":"ITEM-1","itemData":{"DOI":"10.1680/geot.1967.17.1.11","ISSN":"0016-8505","abstract":"Synopsis","author":[{"dropping-particle":"","family":"Spencer","given":"E","non-dropping-particle":"","parse-names":false,"suffix":""}],"container-title":"Géotechnique","id":"ITEM-1","issue":"1","issued":{"date-parts":[["1967","3"]]},"page":"11-26","title":"A Method of analysis of the Stability of Embankments Assuming Parallel Inter-Slice Forces","type":"article-journal","volume":"17"},"uris":["http://www.mendeley.com/documents/?uuid=502b264c-6829-4848-bca5-5e05bc27b973","http://www.mendeley.com/documents/?uuid=9cc38f8b-f416-404d-b157-0c8fac403c46"]}],"mendeley":{"formattedCitation":"[162]","plainTextFormattedCitation":"[162]","previouslyFormattedCitation":"[162]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[162]</w:t>
      </w:r>
      <w:r w:rsidRPr="00051297">
        <w:rPr>
          <w:rFonts w:cs="Times New Roman"/>
          <w:szCs w:val="24"/>
        </w:rPr>
        <w:fldChar w:fldCharType="end"/>
      </w:r>
      <w:r w:rsidRPr="00051297">
        <w:rPr>
          <w:rFonts w:cs="Times New Roman"/>
          <w:szCs w:val="24"/>
          <w:lang w:val="en-US"/>
        </w:rPr>
        <w:t>:</w:t>
      </w:r>
    </w:p>
    <w:p w14:paraId="3877134D"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 xml:space="preserve">Between-block dividing planes are always vertical. </w:t>
      </w:r>
    </w:p>
    <w:p w14:paraId="4B2C5573"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The line of action of block W</w:t>
      </w:r>
      <w:r w:rsidRPr="00051297">
        <w:rPr>
          <w:rFonts w:cs="Times New Roman"/>
          <w:szCs w:val="24"/>
          <w:vertAlign w:val="subscript"/>
          <w:lang w:val="en-US"/>
        </w:rPr>
        <w:t>i</w:t>
      </w:r>
      <w:r w:rsidRPr="00051297">
        <w:rPr>
          <w:rFonts w:cs="Times New Roman"/>
          <w:szCs w:val="24"/>
          <w:lang w:val="en-US"/>
        </w:rPr>
        <w:t>’s weight runs via the center of the i</w:t>
      </w:r>
      <w:r w:rsidRPr="00051297">
        <w:rPr>
          <w:rFonts w:cs="Times New Roman"/>
          <w:szCs w:val="24"/>
          <w:vertAlign w:val="superscript"/>
          <w:lang w:val="en-US"/>
        </w:rPr>
        <w:t>th</w:t>
      </w:r>
      <w:r w:rsidRPr="00051297">
        <w:rPr>
          <w:rFonts w:cs="Times New Roman"/>
          <w:szCs w:val="24"/>
          <w:lang w:val="en-US"/>
        </w:rPr>
        <w:t xml:space="preserve"> slip surface segment, M.</w:t>
      </w:r>
    </w:p>
    <w:p w14:paraId="7ED70CDE"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The normal force N</w:t>
      </w:r>
      <w:r w:rsidRPr="00051297">
        <w:rPr>
          <w:rFonts w:cs="Times New Roman"/>
          <w:szCs w:val="24"/>
          <w:vertAlign w:val="subscript"/>
          <w:lang w:val="en-US"/>
        </w:rPr>
        <w:t>i</w:t>
      </w:r>
      <w:r w:rsidRPr="00051297">
        <w:rPr>
          <w:rFonts w:cs="Times New Roman"/>
          <w:szCs w:val="24"/>
          <w:lang w:val="en-US"/>
        </w:rPr>
        <w:t> is acting in the center of the i</w:t>
      </w:r>
      <w:r w:rsidRPr="00051297">
        <w:rPr>
          <w:rFonts w:cs="Times New Roman"/>
          <w:szCs w:val="24"/>
          <w:vertAlign w:val="superscript"/>
          <w:lang w:val="en-US"/>
        </w:rPr>
        <w:t>th</w:t>
      </w:r>
      <w:r w:rsidRPr="00051297">
        <w:rPr>
          <w:rFonts w:cs="Times New Roman"/>
          <w:szCs w:val="24"/>
          <w:lang w:val="en-US"/>
        </w:rPr>
        <w:t> segment of slip surface, at point M</w:t>
      </w:r>
    </w:p>
    <w:p w14:paraId="1B1596AA"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The inclination of forces E</w:t>
      </w:r>
      <w:r w:rsidRPr="00051297">
        <w:rPr>
          <w:rFonts w:cs="Times New Roman"/>
          <w:szCs w:val="24"/>
          <w:vertAlign w:val="subscript"/>
          <w:lang w:val="en-US"/>
        </w:rPr>
        <w:t>i</w:t>
      </w:r>
      <w:r w:rsidRPr="00051297">
        <w:rPr>
          <w:rFonts w:cs="Times New Roman"/>
          <w:szCs w:val="24"/>
          <w:lang w:val="en-US"/>
        </w:rPr>
        <w:t> acting between blocks are constant for all blocks and equals to δ, only at slip surface endpoint is δ = 0.</w:t>
      </w:r>
    </w:p>
    <w:p w14:paraId="2641AE88" w14:textId="1B56CD64" w:rsidR="00051297" w:rsidRPr="00F97DFC" w:rsidRDefault="00051297" w:rsidP="00051297">
      <w:pPr>
        <w:rPr>
          <w:rFonts w:cs="Times New Roman"/>
          <w:vanish/>
          <w:szCs w:val="24"/>
          <w:lang w:val="en-US"/>
        </w:rPr>
      </w:pPr>
      <w:r w:rsidRPr="00051297">
        <w:rPr>
          <w:rFonts w:cs="Times New Roman"/>
          <w:szCs w:val="24"/>
          <w:lang w:val="en-US"/>
        </w:rPr>
        <w:t xml:space="preserve">The solution adopts the expressions in Equations </w:t>
      </w:r>
      <w:r w:rsidRPr="00051297">
        <w:rPr>
          <w:rFonts w:cs="Times New Roman"/>
          <w:szCs w:val="24"/>
          <w:lang w:val="en-US"/>
        </w:rPr>
        <w:fldChar w:fldCharType="begin"/>
      </w:r>
      <w:r w:rsidRPr="00051297">
        <w:rPr>
          <w:rFonts w:cs="Times New Roman"/>
          <w:szCs w:val="24"/>
          <w:lang w:val="en-US"/>
        </w:rPr>
        <w:instrText xml:space="preserve"> REF _Ref103556952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rPr>
        <w:t>(</w:t>
      </w:r>
      <w:r w:rsidR="004870F1">
        <w:rPr>
          <w:rFonts w:cs="Times New Roman"/>
          <w:noProof/>
          <w:szCs w:val="24"/>
          <w:lang w:val="en-US"/>
        </w:rPr>
        <w:t>1</w:t>
      </w:r>
      <w:r w:rsidR="004870F1" w:rsidRPr="00051297">
        <w:rPr>
          <w:rFonts w:cs="Times New Roman"/>
          <w:szCs w:val="24"/>
          <w:lang w:val="en-US"/>
        </w:rPr>
        <w:t>.</w:t>
      </w:r>
      <w:r w:rsidR="004870F1">
        <w:rPr>
          <w:rFonts w:cs="Times New Roman"/>
          <w:noProof/>
          <w:szCs w:val="24"/>
          <w:lang w:val="en-US"/>
        </w:rPr>
        <w:t>28</w:t>
      </w:r>
      <w:r w:rsidR="004870F1" w:rsidRPr="00051297">
        <w:rPr>
          <w:rFonts w:cs="Times New Roman"/>
          <w:szCs w:val="24"/>
          <w:lang w:val="en-US"/>
        </w:rPr>
        <w:t>)</w:t>
      </w:r>
      <w:r w:rsidRPr="00051297">
        <w:rPr>
          <w:rFonts w:cs="Times New Roman"/>
          <w:szCs w:val="24"/>
          <w:lang w:val="en-US"/>
        </w:rPr>
        <w:fldChar w:fldCharType="end"/>
      </w:r>
      <w:r w:rsidRPr="00051297">
        <w:rPr>
          <w:rFonts w:cs="Times New Roman"/>
          <w:szCs w:val="24"/>
          <w:lang w:val="en-US"/>
        </w:rPr>
        <w:t xml:space="preserve"> to </w:t>
      </w:r>
      <w:r w:rsidRPr="00051297">
        <w:rPr>
          <w:rFonts w:cs="Times New Roman"/>
          <w:szCs w:val="24"/>
          <w:lang w:val="en-US"/>
        </w:rPr>
        <w:fldChar w:fldCharType="begin"/>
      </w:r>
      <w:r w:rsidRPr="00051297">
        <w:rPr>
          <w:rFonts w:cs="Times New Roman"/>
          <w:szCs w:val="24"/>
          <w:lang w:val="en-US"/>
        </w:rPr>
        <w:instrText xml:space="preserve"> REF _Ref103556962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rPr>
        <w:t>(</w:t>
      </w:r>
      <w:r w:rsidR="004870F1">
        <w:rPr>
          <w:rFonts w:cs="Times New Roman"/>
          <w:noProof/>
          <w:szCs w:val="24"/>
          <w:lang w:val="en-US"/>
        </w:rPr>
        <w:t>1</w:t>
      </w:r>
      <w:r w:rsidR="004870F1" w:rsidRPr="00051297">
        <w:rPr>
          <w:rFonts w:cs="Times New Roman"/>
          <w:szCs w:val="24"/>
          <w:lang w:val="en-US"/>
        </w:rPr>
        <w:t>.</w:t>
      </w:r>
      <w:r w:rsidR="004870F1">
        <w:rPr>
          <w:rFonts w:cs="Times New Roman"/>
          <w:noProof/>
          <w:szCs w:val="24"/>
          <w:lang w:val="en-US"/>
        </w:rPr>
        <w:t>32</w:t>
      </w:r>
      <w:r w:rsidR="004870F1" w:rsidRPr="00051297">
        <w:rPr>
          <w:rFonts w:cs="Times New Roman"/>
          <w:szCs w:val="24"/>
          <w:lang w:val="en-US"/>
        </w:rPr>
        <w:t>)</w:t>
      </w:r>
      <w:r w:rsidRPr="00051297">
        <w:rPr>
          <w:rFonts w:cs="Times New Roman"/>
          <w:szCs w:val="24"/>
          <w:lang w:val="en-US"/>
        </w:rPr>
        <w:fldChar w:fldCharType="end"/>
      </w:r>
      <w:r w:rsidRPr="00051297">
        <w:rPr>
          <w:rFonts w:cs="Times New Roman"/>
          <w:szCs w:val="24"/>
          <w:lang w:val="en-US"/>
        </w:rPr>
        <w:t xml:space="preserve">: </w:t>
      </w:r>
    </w:p>
    <w:p w14:paraId="40D168C7" w14:textId="5B60C0BD" w:rsidR="00051297" w:rsidRPr="00051297" w:rsidRDefault="00051297" w:rsidP="00051297">
      <w:pPr>
        <w:rPr>
          <w:rFonts w:cs="Times New Roman"/>
          <w:szCs w:val="24"/>
          <w:lang w:val="en-US"/>
        </w:rPr>
      </w:pPr>
      <w:r w:rsidRPr="00051297">
        <w:rPr>
          <w:rFonts w:cs="Times New Roman"/>
          <w:szCs w:val="24"/>
          <w:lang w:val="en-US"/>
        </w:rPr>
        <w:t xml:space="preserve">Equation represents the relationship between the effective and total value of the normal force operating on the slip surface (2.19). The Mohr-Coulomb condition, which represents the relationship between normal and shear forces on a given section of the slip surface, is represented by equation </w:t>
      </w:r>
      <w:r w:rsidRPr="00051297">
        <w:rPr>
          <w:rFonts w:cs="Times New Roman"/>
          <w:szCs w:val="24"/>
          <w:lang w:val="en-US"/>
        </w:rPr>
        <w:fldChar w:fldCharType="begin"/>
      </w:r>
      <w:r w:rsidRPr="00051297">
        <w:rPr>
          <w:rFonts w:cs="Times New Roman"/>
          <w:szCs w:val="24"/>
          <w:lang w:val="en-US"/>
        </w:rPr>
        <w:instrText xml:space="preserve"> REF _Ref103556457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20</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Equation </w:t>
      </w:r>
      <w:r w:rsidRPr="00051297">
        <w:rPr>
          <w:rFonts w:cs="Times New Roman"/>
          <w:szCs w:val="24"/>
          <w:lang w:val="en-US"/>
        </w:rPr>
        <w:fldChar w:fldCharType="begin"/>
      </w:r>
      <w:r w:rsidRPr="00051297">
        <w:rPr>
          <w:rFonts w:cs="Times New Roman"/>
          <w:szCs w:val="24"/>
          <w:lang w:val="en-US"/>
        </w:rPr>
        <w:instrText xml:space="preserve"> REF _Ref103556463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21</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indicates equilibrium along the i</w:t>
      </w:r>
      <w:r w:rsidRPr="00051297">
        <w:rPr>
          <w:rFonts w:cs="Times New Roman"/>
          <w:szCs w:val="24"/>
          <w:vertAlign w:val="superscript"/>
          <w:lang w:val="en-US"/>
        </w:rPr>
        <w:t>th</w:t>
      </w:r>
      <w:r w:rsidRPr="00051297">
        <w:rPr>
          <w:rFonts w:cs="Times New Roman"/>
          <w:szCs w:val="24"/>
          <w:lang w:val="en-US"/>
        </w:rPr>
        <w:t xml:space="preserve"> segment of the slip surface, whereas Equation </w:t>
      </w:r>
      <w:r w:rsidRPr="00051297">
        <w:rPr>
          <w:rFonts w:cs="Times New Roman"/>
          <w:szCs w:val="24"/>
          <w:lang w:val="en-US"/>
        </w:rPr>
        <w:fldChar w:fldCharType="begin"/>
      </w:r>
      <w:r w:rsidRPr="00051297">
        <w:rPr>
          <w:rFonts w:cs="Times New Roman"/>
          <w:szCs w:val="24"/>
          <w:lang w:val="en-US"/>
        </w:rPr>
        <w:instrText xml:space="preserve"> REF _Ref103556471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22</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represents equilibrium in the direction normal to the i</w:t>
      </w:r>
      <w:r w:rsidRPr="00051297">
        <w:rPr>
          <w:rFonts w:cs="Times New Roman"/>
          <w:szCs w:val="24"/>
          <w:vertAlign w:val="superscript"/>
          <w:lang w:val="en-US"/>
        </w:rPr>
        <w:t>th</w:t>
      </w:r>
      <w:r w:rsidRPr="00051297">
        <w:rPr>
          <w:rFonts w:cs="Times New Roman"/>
          <w:szCs w:val="24"/>
          <w:lang w:val="en-US"/>
        </w:rPr>
        <w:t xml:space="preserve"> segment of the slip surface. The safety factor (FS) is a tool for lowering soil characteristics. Equation </w:t>
      </w:r>
      <w:r w:rsidRPr="00051297">
        <w:rPr>
          <w:rFonts w:cs="Times New Roman"/>
          <w:szCs w:val="24"/>
          <w:lang w:val="en-US"/>
        </w:rPr>
        <w:fldChar w:fldCharType="begin"/>
      </w:r>
      <w:r w:rsidRPr="00051297">
        <w:rPr>
          <w:rFonts w:cs="Times New Roman"/>
          <w:szCs w:val="24"/>
          <w:lang w:val="en-US"/>
        </w:rPr>
        <w:instrText xml:space="preserve"> REF _Ref103556424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23</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is the equilibrium moment equation about point M, whereby y</w:t>
      </w:r>
      <w:r w:rsidRPr="00051297">
        <w:rPr>
          <w:rFonts w:cs="Times New Roman"/>
          <w:szCs w:val="24"/>
          <w:vertAlign w:val="subscript"/>
          <w:lang w:val="en-US"/>
        </w:rPr>
        <w:t>gi</w:t>
      </w:r>
      <w:r w:rsidRPr="00051297">
        <w:rPr>
          <w:rFonts w:cs="Times New Roman"/>
          <w:szCs w:val="24"/>
          <w:lang w:val="en-US"/>
        </w:rPr>
        <w:t xml:space="preserve"> – is the vertical coordinate of the point of application of the block weight and y</w:t>
      </w:r>
      <w:r w:rsidRPr="00051297">
        <w:rPr>
          <w:rFonts w:cs="Times New Roman"/>
          <w:szCs w:val="24"/>
          <w:vertAlign w:val="subscript"/>
          <w:lang w:val="en-US"/>
        </w:rPr>
        <w:t>M</w:t>
      </w:r>
      <w:r w:rsidRPr="00051297">
        <w:rPr>
          <w:rFonts w:cs="Times New Roman"/>
          <w:szCs w:val="24"/>
          <w:lang w:val="en-US"/>
        </w:rPr>
        <w:t xml:space="preserve"> is the vertical coordinate of point M. The following recursive formula is obtained by modifying equations </w:t>
      </w:r>
      <w:r w:rsidRPr="00051297">
        <w:rPr>
          <w:rFonts w:cs="Times New Roman"/>
          <w:szCs w:val="24"/>
          <w:lang w:val="en-US"/>
        </w:rPr>
        <w:fldChar w:fldCharType="begin"/>
      </w:r>
      <w:r w:rsidRPr="00051297">
        <w:rPr>
          <w:rFonts w:cs="Times New Roman"/>
          <w:szCs w:val="24"/>
          <w:lang w:val="en-US"/>
        </w:rPr>
        <w:instrText xml:space="preserve"> REF _Ref103556463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21</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and </w:t>
      </w:r>
      <w:r w:rsidRPr="00051297">
        <w:rPr>
          <w:rFonts w:cs="Times New Roman"/>
          <w:szCs w:val="24"/>
          <w:lang w:val="en-US"/>
        </w:rPr>
        <w:fldChar w:fldCharType="begin"/>
      </w:r>
      <w:r w:rsidRPr="00051297">
        <w:rPr>
          <w:rFonts w:cs="Times New Roman"/>
          <w:szCs w:val="24"/>
          <w:lang w:val="en-US"/>
        </w:rPr>
        <w:instrText xml:space="preserve"> REF _Ref103556471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22</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DOI":"10.1680/geot.1968.18.1.92","ISSN":"0016-8505","author":[{"dropping-particle":"","family":"Spencer","given":"E.","non-dropping-particle":"","parse-names":false,"suffix":""}],"container-title":"Géotechnique","id":"ITEM-1","issue":"1","issued":{"date-parts":[["1968","3"]]},"page":"92-93","title":"Correspondence","type":"article-journal","volume":"18"},"uris":["http://www.mendeley.com/documents/?uuid=845e627b-b179-42ea-8fbd-c06a17152de7","http://www.mendeley.com/documents/?uuid=cec7fdf1-9e8b-4c03-9945-2bf573af8e41","http://www.mendeley.com/documents/?uuid=47f6e377-4f79-4fd2-aaf3-1ab721969734"]}],"mendeley":{"formattedCitation":"[164]","plainTextFormattedCitation":"[164]","previouslyFormattedCitation":"[164]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[164]</w:t>
      </w:r>
      <w:r w:rsidRPr="00051297">
        <w:rPr>
          <w:rFonts w:cs="Times New Roman"/>
          <w:szCs w:val="24"/>
        </w:rPr>
        <w:fldChar w:fldCharType="end"/>
      </w:r>
      <w:r w:rsidRPr="00051297">
        <w:rPr>
          <w:rFonts w:cs="Times New Roman"/>
          <w:szCs w:val="24"/>
          <w:lang w:val="en-US"/>
        </w:rPr>
        <w:t>:</w:t>
      </w:r>
    </w:p>
    <w:p w14:paraId="3CAD7E2C" w14:textId="05296F4E" w:rsidR="00051297" w:rsidRPr="00051297" w:rsidRDefault="00051297" w:rsidP="00051297">
      <w:pPr>
        <w:rPr>
          <w:rFonts w:cs="Times New Roman"/>
          <w:szCs w:val="24"/>
          <w:lang w:val="en-US"/>
        </w:rPr>
      </w:pPr>
      <w:r w:rsidRPr="00051297">
        <w:rPr>
          <w:rFonts w:cs="Times New Roman"/>
          <w:szCs w:val="24"/>
          <w:lang w:val="en-US"/>
        </w:rPr>
        <w:t xml:space="preserve">It is vital to avoid unstable solutions in order for the iteration process to be stable. Such instabilities develop at the sites where the formulas </w:t>
      </w:r>
      <w:r w:rsidRPr="00051297">
        <w:rPr>
          <w:rFonts w:cs="Times New Roman"/>
          <w:szCs w:val="24"/>
          <w:lang w:val="en-US"/>
        </w:rPr>
        <w:fldChar w:fldCharType="begin"/>
      </w:r>
      <w:r w:rsidRPr="00051297">
        <w:rPr>
          <w:rFonts w:cs="Times New Roman"/>
          <w:szCs w:val="24"/>
          <w:lang w:val="en-US"/>
        </w:rPr>
        <w:instrText xml:space="preserve"> REF _Ref103556478 \h  \* MERGEFORMAT </w:instrText>
      </w:r>
      <w:r w:rsidRPr="00051297">
        <w:rPr>
          <w:rFonts w:cs="Times New Roman"/>
          <w:szCs w:val="24"/>
          <w:lang w:val="en-US"/>
        </w:rPr>
      </w:r>
      <w:r w:rsidRPr="00051297">
        <w:rPr>
          <w:rFonts w:cs="Times New Roman"/>
          <w:szCs w:val="24"/>
          <w:lang w:val="en-US"/>
        </w:rPr>
        <w:fldChar w:fldCharType="separate"/>
      </w:r>
      <w:r w:rsidR="004870F1" w:rsidRPr="004870F1">
        <w:rPr>
          <w:szCs w:val="24"/>
          <w:lang w:val="en-US"/>
        </w:rPr>
        <w:t>(</w:t>
      </w:r>
      <w:r w:rsidR="004870F1" w:rsidRPr="004870F1">
        <w:rPr>
          <w:noProof/>
          <w:szCs w:val="24"/>
          <w:lang w:val="en-US"/>
        </w:rPr>
        <w:t>1.24</w:t>
      </w:r>
      <w:r w:rsidR="004870F1" w:rsidRPr="004870F1">
        <w:rPr>
          <w:szCs w:val="24"/>
          <w:lang w:val="en-US"/>
        </w:rPr>
        <w:t>)</w:t>
      </w:r>
      <w:r w:rsidRPr="00051297">
        <w:rPr>
          <w:rFonts w:cs="Times New Roman"/>
          <w:szCs w:val="24"/>
          <w:lang w:val="en-US"/>
        </w:rPr>
        <w:fldChar w:fldCharType="end"/>
      </w:r>
      <w:r w:rsidRPr="00051297">
        <w:rPr>
          <w:rFonts w:cs="Times New Roman"/>
          <w:szCs w:val="24"/>
          <w:lang w:val="en-US"/>
        </w:rPr>
        <w:t xml:space="preserve"> and </w:t>
      </w:r>
      <w:r w:rsidRPr="00051297">
        <w:rPr>
          <w:rFonts w:cs="Times New Roman"/>
          <w:szCs w:val="24"/>
          <w:lang w:val="en-US"/>
        </w:rPr>
        <w:fldChar w:fldCharType="begin"/>
      </w:r>
      <w:r w:rsidRPr="00051297">
        <w:rPr>
          <w:rFonts w:cs="Times New Roman"/>
          <w:szCs w:val="24"/>
          <w:lang w:val="en-US"/>
        </w:rPr>
        <w:instrText xml:space="preserve"> REF _Ref103556510 \h  \* MERGEFORMAT </w:instrText>
      </w:r>
      <w:r w:rsidRPr="00051297">
        <w:rPr>
          <w:rFonts w:cs="Times New Roman"/>
          <w:szCs w:val="24"/>
          <w:lang w:val="en-US"/>
        </w:rPr>
      </w:r>
      <w:r w:rsidRPr="00051297">
        <w:rPr>
          <w:rFonts w:cs="Times New Roman"/>
          <w:szCs w:val="24"/>
          <w:lang w:val="en-US"/>
        </w:rPr>
        <w:fldChar w:fldCharType="separate"/>
      </w:r>
      <w:r w:rsidR="004870F1" w:rsidRPr="004870F1">
        <w:rPr>
          <w:szCs w:val="24"/>
          <w:lang w:val="en-US"/>
        </w:rPr>
        <w:t>(</w:t>
      </w:r>
      <w:r w:rsidR="004870F1" w:rsidRPr="004870F1">
        <w:rPr>
          <w:noProof/>
          <w:szCs w:val="24"/>
          <w:lang w:val="en-US"/>
        </w:rPr>
        <w:t>1.25</w:t>
      </w:r>
      <w:r w:rsidR="004870F1" w:rsidRPr="004870F1">
        <w:rPr>
          <w:szCs w:val="24"/>
          <w:lang w:val="en-US"/>
        </w:rPr>
        <w:t>)</w:t>
      </w:r>
      <w:r w:rsidRPr="00051297">
        <w:rPr>
          <w:rFonts w:cs="Times New Roman"/>
          <w:szCs w:val="24"/>
          <w:lang w:val="en-US"/>
        </w:rPr>
        <w:fldChar w:fldCharType="end"/>
      </w:r>
      <w:r w:rsidRPr="00051297">
        <w:rPr>
          <w:rFonts w:cs="Times New Roman"/>
          <w:szCs w:val="24"/>
          <w:lang w:val="en-US"/>
        </w:rPr>
        <w:t xml:space="preserve"> divide by zero. For </w:t>
      </w:r>
      <w:r w:rsidRPr="00051297">
        <w:rPr>
          <w:rFonts w:cs="Times New Roman"/>
          <w:i/>
          <w:iCs/>
          <w:szCs w:val="24"/>
        </w:rPr>
        <w:t>δ</w:t>
      </w:r>
      <w:r w:rsidRPr="00051297">
        <w:rPr>
          <w:rFonts w:cs="Times New Roman"/>
          <w:i/>
          <w:iCs/>
          <w:szCs w:val="24"/>
          <w:lang w:val="en-US"/>
        </w:rPr>
        <w:t xml:space="preserve"> = </w:t>
      </w:r>
      <w:r w:rsidRPr="00051297">
        <w:rPr>
          <w:rFonts w:cs="Times New Roman"/>
          <w:i/>
          <w:iCs/>
          <w:szCs w:val="24"/>
        </w:rPr>
        <w:lastRenderedPageBreak/>
        <w:t>π</w:t>
      </w:r>
      <w:r w:rsidRPr="00051297">
        <w:rPr>
          <w:rFonts w:cs="Times New Roman"/>
          <w:i/>
          <w:iCs/>
          <w:szCs w:val="24"/>
          <w:lang w:val="en-US"/>
        </w:rPr>
        <w:t>/2</w:t>
      </w:r>
      <w:r w:rsidRPr="00051297">
        <w:rPr>
          <w:rFonts w:cs="Times New Roman"/>
          <w:szCs w:val="24"/>
          <w:lang w:val="en-US"/>
        </w:rPr>
        <w:t> or </w:t>
      </w:r>
      <w:r w:rsidRPr="00051297">
        <w:rPr>
          <w:rFonts w:cs="Times New Roman"/>
          <w:i/>
          <w:iCs/>
          <w:szCs w:val="24"/>
        </w:rPr>
        <w:t>δ</w:t>
      </w:r>
      <w:r w:rsidRPr="00051297">
        <w:rPr>
          <w:rFonts w:cs="Times New Roman"/>
          <w:i/>
          <w:iCs/>
          <w:szCs w:val="24"/>
          <w:lang w:val="en-US"/>
        </w:rPr>
        <w:t xml:space="preserve"> = -</w:t>
      </w:r>
      <w:r w:rsidRPr="00051297">
        <w:rPr>
          <w:rFonts w:cs="Times New Roman"/>
          <w:i/>
          <w:iCs/>
          <w:szCs w:val="24"/>
        </w:rPr>
        <w:t>π</w:t>
      </w:r>
      <w:r w:rsidRPr="00051297">
        <w:rPr>
          <w:rFonts w:cs="Times New Roman"/>
          <w:i/>
          <w:iCs/>
          <w:szCs w:val="24"/>
          <w:lang w:val="en-US"/>
        </w:rPr>
        <w:t>/2</w:t>
      </w:r>
      <w:r w:rsidRPr="00051297">
        <w:rPr>
          <w:rFonts w:cs="Times New Roman"/>
          <w:szCs w:val="24"/>
          <w:lang w:val="en-US"/>
        </w:rPr>
        <w:t xml:space="preserve">, division by zero is encountered in Equation </w:t>
      </w:r>
      <w:r w:rsidRPr="00051297">
        <w:rPr>
          <w:rFonts w:cs="Times New Roman"/>
          <w:szCs w:val="24"/>
          <w:lang w:val="en-US"/>
        </w:rPr>
        <w:fldChar w:fldCharType="begin"/>
      </w:r>
      <w:r w:rsidRPr="00051297">
        <w:rPr>
          <w:rFonts w:cs="Times New Roman"/>
          <w:szCs w:val="24"/>
          <w:lang w:val="en-US"/>
        </w:rPr>
        <w:instrText xml:space="preserve"> REF _Ref103556510 \h </w:instrText>
      </w:r>
      <w:r w:rsidRPr="00051297">
        <w:rPr>
          <w:rFonts w:cs="Times New Roman"/>
          <w:szCs w:val="24"/>
          <w:lang w:val="en-US"/>
        </w:rPr>
      </w:r>
      <w:r w:rsidRPr="00051297">
        <w:rPr>
          <w:rFonts w:cs="Times New Roman"/>
          <w:szCs w:val="24"/>
          <w:lang w:val="en-US"/>
        </w:rPr>
        <w:fldChar w:fldCharType="separate"/>
      </w:r>
      <w:r w:rsidR="004870F1" w:rsidRPr="00051297">
        <w:rPr>
          <w:sz w:val="22"/>
          <w:lang w:val="en-US"/>
        </w:rPr>
        <w:t>(</w:t>
      </w:r>
      <w:r w:rsidR="004870F1">
        <w:rPr>
          <w:noProof/>
          <w:sz w:val="22"/>
          <w:lang w:val="en-US"/>
        </w:rPr>
        <w:t>1</w:t>
      </w:r>
      <w:r w:rsidR="004870F1" w:rsidRPr="00051297">
        <w:rPr>
          <w:sz w:val="22"/>
          <w:lang w:val="en-US"/>
        </w:rPr>
        <w:t>.</w:t>
      </w:r>
      <w:r w:rsidR="004870F1">
        <w:rPr>
          <w:noProof/>
          <w:sz w:val="22"/>
          <w:lang w:val="en-US"/>
        </w:rPr>
        <w:t>25</w:t>
      </w:r>
      <w:r w:rsidR="004870F1" w:rsidRPr="00051297">
        <w:rPr>
          <w:sz w:val="22"/>
          <w:lang w:val="en-US"/>
        </w:rPr>
        <w:t>)</w:t>
      </w:r>
      <w:r w:rsidRPr="00051297">
        <w:rPr>
          <w:rFonts w:cs="Times New Roman"/>
          <w:szCs w:val="24"/>
          <w:lang w:val="en-US"/>
        </w:rPr>
        <w:fldChar w:fldCharType="end"/>
      </w:r>
      <w:r w:rsidRPr="00051297">
        <w:rPr>
          <w:rFonts w:cs="Times New Roman"/>
          <w:szCs w:val="24"/>
          <w:lang w:val="en-US"/>
        </w:rPr>
        <w:t>. As a result, the value of angle</w:t>
      </w:r>
      <w:r w:rsidRPr="00051297">
        <w:rPr>
          <w:rFonts w:cs="Times New Roman"/>
          <w:i/>
          <w:iCs/>
          <w:szCs w:val="24"/>
          <w:lang w:val="en-US"/>
        </w:rPr>
        <w:t xml:space="preserve"> </w:t>
      </w:r>
      <w:r w:rsidRPr="00051297">
        <w:rPr>
          <w:rFonts w:cs="Times New Roman"/>
          <w:i/>
          <w:iCs/>
          <w:szCs w:val="24"/>
        </w:rPr>
        <w:t>δ</w:t>
      </w:r>
      <w:r w:rsidRPr="00051297">
        <w:rPr>
          <w:rFonts w:cs="Times New Roman"/>
          <w:szCs w:val="24"/>
          <w:lang w:val="en-US"/>
        </w:rPr>
        <w:t xml:space="preserve"> must be obtained within the range ((</w:t>
      </w:r>
      <w:r w:rsidRPr="00051297">
        <w:rPr>
          <w:rFonts w:cs="Times New Roman"/>
          <w:i/>
          <w:iCs/>
          <w:szCs w:val="24"/>
          <w:lang w:val="en-US"/>
        </w:rPr>
        <w:t>-</w:t>
      </w:r>
      <w:bookmarkStart w:id="332" w:name="_Hlk97948311"/>
      <w:r w:rsidRPr="00051297">
        <w:rPr>
          <w:rFonts w:cs="Times New Roman"/>
          <w:i/>
          <w:iCs/>
          <w:szCs w:val="24"/>
        </w:rPr>
        <w:t>π</w:t>
      </w:r>
      <w:bookmarkEnd w:id="332"/>
      <w:r w:rsidRPr="00051297">
        <w:rPr>
          <w:rFonts w:cs="Times New Roman"/>
          <w:i/>
          <w:iCs/>
          <w:szCs w:val="24"/>
          <w:lang w:val="en-US"/>
        </w:rPr>
        <w:t>/2</w:t>
      </w:r>
      <w:r w:rsidRPr="00051297">
        <w:rPr>
          <w:rFonts w:cs="Times New Roman"/>
          <w:szCs w:val="24"/>
          <w:lang w:val="en-US"/>
        </w:rPr>
        <w:t>; </w:t>
      </w:r>
      <w:r w:rsidRPr="00051297">
        <w:rPr>
          <w:rFonts w:cs="Times New Roman"/>
          <w:i/>
          <w:iCs/>
          <w:szCs w:val="24"/>
        </w:rPr>
        <w:t>π</w:t>
      </w:r>
      <w:r w:rsidRPr="00051297">
        <w:rPr>
          <w:rFonts w:cs="Times New Roman"/>
          <w:i/>
          <w:iCs/>
          <w:szCs w:val="24"/>
          <w:lang w:val="en-US"/>
        </w:rPr>
        <w:t>/2</w:t>
      </w:r>
      <w:r w:rsidRPr="00051297">
        <w:rPr>
          <w:rFonts w:cs="Times New Roman"/>
          <w:szCs w:val="24"/>
          <w:lang w:val="en-US"/>
        </w:rPr>
        <w:t>).</w:t>
      </w:r>
    </w:p>
    <w:p w14:paraId="66CE3CB1" w14:textId="77777777" w:rsidR="00051297" w:rsidRPr="00051297" w:rsidRDefault="00051297" w:rsidP="00051297">
      <w:pPr>
        <w:rPr>
          <w:rFonts w:cs="Times New Roman"/>
          <w:szCs w:val="24"/>
          <w:lang w:val="en-US"/>
        </w:rPr>
      </w:pPr>
      <w:r w:rsidRPr="00051297">
        <w:rPr>
          <w:rFonts w:cs="Times New Roman"/>
          <w:szCs w:val="24"/>
          <w:lang w:val="en-US"/>
        </w:rPr>
        <w:t>(h) Janbu</w:t>
      </w:r>
    </w:p>
    <w:p w14:paraId="10FB42EC" w14:textId="0753F2F0" w:rsidR="00051297" w:rsidRPr="00051297" w:rsidRDefault="00051297" w:rsidP="00051297">
      <w:pPr>
        <w:rPr>
          <w:rFonts w:cs="Times New Roman"/>
          <w:szCs w:val="24"/>
          <w:lang w:val="en-US"/>
        </w:rPr>
      </w:pPr>
      <w:r w:rsidRPr="00051297">
        <w:rPr>
          <w:rFonts w:cs="Times New Roman"/>
          <w:szCs w:val="24"/>
          <w:lang w:val="en-US"/>
        </w:rPr>
        <w:t>Janbu is another universal slice method based on the concept of limit equilibrium. It necessitates striking a balance between the pressures and moments acting on particular blocks (only moment equilibrium at last uppermost block is not satisfied). By splitting the soil above the slip surface into dividing planes, the blocks are formed. The forces acting on individual blocks are depicted in the diagram below (</w:t>
      </w:r>
      <w:r w:rsidRPr="00051297">
        <w:rPr>
          <w:rFonts w:cs="Times New Roman"/>
          <w:szCs w:val="24"/>
          <w:lang w:val="en-US"/>
        </w:rPr>
        <w:fldChar w:fldCharType="begin"/>
      </w:r>
      <w:r w:rsidRPr="00051297">
        <w:rPr>
          <w:rFonts w:cs="Times New Roman"/>
          <w:szCs w:val="24"/>
          <w:lang w:val="en-US"/>
        </w:rPr>
        <w:instrText xml:space="preserve"> REF _Ref98103204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17</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{"citationItems":[{"id":"ITEM-1","itemData":{"ISBN":"9780471910213","ISSN":"01489062","abstract":"MLA Janbu, Nilmar. \"Slope stability computations: In Embankment-dam Engineering. Textbook. Eds. RC Hirschfeld and SJ Poulos. JOHN WILEY AND SONS INC., PUB., NY, 1973, 40P.\" International Journal of Rock Mechanics and Mining Sciences &amp; Geomechanics Abstracts. Vol. 12. No. 4. Pergamon, 1975.","author":[{"dropping-particle":"","family":"Janbu","given":"N.","non-dropping-particle":"","parse-names":false,"suffix":""}],"container-title":"John Wiley &amp; Sons","id":"ITEM-1","issued":{"date-parts":[["1975"]]},"title":"Slope stability computations: In Embankment-dam Engineering","type":"book"},"uris":["http://www.mendeley.com/documents/?uuid=2b00c7c5-4d95-4442-8d4c-7fe35d6a1211","http://www.mendeley.com/documents/?uuid=76bab77d-85c6-45b6-8d91-752763343cb2","http://www.mendeley.com/documents/?uuid=e0982227-278d-4930-96e9-77b9ee929088"]}],"mendeley":{"formattedCitation":"[165]","plainTextFormattedCitation":"[165]","previouslyFormattedCitation":"[165]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[165]</w:t>
      </w:r>
      <w:r w:rsidRPr="00051297">
        <w:rPr>
          <w:rFonts w:cs="Times New Roman"/>
          <w:szCs w:val="24"/>
        </w:rPr>
        <w:fldChar w:fldCharType="end"/>
      </w:r>
      <w:r w:rsidRPr="00051297">
        <w:rPr>
          <w:rFonts w:cs="Times New Roman"/>
          <w:szCs w:val="24"/>
          <w:lang w:val="en-US"/>
        </w:rPr>
        <w:t>:</w:t>
      </w:r>
    </w:p>
    <w:p w14:paraId="12430B70"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07F6B2CB" wp14:editId="1E41F507">
            <wp:extent cx="5400000" cy="2678906"/>
            <wp:effectExtent l="0" t="0" r="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00" cy="2678906"/>
                    </a:xfrm>
                    <a:prstGeom prst="rect">
                      <a:avLst/>
                    </a:prstGeom>
                    <a:noFill/>
                    <a:ln>
                      <a:noFill/>
                    </a:ln>
                  </pic:spPr>
                </pic:pic>
              </a:graphicData>
            </a:graphic>
          </wp:inline>
        </w:drawing>
      </w:r>
    </w:p>
    <w:p w14:paraId="311A87E7" w14:textId="69015644" w:rsidR="00051297" w:rsidRPr="00051297" w:rsidRDefault="00051297" w:rsidP="00051297">
      <w:pPr>
        <w:ind w:firstLine="0"/>
        <w:jc w:val="center"/>
        <w:rPr>
          <w:rFonts w:cs="Times New Roman"/>
          <w:szCs w:val="24"/>
          <w:lang w:val="en-US" w:bidi="en-US"/>
        </w:rPr>
      </w:pPr>
      <w:bookmarkStart w:id="333" w:name="_Ref98103204"/>
      <w:bookmarkStart w:id="334" w:name="_Toc104985404"/>
      <w:bookmarkStart w:id="335" w:name="_Toc103544081"/>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17</w:t>
      </w:r>
      <w:r w:rsidR="00527861">
        <w:rPr>
          <w:rFonts w:cs="Times New Roman"/>
          <w:szCs w:val="24"/>
          <w:lang w:val="en-US" w:bidi="en-US"/>
        </w:rPr>
        <w:fldChar w:fldCharType="end"/>
      </w:r>
      <w:bookmarkEnd w:id="333"/>
      <w:r w:rsidRPr="00051297">
        <w:rPr>
          <w:rFonts w:cs="Times New Roman"/>
          <w:szCs w:val="24"/>
          <w:lang w:val="en-US" w:bidi="en-US"/>
        </w:rPr>
        <w:t xml:space="preserve"> – Static approach - Janbu method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{"citationItems":[{"id":"ITEM-1","itemData":{"author":[{"dropping-particle":"","family":"Fine spol. s r.o.","given":"","non-dropping-particle":"","parse-names":false,"suffix":""}],"id":"ITEM-1","issued":{"date-parts":[["2021"]]},"title":"Online Help- GEO5: Janbu","type":"webpage"},"uris":["http://www.mendeley.com/documents/?uuid=7169bb14-d90f-4519-9126-361592ac0106","http://www.mendeley.com/documents/?uuid=a0155888-f588-4629-85d3-e151eae0278c"]}],"mendeley":{"formattedCitation":"[166]","plainTextFormattedCitation":"[166]","previouslyFormattedCitation":"[166]"},"properties":{"noteIndex":0},"schema":"https://github.com/citation-style-language/schema/raw/master/csl-citation.json"}</w:instrText>
      </w:r>
      <w:r w:rsidRPr="00051297">
        <w:rPr>
          <w:rFonts w:cs="Times New Roman"/>
          <w:szCs w:val="24"/>
          <w:lang w:val="en-US" w:bidi="en-US"/>
        </w:rPr>
        <w:fldChar w:fldCharType="separate"/>
      </w:r>
      <w:bookmarkEnd w:id="335"/>
      <w:r w:rsidR="0032684D" w:rsidRPr="0032684D">
        <w:rPr>
          <w:rFonts w:cs="Times New Roman"/>
          <w:noProof/>
          <w:szCs w:val="24"/>
          <w:lang w:val="en-US" w:bidi="en-US"/>
        </w:rPr>
        <w:t>[166]</w:t>
      </w:r>
      <w:bookmarkEnd w:id="334"/>
      <w:r w:rsidRPr="00051297">
        <w:rPr>
          <w:rFonts w:cs="Times New Roman"/>
          <w:szCs w:val="24"/>
          <w:lang w:val="en-US" w:bidi="en-US"/>
        </w:rPr>
        <w:fldChar w:fldCharType="end"/>
      </w:r>
    </w:p>
    <w:p w14:paraId="61DC75F1" w14:textId="77777777" w:rsidR="00051297" w:rsidRPr="00051297" w:rsidRDefault="00051297" w:rsidP="00051297">
      <w:pPr>
        <w:rPr>
          <w:rFonts w:cs="Times New Roman"/>
          <w:szCs w:val="24"/>
          <w:lang w:val="en-US"/>
        </w:rPr>
      </w:pPr>
      <w:r w:rsidRPr="00051297">
        <w:rPr>
          <w:rFonts w:cs="Times New Roman"/>
          <w:szCs w:val="24"/>
          <w:lang w:val="en-US"/>
        </w:rPr>
        <w:t>Due to the following forces, each block is estimated to contribute:</w:t>
      </w:r>
    </w:p>
    <w:p w14:paraId="61A59443"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Wi is the block weight, comprising material surcharges with the character of weight, as well as the influence of the vertical earthquake coefficient K</w:t>
      </w:r>
      <w:r w:rsidRPr="00051297">
        <w:rPr>
          <w:rFonts w:cs="Times New Roman"/>
          <w:szCs w:val="24"/>
          <w:vertAlign w:val="subscript"/>
          <w:lang w:val="en-US"/>
        </w:rPr>
        <w:t>v</w:t>
      </w:r>
    </w:p>
    <w:p w14:paraId="2835B5E4"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K</w:t>
      </w:r>
      <w:r w:rsidRPr="00051297">
        <w:rPr>
          <w:rFonts w:cs="Times New Roman"/>
          <w:szCs w:val="24"/>
          <w:vertAlign w:val="subscript"/>
          <w:lang w:val="en-US"/>
        </w:rPr>
        <w:t>h</w:t>
      </w:r>
      <w:r w:rsidRPr="00051297">
        <w:rPr>
          <w:rFonts w:cs="Times New Roman"/>
          <w:szCs w:val="24"/>
          <w:lang w:val="en-US"/>
        </w:rPr>
        <w:t>*W</w:t>
      </w:r>
      <w:r w:rsidRPr="00051297">
        <w:rPr>
          <w:rFonts w:cs="Times New Roman"/>
          <w:szCs w:val="24"/>
          <w:vertAlign w:val="subscript"/>
          <w:lang w:val="en-US"/>
        </w:rPr>
        <w:t>i</w:t>
      </w:r>
      <w:r w:rsidRPr="00051297">
        <w:rPr>
          <w:rFonts w:cs="Times New Roman"/>
          <w:szCs w:val="24"/>
          <w:lang w:val="en-US"/>
        </w:rPr>
        <w:t xml:space="preserve"> – is the horizontal inertia force describing the earthquake's influence, Whereby Kh is the horizontal acceleration factor</w:t>
      </w:r>
    </w:p>
    <w:p w14:paraId="2F8FC6B8"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N</w:t>
      </w:r>
      <w:r w:rsidRPr="00051297">
        <w:rPr>
          <w:rFonts w:cs="Times New Roman"/>
          <w:szCs w:val="24"/>
          <w:vertAlign w:val="subscript"/>
          <w:lang w:val="en-US"/>
        </w:rPr>
        <w:t>i</w:t>
      </w:r>
      <w:r w:rsidRPr="00051297">
        <w:rPr>
          <w:rFonts w:cs="Times New Roman"/>
          <w:szCs w:val="24"/>
          <w:lang w:val="en-US"/>
        </w:rPr>
        <w:t xml:space="preserve"> – is the normal force acting on the slip surface.</w:t>
      </w:r>
    </w:p>
    <w:p w14:paraId="39C740FC"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T</w:t>
      </w:r>
      <w:r w:rsidRPr="00051297">
        <w:rPr>
          <w:rFonts w:cs="Times New Roman"/>
          <w:szCs w:val="24"/>
          <w:vertAlign w:val="subscript"/>
          <w:lang w:val="en-US"/>
        </w:rPr>
        <w:t>i</w:t>
      </w:r>
      <w:r w:rsidRPr="00051297">
        <w:rPr>
          <w:rFonts w:cs="Times New Roman"/>
          <w:szCs w:val="24"/>
          <w:lang w:val="en-US"/>
        </w:rPr>
        <w:t xml:space="preserve"> – is the shear force acting on the slip surface.</w:t>
      </w:r>
    </w:p>
    <w:p w14:paraId="2C14C99B"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E</w:t>
      </w:r>
      <w:r w:rsidRPr="00051297">
        <w:rPr>
          <w:rFonts w:cs="Times New Roman"/>
          <w:szCs w:val="24"/>
          <w:vertAlign w:val="subscript"/>
          <w:lang w:val="en-US"/>
        </w:rPr>
        <w:t>i</w:t>
      </w:r>
      <w:r w:rsidRPr="00051297">
        <w:rPr>
          <w:rFonts w:cs="Times New Roman"/>
          <w:szCs w:val="24"/>
          <w:lang w:val="en-US"/>
        </w:rPr>
        <w:t>, E</w:t>
      </w:r>
      <w:r w:rsidRPr="00051297">
        <w:rPr>
          <w:rFonts w:cs="Times New Roman"/>
          <w:szCs w:val="24"/>
          <w:vertAlign w:val="subscript"/>
          <w:lang w:val="en-US"/>
        </w:rPr>
        <w:t>i+1</w:t>
      </w:r>
      <w:r w:rsidRPr="00051297">
        <w:rPr>
          <w:rFonts w:cs="Times New Roman"/>
          <w:szCs w:val="24"/>
          <w:lang w:val="en-US"/>
        </w:rPr>
        <w:t xml:space="preserve"> – are the forces exerted by neighboring blocks; they are inclined from the horizontal plane by an angle δ</w:t>
      </w:r>
      <w:r w:rsidRPr="00051297">
        <w:rPr>
          <w:rFonts w:cs="Times New Roman"/>
          <w:szCs w:val="24"/>
          <w:vertAlign w:val="subscript"/>
          <w:lang w:val="en-US"/>
        </w:rPr>
        <w:t>i</w:t>
      </w:r>
      <w:r w:rsidRPr="00051297">
        <w:rPr>
          <w:rFonts w:cs="Times New Roman"/>
          <w:szCs w:val="24"/>
          <w:lang w:val="en-US"/>
        </w:rPr>
        <w:t xml:space="preserve"> resp. δ</w:t>
      </w:r>
      <w:r w:rsidRPr="00051297">
        <w:rPr>
          <w:rFonts w:cs="Times New Roman"/>
          <w:szCs w:val="24"/>
          <w:vertAlign w:val="subscript"/>
          <w:lang w:val="en-US"/>
        </w:rPr>
        <w:t xml:space="preserve">i+1 </w:t>
      </w:r>
      <w:r w:rsidRPr="00051297">
        <w:rPr>
          <w:rFonts w:cs="Times New Roman"/>
          <w:szCs w:val="24"/>
          <w:lang w:val="en-US"/>
        </w:rPr>
        <w:t>and lie at the height zi resp. z</w:t>
      </w:r>
      <w:r w:rsidRPr="00051297">
        <w:rPr>
          <w:rFonts w:cs="Times New Roman"/>
          <w:szCs w:val="24"/>
          <w:vertAlign w:val="subscript"/>
          <w:lang w:val="en-US"/>
        </w:rPr>
        <w:t xml:space="preserve">i+1 </w:t>
      </w:r>
      <w:r w:rsidRPr="00051297">
        <w:rPr>
          <w:rFonts w:cs="Times New Roman"/>
          <w:szCs w:val="24"/>
          <w:lang w:val="en-US"/>
        </w:rPr>
        <w:t>above slip surface</w:t>
      </w:r>
    </w:p>
    <w:p w14:paraId="348712C8"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Fx</w:t>
      </w:r>
      <w:r w:rsidRPr="00051297">
        <w:rPr>
          <w:rFonts w:cs="Times New Roman"/>
          <w:szCs w:val="24"/>
          <w:vertAlign w:val="subscript"/>
          <w:lang w:val="en-US"/>
        </w:rPr>
        <w:t>i</w:t>
      </w:r>
      <w:r w:rsidRPr="00051297">
        <w:rPr>
          <w:rFonts w:cs="Times New Roman"/>
          <w:szCs w:val="24"/>
          <w:lang w:val="en-US"/>
        </w:rPr>
        <w:t>, Fy</w:t>
      </w:r>
      <w:r w:rsidRPr="00051297">
        <w:rPr>
          <w:rFonts w:cs="Times New Roman"/>
          <w:szCs w:val="24"/>
          <w:vertAlign w:val="subscript"/>
          <w:lang w:val="en-US"/>
        </w:rPr>
        <w:t>i</w:t>
      </w:r>
      <w:r w:rsidRPr="00051297">
        <w:rPr>
          <w:rFonts w:cs="Times New Roman"/>
          <w:szCs w:val="24"/>
          <w:lang w:val="en-US"/>
        </w:rPr>
        <w:t xml:space="preserve"> – are the other horizontal and vertical forces acting on the block</w:t>
      </w:r>
    </w:p>
    <w:p w14:paraId="3CE84378"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M1</w:t>
      </w:r>
      <w:r w:rsidRPr="00051297">
        <w:rPr>
          <w:rFonts w:cs="Times New Roman"/>
          <w:szCs w:val="24"/>
          <w:vertAlign w:val="subscript"/>
          <w:lang w:val="en-US"/>
        </w:rPr>
        <w:t>i</w:t>
      </w:r>
      <w:r w:rsidRPr="00051297">
        <w:rPr>
          <w:rFonts w:cs="Times New Roman"/>
          <w:szCs w:val="24"/>
          <w:lang w:val="en-US"/>
        </w:rPr>
        <w:t xml:space="preserve"> – is the moment from forces Fx</w:t>
      </w:r>
      <w:r w:rsidRPr="00051297">
        <w:rPr>
          <w:rFonts w:cs="Times New Roman"/>
          <w:szCs w:val="24"/>
          <w:vertAlign w:val="subscript"/>
          <w:lang w:val="en-US"/>
        </w:rPr>
        <w:t>i</w:t>
      </w:r>
      <w:r w:rsidRPr="00051297">
        <w:rPr>
          <w:rFonts w:cs="Times New Roman"/>
          <w:szCs w:val="24"/>
          <w:lang w:val="en-US"/>
        </w:rPr>
        <w:t>, Fy</w:t>
      </w:r>
      <w:r w:rsidRPr="00051297">
        <w:rPr>
          <w:rFonts w:cs="Times New Roman"/>
          <w:szCs w:val="24"/>
          <w:vertAlign w:val="subscript"/>
          <w:lang w:val="en-US"/>
        </w:rPr>
        <w:t>i</w:t>
      </w:r>
      <w:r w:rsidRPr="00051297">
        <w:rPr>
          <w:rFonts w:cs="Times New Roman"/>
          <w:szCs w:val="24"/>
          <w:lang w:val="en-US"/>
        </w:rPr>
        <w:t xml:space="preserve"> rotating about point M, representing the center of the i</w:t>
      </w:r>
      <w:r w:rsidRPr="00051297">
        <w:rPr>
          <w:rFonts w:cs="Times New Roman"/>
          <w:szCs w:val="24"/>
          <w:vertAlign w:val="superscript"/>
          <w:lang w:val="en-US"/>
        </w:rPr>
        <w:t>th</w:t>
      </w:r>
      <w:r w:rsidRPr="00051297">
        <w:rPr>
          <w:rFonts w:cs="Times New Roman"/>
          <w:szCs w:val="24"/>
          <w:lang w:val="en-US"/>
        </w:rPr>
        <w:t xml:space="preserve"> slip surface segment.</w:t>
      </w:r>
    </w:p>
    <w:p w14:paraId="35713101"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U</w:t>
      </w:r>
      <w:r w:rsidRPr="00051297">
        <w:rPr>
          <w:rFonts w:cs="Times New Roman"/>
          <w:szCs w:val="24"/>
          <w:vertAlign w:val="subscript"/>
          <w:lang w:val="en-US"/>
        </w:rPr>
        <w:t>i</w:t>
      </w:r>
      <w:r w:rsidRPr="00051297">
        <w:rPr>
          <w:rFonts w:cs="Times New Roman"/>
          <w:szCs w:val="24"/>
          <w:lang w:val="en-US"/>
        </w:rPr>
        <w:t xml:space="preserve"> – is the pore pressure resultant on the i</w:t>
      </w:r>
      <w:r w:rsidRPr="00051297">
        <w:rPr>
          <w:rFonts w:cs="Times New Roman"/>
          <w:szCs w:val="24"/>
          <w:vertAlign w:val="superscript"/>
          <w:lang w:val="en-US"/>
        </w:rPr>
        <w:t>th</w:t>
      </w:r>
      <w:r w:rsidRPr="00051297">
        <w:rPr>
          <w:rFonts w:cs="Times New Roman"/>
          <w:szCs w:val="24"/>
          <w:lang w:val="en-US"/>
        </w:rPr>
        <w:t xml:space="preserve"> segment of the slip surface</w:t>
      </w:r>
    </w:p>
    <w:p w14:paraId="5271C81B" w14:textId="77777777" w:rsidR="00051297" w:rsidRPr="00051297" w:rsidRDefault="00051297" w:rsidP="00051297">
      <w:pPr>
        <w:tabs>
          <w:tab w:val="left" w:pos="993"/>
        </w:tabs>
        <w:ind w:firstLine="706"/>
        <w:rPr>
          <w:rFonts w:cs="Times New Roman"/>
          <w:szCs w:val="24"/>
          <w:lang w:val="en-US"/>
        </w:rPr>
      </w:pPr>
      <w:r w:rsidRPr="00051297">
        <w:rPr>
          <w:rFonts w:eastAsia="Calibri" w:cs="Times New Roman"/>
          <w:szCs w:val="24"/>
          <w:lang w:val="en-US"/>
        </w:rPr>
        <w:t>The Janbu technique for calculating the limit equilibrium of forces and moments on individual blocks makes the following assumptions</w:t>
      </w:r>
      <w:r w:rsidRPr="00051297">
        <w:rPr>
          <w:rFonts w:cs="Times New Roman"/>
          <w:szCs w:val="24"/>
          <w:lang w:val="en-US"/>
        </w:rPr>
        <w:t>:</w:t>
      </w:r>
    </w:p>
    <w:p w14:paraId="72169E5B"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lastRenderedPageBreak/>
        <w:t xml:space="preserve">When splitting planes across blocks, the line of action of the block's weight is always vertical. </w:t>
      </w:r>
    </w:p>
    <w:p w14:paraId="68C5EE22"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W</w:t>
      </w:r>
      <w:r w:rsidRPr="00051297">
        <w:rPr>
          <w:rFonts w:cs="Times New Roman"/>
          <w:szCs w:val="24"/>
          <w:vertAlign w:val="subscript"/>
          <w:lang w:val="en-US"/>
        </w:rPr>
        <w:t>i</w:t>
      </w:r>
      <w:r w:rsidRPr="00051297">
        <w:rPr>
          <w:rFonts w:cs="Times New Roman"/>
          <w:szCs w:val="24"/>
          <w:lang w:val="en-US"/>
        </w:rPr>
        <w:t xml:space="preserve"> runs through the center of the i</w:t>
      </w:r>
      <w:r w:rsidRPr="00051297">
        <w:rPr>
          <w:rFonts w:cs="Times New Roman"/>
          <w:szCs w:val="24"/>
          <w:vertAlign w:val="superscript"/>
          <w:lang w:val="en-US"/>
        </w:rPr>
        <w:t>th</w:t>
      </w:r>
      <w:r w:rsidRPr="00051297">
        <w:rPr>
          <w:rFonts w:cs="Times New Roman"/>
          <w:szCs w:val="24"/>
          <w:lang w:val="en-US"/>
        </w:rPr>
        <w:t xml:space="preserve"> slip surface section, which is represented by point M. </w:t>
      </w:r>
    </w:p>
    <w:p w14:paraId="0C4D8FE8"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The force of nature Ni acts in the center of the i</w:t>
      </w:r>
      <w:r w:rsidRPr="00051297">
        <w:rPr>
          <w:rFonts w:cs="Times New Roman"/>
          <w:szCs w:val="24"/>
          <w:vertAlign w:val="superscript"/>
          <w:lang w:val="en-US"/>
        </w:rPr>
        <w:t>th</w:t>
      </w:r>
      <w:r w:rsidRPr="00051297">
        <w:rPr>
          <w:rFonts w:cs="Times New Roman"/>
          <w:szCs w:val="24"/>
          <w:lang w:val="en-US"/>
        </w:rPr>
        <w:t xml:space="preserve"> slip surface segment; at point M, </w:t>
      </w:r>
    </w:p>
    <w:p w14:paraId="16966CEF" w14:textId="77777777" w:rsidR="00051297" w:rsidRPr="00051297" w:rsidRDefault="00051297" w:rsidP="00051297">
      <w:pPr>
        <w:numPr>
          <w:ilvl w:val="0"/>
          <w:numId w:val="17"/>
        </w:numPr>
        <w:tabs>
          <w:tab w:val="left" w:pos="993"/>
        </w:tabs>
        <w:ind w:left="0" w:firstLine="709"/>
        <w:rPr>
          <w:rFonts w:cs="Times New Roman"/>
          <w:szCs w:val="24"/>
          <w:lang w:val="en-US"/>
        </w:rPr>
      </w:pPr>
      <w:r w:rsidRPr="00051297">
        <w:rPr>
          <w:rFonts w:cs="Times New Roman"/>
          <w:szCs w:val="24"/>
          <w:lang w:val="en-US"/>
        </w:rPr>
        <w:t>Location zi of forces Ei acting between blocks is assumed; at slip surface endpoints, z = 0 is assumed.</w:t>
      </w:r>
    </w:p>
    <w:p w14:paraId="23DDC266" w14:textId="77777777" w:rsidR="00051297" w:rsidRPr="00051297" w:rsidRDefault="00051297" w:rsidP="00051297">
      <w:pPr>
        <w:rPr>
          <w:rFonts w:cs="Times New Roman"/>
          <w:szCs w:val="24"/>
          <w:lang w:val="en-US"/>
        </w:rPr>
      </w:pPr>
      <w:r w:rsidRPr="00051297">
        <w:rPr>
          <w:rFonts w:eastAsia="Calibri" w:cs="Times New Roman"/>
          <w:szCs w:val="24"/>
          <w:lang w:val="en-US"/>
        </w:rPr>
        <w:t>The method's convergence can be influenced significantly by choice of position z</w:t>
      </w:r>
      <w:r w:rsidRPr="00051297">
        <w:rPr>
          <w:rFonts w:eastAsia="Calibri" w:cs="Times New Roman"/>
          <w:szCs w:val="24"/>
          <w:vertAlign w:val="subscript"/>
          <w:lang w:val="en-US"/>
        </w:rPr>
        <w:t>i</w:t>
      </w:r>
      <w:r w:rsidRPr="00051297">
        <w:rPr>
          <w:rFonts w:eastAsia="Calibri" w:cs="Times New Roman"/>
          <w:szCs w:val="24"/>
          <w:lang w:val="en-US"/>
        </w:rPr>
        <w:t>. It can become impossible to satisfy the equilibrium conditions if we make an incorrect assumption about position z</w:t>
      </w:r>
      <w:r w:rsidRPr="00051297">
        <w:rPr>
          <w:rFonts w:eastAsia="Calibri" w:cs="Times New Roman"/>
          <w:szCs w:val="24"/>
          <w:vertAlign w:val="subscript"/>
          <w:lang w:val="en-US"/>
        </w:rPr>
        <w:t>i</w:t>
      </w:r>
      <w:r w:rsidRPr="00051297">
        <w:rPr>
          <w:rFonts w:eastAsia="Calibri" w:cs="Times New Roman"/>
          <w:szCs w:val="24"/>
          <w:lang w:val="en-US"/>
        </w:rPr>
        <w:t xml:space="preserve"> for a certain slope (the algorithm does not converge). The heights z</w:t>
      </w:r>
      <w:r w:rsidRPr="00051297">
        <w:rPr>
          <w:rFonts w:eastAsia="Calibri" w:cs="Times New Roman"/>
          <w:szCs w:val="24"/>
          <w:vertAlign w:val="subscript"/>
          <w:lang w:val="en-US"/>
        </w:rPr>
        <w:t>i</w:t>
      </w:r>
      <w:r w:rsidRPr="00051297">
        <w:rPr>
          <w:rFonts w:eastAsia="Calibri" w:cs="Times New Roman"/>
          <w:szCs w:val="24"/>
          <w:lang w:val="en-US"/>
        </w:rPr>
        <w:t xml:space="preserve"> above the slip surface are around one-third of the height of the block-to-block contact. If the equilibrium conditions aren't sufficient, the algorithm adjusts the height, for example, slightly higher in the passive zone near the toe and lower in the active zone towards the crest of the slope.</w:t>
      </w:r>
      <w:r w:rsidRPr="00051297">
        <w:rPr>
          <w:rFonts w:cs="Times New Roman"/>
          <w:szCs w:val="24"/>
          <w:lang w:val="en-US"/>
        </w:rPr>
        <w:t xml:space="preserve"> The differences in Morgenstern-Price, Spencer, and Janbu's techniques are based on the fact that an arbitrary function is used to define the direction of the resulting interslice forces in Morgenstern-Price; In Spencer, the interslice forces that result have a constant slope throughout the sliding mass; and, In Janbu, the resulting interslice forces are horizontal.</w:t>
      </w:r>
    </w:p>
    <w:p w14:paraId="0D779807" w14:textId="77777777" w:rsidR="00051297" w:rsidRPr="00051297" w:rsidRDefault="00051297" w:rsidP="00051297">
      <w:pPr>
        <w:rPr>
          <w:rFonts w:cs="Times New Roman"/>
          <w:szCs w:val="24"/>
          <w:lang w:val="en-US"/>
        </w:rPr>
      </w:pPr>
      <w:r w:rsidRPr="00051297">
        <w:rPr>
          <w:rFonts w:cs="Times New Roman"/>
          <w:szCs w:val="24"/>
          <w:lang w:val="en-US"/>
        </w:rPr>
        <w:t>(g) Sarma</w:t>
      </w:r>
    </w:p>
    <w:p w14:paraId="400FF745" w14:textId="33BF286A" w:rsidR="00051297" w:rsidRPr="00051297" w:rsidRDefault="00051297" w:rsidP="00051297">
      <w:pPr>
        <w:rPr>
          <w:rFonts w:cs="Times New Roman"/>
          <w:szCs w:val="24"/>
        </w:rPr>
      </w:pPr>
      <w:r w:rsidRPr="00051297">
        <w:rPr>
          <w:rFonts w:cs="Times New Roman"/>
          <w:szCs w:val="24"/>
          <w:lang w:val="en-US"/>
        </w:rPr>
        <w:t>The Sarma technique belongs to the category of general sliced limit state procedures. It is based on individual blocks meeting the force and moment equilibrium requirements. The blocks are made by separating the soil region above the potential slip surface into planes, each of which may have a varied slope in general. The forces acting on individual blocks are depicted in the diagram below (</w:t>
      </w:r>
      <w:r w:rsidRPr="00051297">
        <w:rPr>
          <w:rFonts w:cs="Times New Roman"/>
          <w:szCs w:val="24"/>
          <w:lang w:val="en-US"/>
        </w:rPr>
        <w:fldChar w:fldCharType="begin"/>
      </w:r>
      <w:r w:rsidRPr="00051297">
        <w:rPr>
          <w:rFonts w:cs="Times New Roman"/>
          <w:szCs w:val="24"/>
          <w:lang w:val="en-US"/>
        </w:rPr>
        <w:instrText xml:space="preserve"> REF _Ref98103187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18</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{"citationItems":[{"id":"ITEM-1","itemData":{"DOI":"10.1680/geot.1973.23.3.423","ISSN":"0016-8505","abstract":"A simple but accurate method of stability analysis of embankments and slopes is developed to determine the critical earthquake acceleration that is required to bring a mass of soil, bounded by a slip line of any shape and the free surface, to a state of limiting equilibrium. At the same time, the usual factor of safety can be determined. It is based on the principle of limiting equilibrium and the method of slices. Effective stress strength parameters are used. A distribution of internal body forces is found based on a simple assumption. This depends on the geometry of the dam and the sliding surface as well as on the strength of the material. Though a computer is used for the calculations presented in the Paper, it is not essential. As in any solution, the physical acceptability of the complete solution must be checked before accepting the result. It is suggested to use the critical acceleration as a measure of the factors of safety.","author":[{"dropping-particle":"","family":"Sarma","given":"S. K.","non-dropping-particle":"","parse-names":false,"suffix":""}],"container-title":"Géotechnique","id":"ITEM-1","issue":"3","issued":{"date-parts":[["1973","9"]]},"page":"423-433","title":"Stability analysis of embankments and slopes","type":"article-journal","volume":"23"},"uris":["http://www.mendeley.com/documents/?uuid=be419de3-e583-4933-a061-fb06c55618d2"]},{"id":"ITEM-2","itemData":{"DOI":"10.1061/AJGEB6.0000903","ISSN":"0093-6405","abstract":"In this paper the limit equilibrium method of stability analysis of embankments and slopes is considered in terms of the indeterminacy of the problem. At the same time, various ways of making assumptions to make the problem a determinate one are also considered.-from ASCE Publications Abstracts","author":[{"dropping-particle":"","family":"Sarma","given":"Sarada K.","non-dropping-particle":"","parse-names":false,"suffix":""}],"container-title":"Journal of the Geotechnical Engineering Division","id":"ITEM-2","issue":"12","issued":{"date-parts":[["1979","12"]]},"page":"1511-1524","title":"Stability Analysis of Embankments and Slopes","type":"article-journal","volume":"105"},"uris":["http://www.mendeley.com/documents/?uuid=562443ba-4a47-4304-99e3-26dfdbe8dd39","http://www.mendeley.com/documents/?uuid=1a54ef90-8cb2-4633-bd4e-98c058932b98","http://www.mendeley.com/documents/?uuid=626816cc-9499-45dd-9fa5-cd7725b0915e"]}],"mendeley":{"formattedCitation":"[167,168]","plainTextFormattedCitation":"[167,168]","previouslyFormattedCitation":"[167,168]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[167,168]</w:t>
      </w:r>
      <w:r w:rsidRPr="00051297">
        <w:rPr>
          <w:rFonts w:cs="Times New Roman"/>
          <w:szCs w:val="24"/>
        </w:rPr>
        <w:fldChar w:fldCharType="end"/>
      </w:r>
      <w:r w:rsidRPr="00051297">
        <w:rPr>
          <w:rFonts w:cs="Times New Roman"/>
          <w:szCs w:val="24"/>
        </w:rPr>
        <w:t>.</w:t>
      </w:r>
    </w:p>
    <w:p w14:paraId="3F8DEAC8"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0F952B78" wp14:editId="657A7A78">
            <wp:extent cx="5234940" cy="2717958"/>
            <wp:effectExtent l="0" t="0" r="381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41221" cy="2721219"/>
                    </a:xfrm>
                    <a:prstGeom prst="rect">
                      <a:avLst/>
                    </a:prstGeom>
                    <a:noFill/>
                    <a:ln>
                      <a:noFill/>
                    </a:ln>
                  </pic:spPr>
                </pic:pic>
              </a:graphicData>
            </a:graphic>
          </wp:inline>
        </w:drawing>
      </w:r>
    </w:p>
    <w:p w14:paraId="4274D6E5" w14:textId="7C189442" w:rsidR="00051297" w:rsidRPr="00051297" w:rsidRDefault="00051297" w:rsidP="00051297">
      <w:pPr>
        <w:ind w:firstLine="0"/>
        <w:jc w:val="center"/>
        <w:rPr>
          <w:rFonts w:cs="Times New Roman"/>
          <w:szCs w:val="24"/>
          <w:lang w:val="en-US" w:bidi="en-US"/>
        </w:rPr>
      </w:pPr>
      <w:bookmarkStart w:id="336" w:name="_Ref98103187"/>
      <w:bookmarkStart w:id="337" w:name="_Toc104985405"/>
      <w:bookmarkStart w:id="338" w:name="_Toc98085884"/>
      <w:bookmarkStart w:id="339" w:name="_Toc97428209"/>
      <w:bookmarkStart w:id="340" w:name="_Toc103544082"/>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18</w:t>
      </w:r>
      <w:r w:rsidR="00527861">
        <w:rPr>
          <w:rFonts w:cs="Times New Roman"/>
          <w:szCs w:val="24"/>
          <w:lang w:val="en-US" w:bidi="en-US"/>
        </w:rPr>
        <w:fldChar w:fldCharType="end"/>
      </w:r>
      <w:bookmarkEnd w:id="336"/>
      <w:r w:rsidRPr="00051297">
        <w:rPr>
          <w:rFonts w:cs="Times New Roman"/>
          <w:szCs w:val="24"/>
          <w:lang w:val="en-US" w:bidi="en-US"/>
        </w:rPr>
        <w:t xml:space="preserve"> – Static scheme - Sarma method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{"citationItems":[{"id":"ITEM-1","itemData":{"author":[{"dropping-particle":"","family":"Fine spol. s r.o.","given":"","non-dropping-particle":"","parse-names":false,"suffix":""}],"id":"ITEM-1","issued":{"date-parts":[["2021"]]},"title":"Online Help- GEO5:Sarma","type":"webpage"},"uris":["http://www.mendeley.com/documents/?uuid=fbcd3b91-0ca5-400f-a681-4e84fb03276b","http://www.mendeley.com/documents/?uuid=0976accc-d2b0-4caa-a9b0-2df36fd2762f"]}],"mendeley":{"formattedCitation":"[169]","plainTextFormattedCitation":"[169]","previouslyFormattedCitation":"[169]"},"properties":{"noteIndex":0},"schema":"https://github.com/citation-style-language/schema/raw/master/csl-citation.json"}</w:instrText>
      </w:r>
      <w:r w:rsidRPr="00051297">
        <w:rPr>
          <w:rFonts w:cs="Times New Roman"/>
          <w:szCs w:val="24"/>
          <w:lang w:val="en-US" w:bidi="en-US"/>
        </w:rPr>
        <w:fldChar w:fldCharType="separate"/>
      </w:r>
      <w:bookmarkEnd w:id="338"/>
      <w:bookmarkEnd w:id="339"/>
      <w:bookmarkEnd w:id="340"/>
      <w:r w:rsidR="0032684D" w:rsidRPr="0032684D">
        <w:rPr>
          <w:rFonts w:cs="Times New Roman"/>
          <w:noProof/>
          <w:szCs w:val="24"/>
          <w:lang w:val="en-US" w:bidi="en-US"/>
        </w:rPr>
        <w:t>[169]</w:t>
      </w:r>
      <w:bookmarkEnd w:id="337"/>
      <w:r w:rsidRPr="00051297">
        <w:rPr>
          <w:rFonts w:cs="Times New Roman"/>
          <w:szCs w:val="24"/>
          <w:lang w:val="en-US" w:bidi="en-US"/>
        </w:rPr>
        <w:fldChar w:fldCharType="end"/>
      </w:r>
    </w:p>
    <w:p w14:paraId="1764D9AC" w14:textId="77777777" w:rsidR="00051297" w:rsidRPr="00051297" w:rsidRDefault="00051297" w:rsidP="00051297">
      <w:pPr>
        <w:rPr>
          <w:rFonts w:cs="Times New Roman"/>
          <w:szCs w:val="24"/>
          <w:lang w:val="en-US"/>
        </w:rPr>
      </w:pPr>
      <w:r w:rsidRPr="00051297">
        <w:rPr>
          <w:rFonts w:cs="Times New Roman"/>
          <w:szCs w:val="24"/>
          <w:lang w:val="en-US"/>
        </w:rPr>
        <w:lastRenderedPageBreak/>
        <w:t xml:space="preserve">Between the blocks, the normal and shear forces are represented by </w:t>
      </w:r>
      <w:r w:rsidRPr="00051297">
        <w:rPr>
          <w:rFonts w:cs="Times New Roman"/>
          <w:i/>
          <w:iCs/>
          <w:szCs w:val="24"/>
          <w:lang w:val="en-US"/>
        </w:rPr>
        <w:t>E</w:t>
      </w:r>
      <w:r w:rsidRPr="00051297">
        <w:rPr>
          <w:rFonts w:cs="Times New Roman"/>
          <w:i/>
          <w:iCs/>
          <w:szCs w:val="24"/>
          <w:vertAlign w:val="subscript"/>
          <w:lang w:val="en-US"/>
        </w:rPr>
        <w:t>i</w:t>
      </w:r>
      <w:r w:rsidRPr="00051297">
        <w:rPr>
          <w:rFonts w:cs="Times New Roman"/>
          <w:i/>
          <w:iCs/>
          <w:szCs w:val="24"/>
          <w:lang w:val="en-US"/>
        </w:rPr>
        <w:t>, X</w:t>
      </w:r>
      <w:r w:rsidRPr="00051297">
        <w:rPr>
          <w:rFonts w:cs="Times New Roman"/>
          <w:i/>
          <w:iCs/>
          <w:szCs w:val="24"/>
          <w:vertAlign w:val="subscript"/>
          <w:lang w:val="en-US"/>
        </w:rPr>
        <w:t>i</w:t>
      </w:r>
      <w:r w:rsidRPr="00051297">
        <w:rPr>
          <w:rFonts w:cs="Times New Roman"/>
          <w:szCs w:val="24"/>
          <w:lang w:val="en-US"/>
        </w:rPr>
        <w:t xml:space="preserve">. On segments of a slip surface, </w:t>
      </w:r>
      <w:r w:rsidRPr="00051297">
        <w:rPr>
          <w:rFonts w:cs="Times New Roman"/>
          <w:i/>
          <w:iCs/>
          <w:szCs w:val="24"/>
          <w:lang w:val="en-US"/>
        </w:rPr>
        <w:t>N</w:t>
      </w:r>
      <w:r w:rsidRPr="00051297">
        <w:rPr>
          <w:rFonts w:cs="Times New Roman"/>
          <w:i/>
          <w:iCs/>
          <w:szCs w:val="24"/>
          <w:vertAlign w:val="subscript"/>
          <w:lang w:val="en-US"/>
        </w:rPr>
        <w:t>i</w:t>
      </w:r>
      <w:r w:rsidRPr="00051297">
        <w:rPr>
          <w:rFonts w:cs="Times New Roman"/>
          <w:i/>
          <w:iCs/>
          <w:szCs w:val="24"/>
          <w:lang w:val="en-US"/>
        </w:rPr>
        <w:t xml:space="preserve"> </w:t>
      </w:r>
      <w:r w:rsidRPr="00051297">
        <w:rPr>
          <w:rFonts w:cs="Times New Roman"/>
          <w:szCs w:val="24"/>
          <w:lang w:val="en-US"/>
        </w:rPr>
        <w:t>and</w:t>
      </w:r>
      <w:r w:rsidRPr="00051297">
        <w:rPr>
          <w:rFonts w:cs="Times New Roman"/>
          <w:i/>
          <w:iCs/>
          <w:szCs w:val="24"/>
          <w:lang w:val="en-US"/>
        </w:rPr>
        <w:t xml:space="preserve"> T</w:t>
      </w:r>
      <w:r w:rsidRPr="00051297">
        <w:rPr>
          <w:rFonts w:cs="Times New Roman"/>
          <w:i/>
          <w:iCs/>
          <w:szCs w:val="24"/>
          <w:vertAlign w:val="subscript"/>
          <w:lang w:val="en-US"/>
        </w:rPr>
        <w:t>i</w:t>
      </w:r>
      <w:r w:rsidRPr="00051297">
        <w:rPr>
          <w:rFonts w:cs="Times New Roman"/>
          <w:szCs w:val="24"/>
          <w:lang w:val="en-US"/>
        </w:rPr>
        <w:t xml:space="preserve"> are normal and shear forces. The block weight is W</w:t>
      </w:r>
      <w:r w:rsidRPr="00051297">
        <w:rPr>
          <w:rFonts w:cs="Times New Roman"/>
          <w:szCs w:val="24"/>
          <w:vertAlign w:val="subscript"/>
          <w:lang w:val="en-US"/>
        </w:rPr>
        <w:t>i</w:t>
      </w:r>
      <w:r w:rsidRPr="00051297">
        <w:rPr>
          <w:rFonts w:cs="Times New Roman"/>
          <w:szCs w:val="24"/>
          <w:lang w:val="en-US"/>
        </w:rPr>
        <w:t>, and the horizontal force used in the Sarma approach to reach the limit state is K</w:t>
      </w:r>
      <w:r w:rsidRPr="00051297">
        <w:rPr>
          <w:rFonts w:cs="Times New Roman"/>
          <w:szCs w:val="24"/>
          <w:vertAlign w:val="subscript"/>
          <w:lang w:val="en-US"/>
        </w:rPr>
        <w:t>h</w:t>
      </w:r>
      <w:r w:rsidRPr="00051297">
        <w:rPr>
          <w:rFonts w:cs="Times New Roman"/>
          <w:szCs w:val="24"/>
          <w:lang w:val="en-US"/>
        </w:rPr>
        <w:t>*W</w:t>
      </w:r>
      <w:r w:rsidRPr="00051297">
        <w:rPr>
          <w:rFonts w:cs="Times New Roman"/>
          <w:szCs w:val="24"/>
          <w:vertAlign w:val="subscript"/>
          <w:lang w:val="en-US"/>
        </w:rPr>
        <w:t>i</w:t>
      </w:r>
      <w:r w:rsidRPr="00051297">
        <w:rPr>
          <w:rFonts w:cs="Times New Roman"/>
          <w:szCs w:val="24"/>
          <w:lang w:val="en-US"/>
        </w:rPr>
        <w:t>. In most cases, an inclination fee can be added to each block. This surcharge, together with the surcharge owing to water having a free water table above the terrain and forces in anchors, is included in the analysis. All of these forces are projected horizontally and vertically, and the resulting components F</w:t>
      </w:r>
      <w:r w:rsidRPr="00051297">
        <w:rPr>
          <w:rFonts w:cs="Times New Roman"/>
          <w:szCs w:val="24"/>
          <w:vertAlign w:val="subscript"/>
          <w:lang w:val="en-US"/>
        </w:rPr>
        <w:t>xi</w:t>
      </w:r>
      <w:r w:rsidRPr="00051297">
        <w:rPr>
          <w:rFonts w:cs="Times New Roman"/>
          <w:szCs w:val="24"/>
          <w:lang w:val="en-US"/>
        </w:rPr>
        <w:t xml:space="preserve"> and F</w:t>
      </w:r>
      <w:r w:rsidRPr="00051297">
        <w:rPr>
          <w:rFonts w:cs="Times New Roman"/>
          <w:szCs w:val="24"/>
          <w:vertAlign w:val="subscript"/>
          <w:lang w:val="en-US"/>
        </w:rPr>
        <w:t>yi</w:t>
      </w:r>
      <w:r w:rsidRPr="00051297">
        <w:rPr>
          <w:rFonts w:cs="Times New Roman"/>
          <w:szCs w:val="24"/>
          <w:lang w:val="en-US"/>
        </w:rPr>
        <w:t xml:space="preserve"> are added together.</w:t>
      </w:r>
    </w:p>
    <w:p w14:paraId="12FF6418" w14:textId="77777777" w:rsidR="00051297" w:rsidRPr="00051297" w:rsidRDefault="00051297" w:rsidP="00051297">
      <w:pPr>
        <w:rPr>
          <w:rFonts w:cs="Times New Roman"/>
          <w:szCs w:val="24"/>
          <w:lang w:val="en-US"/>
        </w:rPr>
      </w:pPr>
      <w:r w:rsidRPr="00051297">
        <w:rPr>
          <w:rFonts w:cs="Times New Roman"/>
          <w:szCs w:val="24"/>
          <w:lang w:val="en-US"/>
        </w:rPr>
        <w:t>The factor of horizontal acceleration, or K</w:t>
      </w:r>
      <w:r w:rsidRPr="00051297">
        <w:rPr>
          <w:rFonts w:cs="Times New Roman"/>
          <w:szCs w:val="24"/>
          <w:vertAlign w:val="subscript"/>
          <w:lang w:val="en-US"/>
        </w:rPr>
        <w:t>h</w:t>
      </w:r>
      <w:r w:rsidRPr="00051297">
        <w:rPr>
          <w:rFonts w:cs="Times New Roman"/>
          <w:szCs w:val="24"/>
          <w:lang w:val="en-US"/>
        </w:rPr>
        <w:t>, is a constant that is included in the analysis to satisfy the equilibrium on individual blocks. The safety factor can be calculated because of a link between K</w:t>
      </w:r>
      <w:r w:rsidRPr="00051297">
        <w:rPr>
          <w:rFonts w:cs="Times New Roman"/>
          <w:szCs w:val="24"/>
          <w:vertAlign w:val="subscript"/>
          <w:lang w:val="en-US"/>
        </w:rPr>
        <w:t>h</w:t>
      </w:r>
      <w:r w:rsidRPr="00051297">
        <w:rPr>
          <w:rFonts w:cs="Times New Roman"/>
          <w:szCs w:val="24"/>
          <w:lang w:val="en-US"/>
        </w:rPr>
        <w:t xml:space="preserve"> and the factor of slope stability FS. In most circumstances, the study begins with the value of K</w:t>
      </w:r>
      <w:r w:rsidRPr="00051297">
        <w:rPr>
          <w:rFonts w:cs="Times New Roman"/>
          <w:szCs w:val="24"/>
          <w:vertAlign w:val="subscript"/>
          <w:lang w:val="en-US"/>
        </w:rPr>
        <w:t>h</w:t>
      </w:r>
      <w:r w:rsidRPr="00051297">
        <w:rPr>
          <w:rFonts w:cs="Times New Roman"/>
          <w:szCs w:val="24"/>
          <w:lang w:val="en-US"/>
        </w:rPr>
        <w:t xml:space="preserve"> set to zero. To simulate a horizontal surcharge, such as that caused by an earthquake, a non-zero value of K</w:t>
      </w:r>
      <w:r w:rsidRPr="00051297">
        <w:rPr>
          <w:rFonts w:cs="Times New Roman"/>
          <w:szCs w:val="24"/>
          <w:vertAlign w:val="subscript"/>
          <w:lang w:val="en-US"/>
        </w:rPr>
        <w:t>h</w:t>
      </w:r>
      <w:r w:rsidRPr="00051297">
        <w:rPr>
          <w:rFonts w:cs="Times New Roman"/>
          <w:szCs w:val="24"/>
          <w:lang w:val="en-US"/>
        </w:rPr>
        <w:t xml:space="preserve"> is used.</w:t>
      </w:r>
    </w:p>
    <w:p w14:paraId="6AAFA091" w14:textId="77777777" w:rsidR="00051297" w:rsidRPr="00051297" w:rsidRDefault="00051297" w:rsidP="00051297">
      <w:pPr>
        <w:rPr>
          <w:rFonts w:cs="Times New Roman"/>
          <w:szCs w:val="24"/>
        </w:rPr>
      </w:pPr>
      <w:r w:rsidRPr="00051297">
        <w:rPr>
          <w:rFonts w:cs="Times New Roman"/>
          <w:szCs w:val="24"/>
          <w:lang w:val="en-US"/>
        </w:rPr>
        <w:t xml:space="preserve">The solution of 6n - 1 unknowns is required for the computation of limit equilibrium, whereby n is the number of blocks dividing the soil region above the potential slip surface. </w:t>
      </w:r>
      <w:r w:rsidRPr="00051297">
        <w:rPr>
          <w:rFonts w:cs="Times New Roman"/>
          <w:szCs w:val="24"/>
        </w:rPr>
        <w:t>The</w:t>
      </w:r>
      <w:r w:rsidRPr="00051297">
        <w:rPr>
          <w:rFonts w:cs="Times New Roman"/>
          <w:szCs w:val="24"/>
          <w:lang w:val="en-US"/>
        </w:rPr>
        <w:t xml:space="preserve"> blocks are</w:t>
      </w:r>
      <w:r w:rsidRPr="00051297">
        <w:rPr>
          <w:rFonts w:cs="Times New Roman"/>
          <w:szCs w:val="24"/>
        </w:rPr>
        <w:t xml:space="preserve"> </w:t>
      </w:r>
      <w:r w:rsidRPr="00051297">
        <w:rPr>
          <w:rFonts w:cs="Times New Roman"/>
          <w:szCs w:val="24"/>
          <w:lang w:val="en-US"/>
        </w:rPr>
        <w:t xml:space="preserve">as </w:t>
      </w:r>
      <w:r w:rsidRPr="00051297">
        <w:rPr>
          <w:rFonts w:cs="Times New Roman"/>
          <w:szCs w:val="24"/>
        </w:rPr>
        <w:t xml:space="preserve"> </w:t>
      </w:r>
      <w:r w:rsidRPr="00051297">
        <w:rPr>
          <w:rFonts w:cs="Times New Roman"/>
          <w:szCs w:val="24"/>
          <w:lang w:val="en-US"/>
        </w:rPr>
        <w:t>follows</w:t>
      </w:r>
      <w:r w:rsidRPr="00051297">
        <w:rPr>
          <w:rFonts w:cs="Times New Roman"/>
          <w:szCs w:val="24"/>
        </w:rPr>
        <w:t>:</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6"/>
        <w:gridCol w:w="7995"/>
      </w:tblGrid>
      <w:tr w:rsidR="00051297" w:rsidRPr="00425C78" w14:paraId="1275FDBE" w14:textId="77777777" w:rsidTr="00D20B01">
        <w:trPr>
          <w:trHeight w:val="70"/>
          <w:jc w:val="center"/>
        </w:trPr>
        <w:tc>
          <w:tcPr>
            <w:tcW w:w="730" w:type="dxa"/>
            <w:hideMark/>
          </w:tcPr>
          <w:p w14:paraId="6EAFCF30" w14:textId="77777777" w:rsidR="00051297" w:rsidRPr="00051297" w:rsidRDefault="00051297" w:rsidP="00051297">
            <w:pPr>
              <w:rPr>
                <w:i/>
                <w:iCs/>
                <w:szCs w:val="24"/>
              </w:rPr>
            </w:pPr>
            <w:bookmarkStart w:id="341" w:name="_Hlk97948493"/>
            <w:r w:rsidRPr="00051297">
              <w:rPr>
                <w:i/>
                <w:iCs/>
                <w:szCs w:val="24"/>
              </w:rPr>
              <w:t>E</w:t>
            </w:r>
            <w:r w:rsidRPr="00051297">
              <w:rPr>
                <w:i/>
                <w:iCs/>
                <w:szCs w:val="24"/>
                <w:vertAlign w:val="subscript"/>
              </w:rPr>
              <w:t>i</w:t>
            </w:r>
          </w:p>
        </w:tc>
        <w:tc>
          <w:tcPr>
            <w:tcW w:w="7995" w:type="dxa"/>
            <w:hideMark/>
          </w:tcPr>
          <w:p w14:paraId="69AC4F95" w14:textId="77777777" w:rsidR="00051297" w:rsidRPr="00F97DFC" w:rsidRDefault="00051297" w:rsidP="00051297">
            <w:pPr>
              <w:ind w:firstLine="0"/>
              <w:rPr>
                <w:szCs w:val="24"/>
                <w:lang w:val="en-US"/>
              </w:rPr>
            </w:pPr>
            <w:r w:rsidRPr="00051297">
              <w:rPr>
                <w:rFonts w:cs="Times New Roman"/>
                <w:szCs w:val="24"/>
                <w:lang w:val="en-US"/>
              </w:rPr>
              <w:t xml:space="preserve">– </w:t>
            </w:r>
            <w:r w:rsidRPr="00F97DFC">
              <w:rPr>
                <w:szCs w:val="24"/>
                <w:lang w:val="en-US"/>
              </w:rPr>
              <w:t>between the blocks created forces</w:t>
            </w:r>
          </w:p>
        </w:tc>
      </w:tr>
      <w:tr w:rsidR="00051297" w:rsidRPr="00425C78" w14:paraId="491CAE4E" w14:textId="77777777" w:rsidTr="00D20B01">
        <w:trPr>
          <w:trHeight w:val="70"/>
          <w:jc w:val="center"/>
        </w:trPr>
        <w:tc>
          <w:tcPr>
            <w:tcW w:w="730" w:type="dxa"/>
            <w:hideMark/>
          </w:tcPr>
          <w:p w14:paraId="53942A1B" w14:textId="77777777" w:rsidR="00051297" w:rsidRPr="00051297" w:rsidRDefault="00051297" w:rsidP="00051297">
            <w:pPr>
              <w:rPr>
                <w:i/>
                <w:iCs/>
                <w:szCs w:val="24"/>
              </w:rPr>
            </w:pPr>
            <w:r w:rsidRPr="00051297">
              <w:rPr>
                <w:i/>
                <w:iCs/>
                <w:szCs w:val="24"/>
              </w:rPr>
              <w:t>N</w:t>
            </w:r>
            <w:r w:rsidRPr="00051297">
              <w:rPr>
                <w:i/>
                <w:iCs/>
                <w:szCs w:val="24"/>
                <w:vertAlign w:val="subscript"/>
              </w:rPr>
              <w:t>i</w:t>
            </w:r>
          </w:p>
        </w:tc>
        <w:tc>
          <w:tcPr>
            <w:tcW w:w="7995" w:type="dxa"/>
            <w:hideMark/>
          </w:tcPr>
          <w:p w14:paraId="76201D9B" w14:textId="77777777" w:rsidR="00051297" w:rsidRPr="00051297" w:rsidRDefault="00051297" w:rsidP="00051297">
            <w:pPr>
              <w:ind w:firstLine="0"/>
              <w:rPr>
                <w:szCs w:val="24"/>
                <w:lang w:val="en-US"/>
              </w:rPr>
            </w:pPr>
            <w:r w:rsidRPr="00051297">
              <w:rPr>
                <w:rFonts w:cs="Times New Roman"/>
                <w:szCs w:val="24"/>
                <w:lang w:val="en-US"/>
              </w:rPr>
              <w:t xml:space="preserve">– </w:t>
            </w:r>
            <w:r w:rsidRPr="00051297">
              <w:rPr>
                <w:szCs w:val="24"/>
                <w:lang w:val="en-US"/>
              </w:rPr>
              <w:t>typical forces acting on the surface of the slip</w:t>
            </w:r>
          </w:p>
        </w:tc>
      </w:tr>
      <w:tr w:rsidR="00051297" w:rsidRPr="00051297" w14:paraId="6017BBED" w14:textId="77777777" w:rsidTr="00D20B01">
        <w:trPr>
          <w:trHeight w:val="70"/>
          <w:jc w:val="center"/>
        </w:trPr>
        <w:tc>
          <w:tcPr>
            <w:tcW w:w="730" w:type="dxa"/>
            <w:hideMark/>
          </w:tcPr>
          <w:p w14:paraId="6C57CEDC" w14:textId="77777777" w:rsidR="00051297" w:rsidRPr="00051297" w:rsidRDefault="00051297" w:rsidP="00051297">
            <w:pPr>
              <w:rPr>
                <w:i/>
                <w:iCs/>
                <w:szCs w:val="24"/>
              </w:rPr>
            </w:pPr>
            <w:r w:rsidRPr="00051297">
              <w:rPr>
                <w:i/>
                <w:iCs/>
                <w:szCs w:val="24"/>
              </w:rPr>
              <w:t>T</w:t>
            </w:r>
            <w:r w:rsidRPr="00051297">
              <w:rPr>
                <w:i/>
                <w:iCs/>
                <w:szCs w:val="24"/>
                <w:vertAlign w:val="subscript"/>
              </w:rPr>
              <w:t>i</w:t>
            </w:r>
          </w:p>
        </w:tc>
        <w:tc>
          <w:tcPr>
            <w:tcW w:w="7995" w:type="dxa"/>
            <w:hideMark/>
          </w:tcPr>
          <w:p w14:paraId="7FA7B6AB" w14:textId="77777777" w:rsidR="00051297" w:rsidRPr="00051297" w:rsidRDefault="00051297" w:rsidP="00051297">
            <w:pPr>
              <w:ind w:firstLine="0"/>
              <w:rPr>
                <w:szCs w:val="24"/>
                <w:lang w:val="en-US"/>
              </w:rPr>
            </w:pPr>
            <w:r w:rsidRPr="00051297">
              <w:rPr>
                <w:rFonts w:cs="Times New Roman"/>
                <w:szCs w:val="24"/>
                <w:lang w:val="en-US"/>
              </w:rPr>
              <w:t xml:space="preserve">– slip surface </w:t>
            </w:r>
            <w:r w:rsidRPr="00051297">
              <w:rPr>
                <w:szCs w:val="24"/>
                <w:lang w:val="en-US"/>
              </w:rPr>
              <w:t xml:space="preserve">shear forces </w:t>
            </w:r>
          </w:p>
        </w:tc>
      </w:tr>
      <w:tr w:rsidR="00051297" w:rsidRPr="00425C78" w14:paraId="0A7A2EA1" w14:textId="77777777" w:rsidTr="00D20B01">
        <w:trPr>
          <w:trHeight w:val="70"/>
          <w:jc w:val="center"/>
        </w:trPr>
        <w:tc>
          <w:tcPr>
            <w:tcW w:w="730" w:type="dxa"/>
            <w:hideMark/>
          </w:tcPr>
          <w:p w14:paraId="09914C0B" w14:textId="77777777" w:rsidR="00051297" w:rsidRPr="00051297" w:rsidRDefault="00051297" w:rsidP="00051297">
            <w:pPr>
              <w:rPr>
                <w:i/>
                <w:iCs/>
                <w:szCs w:val="24"/>
              </w:rPr>
            </w:pPr>
            <w:r w:rsidRPr="00051297">
              <w:rPr>
                <w:i/>
                <w:iCs/>
                <w:szCs w:val="24"/>
              </w:rPr>
              <w:t>X</w:t>
            </w:r>
            <w:r w:rsidRPr="00051297">
              <w:rPr>
                <w:i/>
                <w:iCs/>
                <w:szCs w:val="24"/>
                <w:vertAlign w:val="subscript"/>
              </w:rPr>
              <w:t>i</w:t>
            </w:r>
          </w:p>
        </w:tc>
        <w:tc>
          <w:tcPr>
            <w:tcW w:w="7995" w:type="dxa"/>
            <w:hideMark/>
          </w:tcPr>
          <w:p w14:paraId="261EE66A" w14:textId="77777777" w:rsidR="00051297" w:rsidRPr="00051297" w:rsidRDefault="00051297" w:rsidP="00051297">
            <w:pPr>
              <w:ind w:firstLine="0"/>
              <w:rPr>
                <w:szCs w:val="24"/>
                <w:lang w:val="en-US"/>
              </w:rPr>
            </w:pPr>
            <w:r w:rsidRPr="00051297">
              <w:rPr>
                <w:rFonts w:cs="Times New Roman"/>
                <w:szCs w:val="24"/>
                <w:lang w:val="en-US"/>
              </w:rPr>
              <w:t>–</w:t>
            </w:r>
            <w:r w:rsidRPr="00051297">
              <w:rPr>
                <w:szCs w:val="24"/>
                <w:lang w:val="en-US"/>
              </w:rPr>
              <w:t xml:space="preserve"> represents shear forces</w:t>
            </w:r>
            <w:r w:rsidRPr="00F97DFC">
              <w:rPr>
                <w:lang w:val="en-US"/>
              </w:rPr>
              <w:t xml:space="preserve"> </w:t>
            </w:r>
            <w:r w:rsidRPr="00051297">
              <w:rPr>
                <w:szCs w:val="24"/>
                <w:lang w:val="en-US"/>
              </w:rPr>
              <w:t>between blocks</w:t>
            </w:r>
          </w:p>
        </w:tc>
      </w:tr>
      <w:tr w:rsidR="00051297" w:rsidRPr="00425C78" w14:paraId="43B54C51" w14:textId="77777777" w:rsidTr="00D20B01">
        <w:trPr>
          <w:trHeight w:val="422"/>
          <w:jc w:val="center"/>
        </w:trPr>
        <w:tc>
          <w:tcPr>
            <w:tcW w:w="730" w:type="dxa"/>
            <w:hideMark/>
          </w:tcPr>
          <w:p w14:paraId="0C5B79DC" w14:textId="77777777" w:rsidR="00051297" w:rsidRPr="00051297" w:rsidRDefault="00051297" w:rsidP="00051297">
            <w:pPr>
              <w:rPr>
                <w:i/>
                <w:iCs/>
                <w:szCs w:val="24"/>
              </w:rPr>
            </w:pPr>
            <w:r w:rsidRPr="00051297">
              <w:rPr>
                <w:i/>
                <w:iCs/>
                <w:szCs w:val="24"/>
              </w:rPr>
              <w:t>z</w:t>
            </w:r>
            <w:r w:rsidRPr="00051297">
              <w:rPr>
                <w:i/>
                <w:iCs/>
                <w:szCs w:val="24"/>
                <w:vertAlign w:val="subscript"/>
              </w:rPr>
              <w:t>i</w:t>
            </w:r>
          </w:p>
        </w:tc>
        <w:tc>
          <w:tcPr>
            <w:tcW w:w="7995" w:type="dxa"/>
            <w:hideMark/>
          </w:tcPr>
          <w:p w14:paraId="2C5E9635" w14:textId="77777777" w:rsidR="00051297" w:rsidRPr="00051297" w:rsidRDefault="00051297" w:rsidP="00051297">
            <w:pPr>
              <w:ind w:firstLine="0"/>
              <w:rPr>
                <w:szCs w:val="24"/>
                <w:lang w:val="en-US"/>
              </w:rPr>
            </w:pPr>
            <w:r w:rsidRPr="00051297">
              <w:rPr>
                <w:rFonts w:cs="Times New Roman"/>
                <w:szCs w:val="24"/>
                <w:lang w:val="en-US"/>
              </w:rPr>
              <w:t xml:space="preserve">– </w:t>
            </w:r>
            <w:r w:rsidRPr="00051297">
              <w:rPr>
                <w:szCs w:val="24"/>
                <w:lang w:val="en-US"/>
              </w:rPr>
              <w:t>positions where forces are applied</w:t>
            </w:r>
          </w:p>
        </w:tc>
      </w:tr>
      <w:tr w:rsidR="00051297" w:rsidRPr="00425C78" w14:paraId="366BE1CA" w14:textId="77777777" w:rsidTr="00D20B01">
        <w:trPr>
          <w:trHeight w:val="70"/>
          <w:jc w:val="center"/>
        </w:trPr>
        <w:tc>
          <w:tcPr>
            <w:tcW w:w="730" w:type="dxa"/>
            <w:hideMark/>
          </w:tcPr>
          <w:p w14:paraId="1D3D89D5" w14:textId="77777777" w:rsidR="00051297" w:rsidRPr="00051297" w:rsidRDefault="00051297" w:rsidP="00051297">
            <w:pPr>
              <w:rPr>
                <w:i/>
                <w:iCs/>
                <w:szCs w:val="24"/>
              </w:rPr>
            </w:pPr>
            <w:r w:rsidRPr="00051297">
              <w:rPr>
                <w:i/>
                <w:iCs/>
                <w:szCs w:val="24"/>
              </w:rPr>
              <w:t>l</w:t>
            </w:r>
            <w:r w:rsidRPr="00051297">
              <w:rPr>
                <w:i/>
                <w:iCs/>
                <w:szCs w:val="24"/>
                <w:vertAlign w:val="subscript"/>
              </w:rPr>
              <w:t>i</w:t>
            </w:r>
          </w:p>
        </w:tc>
        <w:tc>
          <w:tcPr>
            <w:tcW w:w="7995" w:type="dxa"/>
            <w:hideMark/>
          </w:tcPr>
          <w:p w14:paraId="5CDD7204" w14:textId="77777777" w:rsidR="00051297" w:rsidRPr="00051297" w:rsidRDefault="00051297" w:rsidP="00051297">
            <w:pPr>
              <w:ind w:firstLine="0"/>
              <w:rPr>
                <w:szCs w:val="24"/>
                <w:lang w:val="en-US"/>
              </w:rPr>
            </w:pPr>
            <w:r w:rsidRPr="00051297">
              <w:rPr>
                <w:rFonts w:cs="Times New Roman"/>
                <w:szCs w:val="24"/>
                <w:lang w:val="en-US"/>
              </w:rPr>
              <w:t xml:space="preserve">– </w:t>
            </w:r>
            <w:r w:rsidRPr="00051297">
              <w:rPr>
                <w:szCs w:val="24"/>
                <w:lang w:val="en-US"/>
              </w:rPr>
              <w:t>positions where forces are applied</w:t>
            </w:r>
          </w:p>
        </w:tc>
      </w:tr>
      <w:tr w:rsidR="00051297" w:rsidRPr="00051297" w14:paraId="59DEF23B" w14:textId="77777777" w:rsidTr="00D20B01">
        <w:trPr>
          <w:trHeight w:val="70"/>
          <w:jc w:val="center"/>
        </w:trPr>
        <w:tc>
          <w:tcPr>
            <w:tcW w:w="730" w:type="dxa"/>
            <w:hideMark/>
          </w:tcPr>
          <w:p w14:paraId="63C1D028" w14:textId="77777777" w:rsidR="00051297" w:rsidRPr="00051297" w:rsidRDefault="00051297" w:rsidP="00051297">
            <w:pPr>
              <w:spacing w:after="160"/>
              <w:rPr>
                <w:i/>
                <w:iCs/>
                <w:szCs w:val="24"/>
              </w:rPr>
            </w:pPr>
            <w:r w:rsidRPr="00051297">
              <w:rPr>
                <w:i/>
                <w:iCs/>
                <w:szCs w:val="24"/>
              </w:rPr>
              <w:t>K</w:t>
            </w:r>
            <w:r w:rsidRPr="00051297">
              <w:rPr>
                <w:i/>
                <w:iCs/>
                <w:szCs w:val="24"/>
                <w:vertAlign w:val="subscript"/>
              </w:rPr>
              <w:t>h</w:t>
            </w:r>
          </w:p>
        </w:tc>
        <w:tc>
          <w:tcPr>
            <w:tcW w:w="7995" w:type="dxa"/>
            <w:hideMark/>
          </w:tcPr>
          <w:p w14:paraId="1D5B7D34" w14:textId="77777777" w:rsidR="00051297" w:rsidRPr="00051297" w:rsidRDefault="00051297" w:rsidP="00051297">
            <w:pPr>
              <w:spacing w:after="160"/>
              <w:ind w:firstLine="0"/>
              <w:rPr>
                <w:szCs w:val="24"/>
                <w:lang w:val="en-US"/>
              </w:rPr>
            </w:pPr>
            <w:r w:rsidRPr="00051297">
              <w:rPr>
                <w:rFonts w:cs="Times New Roman"/>
                <w:szCs w:val="24"/>
                <w:lang w:val="en-US"/>
              </w:rPr>
              <w:t xml:space="preserve">– </w:t>
            </w:r>
            <w:r w:rsidRPr="00051297">
              <w:rPr>
                <w:szCs w:val="24"/>
                <w:lang w:val="en-US"/>
              </w:rPr>
              <w:t>a horizontal acceleration factor</w:t>
            </w:r>
          </w:p>
        </w:tc>
      </w:tr>
    </w:tbl>
    <w:bookmarkEnd w:id="341"/>
    <w:p w14:paraId="58FFA011" w14:textId="77777777" w:rsidR="00051297" w:rsidRPr="00051297" w:rsidRDefault="00051297" w:rsidP="00051297">
      <w:pPr>
        <w:rPr>
          <w:rFonts w:cs="Times New Roman"/>
          <w:szCs w:val="24"/>
        </w:rPr>
      </w:pPr>
      <w:r w:rsidRPr="00051297">
        <w:rPr>
          <w:rFonts w:cs="Times New Roman"/>
          <w:szCs w:val="24"/>
          <w:lang w:val="en-US"/>
        </w:rPr>
        <w:t xml:space="preserve">For the required unknowns, 5n - 1 equations are available. </w:t>
      </w:r>
      <w:r w:rsidRPr="00051297">
        <w:rPr>
          <w:rFonts w:cs="Times New Roman"/>
          <w:szCs w:val="24"/>
        </w:rPr>
        <w:t>We have:</w:t>
      </w:r>
    </w:p>
    <w:p w14:paraId="61AC95D3" w14:textId="77777777" w:rsidR="00051297" w:rsidRPr="00051297" w:rsidRDefault="00051297" w:rsidP="00051297">
      <w:pPr>
        <w:numPr>
          <w:ilvl w:val="0"/>
          <w:numId w:val="32"/>
        </w:numPr>
        <w:tabs>
          <w:tab w:val="left" w:pos="851"/>
        </w:tabs>
        <w:contextualSpacing/>
        <w:rPr>
          <w:rFonts w:cs="Times New Roman"/>
          <w:szCs w:val="24"/>
          <w:lang w:val="en-US"/>
        </w:rPr>
      </w:pPr>
      <w:r w:rsidRPr="00051297">
        <w:rPr>
          <w:rFonts w:cs="Times New Roman"/>
          <w:szCs w:val="24"/>
          <w:lang w:val="en-US"/>
        </w:rPr>
        <w:t xml:space="preserve"> horizontal force equations of equilibrium on blocks: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612AD6D2" w14:textId="77777777" w:rsidTr="00D20B01">
        <w:tc>
          <w:tcPr>
            <w:tcW w:w="265" w:type="dxa"/>
          </w:tcPr>
          <w:p w14:paraId="34FC9DD7" w14:textId="77777777" w:rsidR="00051297" w:rsidRPr="00051297" w:rsidRDefault="00051297" w:rsidP="00051297">
            <w:pPr>
              <w:spacing w:after="160"/>
              <w:rPr>
                <w:b/>
                <w:bCs/>
                <w:szCs w:val="24"/>
                <w:lang w:val="en-US"/>
              </w:rPr>
            </w:pPr>
          </w:p>
        </w:tc>
        <w:tc>
          <w:tcPr>
            <w:tcW w:w="8820" w:type="dxa"/>
          </w:tcPr>
          <w:p w14:paraId="5A4000F1"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i</m:t>
                    </m:r>
                  </m:sub>
                </m:sSub>
                <m:sSub>
                  <m:sSubPr>
                    <m:ctrlPr>
                      <w:rPr>
                        <w:rFonts w:ascii="Cambria Math" w:hAnsi="Cambria Math"/>
                        <w:i/>
                        <w:szCs w:val="24"/>
                      </w:rPr>
                    </m:ctrlPr>
                  </m:sSubPr>
                  <m:e>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α</m:t>
                        </m:r>
                      </m:e>
                    </m:func>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i</m:t>
                    </m:r>
                  </m:sub>
                </m:sSub>
                <m:sSub>
                  <m:sSubPr>
                    <m:ctrlPr>
                      <w:rPr>
                        <w:rFonts w:ascii="Cambria Math" w:hAnsi="Cambria Math"/>
                        <w:i/>
                        <w:szCs w:val="24"/>
                      </w:rPr>
                    </m:ctrlPr>
                  </m:sSubPr>
                  <m:e>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α</m:t>
                        </m:r>
                      </m:e>
                    </m:func>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h</m:t>
                    </m:r>
                  </m:sub>
                </m:sSub>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δ</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δ</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δ</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δ</m:t>
                                    </m:r>
                                  </m:e>
                                  <m:sub>
                                    <m:r>
                                      <w:rPr>
                                        <w:rFonts w:ascii="Cambria Math" w:hAnsi="Cambria Math"/>
                                        <w:szCs w:val="24"/>
                                      </w:rPr>
                                      <m:t>i</m:t>
                                    </m:r>
                                  </m:sub>
                                </m:sSub>
                              </m:e>
                            </m:func>
                          </m:e>
                        </m:func>
                      </m:e>
                    </m:func>
                  </m:e>
                </m:func>
              </m:oMath>
            </m:oMathPara>
          </w:p>
        </w:tc>
        <w:tc>
          <w:tcPr>
            <w:tcW w:w="265" w:type="dxa"/>
          </w:tcPr>
          <w:p w14:paraId="64711476" w14:textId="2750D12C"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40</w:t>
            </w:r>
            <w:r w:rsidRPr="00051297">
              <w:rPr>
                <w:szCs w:val="24"/>
                <w:lang w:val="en-US"/>
              </w:rPr>
              <w:fldChar w:fldCharType="end"/>
            </w:r>
            <w:r w:rsidRPr="00051297">
              <w:rPr>
                <w:szCs w:val="24"/>
                <w:lang w:val="en-US"/>
              </w:rPr>
              <w:t>)</w:t>
            </w:r>
          </w:p>
        </w:tc>
      </w:tr>
    </w:tbl>
    <w:p w14:paraId="24BDBF3B" w14:textId="77777777" w:rsidR="00051297" w:rsidRPr="00051297" w:rsidRDefault="00051297" w:rsidP="00051297">
      <w:pPr>
        <w:numPr>
          <w:ilvl w:val="0"/>
          <w:numId w:val="32"/>
        </w:numPr>
        <w:tabs>
          <w:tab w:val="left" w:pos="851"/>
        </w:tabs>
        <w:contextualSpacing/>
        <w:rPr>
          <w:rFonts w:cs="Times New Roman"/>
          <w:szCs w:val="24"/>
          <w:lang w:val="en-US"/>
        </w:rPr>
      </w:pPr>
      <w:r w:rsidRPr="00051297">
        <w:rPr>
          <w:rFonts w:cs="Times New Roman"/>
          <w:szCs w:val="24"/>
          <w:lang w:val="en-US"/>
        </w:rPr>
        <w:t>vertical force equations of equilibrium on blocks: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6D4E6AC5" w14:textId="77777777" w:rsidTr="00D20B01">
        <w:tc>
          <w:tcPr>
            <w:tcW w:w="265" w:type="dxa"/>
          </w:tcPr>
          <w:p w14:paraId="1E5DEE83" w14:textId="77777777" w:rsidR="00051297" w:rsidRPr="00051297" w:rsidRDefault="00051297" w:rsidP="00051297">
            <w:pPr>
              <w:spacing w:after="160"/>
              <w:rPr>
                <w:b/>
                <w:bCs/>
                <w:szCs w:val="24"/>
                <w:lang w:val="en-US"/>
              </w:rPr>
            </w:pPr>
          </w:p>
        </w:tc>
        <w:tc>
          <w:tcPr>
            <w:tcW w:w="8820" w:type="dxa"/>
          </w:tcPr>
          <w:p w14:paraId="1493D449"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i</m:t>
                    </m:r>
                  </m:sub>
                </m:sSub>
                <m:sSub>
                  <m:sSubPr>
                    <m:ctrlPr>
                      <w:rPr>
                        <w:rFonts w:ascii="Cambria Math" w:hAnsi="Cambria Math"/>
                        <w:i/>
                        <w:szCs w:val="24"/>
                      </w:rPr>
                    </m:ctrlPr>
                  </m:sSubPr>
                  <m:e>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α</m:t>
                        </m:r>
                      </m:e>
                    </m:func>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i</m:t>
                    </m:r>
                  </m:sub>
                </m:sSub>
                <m:sSub>
                  <m:sSubPr>
                    <m:ctrlPr>
                      <w:rPr>
                        <w:rFonts w:ascii="Cambria Math" w:hAnsi="Cambria Math"/>
                        <w:i/>
                        <w:szCs w:val="24"/>
                      </w:rPr>
                    </m:ctrlPr>
                  </m:sSubPr>
                  <m:e>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α</m:t>
                        </m:r>
                      </m:e>
                    </m:func>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δ</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δ</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δ</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δ</m:t>
                                    </m:r>
                                  </m:e>
                                  <m:sub>
                                    <m:r>
                                      <w:rPr>
                                        <w:rFonts w:ascii="Cambria Math" w:hAnsi="Cambria Math"/>
                                        <w:szCs w:val="24"/>
                                      </w:rPr>
                                      <m:t>i</m:t>
                                    </m:r>
                                  </m:sub>
                                </m:sSub>
                              </m:e>
                            </m:func>
                          </m:e>
                        </m:func>
                      </m:e>
                    </m:func>
                  </m:e>
                </m:func>
              </m:oMath>
            </m:oMathPara>
          </w:p>
        </w:tc>
        <w:tc>
          <w:tcPr>
            <w:tcW w:w="265" w:type="dxa"/>
          </w:tcPr>
          <w:p w14:paraId="0643ACF2" w14:textId="0F0CAA81"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41</w:t>
            </w:r>
            <w:r w:rsidRPr="00051297">
              <w:rPr>
                <w:szCs w:val="24"/>
                <w:lang w:val="en-US"/>
              </w:rPr>
              <w:fldChar w:fldCharType="end"/>
            </w:r>
            <w:r w:rsidRPr="00051297">
              <w:rPr>
                <w:szCs w:val="24"/>
                <w:lang w:val="en-US"/>
              </w:rPr>
              <w:t>)</w:t>
            </w:r>
          </w:p>
        </w:tc>
      </w:tr>
    </w:tbl>
    <w:p w14:paraId="746303DF" w14:textId="77777777" w:rsidR="00051297" w:rsidRPr="00051297" w:rsidRDefault="00051297" w:rsidP="00051297">
      <w:pPr>
        <w:numPr>
          <w:ilvl w:val="0"/>
          <w:numId w:val="32"/>
        </w:numPr>
        <w:tabs>
          <w:tab w:val="left" w:pos="851"/>
        </w:tabs>
        <w:contextualSpacing/>
        <w:rPr>
          <w:rFonts w:cs="Times New Roman"/>
          <w:szCs w:val="24"/>
          <w:lang w:val="en-US"/>
        </w:rPr>
      </w:pPr>
      <w:r w:rsidRPr="00051297">
        <w:rPr>
          <w:rFonts w:cs="Times New Roman"/>
          <w:szCs w:val="24"/>
          <w:lang w:val="en-US"/>
        </w:rPr>
        <w:t>Equilibrium moment equations for blocks: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051297" w14:paraId="6954E46F" w14:textId="77777777" w:rsidTr="00D20B01">
        <w:tc>
          <w:tcPr>
            <w:tcW w:w="265" w:type="dxa"/>
          </w:tcPr>
          <w:p w14:paraId="1598690B" w14:textId="77777777" w:rsidR="00051297" w:rsidRPr="00051297" w:rsidRDefault="00051297" w:rsidP="00051297">
            <w:pPr>
              <w:spacing w:after="160"/>
              <w:rPr>
                <w:b/>
                <w:bCs/>
                <w:szCs w:val="24"/>
                <w:lang w:val="en-US"/>
              </w:rPr>
            </w:pPr>
            <w:bookmarkStart w:id="342" w:name="_Hlk92386495"/>
          </w:p>
        </w:tc>
        <w:tc>
          <w:tcPr>
            <w:tcW w:w="8820" w:type="dxa"/>
          </w:tcPr>
          <w:p w14:paraId="1302752F"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i+1</m:t>
                    </m:r>
                  </m:sub>
                </m:sSub>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sec</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δ</m:t>
                                </m:r>
                              </m:e>
                              <m:sub>
                                <m:r>
                                  <w:rPr>
                                    <w:rFonts w:ascii="Cambria Math" w:hAnsi="Cambria Math"/>
                                    <w:szCs w:val="24"/>
                                  </w:rPr>
                                  <m:t>i+1</m:t>
                                </m:r>
                              </m:sub>
                            </m:sSub>
                          </m:e>
                        </m:d>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1</m:t>
                                </m:r>
                              </m:sub>
                            </m:sSub>
                            <m:func>
                              <m:funcPr>
                                <m:ctrlPr>
                                  <w:rPr>
                                    <w:rFonts w:ascii="Cambria Math" w:hAnsi="Cambria Math"/>
                                    <w:i/>
                                    <w:szCs w:val="24"/>
                                  </w:rPr>
                                </m:ctrlPr>
                              </m:funcPr>
                              <m:fName>
                                <m:r>
                                  <m:rPr>
                                    <m:sty m:val="p"/>
                                  </m:rPr>
                                  <w:rPr>
                                    <w:rFonts w:ascii="Cambria Math" w:hAnsi="Cambria Math"/>
                                    <w:szCs w:val="24"/>
                                  </w:rPr>
                                  <m:t>sec</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δ</m:t>
                                            </m:r>
                                          </m:e>
                                          <m:sub>
                                            <m:r>
                                              <w:rPr>
                                                <w:rFonts w:ascii="Cambria Math" w:hAnsi="Cambria Math"/>
                                                <w:szCs w:val="24"/>
                                              </w:rPr>
                                              <m:t>i+1</m:t>
                                            </m:r>
                                          </m:sub>
                                        </m:sSub>
                                      </m:e>
                                    </m:d>
                                  </m:e>
                                </m:func>
                              </m:e>
                            </m:func>
                          </m:e>
                        </m:d>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z</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gi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e>
                        </m:d>
                      </m:e>
                    </m:func>
                  </m:e>
                </m:func>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h</m:t>
                    </m:r>
                  </m:sub>
                </m:sSub>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gi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m:t>
                        </m:r>
                      </m:sub>
                    </m:sSub>
                  </m:e>
                </m:d>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γx</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γy</m:t>
                    </m:r>
                  </m:e>
                  <m:sub>
                    <m:r>
                      <w:rPr>
                        <w:rFonts w:ascii="Cambria Math" w:hAnsi="Cambria Math"/>
                        <w:szCs w:val="24"/>
                      </w:rPr>
                      <m:t>i</m:t>
                    </m:r>
                  </m:sub>
                </m:sSub>
                <m:r>
                  <w:rPr>
                    <w:rFonts w:ascii="Cambria Math" w:hAnsi="Cambria Math"/>
                    <w:szCs w:val="24"/>
                  </w:rPr>
                  <m:t>=0</m:t>
                </m:r>
              </m:oMath>
            </m:oMathPara>
          </w:p>
        </w:tc>
        <w:tc>
          <w:tcPr>
            <w:tcW w:w="265" w:type="dxa"/>
          </w:tcPr>
          <w:p w14:paraId="605649AA" w14:textId="525A4A79"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42</w:t>
            </w:r>
            <w:r w:rsidRPr="00051297">
              <w:rPr>
                <w:szCs w:val="24"/>
                <w:lang w:val="en-US"/>
              </w:rPr>
              <w:fldChar w:fldCharType="end"/>
            </w:r>
            <w:r w:rsidRPr="00051297">
              <w:rPr>
                <w:szCs w:val="24"/>
                <w:lang w:val="en-US"/>
              </w:rPr>
              <w:t>)</w:t>
            </w:r>
          </w:p>
        </w:tc>
      </w:tr>
    </w:tbl>
    <w:bookmarkEnd w:id="342"/>
    <w:p w14:paraId="53F7ECBA" w14:textId="4F9B587E" w:rsidR="00051297" w:rsidRPr="00051297" w:rsidRDefault="00051297" w:rsidP="00051297">
      <w:pPr>
        <w:rPr>
          <w:rFonts w:cs="Times New Roman"/>
          <w:szCs w:val="24"/>
          <w:lang w:val="en-US"/>
        </w:rPr>
      </w:pPr>
      <w:r w:rsidRPr="00222B19">
        <w:rPr>
          <w:rFonts w:cs="Times New Roman"/>
          <w:szCs w:val="24"/>
          <w:lang w:val="en-US"/>
        </w:rPr>
        <w:t>Whereby</w:t>
      </w:r>
      <w:r w:rsidRPr="00051297">
        <w:rPr>
          <w:rFonts w:cs="Times New Roman"/>
          <w:szCs w:val="24"/>
          <w:lang w:val="en-US"/>
        </w:rPr>
        <w:t>:</w:t>
      </w:r>
      <w:r w:rsidR="00F20872">
        <w:rPr>
          <w:rFonts w:cs="Times New Roman"/>
          <w:szCs w:val="24"/>
          <w:lang w:val="en-US"/>
        </w:rPr>
        <w:t xml:space="preserve"> </w:t>
      </w:r>
      <w:r w:rsidRPr="00051297">
        <w:rPr>
          <w:rFonts w:cs="Times New Roman"/>
          <w:szCs w:val="24"/>
          <w:lang w:val="en-US"/>
        </w:rPr>
        <w:t>Rx</w:t>
      </w:r>
      <w:r w:rsidRPr="00051297">
        <w:rPr>
          <w:rFonts w:cs="Times New Roman"/>
          <w:szCs w:val="24"/>
          <w:vertAlign w:val="subscript"/>
          <w:lang w:val="en-US"/>
        </w:rPr>
        <w:t>i</w:t>
      </w:r>
      <w:r w:rsidRPr="00051297">
        <w:rPr>
          <w:rFonts w:cs="Times New Roman"/>
          <w:szCs w:val="24"/>
          <w:lang w:val="en-US"/>
        </w:rPr>
        <w:t xml:space="preserve"> and </w:t>
      </w:r>
      <m:oMath>
        <m:sSub>
          <m:sSubPr>
            <m:ctrlPr>
              <w:rPr>
                <w:rFonts w:ascii="Cambria Math" w:hAnsi="Cambria Math"/>
                <w:i/>
                <w:szCs w:val="24"/>
              </w:rPr>
            </m:ctrlPr>
          </m:sSubPr>
          <m:e>
            <m:r>
              <w:rPr>
                <w:rFonts w:ascii="Cambria Math" w:hAnsi="Cambria Math"/>
                <w:szCs w:val="24"/>
              </w:rPr>
              <m:t>γy</m:t>
            </m:r>
          </m:e>
          <m:sub>
            <m:r>
              <w:rPr>
                <w:rFonts w:ascii="Cambria Math" w:hAnsi="Cambria Math"/>
                <w:szCs w:val="24"/>
              </w:rPr>
              <m:t>i</m:t>
            </m:r>
          </m:sub>
        </m:sSub>
      </m:oMath>
      <w:r w:rsidRPr="00051297">
        <w:rPr>
          <w:rFonts w:cs="Times New Roman"/>
          <w:szCs w:val="24"/>
          <w:lang w:val="en-US"/>
        </w:rPr>
        <w:t xml:space="preserve"> – are arms of forces Fx</w:t>
      </w:r>
      <w:r w:rsidRPr="00051297">
        <w:rPr>
          <w:rFonts w:cs="Times New Roman"/>
          <w:szCs w:val="24"/>
          <w:vertAlign w:val="subscript"/>
          <w:lang w:val="en-US"/>
        </w:rPr>
        <w:t>i</w:t>
      </w:r>
      <w:r w:rsidRPr="00051297">
        <w:rPr>
          <w:rFonts w:cs="Times New Roman"/>
          <w:szCs w:val="24"/>
          <w:lang w:val="en-US"/>
        </w:rPr>
        <w:t xml:space="preserve"> and Fy</w:t>
      </w:r>
      <w:r w:rsidRPr="00051297">
        <w:rPr>
          <w:rFonts w:cs="Times New Roman"/>
          <w:szCs w:val="24"/>
          <w:vertAlign w:val="subscript"/>
          <w:lang w:val="en-US"/>
        </w:rPr>
        <w:t>i</w:t>
      </w:r>
      <w:r w:rsidRPr="00051297">
        <w:rPr>
          <w:rFonts w:cs="Times New Roman"/>
          <w:szCs w:val="24"/>
          <w:lang w:val="en-US"/>
        </w:rPr>
        <w:t>.</w:t>
      </w:r>
    </w:p>
    <w:p w14:paraId="69417EB3" w14:textId="77777777" w:rsidR="00051297" w:rsidRPr="00051297" w:rsidRDefault="00051297" w:rsidP="00051297">
      <w:pPr>
        <w:numPr>
          <w:ilvl w:val="0"/>
          <w:numId w:val="32"/>
        </w:numPr>
        <w:tabs>
          <w:tab w:val="left" w:pos="851"/>
        </w:tabs>
        <w:contextualSpacing/>
        <w:rPr>
          <w:rFonts w:cs="Times New Roman"/>
          <w:szCs w:val="24"/>
          <w:lang w:val="en-US"/>
        </w:rPr>
      </w:pPr>
      <w:r w:rsidRPr="00051297">
        <w:rPr>
          <w:rFonts w:cs="Times New Roman"/>
          <w:szCs w:val="24"/>
          <w:lang w:val="en-US"/>
        </w:rPr>
        <w:t>According to the Mohr-Coulomb hypothesis, the normal and shear forces have the following relationship:</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548ABA2D" w14:textId="77777777" w:rsidTr="00D20B01">
        <w:tc>
          <w:tcPr>
            <w:tcW w:w="265" w:type="dxa"/>
          </w:tcPr>
          <w:p w14:paraId="10A67EC8" w14:textId="77777777" w:rsidR="00051297" w:rsidRPr="00051297" w:rsidRDefault="00051297" w:rsidP="00051297">
            <w:pPr>
              <w:spacing w:after="160"/>
              <w:rPr>
                <w:szCs w:val="24"/>
                <w:lang w:val="en-US"/>
              </w:rPr>
            </w:pPr>
          </w:p>
        </w:tc>
        <w:tc>
          <w:tcPr>
            <w:tcW w:w="8820" w:type="dxa"/>
          </w:tcPr>
          <w:p w14:paraId="5E5A8BC2"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i</m:t>
                    </m:r>
                  </m:sub>
                </m:sSub>
                <m:r>
                  <w:rPr>
                    <w:rFonts w:ascii="Cambria Math" w:hAns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N</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1</m:t>
                        </m:r>
                      </m:sub>
                    </m:sSub>
                    <m:sSub>
                      <m:sSubPr>
                        <m:ctrlPr>
                          <w:rPr>
                            <w:rFonts w:ascii="Cambria Math" w:hAnsi="Cambria Math"/>
                            <w:i/>
                            <w:szCs w:val="24"/>
                          </w:rPr>
                        </m:ctrlPr>
                      </m:sSubPr>
                      <m:e>
                        <m:r>
                          <w:rPr>
                            <w:rFonts w:ascii="Cambria Math" w:hAnsi="Cambria Math"/>
                            <w:szCs w:val="24"/>
                          </w:rPr>
                          <m:t>b</m:t>
                        </m:r>
                      </m:e>
                      <m:sub>
                        <m:r>
                          <w:rPr>
                            <w:rFonts w:ascii="Cambria Math" w:hAnsi="Cambria Math"/>
                            <w:szCs w:val="24"/>
                          </w:rPr>
                          <m:t>1</m:t>
                        </m:r>
                      </m:sub>
                    </m:sSub>
                    <m:func>
                      <m:funcPr>
                        <m:ctrlPr>
                          <w:rPr>
                            <w:rFonts w:ascii="Cambria Math" w:hAnsi="Cambria Math"/>
                            <w:i/>
                            <w:szCs w:val="24"/>
                          </w:rPr>
                        </m:ctrlPr>
                      </m:funcPr>
                      <m:fName>
                        <m:r>
                          <m:rPr>
                            <m:sty m:val="p"/>
                          </m:rPr>
                          <w:rPr>
                            <w:rFonts w:ascii="Cambria Math" w:hAnsi="Cambria Math"/>
                            <w:szCs w:val="24"/>
                          </w:rPr>
                          <m:t>sec</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e>
                </m:func>
              </m:oMath>
            </m:oMathPara>
          </w:p>
        </w:tc>
        <w:tc>
          <w:tcPr>
            <w:tcW w:w="265" w:type="dxa"/>
          </w:tcPr>
          <w:p w14:paraId="52B067CB" w14:textId="0666CDF5"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43</w:t>
            </w:r>
            <w:r w:rsidRPr="00051297">
              <w:rPr>
                <w:szCs w:val="24"/>
                <w:lang w:val="en-US"/>
              </w:rPr>
              <w:fldChar w:fldCharType="end"/>
            </w:r>
            <w:r w:rsidRPr="00051297">
              <w:rPr>
                <w:szCs w:val="24"/>
                <w:lang w:val="en-US"/>
              </w:rPr>
              <w:t>)</w:t>
            </w:r>
          </w:p>
        </w:tc>
      </w:tr>
    </w:tbl>
    <w:p w14:paraId="69152B9C" w14:textId="77777777" w:rsidR="00051297" w:rsidRPr="00051297" w:rsidRDefault="00051297" w:rsidP="00051297">
      <w:pPr>
        <w:rPr>
          <w:rFonts w:cs="Times New Roman"/>
          <w:b/>
          <w:bCs/>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4A850BE5" w14:textId="77777777" w:rsidTr="00D20B01">
        <w:tc>
          <w:tcPr>
            <w:tcW w:w="265" w:type="dxa"/>
          </w:tcPr>
          <w:p w14:paraId="6C36E2A6" w14:textId="77777777" w:rsidR="00051297" w:rsidRPr="00051297" w:rsidRDefault="00051297" w:rsidP="00051297">
            <w:pPr>
              <w:spacing w:after="160"/>
              <w:rPr>
                <w:szCs w:val="24"/>
              </w:rPr>
            </w:pPr>
          </w:p>
        </w:tc>
        <w:tc>
          <w:tcPr>
            <w:tcW w:w="8820" w:type="dxa"/>
          </w:tcPr>
          <w:p w14:paraId="10A1F87D"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r>
                  <w:rPr>
                    <w:rFonts w:ascii="Cambria Math" w:hAns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PW</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acc>
                          <m:accPr>
                            <m:chr m:val="̅"/>
                            <m:ctrlPr>
                              <w:rPr>
                                <w:rFonts w:ascii="Cambria Math" w:hAnsi="Cambria Math"/>
                                <w:i/>
                                <w:szCs w:val="24"/>
                              </w:rPr>
                            </m:ctrlPr>
                          </m:accPr>
                          <m:e>
                            <m:r>
                              <w:rPr>
                                <w:rFonts w:ascii="Cambria Math" w:hAnsi="Cambria Math"/>
                                <w:szCs w:val="24"/>
                              </w:rPr>
                              <m:t>φ</m:t>
                            </m:r>
                          </m:e>
                        </m:acc>
                      </m:e>
                      <m:sub>
                        <m:r>
                          <w:rPr>
                            <w:rFonts w:ascii="Cambria Math" w:hAnsi="Cambria Math"/>
                            <w:szCs w:val="24"/>
                          </w:rPr>
                          <m:t>i</m:t>
                        </m:r>
                      </m:sub>
                    </m:sSub>
                    <m:r>
                      <w:rPr>
                        <w:rFonts w:ascii="Cambria Math" w:hAnsi="Cambria Math"/>
                        <w:szCs w:val="24"/>
                      </w:rPr>
                      <m:t>+</m:t>
                    </m:r>
                    <w:bookmarkStart w:id="343" w:name="_Hlk92386616"/>
                    <m:sSub>
                      <m:sSubPr>
                        <m:ctrlPr>
                          <w:rPr>
                            <w:rFonts w:ascii="Cambria Math" w:hAnsi="Cambria Math"/>
                            <w:i/>
                            <w:szCs w:val="24"/>
                          </w:rPr>
                        </m:ctrlPr>
                      </m:sSubPr>
                      <m:e>
                        <m:acc>
                          <m:accPr>
                            <m:chr m:val="̅"/>
                            <m:ctrlPr>
                              <w:rPr>
                                <w:rFonts w:ascii="Cambria Math" w:hAnsi="Cambria Math"/>
                                <w:i/>
                                <w:szCs w:val="24"/>
                              </w:rPr>
                            </m:ctrlPr>
                          </m:accPr>
                          <m:e>
                            <m:r>
                              <w:rPr>
                                <w:rFonts w:ascii="Cambria Math" w:hAnsi="Cambria Math"/>
                                <w:szCs w:val="24"/>
                              </w:rPr>
                              <m:t>c</m:t>
                            </m:r>
                          </m:e>
                        </m:acc>
                      </m:e>
                      <m:sub>
                        <m:r>
                          <w:rPr>
                            <w:rFonts w:ascii="Cambria Math" w:hAnsi="Cambria Math"/>
                            <w:szCs w:val="24"/>
                          </w:rPr>
                          <m:t>i</m:t>
                        </m:r>
                      </m:sub>
                    </m:sSub>
                    <w:bookmarkEnd w:id="343"/>
                    <m:sSub>
                      <m:sSubPr>
                        <m:ctrlPr>
                          <w:rPr>
                            <w:rFonts w:ascii="Cambria Math" w:hAnsi="Cambria Math"/>
                            <w:i/>
                            <w:szCs w:val="24"/>
                          </w:rPr>
                        </m:ctrlPr>
                      </m:sSubPr>
                      <m:e>
                        <m:r>
                          <w:rPr>
                            <w:rFonts w:ascii="Cambria Math" w:hAnsi="Cambria Math"/>
                            <w:szCs w:val="24"/>
                          </w:rPr>
                          <m:t>d</m:t>
                        </m:r>
                      </m:e>
                      <m:sub>
                        <m:r>
                          <w:rPr>
                            <w:rFonts w:ascii="Cambria Math" w:hAnsi="Cambria Math"/>
                            <w:szCs w:val="24"/>
                          </w:rPr>
                          <m:t>i</m:t>
                        </m:r>
                      </m:sub>
                    </m:sSub>
                  </m:e>
                </m:func>
              </m:oMath>
            </m:oMathPara>
          </w:p>
        </w:tc>
        <w:tc>
          <w:tcPr>
            <w:tcW w:w="265" w:type="dxa"/>
          </w:tcPr>
          <w:p w14:paraId="30C68264" w14:textId="6A38BC9D"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44</w:t>
            </w:r>
            <w:r w:rsidRPr="00051297">
              <w:rPr>
                <w:szCs w:val="24"/>
                <w:lang w:val="en-US"/>
              </w:rPr>
              <w:fldChar w:fldCharType="end"/>
            </w:r>
            <w:r w:rsidRPr="00051297">
              <w:rPr>
                <w:szCs w:val="24"/>
                <w:lang w:val="en-US"/>
              </w:rPr>
              <w:t>)</w:t>
            </w:r>
          </w:p>
        </w:tc>
      </w:tr>
    </w:tbl>
    <w:p w14:paraId="6D263AA9" w14:textId="77777777" w:rsidR="00051297" w:rsidRPr="00051297" w:rsidRDefault="00051297" w:rsidP="00051297">
      <w:pPr>
        <w:rPr>
          <w:rFonts w:cs="Times New Roman"/>
          <w:szCs w:val="24"/>
          <w:lang w:val="en-US"/>
        </w:rPr>
      </w:pPr>
      <w:r w:rsidRPr="00051297">
        <w:rPr>
          <w:rFonts w:cs="Times New Roman"/>
          <w:szCs w:val="24"/>
          <w:lang w:val="en-US"/>
        </w:rPr>
        <w:t>W</w:t>
      </w:r>
      <w:r w:rsidRPr="00222B19">
        <w:rPr>
          <w:rFonts w:cs="Times New Roman"/>
          <w:szCs w:val="24"/>
          <w:lang w:val="en-US"/>
        </w:rPr>
        <w:t>hereby:</w:t>
      </w:r>
      <w:r w:rsidRPr="00051297">
        <w:rPr>
          <w:rFonts w:cs="Times New Roman"/>
          <w:szCs w:val="24"/>
          <w:lang w:val="en-US"/>
        </w:rPr>
        <w:tab/>
      </w:r>
    </w:p>
    <w:p w14:paraId="6EA569DD" w14:textId="77777777" w:rsidR="00051297" w:rsidRPr="00051297" w:rsidRDefault="00051297" w:rsidP="00051297">
      <w:pPr>
        <w:rPr>
          <w:rFonts w:cs="Times New Roman"/>
          <w:szCs w:val="24"/>
          <w:lang w:val="en-US"/>
        </w:rPr>
      </w:pPr>
      <w:r w:rsidRPr="00051297">
        <w:rPr>
          <w:rFonts w:cs="Times New Roman"/>
          <w:szCs w:val="24"/>
          <w:lang w:val="en-US"/>
        </w:rPr>
        <w:t>P*W</w:t>
      </w:r>
      <w:r w:rsidRPr="00051297">
        <w:rPr>
          <w:rFonts w:cs="Times New Roman"/>
          <w:szCs w:val="24"/>
          <w:vertAlign w:val="subscript"/>
          <w:lang w:val="en-US"/>
        </w:rPr>
        <w:t>i</w:t>
      </w:r>
      <w:r w:rsidRPr="00051297">
        <w:rPr>
          <w:rFonts w:cs="Times New Roman"/>
          <w:szCs w:val="24"/>
          <w:lang w:val="en-US"/>
        </w:rPr>
        <w:t xml:space="preserve"> – resultant force on splitting planes due to pore pressure.</w:t>
      </w:r>
    </w:p>
    <w:p w14:paraId="5ADB48E2" w14:textId="77777777" w:rsidR="00051297" w:rsidRPr="00051297" w:rsidRDefault="00536556" w:rsidP="00051297">
      <w:pPr>
        <w:rPr>
          <w:rFonts w:cs="Times New Roman"/>
          <w:szCs w:val="24"/>
          <w:lang w:val="en-US"/>
        </w:rPr>
      </w:pPr>
      <m:oMath>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φ</m:t>
                </m:r>
              </m:e>
            </m:acc>
          </m:e>
          <m:sub>
            <m:r>
              <w:rPr>
                <w:rFonts w:ascii="Cambria Math" w:hAnsi="Cambria Math" w:cs="Times New Roman"/>
                <w:szCs w:val="24"/>
              </w:rPr>
              <m:t>i</m:t>
            </m:r>
          </m:sub>
        </m:sSub>
      </m:oMath>
      <w:r w:rsidR="00051297" w:rsidRPr="00051297">
        <w:rPr>
          <w:rFonts w:cs="Times New Roman"/>
          <w:szCs w:val="24"/>
          <w:lang w:val="en-US"/>
        </w:rPr>
        <w:t xml:space="preserve"> – on a dividing plane, the average value of internal friction angle.</w:t>
      </w:r>
    </w:p>
    <w:p w14:paraId="2987DAD9" w14:textId="77777777" w:rsidR="00051297" w:rsidRPr="00051297" w:rsidRDefault="00536556" w:rsidP="00051297">
      <w:pPr>
        <w:rPr>
          <w:rFonts w:cs="Times New Roman"/>
          <w:szCs w:val="24"/>
          <w:lang w:val="en-US"/>
        </w:rPr>
      </w:pPr>
      <m:oMath>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c</m:t>
                </m:r>
              </m:e>
            </m:acc>
          </m:e>
          <m:sub>
            <m:r>
              <w:rPr>
                <w:rFonts w:ascii="Cambria Math" w:hAnsi="Cambria Math" w:cs="Times New Roman"/>
                <w:szCs w:val="24"/>
              </w:rPr>
              <m:t>i</m:t>
            </m:r>
          </m:sub>
        </m:sSub>
      </m:oMath>
      <w:r w:rsidR="00051297" w:rsidRPr="00051297">
        <w:rPr>
          <w:rFonts w:cs="Times New Roman"/>
          <w:szCs w:val="24"/>
          <w:lang w:val="en-US"/>
        </w:rPr>
        <w:t xml:space="preserve"> – on a dividing plane, the average value of cohesiveness.</w:t>
      </w:r>
    </w:p>
    <w:p w14:paraId="5BE37B04" w14:textId="77777777" w:rsidR="00051297" w:rsidRPr="00051297" w:rsidRDefault="00051297" w:rsidP="00051297">
      <w:pPr>
        <w:rPr>
          <w:rFonts w:cs="Times New Roman"/>
          <w:szCs w:val="24"/>
          <w:lang w:val="en-US"/>
        </w:rPr>
      </w:pPr>
      <w:r w:rsidRPr="00051297">
        <w:rPr>
          <w:rFonts w:cs="Times New Roman"/>
          <w:szCs w:val="24"/>
          <w:lang w:val="en-US"/>
        </w:rPr>
        <w:t>It is self-evident that n - 1 must be chosen (calculated) in advance. There is a slight inaccuracy caused when estimating the points of application of forces E</w:t>
      </w:r>
      <w:r w:rsidRPr="00051297">
        <w:rPr>
          <w:rFonts w:cs="Times New Roman"/>
          <w:szCs w:val="24"/>
          <w:vertAlign w:val="subscript"/>
          <w:lang w:val="en-US"/>
        </w:rPr>
        <w:t>i</w:t>
      </w:r>
      <w:r w:rsidRPr="00051297">
        <w:rPr>
          <w:rFonts w:cs="Times New Roman"/>
          <w:szCs w:val="24"/>
          <w:lang w:val="en-US"/>
        </w:rPr>
        <w:t>; as a result, the problem is then determined statically. The values of all remaining unknowns are finally determined by solving the ensuing system of equations. The determination of the horizontal acceleration factor K</w:t>
      </w:r>
      <w:r w:rsidRPr="00051297">
        <w:rPr>
          <w:rFonts w:cs="Times New Roman"/>
          <w:szCs w:val="24"/>
          <w:vertAlign w:val="subscript"/>
          <w:lang w:val="en-US"/>
        </w:rPr>
        <w:t>h</w:t>
      </w:r>
      <w:r w:rsidRPr="00051297">
        <w:rPr>
          <w:rFonts w:cs="Times New Roman"/>
          <w:szCs w:val="24"/>
          <w:lang w:val="en-US"/>
        </w:rPr>
        <w:t xml:space="preserve"> is the main conclusion of this investigation.</w:t>
      </w:r>
    </w:p>
    <w:p w14:paraId="40F32D88" w14:textId="77777777" w:rsidR="00051297" w:rsidRPr="00051297" w:rsidRDefault="00051297" w:rsidP="00051297">
      <w:pPr>
        <w:rPr>
          <w:rFonts w:cs="Times New Roman"/>
          <w:szCs w:val="24"/>
          <w:lang w:val="en-US"/>
        </w:rPr>
      </w:pPr>
      <w:r w:rsidRPr="00051297">
        <w:rPr>
          <w:rFonts w:cs="Times New Roman"/>
          <w:szCs w:val="24"/>
          <w:lang w:val="en-US"/>
        </w:rPr>
        <w:t>(i) Shahunyants</w:t>
      </w:r>
    </w:p>
    <w:p w14:paraId="4C269585" w14:textId="1F7D5D77" w:rsidR="00051297" w:rsidRPr="00051297" w:rsidRDefault="00051297" w:rsidP="00051297">
      <w:pPr>
        <w:rPr>
          <w:rFonts w:cs="Times New Roman"/>
          <w:szCs w:val="24"/>
          <w:lang w:val="en-US"/>
        </w:rPr>
      </w:pPr>
      <w:r w:rsidRPr="00051297">
        <w:rPr>
          <w:rFonts w:cs="Times New Roman"/>
          <w:szCs w:val="24"/>
          <w:lang w:val="en-US"/>
        </w:rPr>
        <w:t>The Shahunyants method is a general slicing approach based on the concept of limit equilibrium. It necessitates a harmonious balance of forces and moments operating on individual blocks. By splitting the soil above the slip surface into dividing planes, the blocks are formed. The forces acting on individual blocks are depicted in the diagram below (</w:t>
      </w:r>
      <w:r w:rsidRPr="00051297">
        <w:rPr>
          <w:rFonts w:cs="Times New Roman"/>
          <w:szCs w:val="24"/>
          <w:lang w:val="en-US"/>
        </w:rPr>
        <w:fldChar w:fldCharType="begin"/>
      </w:r>
      <w:r w:rsidRPr="00051297">
        <w:rPr>
          <w:rFonts w:cs="Times New Roman"/>
          <w:szCs w:val="24"/>
          <w:lang w:val="en-US"/>
        </w:rPr>
        <w:instrText xml:space="preserve"> REF _Ref98103225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19</w:t>
      </w:r>
      <w:r w:rsidRPr="00051297">
        <w:rPr>
          <w:rFonts w:cs="Times New Roman"/>
          <w:szCs w:val="24"/>
          <w:lang w:val="en-US"/>
        </w:rPr>
        <w:fldChar w:fldCharType="end"/>
      </w:r>
      <w:r w:rsidRPr="00051297">
        <w:rPr>
          <w:rFonts w:cs="Times New Roman"/>
          <w:szCs w:val="24"/>
          <w:lang w:val="en-US"/>
        </w:rPr>
        <w:t>).</w:t>
      </w:r>
    </w:p>
    <w:p w14:paraId="7F42E45B"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772941E5" wp14:editId="573DADAF">
            <wp:extent cx="4991100" cy="2384179"/>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96854" cy="2386927"/>
                    </a:xfrm>
                    <a:prstGeom prst="rect">
                      <a:avLst/>
                    </a:prstGeom>
                    <a:noFill/>
                    <a:ln>
                      <a:noFill/>
                    </a:ln>
                  </pic:spPr>
                </pic:pic>
              </a:graphicData>
            </a:graphic>
          </wp:inline>
        </w:drawing>
      </w:r>
    </w:p>
    <w:p w14:paraId="443F7D7B" w14:textId="1DE05F56" w:rsidR="00051297" w:rsidRPr="00051297" w:rsidRDefault="00051297" w:rsidP="00051297">
      <w:pPr>
        <w:ind w:firstLine="0"/>
        <w:jc w:val="center"/>
        <w:rPr>
          <w:rFonts w:cs="Times New Roman"/>
          <w:szCs w:val="24"/>
          <w:lang w:val="en-US" w:bidi="en-US"/>
        </w:rPr>
      </w:pPr>
      <w:bookmarkStart w:id="344" w:name="_Ref98103225"/>
      <w:bookmarkStart w:id="345" w:name="_Toc104985406"/>
      <w:bookmarkStart w:id="346" w:name="_Toc98085886"/>
      <w:bookmarkStart w:id="347" w:name="_Toc97428211"/>
      <w:bookmarkStart w:id="348" w:name="_Toc103544083"/>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19</w:t>
      </w:r>
      <w:r w:rsidR="00527861">
        <w:rPr>
          <w:rFonts w:cs="Times New Roman"/>
          <w:szCs w:val="24"/>
          <w:lang w:val="en-US" w:bidi="en-US"/>
        </w:rPr>
        <w:fldChar w:fldCharType="end"/>
      </w:r>
      <w:bookmarkEnd w:id="344"/>
      <w:r w:rsidRPr="00051297">
        <w:rPr>
          <w:rFonts w:cs="Times New Roman"/>
          <w:szCs w:val="24"/>
          <w:lang w:val="en-US" w:bidi="en-US"/>
        </w:rPr>
        <w:t xml:space="preserve"> – Static approach - Shahunyants method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{"citationItems":[{"id":"ITEM-1","itemData":{"author":[{"dropping-particle":"","family":"Fine spol. s r.o.","given":"","non-dropping-particle":"","parse-names":false,"suffix":""}],"id":"ITEM-1","issued":{"date-parts":[["2021"]]},"title":"Online Help- GEO5: Shahunyants","type":"webpage"},"uris":["http://www.mendeley.com/documents/?uuid=29945269-548d-44f8-bb30-b15624bba0b3","http://www.mendeley.com/documents/?uuid=7aff0c8b-3335-49be-a474-452af9cfd412"]}],"mendeley":{"formattedCitation":"[170]","plainTextFormattedCitation":"[170]","previouslyFormattedCitation":"[170]"},"properties":{"noteIndex":0},"schema":"https://github.com/citation-style-language/schema/raw/master/csl-citation.json"}</w:instrText>
      </w:r>
      <w:r w:rsidRPr="00051297">
        <w:rPr>
          <w:rFonts w:cs="Times New Roman"/>
          <w:szCs w:val="24"/>
          <w:lang w:val="en-US" w:bidi="en-US"/>
        </w:rPr>
        <w:fldChar w:fldCharType="separate"/>
      </w:r>
      <w:bookmarkEnd w:id="346"/>
      <w:bookmarkEnd w:id="347"/>
      <w:bookmarkEnd w:id="348"/>
      <w:r w:rsidR="0032684D" w:rsidRPr="0032684D">
        <w:rPr>
          <w:rFonts w:cs="Times New Roman"/>
          <w:noProof/>
          <w:szCs w:val="24"/>
          <w:lang w:val="en-US" w:bidi="en-US"/>
        </w:rPr>
        <w:t>[170]</w:t>
      </w:r>
      <w:bookmarkEnd w:id="345"/>
      <w:r w:rsidRPr="00051297">
        <w:rPr>
          <w:rFonts w:cs="Times New Roman"/>
          <w:szCs w:val="24"/>
          <w:lang w:val="en-US" w:bidi="en-US"/>
        </w:rPr>
        <w:fldChar w:fldCharType="end"/>
      </w:r>
    </w:p>
    <w:p w14:paraId="4B0542DA" w14:textId="16E6B5D1" w:rsidR="00051297" w:rsidRPr="00051297" w:rsidRDefault="00051297" w:rsidP="00F20872">
      <w:pPr>
        <w:rPr>
          <w:rFonts w:cs="Times New Roman"/>
          <w:szCs w:val="24"/>
          <w:lang w:val="en-US"/>
        </w:rPr>
      </w:pPr>
      <w:r w:rsidRPr="00F20872">
        <w:rPr>
          <w:rFonts w:cs="Times New Roman"/>
          <w:szCs w:val="24"/>
          <w:lang w:val="en-US"/>
        </w:rPr>
        <w:lastRenderedPageBreak/>
        <w:t>Whereby:</w:t>
      </w:r>
      <w:r w:rsidR="00F20872">
        <w:rPr>
          <w:rFonts w:cs="Times New Roman"/>
          <w:szCs w:val="24"/>
          <w:lang w:val="en-US"/>
        </w:rPr>
        <w:t xml:space="preserve"> </w:t>
      </w:r>
      <w:r w:rsidRPr="00051297">
        <w:rPr>
          <w:rFonts w:cs="Times New Roman"/>
          <w:szCs w:val="24"/>
          <w:lang w:val="en-US"/>
        </w:rPr>
        <w:t>Py</w:t>
      </w:r>
      <w:r w:rsidRPr="00051297">
        <w:rPr>
          <w:rFonts w:cs="Times New Roman"/>
          <w:szCs w:val="24"/>
          <w:vertAlign w:val="subscript"/>
          <w:lang w:val="en-US"/>
        </w:rPr>
        <w:t>i</w:t>
      </w:r>
      <w:r w:rsidRPr="00051297">
        <w:rPr>
          <w:rFonts w:cs="Times New Roman"/>
          <w:szCs w:val="24"/>
          <w:lang w:val="en-US"/>
        </w:rPr>
        <w:t xml:space="preserve"> – is the resultant of vertical forces acting on a given block (block weight, block surcharge, earthquake, anchor forces)</w:t>
      </w:r>
      <w:r w:rsidR="00F20872">
        <w:rPr>
          <w:rFonts w:cs="Times New Roman"/>
          <w:szCs w:val="24"/>
          <w:lang w:val="en-US"/>
        </w:rPr>
        <w:t xml:space="preserve">; </w:t>
      </w:r>
      <w:r w:rsidRPr="00051297">
        <w:rPr>
          <w:rFonts w:cs="Times New Roman"/>
          <w:szCs w:val="24"/>
          <w:lang w:val="en-US"/>
        </w:rPr>
        <w:t>Px</w:t>
      </w:r>
      <w:r w:rsidRPr="00051297">
        <w:rPr>
          <w:rFonts w:cs="Times New Roman"/>
          <w:szCs w:val="24"/>
          <w:vertAlign w:val="subscript"/>
          <w:lang w:val="en-US"/>
        </w:rPr>
        <w:t>i</w:t>
      </w:r>
      <w:r w:rsidRPr="00051297">
        <w:rPr>
          <w:rFonts w:cs="Times New Roman"/>
          <w:szCs w:val="24"/>
          <w:lang w:val="en-US"/>
        </w:rPr>
        <w:t xml:space="preserve"> – is the resultant of horizontal forces on a given block (block surcharge, earthquake, anchor forces, geo-reinforcements)</w:t>
      </w:r>
      <w:r w:rsidR="00F20872">
        <w:rPr>
          <w:rFonts w:cs="Times New Roman"/>
          <w:szCs w:val="24"/>
          <w:lang w:val="en-US"/>
        </w:rPr>
        <w:t xml:space="preserve">; </w:t>
      </w:r>
      <w:r w:rsidRPr="00051297">
        <w:rPr>
          <w:rFonts w:cs="Times New Roman"/>
          <w:szCs w:val="24"/>
          <w:lang w:val="en-US"/>
        </w:rPr>
        <w:t>E</w:t>
      </w:r>
      <w:r w:rsidRPr="00051297">
        <w:rPr>
          <w:rFonts w:cs="Times New Roman"/>
          <w:szCs w:val="24"/>
          <w:vertAlign w:val="subscript"/>
          <w:lang w:val="en-US"/>
        </w:rPr>
        <w:t>i+1</w:t>
      </w:r>
      <w:r w:rsidRPr="00051297">
        <w:rPr>
          <w:rFonts w:cs="Times New Roman"/>
          <w:szCs w:val="24"/>
          <w:lang w:val="en-US"/>
        </w:rPr>
        <w:t>, E</w:t>
      </w:r>
      <w:r w:rsidRPr="00051297">
        <w:rPr>
          <w:rFonts w:cs="Times New Roman"/>
          <w:szCs w:val="24"/>
          <w:vertAlign w:val="subscript"/>
          <w:lang w:val="en-US"/>
        </w:rPr>
        <w:t xml:space="preserve">i </w:t>
      </w:r>
      <w:r w:rsidRPr="00051297">
        <w:rPr>
          <w:rFonts w:cs="Times New Roman"/>
          <w:szCs w:val="24"/>
          <w:lang w:val="en-US"/>
        </w:rPr>
        <w:t>– are the forces developed between blocks</w:t>
      </w:r>
      <w:r w:rsidR="00F20872">
        <w:rPr>
          <w:rFonts w:cs="Times New Roman"/>
          <w:szCs w:val="24"/>
          <w:lang w:val="en-US"/>
        </w:rPr>
        <w:t xml:space="preserve">; </w:t>
      </w:r>
      <w:r w:rsidRPr="00051297">
        <w:rPr>
          <w:rFonts w:cs="Times New Roman"/>
          <w:szCs w:val="24"/>
          <w:lang w:val="en-US"/>
        </w:rPr>
        <w:t>N</w:t>
      </w:r>
      <w:r w:rsidRPr="00051297">
        <w:rPr>
          <w:rFonts w:cs="Times New Roman"/>
          <w:szCs w:val="24"/>
          <w:vertAlign w:val="subscript"/>
          <w:lang w:val="en-US"/>
        </w:rPr>
        <w:t>i</w:t>
      </w:r>
      <w:r w:rsidRPr="00051297">
        <w:rPr>
          <w:rFonts w:cs="Times New Roman"/>
          <w:szCs w:val="24"/>
          <w:lang w:val="en-US"/>
        </w:rPr>
        <w:t xml:space="preserve"> – is the reaction below the block normal to the slip surface segment</w:t>
      </w:r>
      <w:r w:rsidR="00F20872">
        <w:rPr>
          <w:rFonts w:cs="Times New Roman"/>
          <w:szCs w:val="24"/>
          <w:lang w:val="en-US"/>
        </w:rPr>
        <w:t xml:space="preserve">; </w:t>
      </w:r>
      <w:r w:rsidRPr="00051297">
        <w:rPr>
          <w:rFonts w:cs="Times New Roman"/>
          <w:szCs w:val="24"/>
          <w:lang w:val="en-US"/>
        </w:rPr>
        <w:t>T</w:t>
      </w:r>
      <w:r w:rsidRPr="00051297">
        <w:rPr>
          <w:rFonts w:cs="Times New Roman"/>
          <w:szCs w:val="24"/>
          <w:vertAlign w:val="subscript"/>
          <w:lang w:val="en-US"/>
        </w:rPr>
        <w:t>i</w:t>
      </w:r>
      <w:r w:rsidRPr="00051297">
        <w:rPr>
          <w:rFonts w:cs="Times New Roman"/>
          <w:szCs w:val="24"/>
          <w:lang w:val="en-US"/>
        </w:rPr>
        <w:t xml:space="preserve"> – is the friction force on the slip surface segment</w:t>
      </w:r>
      <w:r w:rsidR="00F20872">
        <w:rPr>
          <w:rFonts w:cs="Times New Roman"/>
          <w:szCs w:val="24"/>
          <w:lang w:val="en-US"/>
        </w:rPr>
        <w:t xml:space="preserve">; </w:t>
      </w:r>
      <w:r w:rsidRPr="00051297">
        <w:rPr>
          <w:rFonts w:cs="Times New Roman"/>
          <w:szCs w:val="24"/>
        </w:rPr>
        <w:t>α</w:t>
      </w:r>
      <w:r w:rsidRPr="00051297">
        <w:rPr>
          <w:rFonts w:cs="Times New Roman"/>
          <w:szCs w:val="24"/>
          <w:vertAlign w:val="subscript"/>
          <w:lang w:val="en-US"/>
        </w:rPr>
        <w:t>i</w:t>
      </w:r>
      <w:r w:rsidRPr="00051297">
        <w:rPr>
          <w:rFonts w:cs="Times New Roman"/>
          <w:szCs w:val="24"/>
          <w:lang w:val="en-US"/>
        </w:rPr>
        <w:t xml:space="preserve"> – is the inclination of the slip surface segment</w:t>
      </w:r>
      <w:r w:rsidR="00F20872">
        <w:rPr>
          <w:rFonts w:cs="Times New Roman"/>
          <w:szCs w:val="24"/>
          <w:lang w:val="en-US"/>
        </w:rPr>
        <w:t xml:space="preserve">; </w:t>
      </w:r>
      <w:r w:rsidRPr="00051297">
        <w:rPr>
          <w:rFonts w:cs="Times New Roman"/>
          <w:szCs w:val="24"/>
          <w:lang w:val="en-US"/>
        </w:rPr>
        <w:t>l</w:t>
      </w:r>
      <w:r w:rsidRPr="00051297">
        <w:rPr>
          <w:rFonts w:cs="Times New Roman"/>
          <w:szCs w:val="24"/>
          <w:vertAlign w:val="subscript"/>
          <w:lang w:val="en-US"/>
        </w:rPr>
        <w:t>i</w:t>
      </w:r>
      <w:r w:rsidRPr="00051297">
        <w:rPr>
          <w:rFonts w:cs="Times New Roman"/>
          <w:szCs w:val="24"/>
          <w:lang w:val="en-US"/>
        </w:rPr>
        <w:t xml:space="preserve"> – is the slip surface segment's length</w:t>
      </w:r>
      <w:r w:rsidR="00F20872">
        <w:rPr>
          <w:rFonts w:cs="Times New Roman"/>
          <w:szCs w:val="24"/>
          <w:lang w:val="en-US"/>
        </w:rPr>
        <w:t xml:space="preserve">; </w:t>
      </w:r>
      <w:r w:rsidRPr="00051297">
        <w:rPr>
          <w:rFonts w:cs="Times New Roman"/>
          <w:szCs w:val="24"/>
        </w:rPr>
        <w:t>φ</w:t>
      </w:r>
      <w:r w:rsidRPr="00051297">
        <w:rPr>
          <w:rFonts w:cs="Times New Roman"/>
          <w:szCs w:val="24"/>
          <w:vertAlign w:val="subscript"/>
          <w:lang w:val="en-US"/>
        </w:rPr>
        <w:t>i</w:t>
      </w:r>
      <w:r w:rsidRPr="00051297">
        <w:rPr>
          <w:rFonts w:cs="Times New Roman"/>
          <w:szCs w:val="24"/>
          <w:lang w:val="en-US"/>
        </w:rPr>
        <w:t xml:space="preserve"> – is the angle at which the soil's internal friction on the slip surface segment</w:t>
      </w:r>
      <w:r w:rsidR="00F20872">
        <w:rPr>
          <w:rFonts w:cs="Times New Roman"/>
          <w:szCs w:val="24"/>
          <w:lang w:val="en-US"/>
        </w:rPr>
        <w:t xml:space="preserve">; </w:t>
      </w:r>
      <w:r w:rsidRPr="00051297">
        <w:rPr>
          <w:rFonts w:cs="Times New Roman"/>
          <w:szCs w:val="24"/>
          <w:lang w:val="en-US"/>
        </w:rPr>
        <w:t>c</w:t>
      </w:r>
      <w:r w:rsidRPr="00051297">
        <w:rPr>
          <w:rFonts w:cs="Times New Roman"/>
          <w:szCs w:val="24"/>
          <w:vertAlign w:val="subscript"/>
          <w:lang w:val="en-US"/>
        </w:rPr>
        <w:t>i</w:t>
      </w:r>
      <w:r w:rsidRPr="00051297">
        <w:rPr>
          <w:rFonts w:cs="Times New Roman"/>
          <w:szCs w:val="24"/>
          <w:lang w:val="en-US"/>
        </w:rPr>
        <w:t xml:space="preserve"> – is the soil cohesion on the slip surface segment</w:t>
      </w:r>
      <w:r w:rsidR="00F20872">
        <w:rPr>
          <w:rFonts w:cs="Times New Roman"/>
          <w:szCs w:val="24"/>
          <w:lang w:val="en-US"/>
        </w:rPr>
        <w:t>.</w:t>
      </w:r>
    </w:p>
    <w:p w14:paraId="23E28854" w14:textId="77777777" w:rsidR="00051297" w:rsidRPr="00051297" w:rsidRDefault="00051297" w:rsidP="00051297">
      <w:pPr>
        <w:rPr>
          <w:rFonts w:cs="Times New Roman"/>
          <w:szCs w:val="24"/>
          <w:lang w:val="en-US"/>
        </w:rPr>
      </w:pPr>
      <w:r w:rsidRPr="00051297">
        <w:rPr>
          <w:rFonts w:cs="Times New Roman"/>
          <w:szCs w:val="24"/>
          <w:lang w:val="en-US"/>
        </w:rPr>
        <w:t>The following assumptions are adopted in the Shahunyants method to calculate the limit state on a given block:</w:t>
      </w:r>
    </w:p>
    <w:p w14:paraId="4494BDE8" w14:textId="77777777" w:rsidR="00051297" w:rsidRPr="00051297" w:rsidRDefault="00051297" w:rsidP="00051297">
      <w:pPr>
        <w:numPr>
          <w:ilvl w:val="0"/>
          <w:numId w:val="18"/>
        </w:numPr>
        <w:tabs>
          <w:tab w:val="left" w:pos="993"/>
        </w:tabs>
        <w:ind w:left="0" w:firstLine="709"/>
        <w:rPr>
          <w:rFonts w:cs="Times New Roman"/>
          <w:szCs w:val="24"/>
          <w:lang w:val="en-US"/>
        </w:rPr>
      </w:pPr>
      <w:r w:rsidRPr="00051297">
        <w:rPr>
          <w:rFonts w:cs="Times New Roman"/>
          <w:szCs w:val="24"/>
          <w:lang w:val="en-US"/>
        </w:rPr>
        <w:t>Dividing planes between blocks are always vertical.</w:t>
      </w:r>
    </w:p>
    <w:p w14:paraId="19463A63" w14:textId="77777777" w:rsidR="00051297" w:rsidRPr="00051297" w:rsidRDefault="00051297" w:rsidP="00051297">
      <w:pPr>
        <w:numPr>
          <w:ilvl w:val="0"/>
          <w:numId w:val="18"/>
        </w:numPr>
        <w:tabs>
          <w:tab w:val="left" w:pos="993"/>
        </w:tabs>
        <w:ind w:left="0" w:firstLine="709"/>
        <w:rPr>
          <w:rFonts w:cs="Times New Roman"/>
          <w:szCs w:val="24"/>
          <w:lang w:val="en-US"/>
        </w:rPr>
      </w:pPr>
      <w:r w:rsidRPr="00051297">
        <w:rPr>
          <w:rFonts w:cs="Times New Roman"/>
          <w:szCs w:val="24"/>
          <w:lang w:val="en-US"/>
        </w:rPr>
        <w:t>The slope of the forces </w:t>
      </w:r>
      <w:r w:rsidRPr="00051297">
        <w:rPr>
          <w:rFonts w:cs="Times New Roman"/>
          <w:i/>
          <w:iCs/>
          <w:szCs w:val="24"/>
          <w:lang w:val="en-US"/>
        </w:rPr>
        <w:t>E</w:t>
      </w:r>
      <w:r w:rsidRPr="00051297">
        <w:rPr>
          <w:rFonts w:cs="Times New Roman"/>
          <w:i/>
          <w:iCs/>
          <w:szCs w:val="24"/>
          <w:vertAlign w:val="subscript"/>
          <w:lang w:val="en-US"/>
        </w:rPr>
        <w:t>i</w:t>
      </w:r>
      <w:r w:rsidRPr="00051297">
        <w:rPr>
          <w:rFonts w:cs="Times New Roman"/>
          <w:szCs w:val="24"/>
          <w:lang w:val="en-US"/>
        </w:rPr>
        <w:t> acting between blocks is zero; forces act horizontally.</w:t>
      </w:r>
    </w:p>
    <w:p w14:paraId="363A97EB" w14:textId="77777777" w:rsidR="00051297" w:rsidRPr="00051297" w:rsidRDefault="00051297" w:rsidP="00051297">
      <w:pPr>
        <w:rPr>
          <w:rFonts w:cs="Times New Roman"/>
          <w:szCs w:val="24"/>
          <w:lang w:val="en-US"/>
        </w:rPr>
      </w:pPr>
      <w:r w:rsidRPr="00051297">
        <w:rPr>
          <w:rFonts w:cs="Times New Roman"/>
          <w:szCs w:val="24"/>
          <w:lang w:val="en-US"/>
        </w:rPr>
        <w:t>Procedure for resolving the problem:</w:t>
      </w:r>
    </w:p>
    <w:p w14:paraId="00E2F5CE" w14:textId="5D497131" w:rsidR="00051297" w:rsidRPr="00051297" w:rsidRDefault="00051297" w:rsidP="00051297">
      <w:pPr>
        <w:rPr>
          <w:rFonts w:cs="Times New Roman"/>
          <w:szCs w:val="24"/>
          <w:lang w:val="en-US"/>
        </w:rPr>
      </w:pPr>
      <w:r w:rsidRPr="00051297">
        <w:rPr>
          <w:rFonts w:cs="Times New Roman"/>
          <w:szCs w:val="24"/>
          <w:lang w:val="en-US"/>
        </w:rPr>
        <w:t>Forces P</w:t>
      </w:r>
      <w:r w:rsidRPr="00051297">
        <w:rPr>
          <w:rFonts w:cs="Times New Roman"/>
          <w:szCs w:val="24"/>
          <w:vertAlign w:val="subscript"/>
          <w:lang w:val="en-US"/>
        </w:rPr>
        <w:t>yi</w:t>
      </w:r>
      <w:r w:rsidRPr="00051297">
        <w:rPr>
          <w:rFonts w:cs="Times New Roman"/>
          <w:szCs w:val="24"/>
          <w:lang w:val="en-US"/>
        </w:rPr>
        <w:t xml:space="preserve"> and P</w:t>
      </w:r>
      <w:r w:rsidRPr="00051297">
        <w:rPr>
          <w:rFonts w:cs="Times New Roman"/>
          <w:szCs w:val="24"/>
          <w:vertAlign w:val="subscript"/>
          <w:lang w:val="en-US"/>
        </w:rPr>
        <w:t>xi</w:t>
      </w:r>
      <w:r w:rsidRPr="00051297">
        <w:rPr>
          <w:rFonts w:cs="Times New Roman"/>
          <w:szCs w:val="24"/>
          <w:lang w:val="en-US"/>
        </w:rPr>
        <w:t xml:space="preserve"> are initially translated into force directions T</w:t>
      </w:r>
      <w:r w:rsidRPr="00051297">
        <w:rPr>
          <w:rFonts w:cs="Times New Roman"/>
          <w:szCs w:val="24"/>
          <w:vertAlign w:val="subscript"/>
          <w:lang w:val="en-US"/>
        </w:rPr>
        <w:t>i</w:t>
      </w:r>
      <w:r w:rsidRPr="00051297">
        <w:rPr>
          <w:rFonts w:cs="Times New Roman"/>
          <w:szCs w:val="24"/>
          <w:lang w:val="en-US"/>
        </w:rPr>
        <w:t xml:space="preserve"> and N</w:t>
      </w:r>
      <w:r w:rsidRPr="00051297">
        <w:rPr>
          <w:rFonts w:cs="Times New Roman"/>
          <w:szCs w:val="24"/>
          <w:vertAlign w:val="subscript"/>
          <w:lang w:val="en-US"/>
        </w:rPr>
        <w:t>i</w:t>
      </w:r>
      <w:r w:rsidRPr="00051297">
        <w:rPr>
          <w:rFonts w:cs="Times New Roman"/>
          <w:szCs w:val="24"/>
          <w:lang w:val="en-US"/>
        </w:rPr>
        <w:t xml:space="preserve"> using formulas </w:t>
      </w:r>
      <w:r w:rsidRPr="00051297">
        <w:rPr>
          <w:rFonts w:cs="Times New Roman"/>
          <w:szCs w:val="24"/>
          <w:lang w:val="en-US"/>
        </w:rPr>
        <w:fldChar w:fldCharType="begin"/>
      </w:r>
      <w:r w:rsidRPr="00051297">
        <w:rPr>
          <w:rFonts w:cs="Times New Roman"/>
          <w:szCs w:val="24"/>
          <w:lang w:val="en-US"/>
        </w:rPr>
        <w:instrText xml:space="preserve"> REF _Ref103557162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45</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and </w:t>
      </w:r>
      <w:r w:rsidRPr="00051297">
        <w:rPr>
          <w:rFonts w:cs="Times New Roman"/>
          <w:szCs w:val="24"/>
          <w:lang w:val="en-US"/>
        </w:rPr>
        <w:fldChar w:fldCharType="begin"/>
      </w:r>
      <w:r w:rsidRPr="00051297">
        <w:rPr>
          <w:rFonts w:cs="Times New Roman"/>
          <w:szCs w:val="24"/>
          <w:lang w:val="en-US"/>
        </w:rPr>
        <w:instrText xml:space="preserve"> REF _Ref103557170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46</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For a positive angle </w:t>
      </w:r>
      <w:r w:rsidRPr="00051297">
        <w:rPr>
          <w:rFonts w:cs="Times New Roman"/>
          <w:i/>
          <w:iCs/>
          <w:szCs w:val="24"/>
        </w:rPr>
        <w:t>α</w:t>
      </w:r>
      <w:r w:rsidRPr="00051297">
        <w:rPr>
          <w:rFonts w:cs="Times New Roman"/>
          <w:i/>
          <w:iCs/>
          <w:szCs w:val="24"/>
          <w:vertAlign w:val="subscript"/>
          <w:lang w:val="en-US"/>
        </w:rPr>
        <w:t>i</w:t>
      </w:r>
      <w:r w:rsidRPr="00051297">
        <w:rPr>
          <w:rFonts w:cs="Times New Roman"/>
          <w:szCs w:val="24"/>
          <w:lang w:val="en-US"/>
        </w:rPr>
        <w:t xml:space="preserve"> (as in the schema), the force P</w:t>
      </w:r>
      <w:r w:rsidRPr="00051297">
        <w:rPr>
          <w:rFonts w:cs="Times New Roman"/>
          <w:szCs w:val="24"/>
          <w:vertAlign w:val="subscript"/>
          <w:lang w:val="en-US"/>
        </w:rPr>
        <w:t>Ni</w:t>
      </w:r>
      <w:r w:rsidRPr="00051297">
        <w:rPr>
          <w:rFonts w:cs="Times New Roman"/>
          <w:szCs w:val="24"/>
          <w:lang w:val="en-US"/>
        </w:rPr>
        <w:t xml:space="preserve"> acts in the opposite direction to N</w:t>
      </w:r>
      <w:r w:rsidRPr="00051297">
        <w:rPr>
          <w:rFonts w:cs="Times New Roman"/>
          <w:szCs w:val="24"/>
          <w:vertAlign w:val="subscript"/>
          <w:lang w:val="en-US"/>
        </w:rPr>
        <w:t>i</w:t>
      </w:r>
      <w:r w:rsidRPr="00051297">
        <w:rPr>
          <w:rFonts w:cs="Times New Roman"/>
          <w:szCs w:val="24"/>
          <w:lang w:val="en-US"/>
        </w:rPr>
        <w:t>, while the force P</w:t>
      </w:r>
      <w:r w:rsidRPr="00051297">
        <w:rPr>
          <w:rFonts w:cs="Times New Roman"/>
          <w:szCs w:val="24"/>
          <w:vertAlign w:val="subscript"/>
          <w:lang w:val="en-US"/>
        </w:rPr>
        <w:t>Qi</w:t>
      </w:r>
      <w:r w:rsidRPr="00051297">
        <w:rPr>
          <w:rFonts w:cs="Times New Roman"/>
          <w:szCs w:val="24"/>
          <w:lang w:val="en-US"/>
        </w:rPr>
        <w:t xml:space="preserve"> acts in the opposite direction to </w:t>
      </w:r>
      <w:r w:rsidRPr="00051297">
        <w:rPr>
          <w:rFonts w:cs="Times New Roman"/>
          <w:i/>
          <w:iCs/>
          <w:szCs w:val="24"/>
          <w:lang w:val="en-US"/>
        </w:rPr>
        <w:t>T</w:t>
      </w:r>
      <w:r w:rsidRPr="00051297">
        <w:rPr>
          <w:rFonts w:cs="Times New Roman"/>
          <w:i/>
          <w:iCs/>
          <w:szCs w:val="24"/>
          <w:vertAlign w:val="subscript"/>
          <w:lang w:val="en-US"/>
        </w:rPr>
        <w:t>i</w:t>
      </w:r>
      <w:r w:rsidRPr="00051297">
        <w:rPr>
          <w:rFonts w:cs="Times New Roman"/>
          <w:i/>
          <w:iCs/>
          <w:szCs w:val="24"/>
          <w:lang w:val="en-U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2A85CC34" w14:textId="77777777" w:rsidTr="00D20B01">
        <w:tc>
          <w:tcPr>
            <w:tcW w:w="263" w:type="dxa"/>
          </w:tcPr>
          <w:p w14:paraId="1DFC94BD" w14:textId="77777777" w:rsidR="00051297" w:rsidRPr="00051297" w:rsidRDefault="00051297" w:rsidP="00051297">
            <w:pPr>
              <w:spacing w:after="160"/>
              <w:rPr>
                <w:szCs w:val="24"/>
                <w:lang w:val="en-US"/>
              </w:rPr>
            </w:pPr>
          </w:p>
        </w:tc>
        <w:tc>
          <w:tcPr>
            <w:tcW w:w="8461" w:type="dxa"/>
          </w:tcPr>
          <w:p w14:paraId="7DE2D346"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Ni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xi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yi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e>
                </m:func>
              </m:oMath>
            </m:oMathPara>
          </w:p>
        </w:tc>
        <w:tc>
          <w:tcPr>
            <w:tcW w:w="636" w:type="dxa"/>
          </w:tcPr>
          <w:p w14:paraId="01D02E1D" w14:textId="5239E41D" w:rsidR="00051297" w:rsidRPr="00051297" w:rsidRDefault="00051297" w:rsidP="00051297">
            <w:pPr>
              <w:spacing w:after="160"/>
            </w:pPr>
            <w:bookmarkStart w:id="349" w:name="_Ref103557162"/>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45</w:t>
            </w:r>
            <w:r w:rsidRPr="00051297">
              <w:rPr>
                <w:szCs w:val="24"/>
                <w:lang w:val="en-US"/>
              </w:rPr>
              <w:fldChar w:fldCharType="end"/>
            </w:r>
            <w:r w:rsidRPr="00051297">
              <w:rPr>
                <w:szCs w:val="24"/>
                <w:lang w:val="en-US"/>
              </w:rPr>
              <w:t>)</w:t>
            </w:r>
            <w:bookmarkEnd w:id="349"/>
          </w:p>
        </w:tc>
      </w:tr>
      <w:tr w:rsidR="00051297" w:rsidRPr="00051297" w14:paraId="765A4EC3" w14:textId="77777777" w:rsidTr="00D20B01">
        <w:tc>
          <w:tcPr>
            <w:tcW w:w="263" w:type="dxa"/>
          </w:tcPr>
          <w:p w14:paraId="69F7AD2C" w14:textId="77777777" w:rsidR="00051297" w:rsidRPr="00051297" w:rsidRDefault="00051297" w:rsidP="00051297">
            <w:pPr>
              <w:spacing w:after="160"/>
              <w:rPr>
                <w:szCs w:val="24"/>
              </w:rPr>
            </w:pPr>
          </w:p>
        </w:tc>
        <w:tc>
          <w:tcPr>
            <w:tcW w:w="8461" w:type="dxa"/>
          </w:tcPr>
          <w:p w14:paraId="5DBB705C"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Qi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yi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xi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e>
                </m:func>
              </m:oMath>
            </m:oMathPara>
          </w:p>
        </w:tc>
        <w:tc>
          <w:tcPr>
            <w:tcW w:w="636" w:type="dxa"/>
          </w:tcPr>
          <w:p w14:paraId="7AD27187" w14:textId="0C06421D" w:rsidR="00051297" w:rsidRPr="00051297" w:rsidRDefault="00051297" w:rsidP="00051297">
            <w:pPr>
              <w:spacing w:after="160"/>
            </w:pPr>
            <w:bookmarkStart w:id="350" w:name="_Ref103557170"/>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46</w:t>
            </w:r>
            <w:r w:rsidRPr="00051297">
              <w:rPr>
                <w:szCs w:val="24"/>
                <w:lang w:val="en-US"/>
              </w:rPr>
              <w:fldChar w:fldCharType="end"/>
            </w:r>
            <w:r w:rsidRPr="00051297">
              <w:rPr>
                <w:szCs w:val="24"/>
                <w:lang w:val="en-US"/>
              </w:rPr>
              <w:t>)</w:t>
            </w:r>
            <w:bookmarkEnd w:id="350"/>
          </w:p>
        </w:tc>
      </w:tr>
    </w:tbl>
    <w:p w14:paraId="018C7F76" w14:textId="77777777" w:rsidR="00051297" w:rsidRPr="00051297" w:rsidRDefault="00051297" w:rsidP="00051297">
      <w:pPr>
        <w:rPr>
          <w:rFonts w:cs="Times New Roman"/>
          <w:szCs w:val="24"/>
          <w:lang w:val="en-US"/>
        </w:rPr>
      </w:pPr>
      <w:r w:rsidRPr="00051297">
        <w:rPr>
          <w:rFonts w:cs="Times New Roman"/>
          <w:szCs w:val="24"/>
          <w:lang w:val="en-US"/>
        </w:rPr>
        <w:t>The following equations connect the forces acting along the slip surface segment: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02D8E547" w14:textId="77777777" w:rsidTr="00D20B01">
        <w:tc>
          <w:tcPr>
            <w:tcW w:w="265" w:type="dxa"/>
          </w:tcPr>
          <w:p w14:paraId="060285A6" w14:textId="77777777" w:rsidR="00051297" w:rsidRPr="00051297" w:rsidRDefault="00051297" w:rsidP="00051297">
            <w:pPr>
              <w:spacing w:after="160"/>
              <w:rPr>
                <w:szCs w:val="24"/>
                <w:lang w:val="en-US"/>
              </w:rPr>
            </w:pPr>
          </w:p>
        </w:tc>
        <w:tc>
          <w:tcPr>
            <w:tcW w:w="8820" w:type="dxa"/>
          </w:tcPr>
          <w:p w14:paraId="29CDD220"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e>
                </m:func>
              </m:oMath>
            </m:oMathPara>
          </w:p>
        </w:tc>
        <w:tc>
          <w:tcPr>
            <w:tcW w:w="265" w:type="dxa"/>
          </w:tcPr>
          <w:p w14:paraId="5802EA07" w14:textId="1E5FD352"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47</w:t>
            </w:r>
            <w:r w:rsidRPr="00051297">
              <w:rPr>
                <w:szCs w:val="24"/>
                <w:lang w:val="en-US"/>
              </w:rPr>
              <w:fldChar w:fldCharType="end"/>
            </w:r>
            <w:r w:rsidRPr="00051297">
              <w:rPr>
                <w:szCs w:val="24"/>
                <w:lang w:val="en-US"/>
              </w:rPr>
              <w:t>)</w:t>
            </w:r>
          </w:p>
        </w:tc>
      </w:tr>
    </w:tbl>
    <w:p w14:paraId="55E07E9A" w14:textId="77777777" w:rsidR="00051297" w:rsidRPr="00222B19" w:rsidRDefault="00051297" w:rsidP="00051297">
      <w:pPr>
        <w:rPr>
          <w:rFonts w:cs="Times New Roman"/>
          <w:szCs w:val="24"/>
          <w:lang w:val="en-US"/>
        </w:rPr>
      </w:pPr>
      <w:r w:rsidRPr="00051297">
        <w:rPr>
          <w:rFonts w:cs="Times New Roman"/>
          <w:szCs w:val="24"/>
          <w:lang w:val="en-US"/>
        </w:rPr>
        <w:t>W</w:t>
      </w:r>
      <w:r w:rsidRPr="00222B19">
        <w:rPr>
          <w:rFonts w:cs="Times New Roman"/>
          <w:szCs w:val="24"/>
          <w:lang w:val="en-US"/>
        </w:rPr>
        <w:t>hereby:</w:t>
      </w:r>
      <w:r w:rsidRPr="00222B19">
        <w:rPr>
          <w:rFonts w:cs="Times New Roman"/>
          <w:szCs w:val="24"/>
          <w:lang w:val="en-US"/>
        </w:rPr>
        <w:tab/>
      </w:r>
    </w:p>
    <w:p w14:paraId="2065C16D" w14:textId="77777777" w:rsidR="00051297" w:rsidRPr="00051297" w:rsidRDefault="00051297" w:rsidP="00051297">
      <w:pPr>
        <w:rPr>
          <w:rFonts w:cs="Times New Roman"/>
          <w:szCs w:val="24"/>
          <w:lang w:val="en-US"/>
        </w:rPr>
      </w:pPr>
      <w:r w:rsidRPr="00051297">
        <w:rPr>
          <w:rFonts w:cs="Times New Roman"/>
          <w:szCs w:val="24"/>
          <w:lang w:val="en-US"/>
        </w:rPr>
        <w:t>U</w:t>
      </w:r>
      <w:r w:rsidRPr="00051297">
        <w:rPr>
          <w:rFonts w:cs="Times New Roman"/>
          <w:szCs w:val="24"/>
          <w:vertAlign w:val="subscript"/>
          <w:lang w:val="en-US"/>
        </w:rPr>
        <w:t>i</w:t>
      </w:r>
      <w:r w:rsidRPr="00051297">
        <w:rPr>
          <w:rFonts w:cs="Times New Roman"/>
          <w:szCs w:val="24"/>
          <w:lang w:val="en-US"/>
        </w:rPr>
        <w:t xml:space="preserve"> – The pore pressure on the slip surface section is denoted by.</w:t>
      </w:r>
    </w:p>
    <w:p w14:paraId="7ABA3727" w14:textId="77777777" w:rsidR="00051297" w:rsidRPr="00051297" w:rsidRDefault="00051297" w:rsidP="00051297">
      <w:pPr>
        <w:rPr>
          <w:rFonts w:cs="Times New Roman"/>
          <w:szCs w:val="24"/>
          <w:lang w:val="en-US"/>
        </w:rPr>
      </w:pPr>
      <w:r w:rsidRPr="00051297">
        <w:rPr>
          <w:rFonts w:cs="Times New Roman"/>
          <w:szCs w:val="24"/>
          <w:lang w:val="en-US"/>
        </w:rPr>
        <w:t>The equilibrium condition in the direction normal to the slip surface section: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0F4BAD20" w14:textId="77777777" w:rsidTr="00D20B01">
        <w:tc>
          <w:tcPr>
            <w:tcW w:w="265" w:type="dxa"/>
          </w:tcPr>
          <w:p w14:paraId="54E2DB16" w14:textId="77777777" w:rsidR="00051297" w:rsidRPr="00051297" w:rsidRDefault="00051297" w:rsidP="00051297">
            <w:pPr>
              <w:spacing w:after="160"/>
              <w:rPr>
                <w:szCs w:val="24"/>
                <w:lang w:val="en-US"/>
              </w:rPr>
            </w:pPr>
          </w:p>
        </w:tc>
        <w:tc>
          <w:tcPr>
            <w:tcW w:w="8820" w:type="dxa"/>
          </w:tcPr>
          <w:p w14:paraId="1DFBC804"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Ni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e>
                </m:func>
              </m:oMath>
            </m:oMathPara>
          </w:p>
        </w:tc>
        <w:tc>
          <w:tcPr>
            <w:tcW w:w="265" w:type="dxa"/>
          </w:tcPr>
          <w:p w14:paraId="5F34FFF1" w14:textId="2C40035A"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48</w:t>
            </w:r>
            <w:r w:rsidRPr="00051297">
              <w:rPr>
                <w:szCs w:val="24"/>
                <w:lang w:val="en-US"/>
              </w:rPr>
              <w:fldChar w:fldCharType="end"/>
            </w:r>
            <w:r w:rsidRPr="00051297">
              <w:rPr>
                <w:szCs w:val="24"/>
                <w:lang w:val="en-US"/>
              </w:rPr>
              <w:t>)</w:t>
            </w:r>
          </w:p>
        </w:tc>
      </w:tr>
    </w:tbl>
    <w:p w14:paraId="653D5FAB" w14:textId="77777777" w:rsidR="00051297" w:rsidRPr="00051297" w:rsidRDefault="00051297" w:rsidP="00051297">
      <w:pPr>
        <w:rPr>
          <w:rFonts w:cs="Times New Roman"/>
          <w:szCs w:val="24"/>
          <w:lang w:val="en-US"/>
        </w:rPr>
      </w:pPr>
      <w:r w:rsidRPr="00051297">
        <w:rPr>
          <w:rFonts w:cs="Times New Roman"/>
          <w:szCs w:val="24"/>
          <w:lang w:val="en-US"/>
        </w:rPr>
        <w:t>The equilibrium condition in the direction parallel to the slip surface segment: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139669F0" w14:textId="77777777" w:rsidTr="00D20B01">
        <w:tc>
          <w:tcPr>
            <w:tcW w:w="265" w:type="dxa"/>
          </w:tcPr>
          <w:p w14:paraId="7E8C020D" w14:textId="77777777" w:rsidR="00051297" w:rsidRPr="00051297" w:rsidRDefault="00051297" w:rsidP="00051297">
            <w:pPr>
              <w:spacing w:after="160"/>
              <w:rPr>
                <w:szCs w:val="24"/>
                <w:lang w:val="en-US"/>
              </w:rPr>
            </w:pPr>
          </w:p>
        </w:tc>
        <w:tc>
          <w:tcPr>
            <w:tcW w:w="8820" w:type="dxa"/>
          </w:tcPr>
          <w:p w14:paraId="5C37B23E"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Qi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e>
                </m:func>
              </m:oMath>
            </m:oMathPara>
          </w:p>
        </w:tc>
        <w:tc>
          <w:tcPr>
            <w:tcW w:w="265" w:type="dxa"/>
          </w:tcPr>
          <w:p w14:paraId="5FBDE8BC" w14:textId="57C9965E"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49</w:t>
            </w:r>
            <w:r w:rsidRPr="00051297">
              <w:rPr>
                <w:szCs w:val="24"/>
                <w:lang w:val="en-US"/>
              </w:rPr>
              <w:fldChar w:fldCharType="end"/>
            </w:r>
            <w:r w:rsidRPr="00051297">
              <w:rPr>
                <w:szCs w:val="24"/>
                <w:lang w:val="en-US"/>
              </w:rPr>
              <w:t>)</w:t>
            </w:r>
          </w:p>
        </w:tc>
      </w:tr>
    </w:tbl>
    <w:p w14:paraId="0C6AD669" w14:textId="77777777" w:rsidR="00051297" w:rsidRPr="00051297" w:rsidRDefault="00051297" w:rsidP="00051297">
      <w:pPr>
        <w:rPr>
          <w:rFonts w:cs="Times New Roman"/>
          <w:szCs w:val="24"/>
          <w:lang w:val="en-US"/>
        </w:rPr>
      </w:pPr>
      <w:r w:rsidRPr="00051297">
        <w:rPr>
          <w:rFonts w:cs="Times New Roman"/>
          <w:szCs w:val="24"/>
          <w:lang w:val="en-US"/>
        </w:rPr>
        <w:t>Introducing Equation (2.42) into Equation (2.44) gives: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4BE3D5A4" w14:textId="77777777" w:rsidTr="00D20B01">
        <w:tc>
          <w:tcPr>
            <w:tcW w:w="265" w:type="dxa"/>
          </w:tcPr>
          <w:p w14:paraId="79B032CA" w14:textId="77777777" w:rsidR="00051297" w:rsidRPr="00051297" w:rsidRDefault="00051297" w:rsidP="00051297">
            <w:pPr>
              <w:spacing w:after="160"/>
              <w:rPr>
                <w:szCs w:val="24"/>
                <w:lang w:val="en-US"/>
              </w:rPr>
            </w:pPr>
          </w:p>
        </w:tc>
        <w:tc>
          <w:tcPr>
            <w:tcW w:w="8820" w:type="dxa"/>
          </w:tcPr>
          <w:p w14:paraId="77995582" w14:textId="77777777" w:rsidR="00051297" w:rsidRPr="00051297" w:rsidRDefault="00051297" w:rsidP="00051297">
            <w:pPr>
              <w:spacing w:after="160"/>
              <w:rPr>
                <w:szCs w:val="24"/>
              </w:rPr>
            </w:pPr>
            <m:oMathPara>
              <m:oMath>
                <m:r>
                  <w:rPr>
                    <w:rFonts w:ascii="Cambria Math" w:hAnsi="Cambria Math"/>
                    <w:szCs w:val="24"/>
                  </w:rPr>
                  <m:t>(</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Qi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e>
                    </m:func>
                  </m:e>
                </m:func>
              </m:oMath>
            </m:oMathPara>
          </w:p>
        </w:tc>
        <w:tc>
          <w:tcPr>
            <w:tcW w:w="265" w:type="dxa"/>
          </w:tcPr>
          <w:p w14:paraId="50724C3E" w14:textId="39A2A8E4"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50</w:t>
            </w:r>
            <w:r w:rsidRPr="00051297">
              <w:rPr>
                <w:szCs w:val="24"/>
                <w:lang w:val="en-US"/>
              </w:rPr>
              <w:fldChar w:fldCharType="end"/>
            </w:r>
            <w:r w:rsidRPr="00051297">
              <w:rPr>
                <w:szCs w:val="24"/>
                <w:lang w:val="en-US"/>
              </w:rPr>
              <w:t>)</w:t>
            </w:r>
          </w:p>
        </w:tc>
      </w:tr>
    </w:tbl>
    <w:p w14:paraId="7E87DCBA" w14:textId="77777777" w:rsidR="00051297" w:rsidRPr="00F97DFC" w:rsidRDefault="00051297" w:rsidP="00051297">
      <w:pPr>
        <w:rPr>
          <w:rFonts w:cs="Times New Roman"/>
          <w:szCs w:val="24"/>
          <w:lang w:val="en-US"/>
        </w:rPr>
      </w:pPr>
      <w:r w:rsidRPr="00051297">
        <w:rPr>
          <w:rFonts w:cs="Times New Roman"/>
          <w:szCs w:val="24"/>
          <w:lang w:val="en-US"/>
        </w:rPr>
        <w:t xml:space="preserve">Next, substituting Equation (2.48) into Equation </w:t>
      </w:r>
      <w:r w:rsidRPr="00F97DFC">
        <w:rPr>
          <w:rFonts w:cs="Times New Roman"/>
          <w:szCs w:val="24"/>
          <w:lang w:val="en-US"/>
        </w:rPr>
        <w:t>(</w:t>
      </w:r>
      <w:r w:rsidRPr="00051297">
        <w:rPr>
          <w:rFonts w:cs="Times New Roman"/>
          <w:szCs w:val="24"/>
          <w:lang w:val="en-US"/>
        </w:rPr>
        <w:t>2.50</w:t>
      </w:r>
      <w:r w:rsidRPr="00F97DFC">
        <w:rPr>
          <w:rFonts w:cs="Times New Roman"/>
          <w:szCs w:val="24"/>
          <w:lang w:val="en-US"/>
        </w:rPr>
        <w:t>) gives: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7C67FA6B" w14:textId="77777777" w:rsidTr="00D20B01">
        <w:tc>
          <w:tcPr>
            <w:tcW w:w="265" w:type="dxa"/>
          </w:tcPr>
          <w:p w14:paraId="3D2BB7D8" w14:textId="77777777" w:rsidR="00051297" w:rsidRPr="00F97DFC" w:rsidRDefault="00051297" w:rsidP="00051297">
            <w:pPr>
              <w:spacing w:after="160"/>
              <w:rPr>
                <w:szCs w:val="24"/>
                <w:lang w:val="en-US"/>
              </w:rPr>
            </w:pPr>
          </w:p>
        </w:tc>
        <w:tc>
          <w:tcPr>
            <w:tcW w:w="8820" w:type="dxa"/>
          </w:tcPr>
          <w:p w14:paraId="51389F14" w14:textId="77777777" w:rsidR="00051297" w:rsidRPr="00051297" w:rsidRDefault="00051297" w:rsidP="00051297">
            <w:pPr>
              <w:spacing w:after="160"/>
              <w:rPr>
                <w:szCs w:val="24"/>
              </w:rPr>
            </w:pPr>
            <m:oMathPara>
              <m:oMath>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Ni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Qi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sSub>
                              <m:sSubPr>
                                <m:ctrlPr>
                                  <w:rPr>
                                    <w:rFonts w:ascii="Cambria Math" w:hAnsi="Cambria Math"/>
                                    <w:i/>
                                    <w:szCs w:val="24"/>
                                  </w:rPr>
                                </m:ctrlPr>
                              </m:sSubPr>
                              <m:e>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α</m:t>
                                    </m:r>
                                  </m:e>
                                </m:func>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sSub>
                              <m:sSubPr>
                                <m:ctrlPr>
                                  <w:rPr>
                                    <w:rFonts w:ascii="Cambria Math" w:hAnsi="Cambria Math"/>
                                    <w:i/>
                                    <w:szCs w:val="24"/>
                                  </w:rPr>
                                </m:ctrlPr>
                              </m:sSubPr>
                              <m:e>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α</m:t>
                                    </m:r>
                                  </m:e>
                                </m:func>
                              </m:e>
                              <m:sub>
                                <m:r>
                                  <w:rPr>
                                    <w:rFonts w:ascii="Cambria Math" w:hAnsi="Cambria Math"/>
                                    <w:szCs w:val="24"/>
                                  </w:rPr>
                                  <m:t>i</m:t>
                                </m:r>
                              </m:sub>
                            </m:sSub>
                          </m:e>
                        </m:func>
                      </m:e>
                    </m:func>
                  </m:e>
                </m:func>
              </m:oMath>
            </m:oMathPara>
          </w:p>
        </w:tc>
        <w:tc>
          <w:tcPr>
            <w:tcW w:w="265" w:type="dxa"/>
          </w:tcPr>
          <w:p w14:paraId="043B924B" w14:textId="6E56FD8E"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51</w:t>
            </w:r>
            <w:r w:rsidRPr="00051297">
              <w:rPr>
                <w:szCs w:val="24"/>
                <w:lang w:val="en-US"/>
              </w:rPr>
              <w:fldChar w:fldCharType="end"/>
            </w:r>
            <w:r w:rsidRPr="00051297">
              <w:rPr>
                <w:szCs w:val="24"/>
                <w:lang w:val="en-US"/>
              </w:rPr>
              <w:t>)</w:t>
            </w:r>
          </w:p>
        </w:tc>
      </w:tr>
    </w:tbl>
    <w:p w14:paraId="3BFEDD66" w14:textId="77777777" w:rsidR="00051297" w:rsidRPr="00051297" w:rsidRDefault="00051297" w:rsidP="00051297">
      <w:pPr>
        <w:rPr>
          <w:rFonts w:cs="Times New Roman"/>
          <w:szCs w:val="24"/>
        </w:rPr>
      </w:pPr>
      <w:r w:rsidRPr="00051297">
        <w:rPr>
          <w:rFonts w:cs="Times New Roman"/>
          <w:szCs w:val="24"/>
        </w:rPr>
        <w:lastRenderedPageBreak/>
        <w:t>After some algebra:</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051297" w14:paraId="2D7C830E" w14:textId="77777777" w:rsidTr="00D20B01">
        <w:tc>
          <w:tcPr>
            <w:tcW w:w="263" w:type="dxa"/>
          </w:tcPr>
          <w:p w14:paraId="3B8055B7" w14:textId="77777777" w:rsidR="00051297" w:rsidRPr="00051297" w:rsidRDefault="00051297" w:rsidP="00051297">
            <w:pPr>
              <w:spacing w:after="160"/>
              <w:rPr>
                <w:szCs w:val="24"/>
              </w:rPr>
            </w:pPr>
          </w:p>
        </w:tc>
        <w:tc>
          <w:tcPr>
            <w:tcW w:w="8461" w:type="dxa"/>
          </w:tcPr>
          <w:p w14:paraId="45652825" w14:textId="77777777" w:rsidR="00051297" w:rsidRPr="00051297" w:rsidRDefault="00051297" w:rsidP="00051297">
            <w:pPr>
              <w:spacing w:after="160"/>
              <w:rPr>
                <w:szCs w:val="24"/>
              </w:rPr>
            </w:pPr>
            <m:oMathPara>
              <m:oMath>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Ni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Qi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e>
                        </m:func>
                      </m:e>
                    </m:func>
                  </m:e>
                </m:func>
              </m:oMath>
            </m:oMathPara>
          </w:p>
        </w:tc>
        <w:tc>
          <w:tcPr>
            <w:tcW w:w="636" w:type="dxa"/>
          </w:tcPr>
          <w:p w14:paraId="54C1E50A" w14:textId="5C31E0D2"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52</w:t>
            </w:r>
            <w:r w:rsidRPr="00051297">
              <w:rPr>
                <w:szCs w:val="24"/>
                <w:lang w:val="en-US"/>
              </w:rPr>
              <w:fldChar w:fldCharType="end"/>
            </w:r>
            <w:r w:rsidRPr="00051297">
              <w:rPr>
                <w:szCs w:val="24"/>
                <w:lang w:val="en-US"/>
              </w:rPr>
              <w:t>)</w:t>
            </w:r>
          </w:p>
        </w:tc>
      </w:tr>
      <w:tr w:rsidR="00051297" w:rsidRPr="00051297" w14:paraId="3224C0F4" w14:textId="77777777" w:rsidTr="00D20B01">
        <w:tc>
          <w:tcPr>
            <w:tcW w:w="263" w:type="dxa"/>
          </w:tcPr>
          <w:p w14:paraId="1CBC826F" w14:textId="77777777" w:rsidR="00051297" w:rsidRPr="00051297" w:rsidRDefault="00051297" w:rsidP="00051297">
            <w:pPr>
              <w:spacing w:after="160"/>
              <w:rPr>
                <w:szCs w:val="24"/>
              </w:rPr>
            </w:pPr>
          </w:p>
        </w:tc>
        <w:tc>
          <w:tcPr>
            <w:tcW w:w="8461" w:type="dxa"/>
          </w:tcPr>
          <w:p w14:paraId="06E4A7B5" w14:textId="77777777" w:rsidR="00051297" w:rsidRPr="00051297" w:rsidRDefault="00051297" w:rsidP="00051297">
            <w:pPr>
              <w:spacing w:after="160"/>
              <w:rPr>
                <w:szCs w:val="24"/>
              </w:rPr>
            </w:pPr>
            <m:oMathPara>
              <m:oMath>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Ni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Qi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e>
                            </m:func>
                          </m:e>
                        </m:func>
                      </m:e>
                    </m:func>
                  </m:e>
                </m:func>
              </m:oMath>
            </m:oMathPara>
          </w:p>
        </w:tc>
        <w:tc>
          <w:tcPr>
            <w:tcW w:w="636" w:type="dxa"/>
          </w:tcPr>
          <w:p w14:paraId="0D0273E5" w14:textId="50DD6C06"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53</w:t>
            </w:r>
            <w:r w:rsidRPr="00051297">
              <w:rPr>
                <w:szCs w:val="24"/>
                <w:lang w:val="en-US"/>
              </w:rPr>
              <w:fldChar w:fldCharType="end"/>
            </w:r>
            <w:r w:rsidRPr="00051297">
              <w:rPr>
                <w:szCs w:val="24"/>
                <w:lang w:val="en-US"/>
              </w:rPr>
              <w:t>)</w:t>
            </w:r>
          </w:p>
        </w:tc>
      </w:tr>
    </w:tbl>
    <w:p w14:paraId="470B2349" w14:textId="77777777" w:rsidR="00051297" w:rsidRPr="00051297" w:rsidRDefault="00051297" w:rsidP="00051297">
      <w:pPr>
        <w:rPr>
          <w:rFonts w:cs="Times New Roman"/>
          <w:szCs w:val="24"/>
          <w:lang w:val="en-US"/>
        </w:rPr>
      </w:pPr>
      <w:r w:rsidRPr="00051297">
        <w:rPr>
          <w:rFonts w:cs="Times New Roman"/>
          <w:szCs w:val="24"/>
          <w:lang w:val="en-US"/>
        </w:rPr>
        <w:t>Exploiting the following mathematical expression: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
        <w:gridCol w:w="7593"/>
        <w:gridCol w:w="1505"/>
      </w:tblGrid>
      <w:tr w:rsidR="00051297" w:rsidRPr="00051297" w14:paraId="3718B6B1" w14:textId="77777777" w:rsidTr="00D20B01">
        <w:tc>
          <w:tcPr>
            <w:tcW w:w="265" w:type="dxa"/>
          </w:tcPr>
          <w:p w14:paraId="11558EC6" w14:textId="77777777" w:rsidR="00051297" w:rsidRPr="00051297" w:rsidRDefault="00051297" w:rsidP="00051297">
            <w:pPr>
              <w:spacing w:after="160"/>
              <w:rPr>
                <w:szCs w:val="24"/>
                <w:lang w:val="en-US"/>
              </w:rPr>
            </w:pPr>
          </w:p>
        </w:tc>
        <w:tc>
          <w:tcPr>
            <w:tcW w:w="8820" w:type="dxa"/>
          </w:tcPr>
          <w:p w14:paraId="1A5300F2" w14:textId="77777777" w:rsidR="00051297" w:rsidRPr="00051297" w:rsidRDefault="00536556" w:rsidP="00051297">
            <w:pPr>
              <w:spacing w:after="160"/>
              <w:rPr>
                <w:szCs w:val="24"/>
              </w:rPr>
            </w:pPr>
            <m:oMathPara>
              <m:oMath>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α+</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α</m:t>
                        </m:r>
                        <m:func>
                          <m:funcPr>
                            <m:ctrlPr>
                              <w:rPr>
                                <w:rFonts w:ascii="Cambria Math" w:hAnsi="Cambria Math"/>
                                <w:i/>
                                <w:szCs w:val="24"/>
                              </w:rPr>
                            </m:ctrlPr>
                          </m:funcPr>
                          <m:fName>
                            <m:r>
                              <m:rPr>
                                <m:sty m:val="p"/>
                              </m:rPr>
                              <w:rPr>
                                <w:rFonts w:ascii="Cambria Math" w:hAnsi="Cambria Math"/>
                                <w:szCs w:val="24"/>
                              </w:rPr>
                              <m:t>tan</m:t>
                            </m:r>
                          </m:fName>
                          <m:e>
                            <m:r>
                              <w:rPr>
                                <w:rFonts w:ascii="Cambria Math" w:hAnsi="Cambria Math"/>
                                <w:szCs w:val="24"/>
                              </w:rPr>
                              <m:t>β=</m:t>
                            </m:r>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α</m:t>
                                    </m:r>
                                  </m:e>
                                </m:func>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β</m:t>
                                    </m:r>
                                  </m:e>
                                </m:func>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α</m:t>
                                    </m:r>
                                  </m:e>
                                </m:func>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β</m:t>
                                    </m:r>
                                  </m:e>
                                </m:func>
                              </m:num>
                              <m:den>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β</m:t>
                                    </m:r>
                                  </m:e>
                                </m:func>
                              </m:den>
                            </m:f>
                          </m:e>
                        </m:func>
                      </m:e>
                    </m:func>
                  </m:e>
                </m:func>
                <m:r>
                  <w:rPr>
                    <w:rFonts w:ascii="Cambria Math" w:hAnsi="Cambria Math"/>
                    <w:szCs w:val="24"/>
                  </w:rPr>
                  <m:t>=</m:t>
                </m:r>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(α-β)</m:t>
                        </m:r>
                      </m:e>
                    </m:func>
                  </m:num>
                  <m:den>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β</m:t>
                        </m:r>
                      </m:e>
                    </m:func>
                  </m:den>
                </m:f>
              </m:oMath>
            </m:oMathPara>
          </w:p>
        </w:tc>
        <w:tc>
          <w:tcPr>
            <w:tcW w:w="265" w:type="dxa"/>
          </w:tcPr>
          <w:p w14:paraId="7D581489" w14:textId="70ADDA61"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54</w:t>
            </w:r>
            <w:r w:rsidRPr="00051297">
              <w:rPr>
                <w:szCs w:val="24"/>
                <w:lang w:val="en-US"/>
              </w:rPr>
              <w:fldChar w:fldCharType="end"/>
            </w:r>
            <w:r w:rsidRPr="00051297">
              <w:rPr>
                <w:szCs w:val="24"/>
                <w:lang w:val="en-US"/>
              </w:rPr>
              <w:t>)</w:t>
            </w:r>
          </w:p>
        </w:tc>
      </w:tr>
    </w:tbl>
    <w:p w14:paraId="4A2585EF" w14:textId="77777777" w:rsidR="00051297" w:rsidRPr="00051297" w:rsidRDefault="00051297" w:rsidP="00051297">
      <w:pPr>
        <w:rPr>
          <w:rFonts w:cs="Times New Roman"/>
          <w:szCs w:val="24"/>
          <w:lang w:val="en-US"/>
        </w:rPr>
      </w:pPr>
      <w:r w:rsidRPr="00051297">
        <w:rPr>
          <w:rFonts w:cs="Times New Roman"/>
          <w:szCs w:val="24"/>
          <w:lang w:val="en-US"/>
        </w:rPr>
        <w:t>yields Equation (8) in the form:</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051297" w14:paraId="26884477" w14:textId="77777777" w:rsidTr="00D20B01">
        <w:tc>
          <w:tcPr>
            <w:tcW w:w="265" w:type="dxa"/>
          </w:tcPr>
          <w:p w14:paraId="1C8FEF4D" w14:textId="77777777" w:rsidR="00051297" w:rsidRPr="00051297" w:rsidRDefault="00051297" w:rsidP="00051297">
            <w:pPr>
              <w:spacing w:after="160"/>
              <w:rPr>
                <w:szCs w:val="24"/>
                <w:lang w:val="en-US"/>
              </w:rPr>
            </w:pPr>
          </w:p>
        </w:tc>
        <w:tc>
          <w:tcPr>
            <w:tcW w:w="8820" w:type="dxa"/>
          </w:tcPr>
          <w:p w14:paraId="58DC2FC4" w14:textId="77777777" w:rsidR="00051297" w:rsidRPr="00051297" w:rsidRDefault="00536556" w:rsidP="00051297">
            <w:pPr>
              <w:spacing w:after="160"/>
              <w:rPr>
                <w:szCs w:val="24"/>
              </w:rPr>
            </w:pPr>
            <m:oMathPara>
              <m:oMath>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Ni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Qi</m:t>
                    </m:r>
                  </m:sub>
                </m:sSub>
                <m:r>
                  <w:rPr>
                    <w:rFonts w:ascii="Cambria Math" w:hAns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e>
                </m:d>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e>
                    </m:func>
                  </m:num>
                  <m:den>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den>
                </m:f>
              </m:oMath>
            </m:oMathPara>
          </w:p>
        </w:tc>
        <w:tc>
          <w:tcPr>
            <w:tcW w:w="265" w:type="dxa"/>
          </w:tcPr>
          <w:p w14:paraId="12216765" w14:textId="5E6D1433"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55</w:t>
            </w:r>
            <w:r w:rsidRPr="00051297">
              <w:rPr>
                <w:szCs w:val="24"/>
                <w:lang w:val="en-US"/>
              </w:rPr>
              <w:fldChar w:fldCharType="end"/>
            </w:r>
            <w:r w:rsidRPr="00051297">
              <w:rPr>
                <w:szCs w:val="24"/>
                <w:lang w:val="en-US"/>
              </w:rPr>
              <w:t>)</w:t>
            </w:r>
          </w:p>
        </w:tc>
      </w:tr>
    </w:tbl>
    <w:p w14:paraId="54B75A9A" w14:textId="77777777" w:rsidR="00051297" w:rsidRPr="00051297" w:rsidRDefault="00051297" w:rsidP="00051297">
      <w:pPr>
        <w:rPr>
          <w:rFonts w:cs="Times New Roman"/>
          <w:szCs w:val="24"/>
          <w:lang w:val="en-US"/>
        </w:rPr>
      </w:pPr>
      <w:r w:rsidRPr="00051297">
        <w:rPr>
          <w:rFonts w:cs="Times New Roman"/>
          <w:szCs w:val="24"/>
          <w:lang w:val="en-US"/>
        </w:rPr>
        <w:t>This can be modified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051297" w14:paraId="41295DB2" w14:textId="77777777" w:rsidTr="00D20B01">
        <w:tc>
          <w:tcPr>
            <w:tcW w:w="265" w:type="dxa"/>
          </w:tcPr>
          <w:p w14:paraId="191BA9D4" w14:textId="77777777" w:rsidR="00051297" w:rsidRPr="00051297" w:rsidRDefault="00051297" w:rsidP="00051297">
            <w:pPr>
              <w:spacing w:after="160"/>
              <w:rPr>
                <w:szCs w:val="24"/>
                <w:lang w:val="en-US"/>
              </w:rPr>
            </w:pPr>
          </w:p>
        </w:tc>
        <w:tc>
          <w:tcPr>
            <w:tcW w:w="8820" w:type="dxa"/>
          </w:tcPr>
          <w:p w14:paraId="554EE25C" w14:textId="77777777" w:rsidR="00051297" w:rsidRPr="00051297" w:rsidRDefault="00536556" w:rsidP="00051297">
            <w:pPr>
              <w:spacing w:after="160"/>
              <w:rPr>
                <w:szCs w:val="24"/>
              </w:rPr>
            </w:pPr>
            <m:oMathPara>
              <m:oMath>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Ni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Qi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d>
                      </m:e>
                    </m:func>
                  </m:num>
                  <m:den>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den>
                </m:f>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e>
                    </m:func>
                  </m:num>
                  <m:den>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den>
                </m:f>
              </m:oMath>
            </m:oMathPara>
          </w:p>
        </w:tc>
        <w:tc>
          <w:tcPr>
            <w:tcW w:w="265" w:type="dxa"/>
          </w:tcPr>
          <w:p w14:paraId="4E4ED40A" w14:textId="3F96CA74" w:rsidR="00051297" w:rsidRPr="00051297" w:rsidRDefault="00051297" w:rsidP="00051297">
            <w:pPr>
              <w:spacing w:after="160"/>
            </w:pPr>
            <w:bookmarkStart w:id="351" w:name="_Ref103557191"/>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56</w:t>
            </w:r>
            <w:r w:rsidRPr="00051297">
              <w:rPr>
                <w:szCs w:val="24"/>
                <w:lang w:val="en-US"/>
              </w:rPr>
              <w:fldChar w:fldCharType="end"/>
            </w:r>
            <w:r w:rsidRPr="00051297">
              <w:rPr>
                <w:szCs w:val="24"/>
                <w:lang w:val="en-US"/>
              </w:rPr>
              <w:t>)</w:t>
            </w:r>
            <w:bookmarkEnd w:id="351"/>
          </w:p>
        </w:tc>
      </w:tr>
    </w:tbl>
    <w:p w14:paraId="6AFC5C3D" w14:textId="77777777" w:rsidR="00051297" w:rsidRPr="00051297" w:rsidRDefault="00051297" w:rsidP="00051297">
      <w:pPr>
        <w:spacing w:before="240"/>
        <w:rPr>
          <w:rFonts w:cs="Times New Roman"/>
          <w:szCs w:val="24"/>
          <w:lang w:val="en-US"/>
        </w:rPr>
      </w:pPr>
      <w:r w:rsidRPr="007350F9">
        <w:rPr>
          <w:rFonts w:cs="Times New Roman"/>
          <w:spacing w:val="-2"/>
          <w:szCs w:val="24"/>
          <w:lang w:val="en-US"/>
        </w:rPr>
        <w:t>to provide the recurrent expression for </w:t>
      </w:r>
      <w:r w:rsidRPr="007350F9">
        <w:rPr>
          <w:rFonts w:cs="Times New Roman"/>
          <w:i/>
          <w:iCs/>
          <w:spacing w:val="-2"/>
          <w:szCs w:val="24"/>
          <w:lang w:val="en-US"/>
        </w:rPr>
        <w:t>E</w:t>
      </w:r>
      <w:r w:rsidRPr="007350F9">
        <w:rPr>
          <w:rFonts w:cs="Times New Roman"/>
          <w:i/>
          <w:iCs/>
          <w:spacing w:val="-2"/>
          <w:szCs w:val="24"/>
          <w:vertAlign w:val="subscript"/>
          <w:lang w:val="en-US"/>
        </w:rPr>
        <w:t>i</w:t>
      </w:r>
      <w:r w:rsidRPr="007350F9">
        <w:rPr>
          <w:rFonts w:cs="Times New Roman"/>
          <w:spacing w:val="-2"/>
          <w:szCs w:val="24"/>
          <w:lang w:val="en-US"/>
        </w:rPr>
        <w:t> forces acting between blocks can be expressed as</w:t>
      </w:r>
      <w:r w:rsidRPr="00051297">
        <w:rPr>
          <w:rFonts w:cs="Times New Roman"/>
          <w:szCs w:val="24"/>
          <w:lang w:val="en-U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
        <w:gridCol w:w="7595"/>
        <w:gridCol w:w="1505"/>
      </w:tblGrid>
      <w:tr w:rsidR="00051297" w:rsidRPr="00051297" w14:paraId="2BC0029E" w14:textId="77777777" w:rsidTr="00D20B01">
        <w:tc>
          <w:tcPr>
            <w:tcW w:w="265" w:type="dxa"/>
          </w:tcPr>
          <w:p w14:paraId="6E6B838C" w14:textId="77777777" w:rsidR="00051297" w:rsidRPr="00051297" w:rsidRDefault="00051297" w:rsidP="00051297">
            <w:pPr>
              <w:spacing w:after="160"/>
              <w:rPr>
                <w:szCs w:val="24"/>
                <w:lang w:val="en-US"/>
              </w:rPr>
            </w:pPr>
          </w:p>
        </w:tc>
        <w:tc>
          <w:tcPr>
            <w:tcW w:w="8820" w:type="dxa"/>
          </w:tcPr>
          <w:p w14:paraId="2DA28793"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r>
                  <w:rPr>
                    <w:rFonts w:ascii="Cambria Math" w:hAnsi="Cambria Math"/>
                    <w:szCs w:val="24"/>
                  </w:rPr>
                  <m:t>=</m:t>
                </m:r>
                <m:f>
                  <m:fPr>
                    <m:ctrlPr>
                      <w:rPr>
                        <w:rFonts w:ascii="Cambria Math" w:hAnsi="Cambria Math"/>
                        <w:i/>
                        <w:szCs w:val="24"/>
                      </w:rPr>
                    </m:ctrlPr>
                  </m:fPr>
                  <m:num>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Ni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Qi</m:t>
                                </m:r>
                              </m:sub>
                            </m:sSub>
                          </m:e>
                        </m:func>
                      </m:e>
                    </m:d>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num>
                  <m:den>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d>
                      </m:e>
                    </m:func>
                  </m:den>
                </m:f>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oMath>
            </m:oMathPara>
          </w:p>
        </w:tc>
        <w:tc>
          <w:tcPr>
            <w:tcW w:w="265" w:type="dxa"/>
          </w:tcPr>
          <w:p w14:paraId="4F37D3AA" w14:textId="462B3BAD" w:rsidR="00051297" w:rsidRPr="00051297" w:rsidRDefault="00051297" w:rsidP="00051297">
            <w:pPr>
              <w:spacing w:after="160"/>
            </w:pPr>
            <w:bookmarkStart w:id="352" w:name="_Ref103557205"/>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57</w:t>
            </w:r>
            <w:r w:rsidRPr="00051297">
              <w:rPr>
                <w:szCs w:val="24"/>
                <w:lang w:val="en-US"/>
              </w:rPr>
              <w:fldChar w:fldCharType="end"/>
            </w:r>
            <w:r w:rsidRPr="00051297">
              <w:rPr>
                <w:szCs w:val="24"/>
                <w:lang w:val="en-US"/>
              </w:rPr>
              <w:t>)</w:t>
            </w:r>
            <w:bookmarkEnd w:id="352"/>
          </w:p>
        </w:tc>
      </w:tr>
    </w:tbl>
    <w:p w14:paraId="0031236C" w14:textId="32D867EF" w:rsidR="00051297" w:rsidRPr="00051297" w:rsidRDefault="00051297" w:rsidP="00051297">
      <w:pPr>
        <w:rPr>
          <w:rFonts w:cs="Times New Roman"/>
          <w:szCs w:val="24"/>
        </w:rPr>
      </w:pPr>
      <w:r w:rsidRPr="00051297">
        <w:rPr>
          <w:rFonts w:cs="Times New Roman"/>
          <w:szCs w:val="24"/>
          <w:lang w:val="en-US"/>
        </w:rPr>
        <w:t>At this point, the analysis incorporates the safety factor, K</w:t>
      </w:r>
      <w:r w:rsidRPr="00051297">
        <w:rPr>
          <w:rFonts w:cs="Times New Roman"/>
          <w:szCs w:val="24"/>
          <w:vertAlign w:val="subscript"/>
          <w:lang w:val="en-US"/>
        </w:rPr>
        <w:t>u</w:t>
      </w:r>
      <w:r w:rsidRPr="00051297">
        <w:rPr>
          <w:rFonts w:cs="Times New Roman"/>
          <w:szCs w:val="24"/>
          <w:lang w:val="en-US"/>
        </w:rPr>
        <w:t xml:space="preserve">. The value that brings the forces acting on particular blocks of soil into the state of limit states is known as the factor of safety. This is accomplished by multiplying active forces, that is to say, the forces that contribute to the soil mass sliding above the slip surface by the safety factor. In Equation </w:t>
      </w:r>
      <w:r w:rsidRPr="00051297">
        <w:rPr>
          <w:rFonts w:cs="Times New Roman"/>
          <w:szCs w:val="24"/>
          <w:lang w:val="en-US"/>
        </w:rPr>
        <w:fldChar w:fldCharType="begin"/>
      </w:r>
      <w:r w:rsidRPr="00051297">
        <w:rPr>
          <w:rFonts w:cs="Times New Roman"/>
          <w:szCs w:val="24"/>
          <w:lang w:val="en-US"/>
        </w:rPr>
        <w:instrText xml:space="preserve"> REF _Ref103557191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56</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active forces are contained under the term P</w:t>
      </w:r>
      <w:r w:rsidRPr="00051297">
        <w:rPr>
          <w:rFonts w:cs="Times New Roman"/>
          <w:szCs w:val="24"/>
          <w:vertAlign w:val="subscript"/>
          <w:lang w:val="en-US"/>
        </w:rPr>
        <w:t>Qi</w:t>
      </w:r>
      <w:r w:rsidRPr="00051297">
        <w:rPr>
          <w:rFonts w:cs="Times New Roman"/>
          <w:szCs w:val="24"/>
          <w:lang w:val="en-US"/>
        </w:rPr>
        <w:t>. On the one hand, this term contains active forces that contribute to sliding and, on the other hand, forces that resist sliding. The contributing forces will be denoted as </w:t>
      </w:r>
      <w:r w:rsidRPr="00051297">
        <w:rPr>
          <w:rFonts w:cs="Times New Roman"/>
          <w:i/>
          <w:iCs/>
          <w:szCs w:val="24"/>
          <w:lang w:val="en-US"/>
        </w:rPr>
        <w:t>P</w:t>
      </w:r>
      <w:r w:rsidRPr="00051297">
        <w:rPr>
          <w:rFonts w:cs="Times New Roman"/>
          <w:i/>
          <w:iCs/>
          <w:szCs w:val="24"/>
          <w:vertAlign w:val="subscript"/>
          <w:lang w:val="en-US"/>
        </w:rPr>
        <w:t>Qi,sd</w:t>
      </w:r>
      <w:r w:rsidRPr="00051297">
        <w:rPr>
          <w:rFonts w:cs="Times New Roman"/>
          <w:szCs w:val="24"/>
          <w:lang w:val="en-US"/>
        </w:rPr>
        <w:t>, whereas the resisting forces as </w:t>
      </w:r>
      <w:r w:rsidRPr="00051297">
        <w:rPr>
          <w:rFonts w:cs="Times New Roman"/>
          <w:i/>
          <w:iCs/>
          <w:szCs w:val="24"/>
          <w:lang w:val="en-US"/>
        </w:rPr>
        <w:t>P</w:t>
      </w:r>
      <w:r w:rsidRPr="00051297">
        <w:rPr>
          <w:rFonts w:cs="Times New Roman"/>
          <w:i/>
          <w:iCs/>
          <w:szCs w:val="24"/>
          <w:vertAlign w:val="subscript"/>
          <w:lang w:val="en-US"/>
        </w:rPr>
        <w:t>Qi,ud</w:t>
      </w:r>
      <w:r w:rsidRPr="00051297">
        <w:rPr>
          <w:rFonts w:cs="Times New Roman"/>
          <w:szCs w:val="24"/>
          <w:lang w:val="en-US"/>
        </w:rPr>
        <w:t xml:space="preserve">. </w:t>
      </w:r>
      <w:r w:rsidRPr="00051297">
        <w:rPr>
          <w:rFonts w:cs="Times New Roman"/>
          <w:szCs w:val="24"/>
        </w:rPr>
        <w:t xml:space="preserve">Equation </w:t>
      </w:r>
      <w:r w:rsidRPr="00051297">
        <w:rPr>
          <w:rFonts w:cs="Times New Roman"/>
          <w:szCs w:val="24"/>
        </w:rPr>
        <w:fldChar w:fldCharType="begin"/>
      </w:r>
      <w:r w:rsidRPr="00051297">
        <w:rPr>
          <w:rFonts w:cs="Times New Roman"/>
          <w:szCs w:val="24"/>
        </w:rPr>
        <w:instrText xml:space="preserve"> REF _Ref103557205 \h </w:instrText>
      </w:r>
      <w:r w:rsidRPr="00051297">
        <w:rPr>
          <w:rFonts w:cs="Times New Roman"/>
          <w:szCs w:val="24"/>
        </w:rPr>
      </w:r>
      <w:r w:rsidRPr="00051297">
        <w:rPr>
          <w:rFonts w:cs="Times New Roman"/>
          <w:szCs w:val="24"/>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57</w:t>
      </w:r>
      <w:r w:rsidR="004870F1" w:rsidRPr="00051297">
        <w:rPr>
          <w:szCs w:val="24"/>
          <w:lang w:val="en-US"/>
        </w:rPr>
        <w:t>)</w:t>
      </w:r>
      <w:r w:rsidRPr="00051297">
        <w:rPr>
          <w:rFonts w:cs="Times New Roman"/>
          <w:szCs w:val="24"/>
        </w:rPr>
        <w:fldChar w:fldCharType="end"/>
      </w:r>
      <w:r w:rsidRPr="00051297">
        <w:rPr>
          <w:rFonts w:cs="Times New Roman"/>
          <w:szCs w:val="24"/>
        </w:rPr>
        <w:t xml:space="preserve"> then becomes: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
        <w:gridCol w:w="7600"/>
        <w:gridCol w:w="1505"/>
      </w:tblGrid>
      <w:tr w:rsidR="00051297" w:rsidRPr="00051297" w14:paraId="4C060EAE" w14:textId="77777777" w:rsidTr="00D20B01">
        <w:tc>
          <w:tcPr>
            <w:tcW w:w="265" w:type="dxa"/>
          </w:tcPr>
          <w:p w14:paraId="7828864D" w14:textId="77777777" w:rsidR="00051297" w:rsidRPr="00051297" w:rsidRDefault="00051297" w:rsidP="00051297">
            <w:pPr>
              <w:spacing w:after="160"/>
              <w:rPr>
                <w:szCs w:val="24"/>
              </w:rPr>
            </w:pPr>
          </w:p>
        </w:tc>
        <w:tc>
          <w:tcPr>
            <w:tcW w:w="8820" w:type="dxa"/>
          </w:tcPr>
          <w:p w14:paraId="45B52E49"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r>
                  <w:rPr>
                    <w:rFonts w:ascii="Cambria Math" w:hAnsi="Cambria Math"/>
                    <w:szCs w:val="24"/>
                  </w:rPr>
                  <m:t>=</m:t>
                </m:r>
                <m:f>
                  <m:fPr>
                    <m:ctrlPr>
                      <w:rPr>
                        <w:rFonts w:ascii="Cambria Math" w:hAnsi="Cambria Math"/>
                        <w:i/>
                        <w:szCs w:val="24"/>
                      </w:rPr>
                    </m:ctrlPr>
                  </m:fPr>
                  <m:num>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Ni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u</m:t>
                                </m:r>
                              </m:sub>
                            </m:sSub>
                            <m:sSub>
                              <m:sSubPr>
                                <m:ctrlPr>
                                  <w:rPr>
                                    <w:rFonts w:ascii="Cambria Math" w:hAnsi="Cambria Math"/>
                                    <w:i/>
                                    <w:szCs w:val="24"/>
                                  </w:rPr>
                                </m:ctrlPr>
                              </m:sSubPr>
                              <m:e>
                                <m:r>
                                  <w:rPr>
                                    <w:rFonts w:ascii="Cambria Math" w:hAnsi="Cambria Math"/>
                                    <w:szCs w:val="24"/>
                                  </w:rPr>
                                  <m:t>P</m:t>
                                </m:r>
                              </m:e>
                              <m:sub>
                                <m:r>
                                  <w:rPr>
                                    <w:rFonts w:ascii="Cambria Math" w:hAnsi="Cambria Math"/>
                                    <w:szCs w:val="24"/>
                                  </w:rPr>
                                  <m:t>Qi,sd</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Qi,ud</m:t>
                                </m:r>
                              </m:sub>
                            </m:sSub>
                          </m:e>
                        </m:func>
                      </m:e>
                    </m:d>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num>
                  <m:den>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e>
                    </m:func>
                  </m:den>
                </m:f>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oMath>
            </m:oMathPara>
          </w:p>
        </w:tc>
        <w:tc>
          <w:tcPr>
            <w:tcW w:w="265" w:type="dxa"/>
          </w:tcPr>
          <w:p w14:paraId="52BD878D" w14:textId="102F9305" w:rsidR="00051297" w:rsidRPr="00051297" w:rsidRDefault="00051297" w:rsidP="00051297">
            <w:pPr>
              <w:spacing w:after="160"/>
            </w:pPr>
            <w:bookmarkStart w:id="353" w:name="_Ref103557227"/>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58</w:t>
            </w:r>
            <w:r w:rsidRPr="00051297">
              <w:rPr>
                <w:szCs w:val="24"/>
                <w:lang w:val="en-US"/>
              </w:rPr>
              <w:fldChar w:fldCharType="end"/>
            </w:r>
            <w:r w:rsidRPr="00051297">
              <w:rPr>
                <w:szCs w:val="24"/>
                <w:lang w:val="en-US"/>
              </w:rPr>
              <w:t>)</w:t>
            </w:r>
            <w:bookmarkEnd w:id="353"/>
          </w:p>
        </w:tc>
      </w:tr>
    </w:tbl>
    <w:p w14:paraId="589AB0DD" w14:textId="6B6E3335" w:rsidR="00051297" w:rsidRPr="00051297" w:rsidRDefault="00051297" w:rsidP="00051297">
      <w:pPr>
        <w:rPr>
          <w:rFonts w:cs="Times New Roman"/>
          <w:szCs w:val="24"/>
          <w:lang w:val="en-US"/>
        </w:rPr>
      </w:pPr>
      <w:r w:rsidRPr="00051297">
        <w:rPr>
          <w:rFonts w:cs="Times New Roman"/>
          <w:szCs w:val="24"/>
          <w:lang w:val="en-US"/>
        </w:rPr>
        <w:t>If P</w:t>
      </w:r>
      <w:r w:rsidRPr="00051297">
        <w:rPr>
          <w:rFonts w:cs="Times New Roman"/>
          <w:szCs w:val="24"/>
          <w:vertAlign w:val="subscript"/>
          <w:lang w:val="en-US"/>
        </w:rPr>
        <w:t>Qi</w:t>
      </w:r>
      <w:r w:rsidRPr="00051297">
        <w:rPr>
          <w:rFonts w:cs="Times New Roman"/>
          <w:szCs w:val="24"/>
          <w:lang w:val="en-US"/>
        </w:rPr>
        <w:t xml:space="preserve"> has a positive value, it contributes to sliding and is thought to represent the active force P</w:t>
      </w:r>
      <w:r w:rsidRPr="00051297">
        <w:rPr>
          <w:rFonts w:cs="Times New Roman"/>
          <w:szCs w:val="24"/>
          <w:vertAlign w:val="subscript"/>
          <w:lang w:val="en-US"/>
        </w:rPr>
        <w:t>Qi, sd</w:t>
      </w:r>
      <w:r w:rsidRPr="00051297">
        <w:rPr>
          <w:rFonts w:cs="Times New Roman"/>
          <w:szCs w:val="24"/>
          <w:lang w:val="en-US"/>
        </w:rPr>
        <w:t>. If the value of P</w:t>
      </w:r>
      <w:r w:rsidRPr="00051297">
        <w:rPr>
          <w:rFonts w:cs="Times New Roman"/>
          <w:szCs w:val="24"/>
          <w:vertAlign w:val="subscript"/>
          <w:lang w:val="en-US"/>
        </w:rPr>
        <w:t>Qi</w:t>
      </w:r>
      <w:r w:rsidRPr="00051297">
        <w:rPr>
          <w:rFonts w:cs="Times New Roman"/>
          <w:szCs w:val="24"/>
          <w:lang w:val="en-US"/>
        </w:rPr>
        <w:t xml:space="preserve"> is negative, it resists sliding and is considered to be the force P</w:t>
      </w:r>
      <w:r w:rsidRPr="00051297">
        <w:rPr>
          <w:rFonts w:cs="Times New Roman"/>
          <w:szCs w:val="24"/>
          <w:vertAlign w:val="subscript"/>
          <w:lang w:val="en-US"/>
        </w:rPr>
        <w:t>Qi,ud</w:t>
      </w:r>
      <w:r w:rsidRPr="00051297">
        <w:rPr>
          <w:rFonts w:cs="Times New Roman"/>
          <w:szCs w:val="24"/>
          <w:lang w:val="en-US"/>
        </w:rPr>
        <w:t xml:space="preserve">. As a result, in Equation </w:t>
      </w:r>
      <w:r w:rsidRPr="00051297">
        <w:rPr>
          <w:rFonts w:cs="Times New Roman"/>
          <w:szCs w:val="24"/>
          <w:lang w:val="en-US"/>
        </w:rPr>
        <w:fldChar w:fldCharType="begin"/>
      </w:r>
      <w:r w:rsidRPr="00051297">
        <w:rPr>
          <w:rFonts w:cs="Times New Roman"/>
          <w:szCs w:val="24"/>
          <w:lang w:val="en-US"/>
        </w:rPr>
        <w:instrText xml:space="preserve"> REF _Ref103557227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58</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deleting the negative value PQ</w:t>
      </w:r>
      <w:r w:rsidRPr="00051297">
        <w:rPr>
          <w:rFonts w:cs="Times New Roman"/>
          <w:szCs w:val="24"/>
          <w:vertAlign w:val="subscript"/>
          <w:lang w:val="en-US"/>
        </w:rPr>
        <w:t xml:space="preserve">i,ud </w:t>
      </w:r>
      <w:r w:rsidRPr="00051297">
        <w:rPr>
          <w:rFonts w:cs="Times New Roman"/>
          <w:szCs w:val="24"/>
          <w:lang w:val="en-US"/>
        </w:rPr>
        <w:t>adds the positive value, and we may write:</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
        <w:gridCol w:w="7601"/>
        <w:gridCol w:w="1505"/>
      </w:tblGrid>
      <w:tr w:rsidR="00051297" w:rsidRPr="00051297" w14:paraId="2DF8F192" w14:textId="77777777" w:rsidTr="00D20B01">
        <w:tc>
          <w:tcPr>
            <w:tcW w:w="260" w:type="dxa"/>
          </w:tcPr>
          <w:p w14:paraId="417FE13B" w14:textId="77777777" w:rsidR="00051297" w:rsidRPr="00051297" w:rsidRDefault="00051297" w:rsidP="00051297">
            <w:pPr>
              <w:spacing w:after="160"/>
              <w:rPr>
                <w:szCs w:val="24"/>
                <w:lang w:val="en-US"/>
              </w:rPr>
            </w:pPr>
          </w:p>
        </w:tc>
        <w:tc>
          <w:tcPr>
            <w:tcW w:w="8464" w:type="dxa"/>
          </w:tcPr>
          <w:p w14:paraId="61F07131"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r>
                  <w:rPr>
                    <w:rFonts w:ascii="Cambria Math" w:hAnsi="Cambria Math"/>
                    <w:szCs w:val="24"/>
                  </w:rPr>
                  <m:t>=</m:t>
                </m:r>
                <m:f>
                  <m:fPr>
                    <m:ctrlPr>
                      <w:rPr>
                        <w:rFonts w:ascii="Cambria Math" w:hAnsi="Cambria Math"/>
                        <w:i/>
                        <w:szCs w:val="24"/>
                      </w:rPr>
                    </m:ctrlPr>
                  </m:fPr>
                  <m:num>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Ni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u</m:t>
                                </m:r>
                              </m:sub>
                            </m:sSub>
                            <m:sSub>
                              <m:sSubPr>
                                <m:ctrlPr>
                                  <w:rPr>
                                    <w:rFonts w:ascii="Cambria Math" w:hAnsi="Cambria Math"/>
                                    <w:i/>
                                    <w:szCs w:val="24"/>
                                  </w:rPr>
                                </m:ctrlPr>
                              </m:sSubPr>
                              <m:e>
                                <m:r>
                                  <w:rPr>
                                    <w:rFonts w:ascii="Cambria Math" w:hAnsi="Cambria Math"/>
                                    <w:szCs w:val="24"/>
                                  </w:rPr>
                                  <m:t>P</m:t>
                                </m:r>
                              </m:e>
                              <m:sub>
                                <m:r>
                                  <w:rPr>
                                    <w:rFonts w:ascii="Cambria Math" w:hAnsi="Cambria Math"/>
                                    <w:szCs w:val="24"/>
                                  </w:rPr>
                                  <m:t>Qi,sd</m:t>
                                </m:r>
                              </m:sub>
                            </m:sSub>
                            <m:r>
                              <w:rPr>
                                <w:rFonts w:ascii="Cambria Math" w:hAnsi="Cambria Math"/>
                                <w:szCs w:val="24"/>
                              </w:rPr>
                              <m:t>+</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Qi,ud</m:t>
                                    </m:r>
                                  </m:sub>
                                </m:sSub>
                              </m:e>
                            </m:d>
                          </m:e>
                        </m:func>
                      </m:e>
                    </m:d>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num>
                  <m:den>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e>
                    </m:func>
                  </m:den>
                </m:f>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i-1</m:t>
                    </m:r>
                  </m:sub>
                </m:sSub>
              </m:oMath>
            </m:oMathPara>
          </w:p>
        </w:tc>
        <w:tc>
          <w:tcPr>
            <w:tcW w:w="636" w:type="dxa"/>
          </w:tcPr>
          <w:p w14:paraId="6033600E" w14:textId="0A429BFB"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59</w:t>
            </w:r>
            <w:r w:rsidRPr="00051297">
              <w:rPr>
                <w:szCs w:val="24"/>
                <w:lang w:val="en-US"/>
              </w:rPr>
              <w:fldChar w:fldCharType="end"/>
            </w:r>
            <w:r w:rsidRPr="00051297">
              <w:rPr>
                <w:szCs w:val="24"/>
                <w:lang w:val="en-US"/>
              </w:rPr>
              <w:t>)</w:t>
            </w:r>
          </w:p>
        </w:tc>
      </w:tr>
    </w:tbl>
    <w:p w14:paraId="42584AE0" w14:textId="77777777" w:rsidR="00051297" w:rsidRPr="00051297" w:rsidRDefault="00051297" w:rsidP="00051297">
      <w:pPr>
        <w:rPr>
          <w:rFonts w:cs="Times New Roman"/>
          <w:szCs w:val="24"/>
          <w:lang w:val="en-US"/>
        </w:rPr>
      </w:pPr>
      <w:r w:rsidRPr="00051297">
        <w:rPr>
          <w:rFonts w:cs="Times New Roman"/>
          <w:i/>
          <w:iCs/>
          <w:szCs w:val="24"/>
          <w:lang w:val="en-US"/>
        </w:rPr>
        <w:t>E</w:t>
      </w:r>
      <w:r w:rsidRPr="00051297">
        <w:rPr>
          <w:rFonts w:cs="Times New Roman"/>
          <w:i/>
          <w:iCs/>
          <w:szCs w:val="24"/>
          <w:vertAlign w:val="subscript"/>
          <w:lang w:val="en-US"/>
        </w:rPr>
        <w:t>0 </w:t>
      </w:r>
      <w:r w:rsidRPr="00051297">
        <w:rPr>
          <w:rFonts w:cs="Times New Roman"/>
          <w:i/>
          <w:iCs/>
          <w:szCs w:val="24"/>
          <w:lang w:val="en-US"/>
        </w:rPr>
        <w:t>= 0</w:t>
      </w:r>
      <w:r w:rsidRPr="00051297">
        <w:rPr>
          <w:rFonts w:cs="Times New Roman"/>
          <w:szCs w:val="24"/>
          <w:lang w:val="en-US"/>
        </w:rPr>
        <w:t xml:space="preserve"> at the origin of the slip surface. The value of </w:t>
      </w:r>
      <w:r w:rsidRPr="00051297">
        <w:rPr>
          <w:rFonts w:cs="Times New Roman"/>
          <w:i/>
          <w:iCs/>
          <w:szCs w:val="24"/>
          <w:lang w:val="en-US"/>
        </w:rPr>
        <w:t>E</w:t>
      </w:r>
      <w:r w:rsidRPr="00051297">
        <w:rPr>
          <w:rFonts w:cs="Times New Roman"/>
          <w:i/>
          <w:iCs/>
          <w:szCs w:val="24"/>
          <w:vertAlign w:val="subscript"/>
          <w:lang w:val="en-US"/>
        </w:rPr>
        <w:t>1</w:t>
      </w:r>
      <w:r w:rsidRPr="00051297">
        <w:rPr>
          <w:rFonts w:cs="Times New Roman"/>
          <w:szCs w:val="24"/>
          <w:lang w:val="en-US"/>
        </w:rPr>
        <w:t xml:space="preserve"> is then calculated as follows: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
        <w:gridCol w:w="7601"/>
        <w:gridCol w:w="1505"/>
      </w:tblGrid>
      <w:tr w:rsidR="00051297" w:rsidRPr="00051297" w14:paraId="5D142B26" w14:textId="77777777" w:rsidTr="00D20B01">
        <w:tc>
          <w:tcPr>
            <w:tcW w:w="265" w:type="dxa"/>
          </w:tcPr>
          <w:p w14:paraId="503D4F3D" w14:textId="77777777" w:rsidR="00051297" w:rsidRPr="00051297" w:rsidRDefault="00051297" w:rsidP="00051297">
            <w:pPr>
              <w:spacing w:after="160"/>
              <w:rPr>
                <w:szCs w:val="24"/>
                <w:lang w:val="en-US"/>
              </w:rPr>
            </w:pPr>
          </w:p>
        </w:tc>
        <w:tc>
          <w:tcPr>
            <w:tcW w:w="8820" w:type="dxa"/>
          </w:tcPr>
          <w:p w14:paraId="5B15A529"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r>
                  <w:rPr>
                    <w:rFonts w:ascii="Cambria Math" w:hAnsi="Cambria Math"/>
                    <w:szCs w:val="24"/>
                  </w:rPr>
                  <m:t>=</m:t>
                </m:r>
                <m:f>
                  <m:fPr>
                    <m:ctrlPr>
                      <w:rPr>
                        <w:rFonts w:ascii="Cambria Math" w:hAnsi="Cambria Math"/>
                        <w:i/>
                        <w:szCs w:val="24"/>
                      </w:rPr>
                    </m:ctrlPr>
                  </m:fPr>
                  <m:num>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Ni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u</m:t>
                                </m:r>
                              </m:sub>
                            </m:sSub>
                            <m:sSub>
                              <m:sSubPr>
                                <m:ctrlPr>
                                  <w:rPr>
                                    <w:rFonts w:ascii="Cambria Math" w:hAnsi="Cambria Math"/>
                                    <w:i/>
                                    <w:szCs w:val="24"/>
                                  </w:rPr>
                                </m:ctrlPr>
                              </m:sSubPr>
                              <m:e>
                                <m:r>
                                  <w:rPr>
                                    <w:rFonts w:ascii="Cambria Math" w:hAnsi="Cambria Math"/>
                                    <w:szCs w:val="24"/>
                                  </w:rPr>
                                  <m:t>P</m:t>
                                </m:r>
                              </m:e>
                              <m:sub>
                                <m:r>
                                  <w:rPr>
                                    <w:rFonts w:ascii="Cambria Math" w:hAnsi="Cambria Math"/>
                                    <w:szCs w:val="24"/>
                                  </w:rPr>
                                  <m:t>Qi,sd</m:t>
                                </m:r>
                              </m:sub>
                            </m:sSub>
                            <m:r>
                              <w:rPr>
                                <w:rFonts w:ascii="Cambria Math" w:hAnsi="Cambria Math"/>
                                <w:szCs w:val="24"/>
                              </w:rPr>
                              <m:t>+</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Qi,ud</m:t>
                                    </m:r>
                                  </m:sub>
                                </m:sSub>
                              </m:e>
                            </m:d>
                          </m:e>
                        </m:func>
                      </m:e>
                    </m:d>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num>
                  <m:den>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e>
                    </m:func>
                  </m:den>
                </m:f>
              </m:oMath>
            </m:oMathPara>
          </w:p>
        </w:tc>
        <w:tc>
          <w:tcPr>
            <w:tcW w:w="265" w:type="dxa"/>
          </w:tcPr>
          <w:p w14:paraId="686DF31A" w14:textId="6DBC02A3"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60</w:t>
            </w:r>
            <w:r w:rsidRPr="00051297">
              <w:rPr>
                <w:szCs w:val="24"/>
                <w:lang w:val="en-US"/>
              </w:rPr>
              <w:fldChar w:fldCharType="end"/>
            </w:r>
            <w:r w:rsidRPr="00051297">
              <w:rPr>
                <w:szCs w:val="24"/>
                <w:lang w:val="en-US"/>
              </w:rPr>
              <w:t>)</w:t>
            </w:r>
          </w:p>
        </w:tc>
      </w:tr>
    </w:tbl>
    <w:p w14:paraId="69C83090" w14:textId="77777777" w:rsidR="00051297" w:rsidRPr="00051297" w:rsidRDefault="00051297" w:rsidP="00051297">
      <w:pPr>
        <w:rPr>
          <w:rFonts w:cs="Times New Roman"/>
          <w:szCs w:val="24"/>
          <w:lang w:val="en-US"/>
        </w:rPr>
      </w:pPr>
      <w:r w:rsidRPr="00051297">
        <w:rPr>
          <w:rFonts w:cs="Times New Roman"/>
          <w:szCs w:val="24"/>
          <w:lang w:val="en-US"/>
        </w:rPr>
        <w:t>The value of </w:t>
      </w:r>
      <w:r w:rsidRPr="00051297">
        <w:rPr>
          <w:rFonts w:cs="Times New Roman"/>
          <w:i/>
          <w:iCs/>
          <w:szCs w:val="24"/>
          <w:lang w:val="en-US"/>
        </w:rPr>
        <w:t>E</w:t>
      </w:r>
      <w:r w:rsidRPr="00051297">
        <w:rPr>
          <w:rFonts w:cs="Times New Roman"/>
          <w:i/>
          <w:iCs/>
          <w:szCs w:val="24"/>
          <w:vertAlign w:val="subscript"/>
          <w:lang w:val="en-US"/>
        </w:rPr>
        <w:t>2</w:t>
      </w:r>
      <w:r w:rsidRPr="00051297">
        <w:rPr>
          <w:rFonts w:cs="Times New Roman"/>
          <w:szCs w:val="24"/>
          <w:lang w:val="en-US"/>
        </w:rPr>
        <w:t> is then given by:</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
        <w:gridCol w:w="7602"/>
        <w:gridCol w:w="1505"/>
      </w:tblGrid>
      <w:tr w:rsidR="00051297" w:rsidRPr="00051297" w14:paraId="30A9F88F" w14:textId="77777777" w:rsidTr="00D20B01">
        <w:tc>
          <w:tcPr>
            <w:tcW w:w="265" w:type="dxa"/>
          </w:tcPr>
          <w:p w14:paraId="3FFBE366" w14:textId="77777777" w:rsidR="00051297" w:rsidRPr="00051297" w:rsidRDefault="00051297" w:rsidP="00051297">
            <w:pPr>
              <w:spacing w:after="160"/>
              <w:rPr>
                <w:szCs w:val="24"/>
                <w:lang w:val="en-US"/>
              </w:rPr>
            </w:pPr>
          </w:p>
        </w:tc>
        <w:tc>
          <w:tcPr>
            <w:tcW w:w="8820" w:type="dxa"/>
          </w:tcPr>
          <w:p w14:paraId="3D4F86CA"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2</m:t>
                    </m:r>
                  </m:sub>
                </m:sSub>
                <m:r>
                  <w:rPr>
                    <w:rFonts w:ascii="Cambria Math" w:hAnsi="Cambria Math"/>
                    <w:szCs w:val="24"/>
                  </w:rPr>
                  <m:t>=</m:t>
                </m:r>
                <m:f>
                  <m:fPr>
                    <m:ctrlPr>
                      <w:rPr>
                        <w:rFonts w:ascii="Cambria Math" w:hAnsi="Cambria Math"/>
                        <w:i/>
                        <w:szCs w:val="24"/>
                      </w:rPr>
                    </m:ctrlPr>
                  </m:fPr>
                  <m:num>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N2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2</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2</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u</m:t>
                                </m:r>
                              </m:sub>
                            </m:sSub>
                            <m:sSub>
                              <m:sSubPr>
                                <m:ctrlPr>
                                  <w:rPr>
                                    <w:rFonts w:ascii="Cambria Math" w:hAnsi="Cambria Math"/>
                                    <w:i/>
                                    <w:szCs w:val="24"/>
                                  </w:rPr>
                                </m:ctrlPr>
                              </m:sSubPr>
                              <m:e>
                                <m:r>
                                  <w:rPr>
                                    <w:rFonts w:ascii="Cambria Math" w:hAnsi="Cambria Math"/>
                                    <w:szCs w:val="24"/>
                                  </w:rPr>
                                  <m:t>P</m:t>
                                </m:r>
                              </m:e>
                              <m:sub>
                                <m:r>
                                  <w:rPr>
                                    <w:rFonts w:ascii="Cambria Math" w:hAnsi="Cambria Math"/>
                                    <w:szCs w:val="24"/>
                                  </w:rPr>
                                  <m:t>Q2,sd</m:t>
                                </m:r>
                              </m:sub>
                            </m:sSub>
                            <m:r>
                              <w:rPr>
                                <w:rFonts w:ascii="Cambria Math" w:hAnsi="Cambria Math"/>
                                <w:szCs w:val="24"/>
                              </w:rPr>
                              <m:t>+</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Q2,ud</m:t>
                                    </m:r>
                                  </m:sub>
                                </m:sSub>
                              </m:e>
                            </m:d>
                          </m:e>
                        </m:func>
                      </m:e>
                    </m:d>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2</m:t>
                            </m:r>
                          </m:sub>
                        </m:sSub>
                      </m:e>
                    </m:func>
                  </m:num>
                  <m:den>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2</m:t>
                            </m:r>
                          </m:sub>
                        </m:sSub>
                        <m:r>
                          <w:rPr>
                            <w:rFonts w:ascii="Cambria Math" w:hAnsi="Cambria Math"/>
                            <w:szCs w:val="24"/>
                          </w:rPr>
                          <m:t>)</m:t>
                        </m:r>
                      </m:e>
                    </m:func>
                  </m:den>
                </m:f>
                <m:r>
                  <w:rPr>
                    <w:rFonts w:ascii="Cambria Math" w:hAnsi="Cambria Math"/>
                    <w:szCs w:val="24"/>
                  </w:rPr>
                  <m:t>+</m:t>
                </m:r>
                <m:f>
                  <m:fPr>
                    <m:ctrlPr>
                      <w:rPr>
                        <w:rFonts w:ascii="Cambria Math" w:hAnsi="Cambria Math"/>
                        <w:i/>
                        <w:szCs w:val="24"/>
                      </w:rPr>
                    </m:ctrlPr>
                  </m:fPr>
                  <m:num>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N1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1</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1</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u</m:t>
                                </m:r>
                              </m:sub>
                            </m:sSub>
                            <m:sSub>
                              <m:sSubPr>
                                <m:ctrlPr>
                                  <w:rPr>
                                    <w:rFonts w:ascii="Cambria Math" w:hAnsi="Cambria Math"/>
                                    <w:i/>
                                    <w:szCs w:val="24"/>
                                  </w:rPr>
                                </m:ctrlPr>
                              </m:sSubPr>
                              <m:e>
                                <m:r>
                                  <w:rPr>
                                    <w:rFonts w:ascii="Cambria Math" w:hAnsi="Cambria Math"/>
                                    <w:szCs w:val="24"/>
                                  </w:rPr>
                                  <m:t>P</m:t>
                                </m:r>
                              </m:e>
                              <m:sub>
                                <m:r>
                                  <w:rPr>
                                    <w:rFonts w:ascii="Cambria Math" w:hAnsi="Cambria Math"/>
                                    <w:szCs w:val="24"/>
                                  </w:rPr>
                                  <m:t>Q1,sd</m:t>
                                </m:r>
                              </m:sub>
                            </m:sSub>
                            <m:r>
                              <w:rPr>
                                <w:rFonts w:ascii="Cambria Math" w:hAnsi="Cambria Math"/>
                                <w:szCs w:val="24"/>
                              </w:rPr>
                              <m:t>+</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Q1,ud</m:t>
                                    </m:r>
                                  </m:sub>
                                </m:sSub>
                              </m:e>
                            </m:d>
                          </m:e>
                        </m:func>
                      </m:e>
                    </m:d>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1</m:t>
                            </m:r>
                          </m:sub>
                        </m:sSub>
                      </m:e>
                    </m:func>
                  </m:num>
                  <m:den>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1</m:t>
                            </m:r>
                          </m:sub>
                        </m:sSub>
                        <m:r>
                          <w:rPr>
                            <w:rFonts w:ascii="Cambria Math" w:hAnsi="Cambria Math"/>
                            <w:szCs w:val="24"/>
                          </w:rPr>
                          <m:t>)</m:t>
                        </m:r>
                      </m:e>
                    </m:func>
                  </m:den>
                </m:f>
              </m:oMath>
            </m:oMathPara>
          </w:p>
        </w:tc>
        <w:tc>
          <w:tcPr>
            <w:tcW w:w="265" w:type="dxa"/>
          </w:tcPr>
          <w:p w14:paraId="2EF2B8D8" w14:textId="593264DC"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61</w:t>
            </w:r>
            <w:r w:rsidRPr="00051297">
              <w:rPr>
                <w:szCs w:val="24"/>
                <w:lang w:val="en-US"/>
              </w:rPr>
              <w:fldChar w:fldCharType="end"/>
            </w:r>
            <w:r w:rsidRPr="00051297">
              <w:rPr>
                <w:szCs w:val="24"/>
                <w:lang w:val="en-US"/>
              </w:rPr>
              <w:t>)</w:t>
            </w:r>
          </w:p>
        </w:tc>
      </w:tr>
    </w:tbl>
    <w:p w14:paraId="03B1415F" w14:textId="77777777" w:rsidR="00051297" w:rsidRPr="00051297" w:rsidRDefault="00051297" w:rsidP="00051297">
      <w:pPr>
        <w:rPr>
          <w:rFonts w:cs="Times New Roman"/>
          <w:szCs w:val="24"/>
        </w:rPr>
      </w:pPr>
      <w:r w:rsidRPr="00051297">
        <w:rPr>
          <w:rFonts w:cs="Times New Roman"/>
          <w:szCs w:val="24"/>
          <w:lang w:val="en-US"/>
        </w:rPr>
        <w:t xml:space="preserve">Similarly, the values of all forces operating between blocks may be determined. It also holds at the end of the slip surface we've created, </w:t>
      </w:r>
      <w:r w:rsidRPr="00051297">
        <w:rPr>
          <w:rFonts w:cs="Times New Roman"/>
          <w:i/>
          <w:iCs/>
          <w:szCs w:val="24"/>
          <w:lang w:val="en-US"/>
        </w:rPr>
        <w:t>E</w:t>
      </w:r>
      <w:r w:rsidRPr="00051297">
        <w:rPr>
          <w:rFonts w:cs="Times New Roman"/>
          <w:i/>
          <w:iCs/>
          <w:szCs w:val="24"/>
          <w:vertAlign w:val="subscript"/>
          <w:lang w:val="en-US"/>
        </w:rPr>
        <w:t>n </w:t>
      </w:r>
      <w:r w:rsidRPr="00051297">
        <w:rPr>
          <w:rFonts w:cs="Times New Roman"/>
          <w:i/>
          <w:iCs/>
          <w:szCs w:val="24"/>
          <w:lang w:val="en-US"/>
        </w:rPr>
        <w:t xml:space="preserve">= 0. </w:t>
      </w:r>
      <w:r w:rsidRPr="00051297">
        <w:rPr>
          <w:rFonts w:cs="Times New Roman"/>
          <w:szCs w:val="24"/>
        </w:rPr>
        <w:t xml:space="preserve">Using the previous expressions, the following can be written: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
        <w:gridCol w:w="7593"/>
        <w:gridCol w:w="1505"/>
      </w:tblGrid>
      <w:tr w:rsidR="00051297" w:rsidRPr="00051297" w14:paraId="4CD838CD" w14:textId="77777777" w:rsidTr="00D20B01">
        <w:tc>
          <w:tcPr>
            <w:tcW w:w="265" w:type="dxa"/>
          </w:tcPr>
          <w:p w14:paraId="42258E90" w14:textId="77777777" w:rsidR="00051297" w:rsidRPr="00051297" w:rsidRDefault="00051297" w:rsidP="00051297">
            <w:pPr>
              <w:spacing w:after="160"/>
              <w:rPr>
                <w:szCs w:val="24"/>
              </w:rPr>
            </w:pPr>
          </w:p>
        </w:tc>
        <w:tc>
          <w:tcPr>
            <w:tcW w:w="8820" w:type="dxa"/>
          </w:tcPr>
          <w:p w14:paraId="35DAF4DE"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n</m:t>
                    </m:r>
                  </m:sub>
                </m:sSub>
                <m:r>
                  <w:rPr>
                    <w:rFonts w:ascii="Cambria Math" w:hAnsi="Cambria Math"/>
                    <w:szCs w:val="24"/>
                  </w:rPr>
                  <m:t>=</m:t>
                </m:r>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Ni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r>
                              <w:rPr>
                                <w:rFonts w:ascii="Cambria Math" w:hAnsi="Cambria Math"/>
                                <w:szCs w:val="24"/>
                              </w:rPr>
                              <m:t>+</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Qi,ud</m:t>
                                    </m:r>
                                  </m:sub>
                                </m:sSub>
                              </m:e>
                            </m:d>
                          </m:e>
                        </m:func>
                      </m:e>
                    </m:d>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num>
                      <m:den>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d>
                          </m:e>
                        </m:func>
                      </m:den>
                    </m:f>
                    <m:r>
                      <w:rPr>
                        <w:rFonts w:ascii="Cambria Math" w:hAnsi="Cambria Math"/>
                        <w:szCs w:val="24"/>
                      </w:rPr>
                      <m:t>-</m:t>
                    </m:r>
                    <m:sSub>
                      <m:sSubPr>
                        <m:ctrlPr>
                          <w:rPr>
                            <w:rFonts w:ascii="Cambria Math" w:hAnsi="Cambria Math"/>
                            <w:i/>
                            <w:szCs w:val="24"/>
                          </w:rPr>
                        </m:ctrlPr>
                      </m:sSubPr>
                      <m:e>
                        <m:r>
                          <w:rPr>
                            <w:rFonts w:ascii="Cambria Math" w:hAnsi="Cambria Math"/>
                            <w:szCs w:val="24"/>
                          </w:rPr>
                          <m:t>K</m:t>
                        </m:r>
                      </m:e>
                      <m:sub>
                        <m:r>
                          <w:rPr>
                            <w:rFonts w:ascii="Cambria Math" w:hAnsi="Cambria Math"/>
                            <w:szCs w:val="24"/>
                          </w:rPr>
                          <m:t>u</m:t>
                        </m:r>
                      </m:sub>
                    </m:sSub>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Qi,sd</m:t>
                            </m:r>
                          </m:sub>
                        </m:sSub>
                      </m:e>
                    </m:nary>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num>
                      <m:den>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d>
                          </m:e>
                        </m:func>
                      </m:den>
                    </m:f>
                    <m:r>
                      <w:rPr>
                        <w:rFonts w:ascii="Cambria Math" w:hAnsi="Cambria Math"/>
                        <w:szCs w:val="24"/>
                      </w:rPr>
                      <m:t>=0</m:t>
                    </m:r>
                  </m:e>
                </m:nary>
              </m:oMath>
            </m:oMathPara>
          </w:p>
        </w:tc>
        <w:tc>
          <w:tcPr>
            <w:tcW w:w="265" w:type="dxa"/>
          </w:tcPr>
          <w:p w14:paraId="2BF0B839" w14:textId="41E32B21"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62</w:t>
            </w:r>
            <w:r w:rsidRPr="00051297">
              <w:rPr>
                <w:szCs w:val="24"/>
                <w:lang w:val="en-US"/>
              </w:rPr>
              <w:fldChar w:fldCharType="end"/>
            </w:r>
            <w:r w:rsidRPr="00051297">
              <w:rPr>
                <w:szCs w:val="24"/>
                <w:lang w:val="en-US"/>
              </w:rPr>
              <w:t>)</w:t>
            </w:r>
          </w:p>
        </w:tc>
      </w:tr>
    </w:tbl>
    <w:p w14:paraId="1E07DF00" w14:textId="77777777" w:rsidR="00051297" w:rsidRPr="00051297" w:rsidRDefault="00051297" w:rsidP="00051297">
      <w:pPr>
        <w:rPr>
          <w:rFonts w:cs="Times New Roman"/>
          <w:szCs w:val="24"/>
          <w:lang w:val="en-US"/>
        </w:rPr>
      </w:pPr>
      <w:r w:rsidRPr="00051297">
        <w:rPr>
          <w:rFonts w:cs="Times New Roman"/>
          <w:szCs w:val="24"/>
          <w:lang w:val="en-US"/>
        </w:rPr>
        <w:t>This equation directly provides the factor of safety </w:t>
      </w:r>
      <w:r w:rsidRPr="00051297">
        <w:rPr>
          <w:rFonts w:cs="Times New Roman"/>
          <w:i/>
          <w:iCs/>
          <w:szCs w:val="24"/>
          <w:lang w:val="en-US"/>
        </w:rPr>
        <w:t>K</w:t>
      </w:r>
      <w:r w:rsidRPr="00051297">
        <w:rPr>
          <w:rFonts w:cs="Times New Roman"/>
          <w:i/>
          <w:iCs/>
          <w:szCs w:val="24"/>
          <w:vertAlign w:val="subscript"/>
          <w:lang w:val="en-US"/>
        </w:rPr>
        <w:t>u</w:t>
      </w:r>
      <w:r w:rsidRPr="00051297">
        <w:rPr>
          <w:rFonts w:cs="Times New Roman"/>
          <w:szCs w:val="24"/>
          <w:lang w:val="en-US"/>
        </w:rPr>
        <w:t> in the form:</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
        <w:gridCol w:w="7601"/>
        <w:gridCol w:w="1505"/>
      </w:tblGrid>
      <w:tr w:rsidR="00051297" w:rsidRPr="00051297" w14:paraId="5D31C14A" w14:textId="77777777" w:rsidTr="00D20B01">
        <w:tc>
          <w:tcPr>
            <w:tcW w:w="265" w:type="dxa"/>
          </w:tcPr>
          <w:p w14:paraId="2F02C444" w14:textId="77777777" w:rsidR="00051297" w:rsidRPr="00051297" w:rsidRDefault="00051297" w:rsidP="00051297">
            <w:pPr>
              <w:spacing w:after="160"/>
              <w:rPr>
                <w:szCs w:val="24"/>
                <w:lang w:val="en-US"/>
              </w:rPr>
            </w:pPr>
          </w:p>
        </w:tc>
        <w:tc>
          <w:tcPr>
            <w:tcW w:w="8820" w:type="dxa"/>
          </w:tcPr>
          <w:p w14:paraId="18302033"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u</m:t>
                    </m:r>
                  </m:sub>
                </m:sSub>
                <m:r>
                  <w:rPr>
                    <w:rFonts w:ascii="Cambria Math" w:hAnsi="Cambria Math"/>
                    <w:szCs w:val="24"/>
                  </w:rPr>
                  <m:t>=</m:t>
                </m:r>
                <m:f>
                  <m:fPr>
                    <m:ctrlPr>
                      <w:rPr>
                        <w:rFonts w:ascii="Cambria Math" w:hAnsi="Cambria Math"/>
                        <w:i/>
                        <w:szCs w:val="24"/>
                      </w:rPr>
                    </m:ctrlPr>
                  </m:fPr>
                  <m:num>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Ni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r>
                                  <w:rPr>
                                    <w:rFonts w:ascii="Cambria Math" w:hAnsi="Cambria Math"/>
                                    <w:szCs w:val="24"/>
                                  </w:rPr>
                                  <m:t>+</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Qi,ud</m:t>
                                        </m:r>
                                      </m:sub>
                                    </m:sSub>
                                  </m:e>
                                </m:d>
                              </m:e>
                            </m:func>
                          </m:e>
                        </m:d>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num>
                          <m:den>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d>
                              </m:e>
                            </m:func>
                          </m:den>
                        </m:f>
                      </m:e>
                    </m:nary>
                  </m:num>
                  <m:den>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Qi,sd</m:t>
                            </m:r>
                          </m:sub>
                        </m:sSub>
                      </m:e>
                    </m:nary>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num>
                      <m:den>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d>
                          </m:e>
                        </m:func>
                      </m:den>
                    </m:f>
                  </m:den>
                </m:f>
              </m:oMath>
            </m:oMathPara>
          </w:p>
        </w:tc>
        <w:tc>
          <w:tcPr>
            <w:tcW w:w="265" w:type="dxa"/>
          </w:tcPr>
          <w:p w14:paraId="0950008C" w14:textId="28F42E44"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63</w:t>
            </w:r>
            <w:r w:rsidRPr="00051297">
              <w:rPr>
                <w:szCs w:val="24"/>
                <w:lang w:val="en-US"/>
              </w:rPr>
              <w:fldChar w:fldCharType="end"/>
            </w:r>
            <w:r w:rsidRPr="00051297">
              <w:rPr>
                <w:szCs w:val="24"/>
                <w:lang w:val="en-US"/>
              </w:rPr>
              <w:t>)</w:t>
            </w:r>
          </w:p>
        </w:tc>
      </w:tr>
    </w:tbl>
    <w:p w14:paraId="58D12A32" w14:textId="77777777" w:rsidR="00051297" w:rsidRPr="00051297" w:rsidRDefault="00051297" w:rsidP="00051297">
      <w:pPr>
        <w:spacing w:before="240"/>
        <w:rPr>
          <w:rFonts w:cs="Times New Roman"/>
          <w:szCs w:val="24"/>
          <w:lang w:val="en-US"/>
        </w:rPr>
      </w:pPr>
      <w:r w:rsidRPr="00051297">
        <w:rPr>
          <w:rFonts w:cs="Times New Roman"/>
          <w:szCs w:val="24"/>
          <w:lang w:val="en-US"/>
        </w:rPr>
        <w:t>(j) ITF Method (Imbalance Thrust Force Method)</w:t>
      </w:r>
    </w:p>
    <w:p w14:paraId="6B4C92BC" w14:textId="7384A069" w:rsidR="00051297" w:rsidRPr="00051297" w:rsidRDefault="00051297" w:rsidP="00051297">
      <w:pPr>
        <w:rPr>
          <w:rFonts w:cs="Times New Roman"/>
          <w:szCs w:val="24"/>
        </w:rPr>
      </w:pPr>
      <w:r w:rsidRPr="00051297">
        <w:rPr>
          <w:rFonts w:cs="Times New Roman"/>
          <w:szCs w:val="24"/>
          <w:lang w:val="en-US"/>
        </w:rPr>
        <w:t>It is based on the equation of equilibrium of forces operating on individual blocks without taking into account the moment equation of equilibrium. The following diagram illustrates the method's foundations and assumptions (</w:t>
      </w:r>
      <w:r w:rsidRPr="00051297">
        <w:rPr>
          <w:rFonts w:cs="Times New Roman"/>
          <w:szCs w:val="24"/>
          <w:lang w:val="en-US"/>
        </w:rPr>
        <w:fldChar w:fldCharType="begin"/>
      </w:r>
      <w:r w:rsidRPr="00051297">
        <w:rPr>
          <w:rFonts w:cs="Times New Roman"/>
          <w:szCs w:val="24"/>
          <w:lang w:val="en-US"/>
        </w:rPr>
        <w:instrText xml:space="preserve"> REF _Ref98103243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20</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szCs w:val="24"/>
        </w:rPr>
        <w:fldChar w:fldCharType="begin" w:fldLock="1"/>
      </w:r>
      <w:r w:rsidR="00FA5896">
        <w:rPr>
          <w:rFonts w:cs="Times New Roman"/>
          <w:szCs w:val="24"/>
          <w:lang w:val="en-US"/>
        </w:rPr>
        <w:instrText>ADDIN CSL_CITATION {"citationItems":[{"id":"ITEM-1","itemData":{"DOI":"10.1007/s10064-021-02167-9","ISSN":"1435-9529","abstract":"The impoundment of the Three Gorges Reservoir in China inevitably caused the reservoir landslides to develop toward instability, which has attracted widespread attention. Taking the Huangtupo Riverside Slump 1# with the structural characteristics of double sliding zones as a case, this study focuses on the sliding zone soils in the hydro-fluctuation belt affected by the periodic fluctuations of reservoir water level. The wetting-drying cycles test is carried out to simulate the cyclic impact of the fluctuations on the sliding zone soils. Hence the weakening law of the strength parameters is illustrated and well characterized by an exponential function model. Considering the different number of wetting-drying cycles, the long-term reliability of the shallow and deep sliding surfaces is quantified via the imbalance thrust force method and reliability theory. The results indicate that the local failure probability of both sliding surfaces gradually rises as the number of wetting-drying cycles increases. In particular, the shallow sliding surface presents a greater local failure probability than that of the deep one since more slices are in the hydro-fluctuation belt. Besides, the sensitivity of the landslide response to the strength parameters is different, and the internal friction angle is much greater than the cohesion. The area of the hydro-fluctuation belt plays a significant role on the long-term reliability of the landslide, which should be closely monitored to guide the reservoir operation.","author":[{"dropping-particle":"","family":"Liao","given":"Kang","non-dropping-particle":"","parse-names":false,"suffix":""},{"dropping-particle":"","family":"Wu","given":"Yiping","non-dropping-particle":"","parse-names":false,"suffix":""},{"dropping-particle":"","family":"Miao","given":"Fasheng","non-dropping-particle":"","parse-names":false,"suffix":""},{"dropping-particle":"","family":"Li","given":"Linwei","non-dropping-particle":"","parse-names":false,"suffix":""},{"dropping-particle":"","family":"Xue","given":"Yang","non-dropping-particle":"","parse-names":false,"suffix":""}],"container-title":"Bulletin of Engineering Geology and the Environment","id":"ITEM-1","issue":"5","issued":{"date-parts":[["2021","5"]]},"page":"3801-3815","title":"Effect of weakening of sliding zone soils in hydro-fluctuation belt on long-term reliability of reservoir landslides","type":"article-journal","volume":"80"},"uris":["http://www.mendeley.com/documents/?uuid=1aaecb7c-3379-40b8-87fa-d96277782c04","http://www.mendeley.com/documents/?uuid=be5d52f5-52f1-43e2-b5c5-b757c447f641","http://www.mendeley.com/documents/?uuid=c8279ed0-278e-4a12-b64e-e95adce91a3d"]}],"mendeley":{"formattedCitation":"[171]","plainTextFormattedCitation":"[171]","previouslyFormattedCitation":"[171]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[171]</w:t>
      </w:r>
      <w:r w:rsidRPr="00051297">
        <w:rPr>
          <w:rFonts w:cs="Times New Roman"/>
          <w:szCs w:val="24"/>
        </w:rPr>
        <w:fldChar w:fldCharType="end"/>
      </w:r>
      <w:r w:rsidRPr="00051297">
        <w:rPr>
          <w:rFonts w:cs="Times New Roman"/>
          <w:szCs w:val="24"/>
        </w:rPr>
        <w:t>.</w:t>
      </w:r>
    </w:p>
    <w:p w14:paraId="73A61694"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0382B827" wp14:editId="554A5E41">
            <wp:extent cx="5190244" cy="24993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97304" cy="2502760"/>
                    </a:xfrm>
                    <a:prstGeom prst="rect">
                      <a:avLst/>
                    </a:prstGeom>
                    <a:noFill/>
                    <a:ln>
                      <a:noFill/>
                    </a:ln>
                  </pic:spPr>
                </pic:pic>
              </a:graphicData>
            </a:graphic>
          </wp:inline>
        </w:drawing>
      </w:r>
    </w:p>
    <w:p w14:paraId="45BD1557" w14:textId="40A295D7" w:rsidR="00051297" w:rsidRPr="00051297" w:rsidRDefault="00051297" w:rsidP="00051297">
      <w:pPr>
        <w:ind w:firstLine="0"/>
        <w:jc w:val="center"/>
        <w:rPr>
          <w:rFonts w:cs="Times New Roman"/>
          <w:szCs w:val="24"/>
          <w:lang w:val="en-US" w:bidi="en-US"/>
        </w:rPr>
      </w:pPr>
      <w:bookmarkStart w:id="354" w:name="_Ref98103243"/>
      <w:bookmarkStart w:id="355" w:name="_Toc104985407"/>
      <w:bookmarkStart w:id="356" w:name="_Toc98085887"/>
      <w:bookmarkStart w:id="357" w:name="_Toc97428212"/>
      <w:bookmarkStart w:id="358" w:name="_Toc103544084"/>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20</w:t>
      </w:r>
      <w:r w:rsidR="00527861">
        <w:rPr>
          <w:rFonts w:cs="Times New Roman"/>
          <w:szCs w:val="24"/>
          <w:lang w:val="en-US" w:bidi="en-US"/>
        </w:rPr>
        <w:fldChar w:fldCharType="end"/>
      </w:r>
      <w:bookmarkEnd w:id="354"/>
      <w:r w:rsidRPr="00051297">
        <w:rPr>
          <w:rFonts w:cs="Times New Roman"/>
          <w:szCs w:val="24"/>
          <w:lang w:val="en-US" w:bidi="en-US"/>
        </w:rPr>
        <w:t xml:space="preserve"> – ITF Method - Forces acting on a block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{"citationItems":[{"id":"ITEM-1","itemData":{"author":[{"dropping-particle":"","family":"Fine spol. s r.o.","given":"","non-dropping-particle":"","parse-names":false,"suffix":""}],"id":"ITEM-1","issued":{"date-parts":[["2021"]]},"title":"Online Help- GEO5: ITF Method (Imbalance Thrust Force Method)","type":"webpage"},"uris":["http://www.mendeley.com/documents/?uuid=2cd7dbc9-83cf-463a-8f07-4de1a9e5e619","http://www.mendeley.com/documents/?uuid=879cbb7b-540a-4484-86d6-602f4c5d01d5"]}],"mendeley":{"formattedCitation":"[172]","plainTextFormattedCitation":"[172]","previouslyFormattedCitation":"[172]"},"properties":{"noteIndex":0},"schema":"https://github.com/citation-style-language/schema/raw/master/csl-citation.json"}</w:instrText>
      </w:r>
      <w:r w:rsidRPr="00051297">
        <w:rPr>
          <w:rFonts w:cs="Times New Roman"/>
          <w:szCs w:val="24"/>
          <w:lang w:val="en-US" w:bidi="en-US"/>
        </w:rPr>
        <w:fldChar w:fldCharType="separate"/>
      </w:r>
      <w:bookmarkEnd w:id="356"/>
      <w:bookmarkEnd w:id="357"/>
      <w:bookmarkEnd w:id="358"/>
      <w:r w:rsidR="0032684D" w:rsidRPr="0032684D">
        <w:rPr>
          <w:rFonts w:cs="Times New Roman"/>
          <w:noProof/>
          <w:szCs w:val="24"/>
          <w:lang w:val="en-US" w:bidi="en-US"/>
        </w:rPr>
        <w:t>[172]</w:t>
      </w:r>
      <w:bookmarkEnd w:id="355"/>
      <w:r w:rsidRPr="00051297">
        <w:rPr>
          <w:rFonts w:cs="Times New Roman"/>
          <w:szCs w:val="24"/>
          <w:lang w:val="en-US" w:bidi="en-US"/>
        </w:rPr>
        <w:fldChar w:fldCharType="end"/>
      </w:r>
    </w:p>
    <w:p w14:paraId="18B90F80" w14:textId="625C855F" w:rsidR="007350F9" w:rsidRPr="007350F9" w:rsidRDefault="00051297" w:rsidP="007350F9">
      <w:pPr>
        <w:rPr>
          <w:lang w:val="en-US"/>
        </w:rPr>
      </w:pPr>
      <w:r w:rsidRPr="007350F9">
        <w:rPr>
          <w:lang w:val="en-US"/>
        </w:rPr>
        <w:lastRenderedPageBreak/>
        <w:t>Whereby:</w:t>
      </w:r>
      <w:r w:rsidR="007350F9" w:rsidRPr="007350F9">
        <w:rPr>
          <w:lang w:val="en-US"/>
        </w:rPr>
        <w:t xml:space="preserve"> </w:t>
      </w:r>
      <w:r w:rsidRPr="007350F9">
        <w:rPr>
          <w:lang w:val="en-US"/>
        </w:rPr>
        <w:t>W</w:t>
      </w:r>
      <w:r w:rsidRPr="007350F9">
        <w:rPr>
          <w:vertAlign w:val="subscript"/>
          <w:lang w:val="en-US"/>
        </w:rPr>
        <w:t>i</w:t>
      </w:r>
      <w:r w:rsidRPr="007350F9">
        <w:rPr>
          <w:lang w:val="en-US"/>
        </w:rPr>
        <w:t xml:space="preserve"> represents the weight of the i</w:t>
      </w:r>
      <w:r w:rsidRPr="007350F9">
        <w:rPr>
          <w:vertAlign w:val="superscript"/>
          <w:lang w:val="en-US"/>
        </w:rPr>
        <w:t>th</w:t>
      </w:r>
      <w:r w:rsidRPr="007350F9">
        <w:rPr>
          <w:lang w:val="en-US"/>
        </w:rPr>
        <w:t xml:space="preserve"> block, whereby the saturated unit weight of soil (</w:t>
      </w:r>
      <w:r w:rsidRPr="007350F9">
        <w:t>γ</w:t>
      </w:r>
      <w:r w:rsidRPr="007350F9">
        <w:rPr>
          <w:vertAlign w:val="subscript"/>
          <w:lang w:val="en-US"/>
        </w:rPr>
        <w:t>sat</w:t>
      </w:r>
      <w:r w:rsidRPr="007350F9">
        <w:rPr>
          <w:lang w:val="en-US"/>
        </w:rPr>
        <w:t>) is used to determine the weight of the i</w:t>
      </w:r>
      <w:r w:rsidRPr="007350F9">
        <w:rPr>
          <w:vertAlign w:val="superscript"/>
          <w:lang w:val="en-US"/>
        </w:rPr>
        <w:t>th</w:t>
      </w:r>
      <w:r w:rsidRPr="007350F9">
        <w:rPr>
          <w:lang w:val="en-US"/>
        </w:rPr>
        <w:t xml:space="preserve"> block, as well as the weight of a portion of the block below groundwater</w:t>
      </w:r>
      <w:r w:rsidR="007350F9" w:rsidRPr="007350F9">
        <w:rPr>
          <w:lang w:val="en-US"/>
        </w:rPr>
        <w:t xml:space="preserve">; </w:t>
      </w:r>
      <w:r w:rsidRPr="007350F9">
        <w:rPr>
          <w:lang w:val="en-US"/>
        </w:rPr>
        <w:t>Fy</w:t>
      </w:r>
      <w:r w:rsidRPr="007350F9">
        <w:rPr>
          <w:vertAlign w:val="subscript"/>
          <w:lang w:val="en-US"/>
        </w:rPr>
        <w:t>i</w:t>
      </w:r>
      <w:r w:rsidRPr="007350F9">
        <w:rPr>
          <w:lang w:val="en-US"/>
        </w:rPr>
        <w:t xml:space="preserve"> – represents the remaining vertical load acting on the block</w:t>
      </w:r>
      <w:r w:rsidR="007350F9" w:rsidRPr="007350F9">
        <w:rPr>
          <w:lang w:val="en-US"/>
        </w:rPr>
        <w:t xml:space="preserve">; </w:t>
      </w:r>
      <w:r w:rsidRPr="007350F9">
        <w:rPr>
          <w:lang w:val="en-US"/>
        </w:rPr>
        <w:t>Fx</w:t>
      </w:r>
      <w:r w:rsidRPr="007350F9">
        <w:rPr>
          <w:vertAlign w:val="subscript"/>
          <w:lang w:val="en-US"/>
        </w:rPr>
        <w:t>i</w:t>
      </w:r>
      <w:r w:rsidRPr="007350F9">
        <w:rPr>
          <w:lang w:val="en-US"/>
        </w:rPr>
        <w:t xml:space="preserve"> – represents the remaining horizontal load acting on the block</w:t>
      </w:r>
      <w:r w:rsidR="007350F9" w:rsidRPr="007350F9">
        <w:rPr>
          <w:lang w:val="en-US"/>
        </w:rPr>
        <w:t xml:space="preserve">; </w:t>
      </w:r>
      <w:r w:rsidRPr="007350F9">
        <w:rPr>
          <w:lang w:val="en-US"/>
        </w:rPr>
        <w:t>F</w:t>
      </w:r>
      <w:r w:rsidRPr="007350F9">
        <w:rPr>
          <w:vertAlign w:val="subscript"/>
          <w:lang w:val="en-US"/>
        </w:rPr>
        <w:t>i</w:t>
      </w:r>
      <w:r w:rsidRPr="007350F9">
        <w:rPr>
          <w:lang w:val="en-US"/>
        </w:rPr>
        <w:t>, F</w:t>
      </w:r>
      <w:r w:rsidRPr="007350F9">
        <w:rPr>
          <w:vertAlign w:val="subscript"/>
          <w:lang w:val="en-US"/>
        </w:rPr>
        <w:t>i+1</w:t>
      </w:r>
      <w:r w:rsidRPr="007350F9">
        <w:rPr>
          <w:lang w:val="en-US"/>
        </w:rPr>
        <w:t xml:space="preserve"> – are the forces acting between blocks along directions given by angles </w:t>
      </w:r>
      <w:r w:rsidRPr="007350F9">
        <w:t>α</w:t>
      </w:r>
      <w:r w:rsidRPr="007350F9">
        <w:rPr>
          <w:vertAlign w:val="subscript"/>
          <w:lang w:val="en-US"/>
        </w:rPr>
        <w:t>i</w:t>
      </w:r>
      <w:r w:rsidRPr="007350F9">
        <w:rPr>
          <w:lang w:val="en-US"/>
        </w:rPr>
        <w:t xml:space="preserve"> and </w:t>
      </w:r>
      <w:r w:rsidRPr="007350F9">
        <w:t>α</w:t>
      </w:r>
      <w:r w:rsidRPr="007350F9">
        <w:rPr>
          <w:vertAlign w:val="subscript"/>
          <w:lang w:val="en-US"/>
        </w:rPr>
        <w:t>i+1</w:t>
      </w:r>
      <w:r w:rsidRPr="007350F9">
        <w:rPr>
          <w:lang w:val="en-US"/>
        </w:rPr>
        <w:t xml:space="preserve"> (</w:t>
      </w:r>
      <w:r w:rsidRPr="007350F9">
        <w:rPr>
          <w:lang w:val="en-US"/>
        </w:rPr>
        <w:fldChar w:fldCharType="begin"/>
      </w:r>
      <w:r w:rsidRPr="007350F9">
        <w:rPr>
          <w:lang w:val="en-US"/>
        </w:rPr>
        <w:instrText xml:space="preserve"> REF _Ref98103266 \h </w:instrText>
      </w:r>
      <w:r w:rsidRPr="007350F9">
        <w:rPr>
          <w:lang w:val="en-US"/>
        </w:rPr>
      </w:r>
      <w:r w:rsidRPr="007350F9">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1</w:t>
      </w:r>
      <w:r w:rsidR="004870F1">
        <w:rPr>
          <w:rFonts w:cs="Times New Roman"/>
          <w:szCs w:val="24"/>
          <w:lang w:val="en-US" w:bidi="en-US"/>
        </w:rPr>
        <w:t>.</w:t>
      </w:r>
      <w:r w:rsidR="004870F1">
        <w:rPr>
          <w:rFonts w:cs="Times New Roman"/>
          <w:noProof/>
          <w:szCs w:val="24"/>
          <w:lang w:val="en-US" w:bidi="en-US"/>
        </w:rPr>
        <w:t>21</w:t>
      </w:r>
      <w:r w:rsidRPr="007350F9">
        <w:rPr>
          <w:lang w:val="en-US"/>
        </w:rPr>
        <w:fldChar w:fldCharType="end"/>
      </w:r>
      <w:r w:rsidRPr="007350F9">
        <w:rPr>
          <w:lang w:val="en-US"/>
        </w:rPr>
        <w:t>)</w:t>
      </w:r>
      <w:r w:rsidR="007350F9" w:rsidRPr="007350F9">
        <w:rPr>
          <w:lang w:val="en-US"/>
        </w:rPr>
        <w:t>; U</w:t>
      </w:r>
      <w:r w:rsidR="007350F9" w:rsidRPr="007350F9">
        <w:rPr>
          <w:vertAlign w:val="subscript"/>
          <w:lang w:val="en-US"/>
        </w:rPr>
        <w:t>i</w:t>
      </w:r>
      <w:r w:rsidR="007350F9" w:rsidRPr="007350F9">
        <w:rPr>
          <w:lang w:val="en-US"/>
        </w:rPr>
        <w:t xml:space="preserve"> – is the pore pressure resultant on slip surface segment;</w:t>
      </w:r>
      <w:r w:rsidR="007350F9">
        <w:rPr>
          <w:lang w:val="en-US"/>
        </w:rPr>
        <w:t xml:space="preserve"> </w:t>
      </w:r>
      <w:r w:rsidR="007350F9" w:rsidRPr="007350F9">
        <w:rPr>
          <w:lang w:val="en-US"/>
        </w:rPr>
        <w:t>UV</w:t>
      </w:r>
      <w:r w:rsidR="007350F9" w:rsidRPr="007350F9">
        <w:rPr>
          <w:vertAlign w:val="subscript"/>
          <w:lang w:val="en-US"/>
        </w:rPr>
        <w:t>i</w:t>
      </w:r>
      <w:r w:rsidR="007350F9" w:rsidRPr="007350F9">
        <w:rPr>
          <w:lang w:val="en-US"/>
        </w:rPr>
        <w:t>, UV</w:t>
      </w:r>
      <w:r w:rsidR="007350F9" w:rsidRPr="007350F9">
        <w:rPr>
          <w:vertAlign w:val="subscript"/>
          <w:lang w:val="en-US"/>
        </w:rPr>
        <w:t>i+1</w:t>
      </w:r>
      <w:r w:rsidR="007350F9" w:rsidRPr="007350F9">
        <w:rPr>
          <w:lang w:val="en-US"/>
        </w:rPr>
        <w:t xml:space="preserve"> – are the pore pressures that result from separating planes between blocks</w:t>
      </w:r>
      <w:r w:rsidR="007350F9">
        <w:rPr>
          <w:lang w:val="en-US"/>
        </w:rPr>
        <w:t>.</w:t>
      </w:r>
    </w:p>
    <w:p w14:paraId="7B3A6428"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3A71FFF9" wp14:editId="2E5F4893">
            <wp:extent cx="5760000" cy="2757106"/>
            <wp:effectExtent l="0" t="0" r="0"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00" cy="2757106"/>
                    </a:xfrm>
                    <a:prstGeom prst="rect">
                      <a:avLst/>
                    </a:prstGeom>
                    <a:noFill/>
                    <a:ln>
                      <a:noFill/>
                    </a:ln>
                  </pic:spPr>
                </pic:pic>
              </a:graphicData>
            </a:graphic>
          </wp:inline>
        </w:drawing>
      </w:r>
    </w:p>
    <w:p w14:paraId="0A214061" w14:textId="22BB7BD5" w:rsidR="00051297" w:rsidRPr="00051297" w:rsidRDefault="00051297" w:rsidP="00051297">
      <w:pPr>
        <w:ind w:firstLine="0"/>
        <w:jc w:val="center"/>
        <w:rPr>
          <w:rFonts w:cs="Times New Roman"/>
          <w:szCs w:val="24"/>
          <w:lang w:val="en-US" w:bidi="en-US"/>
        </w:rPr>
      </w:pPr>
      <w:bookmarkStart w:id="359" w:name="_Ref98103266"/>
      <w:bookmarkStart w:id="360" w:name="_Toc104985408"/>
      <w:bookmarkStart w:id="361" w:name="_Toc98085888"/>
      <w:bookmarkStart w:id="362" w:name="_Toc97428213"/>
      <w:bookmarkStart w:id="363" w:name="_Toc103544085"/>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21</w:t>
      </w:r>
      <w:r w:rsidR="00527861">
        <w:rPr>
          <w:rFonts w:cs="Times New Roman"/>
          <w:szCs w:val="24"/>
          <w:lang w:val="en-US" w:bidi="en-US"/>
        </w:rPr>
        <w:fldChar w:fldCharType="end"/>
      </w:r>
      <w:bookmarkEnd w:id="359"/>
      <w:r w:rsidRPr="00051297">
        <w:rPr>
          <w:rFonts w:cs="Times New Roman"/>
          <w:szCs w:val="24"/>
          <w:lang w:val="en-US" w:bidi="en-US"/>
        </w:rPr>
        <w:t xml:space="preserve"> – Pore pressure action on the block diagram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{"citationItems":[{"id":"ITEM-1","itemData":{"author":[{"dropping-particle":"","family":"Fine spol. s r.o.","given":"","non-dropping-particle":"","parse-names":false,"suffix":""}],"id":"ITEM-1","issued":{"date-parts":[["2021"]]},"title":"Online Help- GEO5: ITF Method (Imbalance Thrust Force Method)","type":"webpage"},"uris":["http://www.mendeley.com/documents/?uuid=879cbb7b-540a-4484-86d6-602f4c5d01d5","http://www.mendeley.com/documents/?uuid=2cd7dbc9-83cf-463a-8f07-4de1a9e5e619"]}],"mendeley":{"formattedCitation":"[172]","plainTextFormattedCitation":"[172]","previouslyFormattedCitation":"[172]"},"properties":{"noteIndex":0},"schema":"https://github.com/citation-style-language/schema/raw/master/csl-citation.json"}</w:instrText>
      </w:r>
      <w:r w:rsidRPr="00051297">
        <w:rPr>
          <w:rFonts w:cs="Times New Roman"/>
          <w:szCs w:val="24"/>
          <w:lang w:val="en-US" w:bidi="en-US"/>
        </w:rPr>
        <w:fldChar w:fldCharType="separate"/>
      </w:r>
      <w:bookmarkEnd w:id="361"/>
      <w:bookmarkEnd w:id="362"/>
      <w:bookmarkEnd w:id="363"/>
      <w:r w:rsidR="0032684D" w:rsidRPr="0032684D">
        <w:rPr>
          <w:rFonts w:cs="Times New Roman"/>
          <w:noProof/>
          <w:szCs w:val="24"/>
          <w:lang w:val="en-US" w:bidi="en-US"/>
        </w:rPr>
        <w:t>[172]</w:t>
      </w:r>
      <w:bookmarkEnd w:id="360"/>
      <w:r w:rsidRPr="00051297">
        <w:rPr>
          <w:rFonts w:cs="Times New Roman"/>
          <w:szCs w:val="24"/>
          <w:lang w:val="en-US" w:bidi="en-US"/>
        </w:rPr>
        <w:fldChar w:fldCharType="end"/>
      </w:r>
    </w:p>
    <w:p w14:paraId="2FA53707" w14:textId="77777777" w:rsidR="007350F9" w:rsidRPr="00051297" w:rsidRDefault="007350F9" w:rsidP="007350F9">
      <w:pPr>
        <w:tabs>
          <w:tab w:val="left" w:pos="993"/>
        </w:tabs>
        <w:ind w:left="709" w:firstLine="0"/>
        <w:rPr>
          <w:rFonts w:cs="Times New Roman"/>
          <w:szCs w:val="24"/>
          <w:lang w:val="en-US"/>
        </w:rPr>
      </w:pPr>
      <w:r w:rsidRPr="00051297">
        <w:rPr>
          <w:rFonts w:cs="Times New Roman"/>
          <w:szCs w:val="24"/>
          <w:lang w:val="en-US"/>
        </w:rPr>
        <w:t>When computing horizontal forces Fx</w:t>
      </w:r>
      <w:r w:rsidRPr="00051297">
        <w:rPr>
          <w:rFonts w:cs="Times New Roman"/>
          <w:szCs w:val="24"/>
          <w:vertAlign w:val="subscript"/>
          <w:lang w:val="en-US"/>
        </w:rPr>
        <w:t>i</w:t>
      </w:r>
      <w:r w:rsidRPr="00051297">
        <w:rPr>
          <w:rFonts w:cs="Times New Roman"/>
          <w:szCs w:val="24"/>
          <w:lang w:val="en-US"/>
        </w:rPr>
        <w:t>, the forces UV</w:t>
      </w:r>
      <w:r w:rsidRPr="00051297">
        <w:rPr>
          <w:rFonts w:cs="Times New Roman"/>
          <w:szCs w:val="24"/>
          <w:vertAlign w:val="subscript"/>
          <w:lang w:val="en-US"/>
        </w:rPr>
        <w:t>i</w:t>
      </w:r>
      <w:r w:rsidRPr="00051297">
        <w:rPr>
          <w:rFonts w:cs="Times New Roman"/>
          <w:szCs w:val="24"/>
          <w:lang w:val="en-US"/>
        </w:rPr>
        <w:t xml:space="preserve"> and UV</w:t>
      </w:r>
      <w:r w:rsidRPr="00051297">
        <w:rPr>
          <w:rFonts w:cs="Times New Roman"/>
          <w:szCs w:val="24"/>
          <w:vertAlign w:val="subscript"/>
          <w:lang w:val="en-US"/>
        </w:rPr>
        <w:t xml:space="preserve">i+1 </w:t>
      </w:r>
      <w:r w:rsidRPr="00051297">
        <w:rPr>
          <w:rFonts w:cs="Times New Roman"/>
          <w:szCs w:val="24"/>
          <w:lang w:val="en-US"/>
        </w:rPr>
        <w:t>are taken into account.</w:t>
      </w:r>
    </w:p>
    <w:p w14:paraId="51FD012F" w14:textId="77777777" w:rsidR="00051297" w:rsidRPr="00051297" w:rsidRDefault="00051297" w:rsidP="00051297">
      <w:pPr>
        <w:rPr>
          <w:rFonts w:cs="Times New Roman"/>
          <w:szCs w:val="24"/>
          <w:lang w:val="en-US"/>
        </w:rPr>
      </w:pPr>
      <w:r w:rsidRPr="00051297">
        <w:rPr>
          <w:rFonts w:cs="Times New Roman"/>
          <w:szCs w:val="24"/>
          <w:lang w:val="en-US"/>
        </w:rPr>
        <w:t>The force equation of equilibrium in the direction normal to the slip surface section is: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376799C7" w14:textId="77777777" w:rsidTr="00D20B01">
        <w:tc>
          <w:tcPr>
            <w:tcW w:w="258" w:type="dxa"/>
          </w:tcPr>
          <w:p w14:paraId="722343B5" w14:textId="77777777" w:rsidR="00051297" w:rsidRPr="00051297" w:rsidRDefault="00051297" w:rsidP="00051297">
            <w:pPr>
              <w:spacing w:after="160"/>
              <w:rPr>
                <w:szCs w:val="24"/>
                <w:lang w:val="en-US"/>
              </w:rPr>
            </w:pPr>
          </w:p>
        </w:tc>
        <w:tc>
          <w:tcPr>
            <w:tcW w:w="7591" w:type="dxa"/>
          </w:tcPr>
          <w:p w14:paraId="4DE97C93"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i</m:t>
                    </m:r>
                  </m:sub>
                </m:sSub>
                <m:r>
                  <w:rPr>
                    <w:rFonts w:ascii="Cambria Math" w:hAns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α</m:t>
                        </m:r>
                      </m:e>
                    </m:func>
                  </m:e>
                </m:func>
                <m:r>
                  <w:rPr>
                    <w:rFonts w:ascii="Cambria Math" w:hAnsi="Cambria Math"/>
                    <w:szCs w:val="24"/>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sin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d>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func>
              </m:oMath>
            </m:oMathPara>
          </w:p>
        </w:tc>
        <w:tc>
          <w:tcPr>
            <w:tcW w:w="1505" w:type="dxa"/>
          </w:tcPr>
          <w:p w14:paraId="115CFD21" w14:textId="26753A0B"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64</w:t>
            </w:r>
            <w:r w:rsidRPr="00051297">
              <w:rPr>
                <w:szCs w:val="24"/>
                <w:lang w:val="en-US"/>
              </w:rPr>
              <w:fldChar w:fldCharType="end"/>
            </w:r>
            <w:r w:rsidRPr="00051297">
              <w:rPr>
                <w:szCs w:val="24"/>
                <w:lang w:val="en-US"/>
              </w:rPr>
              <w:t>)</w:t>
            </w:r>
          </w:p>
        </w:tc>
      </w:tr>
    </w:tbl>
    <w:p w14:paraId="1C834960" w14:textId="77777777" w:rsidR="00051297" w:rsidRPr="00051297" w:rsidRDefault="00051297" w:rsidP="00051297">
      <w:pPr>
        <w:rPr>
          <w:rFonts w:cs="Times New Roman"/>
          <w:szCs w:val="24"/>
          <w:lang w:val="en-US"/>
        </w:rPr>
      </w:pPr>
      <w:r w:rsidRPr="00051297">
        <w:rPr>
          <w:rFonts w:cs="Times New Roman"/>
          <w:szCs w:val="24"/>
          <w:lang w:val="en-US"/>
        </w:rPr>
        <w:t>The forces acting on a slip surface section are linked by;</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
        <w:gridCol w:w="8283"/>
        <w:gridCol w:w="796"/>
      </w:tblGrid>
      <w:tr w:rsidR="00051297" w:rsidRPr="00051297" w14:paraId="751093EA" w14:textId="77777777" w:rsidTr="00D20B01">
        <w:tc>
          <w:tcPr>
            <w:tcW w:w="279" w:type="dxa"/>
          </w:tcPr>
          <w:p w14:paraId="73A2B8CB" w14:textId="77777777" w:rsidR="00051297" w:rsidRPr="00051297" w:rsidRDefault="00051297" w:rsidP="00051297">
            <w:pPr>
              <w:ind w:firstLine="0"/>
              <w:rPr>
                <w:rFonts w:cs="Times New Roman"/>
                <w:szCs w:val="24"/>
                <w:lang w:val="en-US"/>
              </w:rPr>
            </w:pPr>
          </w:p>
        </w:tc>
        <w:tc>
          <w:tcPr>
            <w:tcW w:w="8788" w:type="dxa"/>
          </w:tcPr>
          <w:p w14:paraId="44984A8B" w14:textId="77777777" w:rsidR="00051297" w:rsidRPr="00051297" w:rsidRDefault="00536556" w:rsidP="00051297">
            <w:pP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i</m:t>
                    </m:r>
                  </m:sub>
                </m:sSub>
                <m:func>
                  <m:funcPr>
                    <m:ctrlPr>
                      <w:rPr>
                        <w:rFonts w:ascii="Cambria Math" w:hAnsi="Cambria Math" w:cs="Times New Roman"/>
                        <w:i/>
                        <w:szCs w:val="24"/>
                      </w:rPr>
                    </m:ctrlPr>
                  </m:funcPr>
                  <m:fName>
                    <m:r>
                      <m:rPr>
                        <m:sty m:val="p"/>
                      </m:rPr>
                      <w:rPr>
                        <w:rFonts w:ascii="Cambria Math" w:hAnsi="Cambria Math" w:cs="Times New Roman"/>
                        <w:szCs w:val="24"/>
                      </w:rPr>
                      <m:t>tan</m:t>
                    </m:r>
                  </m:fName>
                  <m:e>
                    <m:sSub>
                      <m:sSubPr>
                        <m:ctrlPr>
                          <w:rPr>
                            <w:rFonts w:ascii="Cambria Math" w:hAnsi="Cambria Math" w:cs="Times New Roman"/>
                            <w:i/>
                            <w:szCs w:val="24"/>
                          </w:rPr>
                        </m:ctrlPr>
                      </m:sSubPr>
                      <m:e>
                        <m:r>
                          <w:rPr>
                            <w:rFonts w:ascii="Cambria Math" w:hAnsi="Cambria Math" w:cs="Times New Roman"/>
                            <w:szCs w:val="24"/>
                          </w:rPr>
                          <m:t>φ</m:t>
                        </m:r>
                      </m:e>
                      <m:sub>
                        <m:r>
                          <w:rPr>
                            <w:rFonts w:ascii="Cambria Math" w:hAnsi="Cambria Math" w:cs="Times New Roman"/>
                            <w:szCs w:val="24"/>
                          </w:rPr>
                          <m:t>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i</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i</m:t>
                        </m:r>
                      </m:sub>
                    </m:sSub>
                  </m:e>
                </m:func>
              </m:oMath>
            </m:oMathPara>
          </w:p>
        </w:tc>
        <w:tc>
          <w:tcPr>
            <w:tcW w:w="277" w:type="dxa"/>
          </w:tcPr>
          <w:p w14:paraId="217087A5" w14:textId="6D88B522" w:rsidR="00051297" w:rsidRPr="00051297" w:rsidRDefault="00051297" w:rsidP="00051297">
            <w:pPr>
              <w:ind w:firstLine="0"/>
            </w:pP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65</w:t>
            </w:r>
            <w:r w:rsidRPr="00051297">
              <w:rPr>
                <w:rFonts w:cs="Times New Roman"/>
                <w:szCs w:val="24"/>
                <w:lang w:val="en-US"/>
              </w:rPr>
              <w:fldChar w:fldCharType="end"/>
            </w:r>
            <w:r w:rsidRPr="00051297">
              <w:rPr>
                <w:rFonts w:cs="Times New Roman"/>
                <w:szCs w:val="24"/>
                <w:lang w:val="en-US"/>
              </w:rPr>
              <w:t>)</w:t>
            </w:r>
          </w:p>
        </w:tc>
      </w:tr>
    </w:tbl>
    <w:p w14:paraId="18076315" w14:textId="77777777" w:rsidR="00051297" w:rsidRPr="00051297" w:rsidRDefault="00051297" w:rsidP="00051297">
      <w:pPr>
        <w:rPr>
          <w:rFonts w:cs="Times New Roman"/>
          <w:szCs w:val="24"/>
          <w:lang w:val="en-US"/>
        </w:rPr>
      </w:pPr>
    </w:p>
    <w:p w14:paraId="27AA3F02" w14:textId="2BE0D04F" w:rsidR="00051297" w:rsidRPr="00051297" w:rsidRDefault="00051297" w:rsidP="007350F9">
      <w:pPr>
        <w:rPr>
          <w:rFonts w:cs="Times New Roman"/>
          <w:szCs w:val="24"/>
          <w:lang w:val="en-US"/>
        </w:rPr>
      </w:pPr>
      <w:r w:rsidRPr="00051297">
        <w:rPr>
          <w:rFonts w:cs="Times New Roman"/>
          <w:szCs w:val="24"/>
          <w:lang w:val="en-US"/>
        </w:rPr>
        <w:t>W</w:t>
      </w:r>
      <w:r w:rsidRPr="007350F9">
        <w:rPr>
          <w:rFonts w:cs="Times New Roman"/>
          <w:szCs w:val="24"/>
          <w:lang w:val="en-US"/>
        </w:rPr>
        <w:t>hereby:</w:t>
      </w:r>
      <w:r w:rsidR="007350F9">
        <w:rPr>
          <w:rFonts w:cs="Times New Roman"/>
          <w:szCs w:val="24"/>
          <w:lang w:val="en-US"/>
        </w:rPr>
        <w:t xml:space="preserve"> </w:t>
      </w:r>
      <w:r w:rsidRPr="00051297">
        <w:rPr>
          <w:rFonts w:cs="Times New Roman"/>
          <w:szCs w:val="24"/>
        </w:rPr>
        <w:t>φ</w:t>
      </w:r>
      <w:r w:rsidRPr="00051297">
        <w:rPr>
          <w:rFonts w:cs="Times New Roman"/>
          <w:szCs w:val="24"/>
          <w:vertAlign w:val="subscript"/>
          <w:lang w:val="en-US"/>
        </w:rPr>
        <w:t>i</w:t>
      </w:r>
      <w:r w:rsidRPr="00051297">
        <w:rPr>
          <w:rFonts w:cs="Times New Roman"/>
          <w:szCs w:val="24"/>
          <w:lang w:val="en-US"/>
        </w:rPr>
        <w:t xml:space="preserve"> – is the angle of internal friction of the soil</w:t>
      </w:r>
      <w:r w:rsidR="007350F9">
        <w:rPr>
          <w:rFonts w:cs="Times New Roman"/>
          <w:szCs w:val="24"/>
          <w:lang w:val="en-US"/>
        </w:rPr>
        <w:t xml:space="preserve">; </w:t>
      </w:r>
      <w:r w:rsidRPr="00051297">
        <w:rPr>
          <w:rFonts w:cs="Times New Roman"/>
          <w:szCs w:val="24"/>
          <w:lang w:val="en-US"/>
        </w:rPr>
        <w:t>c</w:t>
      </w:r>
      <w:r w:rsidRPr="00051297">
        <w:rPr>
          <w:rFonts w:cs="Times New Roman"/>
          <w:szCs w:val="24"/>
          <w:vertAlign w:val="subscript"/>
          <w:lang w:val="en-US"/>
        </w:rPr>
        <w:t>i</w:t>
      </w:r>
      <w:r w:rsidRPr="00051297">
        <w:rPr>
          <w:rFonts w:cs="Times New Roman"/>
          <w:szCs w:val="24"/>
          <w:lang w:val="en-US"/>
        </w:rPr>
        <w:t xml:space="preserve"> – is the soil cohesion</w:t>
      </w:r>
      <w:r w:rsidR="007350F9">
        <w:rPr>
          <w:rFonts w:cs="Times New Roman"/>
          <w:szCs w:val="24"/>
          <w:lang w:val="en-US"/>
        </w:rPr>
        <w:t xml:space="preserve">; </w:t>
      </w:r>
      <w:r w:rsidRPr="00051297">
        <w:rPr>
          <w:rFonts w:cs="Times New Roman"/>
          <w:szCs w:val="24"/>
          <w:lang w:val="en-US"/>
        </w:rPr>
        <w:t>l</w:t>
      </w:r>
      <w:r w:rsidRPr="00051297">
        <w:rPr>
          <w:rFonts w:cs="Times New Roman"/>
          <w:szCs w:val="24"/>
          <w:vertAlign w:val="subscript"/>
          <w:lang w:val="en-US"/>
        </w:rPr>
        <w:t>i</w:t>
      </w:r>
      <w:r w:rsidRPr="00051297">
        <w:rPr>
          <w:rFonts w:cs="Times New Roman"/>
          <w:szCs w:val="24"/>
          <w:lang w:val="en-US"/>
        </w:rPr>
        <w:t xml:space="preserve"> – represents the length of the segment of slip surface associated with the i</w:t>
      </w:r>
      <w:r w:rsidRPr="00051297">
        <w:rPr>
          <w:rFonts w:cs="Times New Roman"/>
          <w:szCs w:val="24"/>
          <w:vertAlign w:val="superscript"/>
          <w:lang w:val="en-US"/>
        </w:rPr>
        <w:t>th</w:t>
      </w:r>
      <w:r w:rsidRPr="00051297">
        <w:rPr>
          <w:rFonts w:cs="Times New Roman"/>
          <w:szCs w:val="24"/>
          <w:lang w:val="en-US"/>
        </w:rPr>
        <w:t xml:space="preserve"> block.</w:t>
      </w:r>
    </w:p>
    <w:p w14:paraId="493FEA9F" w14:textId="77777777" w:rsidR="00051297" w:rsidRPr="00051297" w:rsidRDefault="00051297" w:rsidP="00051297">
      <w:pPr>
        <w:rPr>
          <w:rFonts w:cs="Times New Roman"/>
          <w:szCs w:val="24"/>
          <w:lang w:val="en-US"/>
        </w:rPr>
      </w:pPr>
      <w:r w:rsidRPr="00051297">
        <w:rPr>
          <w:rFonts w:cs="Times New Roman"/>
          <w:szCs w:val="24"/>
          <w:lang w:val="en-US"/>
        </w:rPr>
        <w:t>The force F</w:t>
      </w:r>
      <w:r w:rsidRPr="00051297">
        <w:rPr>
          <w:rFonts w:cs="Times New Roman"/>
          <w:szCs w:val="24"/>
          <w:vertAlign w:val="subscript"/>
          <w:lang w:val="en-US"/>
        </w:rPr>
        <w:t>i</w:t>
      </w:r>
      <w:r w:rsidRPr="00051297">
        <w:rPr>
          <w:rFonts w:cs="Times New Roman"/>
          <w:szCs w:val="24"/>
          <w:lang w:val="en-US"/>
        </w:rPr>
        <w:t xml:space="preserve"> acting between blocks is provided by the force equation of equilibrium in the direction of the i</w:t>
      </w:r>
      <w:r w:rsidRPr="00051297">
        <w:rPr>
          <w:rFonts w:cs="Times New Roman"/>
          <w:szCs w:val="24"/>
          <w:vertAlign w:val="superscript"/>
          <w:lang w:val="en-US"/>
        </w:rPr>
        <w:t>th</w:t>
      </w:r>
      <w:r w:rsidRPr="00051297">
        <w:rPr>
          <w:rFonts w:cs="Times New Roman"/>
          <w:szCs w:val="24"/>
          <w:lang w:val="en-US"/>
        </w:rPr>
        <w:t xml:space="preserve"> segment of the slip surface (given by angle </w:t>
      </w:r>
      <w:r w:rsidRPr="00051297">
        <w:rPr>
          <w:rFonts w:cs="Times New Roman"/>
          <w:szCs w:val="24"/>
        </w:rPr>
        <w:t>α</w:t>
      </w:r>
      <w:r w:rsidRPr="00051297">
        <w:rPr>
          <w:rFonts w:cs="Times New Roman"/>
          <w:szCs w:val="24"/>
          <w:vertAlign w:val="subscript"/>
          <w:lang w:val="en-US"/>
        </w:rPr>
        <w:t>i):</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051297" w14:paraId="129A01AF" w14:textId="77777777" w:rsidTr="00D20B01">
        <w:tc>
          <w:tcPr>
            <w:tcW w:w="265" w:type="dxa"/>
          </w:tcPr>
          <w:p w14:paraId="3418A6C3" w14:textId="77777777" w:rsidR="00051297" w:rsidRPr="00051297" w:rsidRDefault="00051297" w:rsidP="00051297">
            <w:pPr>
              <w:spacing w:after="160"/>
              <w:rPr>
                <w:szCs w:val="24"/>
                <w:lang w:val="en-US"/>
              </w:rPr>
            </w:pPr>
            <w:bookmarkStart w:id="364" w:name="_Hlk92395586"/>
          </w:p>
        </w:tc>
        <w:tc>
          <w:tcPr>
            <w:tcW w:w="8820" w:type="dxa"/>
          </w:tcPr>
          <w:p w14:paraId="30C247E1"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e>
                        </m:func>
                      </m:e>
                    </m:func>
                  </m:e>
                </m:func>
              </m:oMath>
            </m:oMathPara>
          </w:p>
        </w:tc>
        <w:tc>
          <w:tcPr>
            <w:tcW w:w="265" w:type="dxa"/>
          </w:tcPr>
          <w:p w14:paraId="284C4FB1" w14:textId="0609A06A"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66</w:t>
            </w:r>
            <w:r w:rsidRPr="00051297">
              <w:rPr>
                <w:szCs w:val="24"/>
                <w:lang w:val="en-US"/>
              </w:rPr>
              <w:fldChar w:fldCharType="end"/>
            </w:r>
            <w:r w:rsidRPr="00051297">
              <w:rPr>
                <w:szCs w:val="24"/>
                <w:lang w:val="en-US"/>
              </w:rPr>
              <w:t>)</w:t>
            </w:r>
          </w:p>
        </w:tc>
      </w:tr>
      <w:bookmarkEnd w:id="364"/>
    </w:tbl>
    <w:p w14:paraId="393F5BE2" w14:textId="77777777" w:rsidR="00051297" w:rsidRPr="00051297" w:rsidRDefault="00051297" w:rsidP="00051297">
      <w:pPr>
        <w:rPr>
          <w:rFonts w:cs="Times New Roman"/>
          <w:szCs w:val="24"/>
        </w:rPr>
      </w:pPr>
    </w:p>
    <w:p w14:paraId="4EB4C79D" w14:textId="77777777" w:rsidR="00051297" w:rsidRPr="00051297" w:rsidRDefault="00051297" w:rsidP="00051297">
      <w:pPr>
        <w:rPr>
          <w:rFonts w:cs="Times New Roman"/>
          <w:szCs w:val="24"/>
          <w:lang w:val="en-US"/>
        </w:rPr>
      </w:pPr>
      <w:r w:rsidRPr="00051297">
        <w:rPr>
          <w:rFonts w:cs="Times New Roman"/>
          <w:szCs w:val="24"/>
          <w:lang w:val="en-US"/>
        </w:rPr>
        <w:t>When Equations 2.64 and 2.65 are combined in Equation 2.66, the following results are obtained:</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051297" w14:paraId="483D42C6" w14:textId="77777777" w:rsidTr="00D20B01">
        <w:tc>
          <w:tcPr>
            <w:tcW w:w="265" w:type="dxa"/>
          </w:tcPr>
          <w:p w14:paraId="085ABC10" w14:textId="77777777" w:rsidR="00051297" w:rsidRPr="00051297" w:rsidRDefault="00051297" w:rsidP="00051297">
            <w:pPr>
              <w:spacing w:after="160"/>
              <w:rPr>
                <w:szCs w:val="24"/>
                <w:lang w:val="en-US"/>
              </w:rPr>
            </w:pPr>
          </w:p>
        </w:tc>
        <w:tc>
          <w:tcPr>
            <w:tcW w:w="8820" w:type="dxa"/>
          </w:tcPr>
          <w:p w14:paraId="1BED661D"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d>
                          <m:dPr>
                            <m:begChr m:val="{"/>
                            <m:endChr m:val="}"/>
                            <m:ctrlPr>
                              <w:rPr>
                                <w:rFonts w:ascii="Cambria Math" w:hAnsi="Cambria Math"/>
                                <w:i/>
                                <w:szCs w:val="24"/>
                              </w:rPr>
                            </m:ctrlPr>
                          </m:dPr>
                          <m:e>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sin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d>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func>
                                      </m:e>
                                    </m:func>
                                  </m:e>
                                </m:func>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e>
                            </m:func>
                          </m:e>
                        </m:d>
                        <m:r>
                          <w:rPr>
                            <w:rFonts w:ascii="Cambria Math" w:hAnsi="Cambria Math"/>
                            <w:szCs w:val="24"/>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i+1</m:t>
                            </m:r>
                          </m:sub>
                        </m:sSub>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d>
                          </m:e>
                        </m:func>
                      </m:e>
                    </m:func>
                  </m:e>
                </m:func>
              </m:oMath>
            </m:oMathPara>
          </w:p>
        </w:tc>
        <w:tc>
          <w:tcPr>
            <w:tcW w:w="265" w:type="dxa"/>
          </w:tcPr>
          <w:p w14:paraId="7D733821" w14:textId="2DF9248D"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67</w:t>
            </w:r>
            <w:r w:rsidRPr="00051297">
              <w:rPr>
                <w:szCs w:val="24"/>
                <w:lang w:val="en-US"/>
              </w:rPr>
              <w:fldChar w:fldCharType="end"/>
            </w:r>
            <w:r w:rsidRPr="00051297">
              <w:rPr>
                <w:szCs w:val="24"/>
                <w:lang w:val="en-US"/>
              </w:rPr>
              <w:t>)</w:t>
            </w:r>
          </w:p>
        </w:tc>
      </w:tr>
    </w:tbl>
    <w:p w14:paraId="71377846" w14:textId="77777777" w:rsidR="00051297" w:rsidRPr="00051297" w:rsidRDefault="00051297" w:rsidP="00051297">
      <w:pPr>
        <w:spacing w:before="240"/>
        <w:rPr>
          <w:rFonts w:cs="Times New Roman"/>
          <w:szCs w:val="24"/>
          <w:lang w:val="en-US"/>
        </w:rPr>
      </w:pPr>
      <w:r w:rsidRPr="00051297">
        <w:rPr>
          <w:rFonts w:cs="Times New Roman"/>
          <w:szCs w:val="24"/>
          <w:lang w:val="en-US"/>
        </w:rPr>
        <w:t>Following some formal algebra, we arrive at the following form of the equilibrium equation: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051297" w14:paraId="7BE77447" w14:textId="77777777" w:rsidTr="00D20B01">
        <w:tc>
          <w:tcPr>
            <w:tcW w:w="265" w:type="dxa"/>
          </w:tcPr>
          <w:p w14:paraId="780E072B" w14:textId="77777777" w:rsidR="00051297" w:rsidRPr="00051297" w:rsidRDefault="00051297" w:rsidP="00051297">
            <w:pPr>
              <w:spacing w:after="160"/>
              <w:rPr>
                <w:szCs w:val="24"/>
                <w:lang w:val="en-US"/>
              </w:rPr>
            </w:pPr>
            <w:bookmarkStart w:id="365" w:name="_Hlk92395704"/>
          </w:p>
        </w:tc>
        <w:tc>
          <w:tcPr>
            <w:tcW w:w="8820" w:type="dxa"/>
          </w:tcPr>
          <w:p w14:paraId="4D35F2A2"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i</m:t>
                    </m:r>
                  </m:sub>
                </m:sSub>
                <m:r>
                  <w:rPr>
                    <w:rFonts w:ascii="Cambria Math" w:hAns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d>
                          <m:dPr>
                            <m:begChr m:val="{"/>
                            <m:endChr m:val="}"/>
                            <m:ctrlPr>
                              <w:rPr>
                                <w:rFonts w:ascii="Cambria Math" w:hAnsi="Cambria Math"/>
                                <w:i/>
                                <w:szCs w:val="24"/>
                              </w:rPr>
                            </m:ctrlPr>
                          </m:dPr>
                          <m:e>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func>
                                  </m:e>
                                </m:func>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e>
                            </m:func>
                          </m:e>
                        </m:d>
                      </m:e>
                    </m:func>
                  </m:e>
                </m:func>
                <m:r>
                  <w:rPr>
                    <w:rFonts w:ascii="Cambria Math" w:hAnsi="Cambria Math"/>
                    <w:szCs w:val="24"/>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i+1</m:t>
                    </m:r>
                  </m:sub>
                </m:sSub>
                <m:d>
                  <m:dPr>
                    <m:begChr m:val="["/>
                    <m:endChr m:val="]"/>
                    <m:ctrlPr>
                      <w:rPr>
                        <w:rFonts w:ascii="Cambria Math" w:hAnsi="Cambria Math"/>
                        <w:i/>
                        <w:szCs w:val="24"/>
                      </w:rPr>
                    </m:ctrlPr>
                  </m:dPr>
                  <m:e>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d>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e>
                        </m:func>
                      </m:e>
                    </m:func>
                  </m:e>
                </m:d>
              </m:oMath>
            </m:oMathPara>
          </w:p>
        </w:tc>
        <w:tc>
          <w:tcPr>
            <w:tcW w:w="265" w:type="dxa"/>
          </w:tcPr>
          <w:p w14:paraId="29AA0DFD" w14:textId="71BF4D46" w:rsidR="00051297" w:rsidRPr="00051297" w:rsidRDefault="00051297" w:rsidP="00051297">
            <w:pPr>
              <w:spacing w:after="160"/>
            </w:pPr>
            <w:bookmarkStart w:id="366" w:name="_Ref103557270"/>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68</w:t>
            </w:r>
            <w:r w:rsidRPr="00051297">
              <w:rPr>
                <w:szCs w:val="24"/>
                <w:lang w:val="en-US"/>
              </w:rPr>
              <w:fldChar w:fldCharType="end"/>
            </w:r>
            <w:r w:rsidRPr="00051297">
              <w:rPr>
                <w:szCs w:val="24"/>
                <w:lang w:val="en-US"/>
              </w:rPr>
              <w:t>)</w:t>
            </w:r>
            <w:bookmarkEnd w:id="366"/>
          </w:p>
        </w:tc>
      </w:tr>
    </w:tbl>
    <w:bookmarkEnd w:id="365"/>
    <w:p w14:paraId="7964D208" w14:textId="77777777" w:rsidR="00051297" w:rsidRPr="00051297" w:rsidRDefault="00051297" w:rsidP="00051297">
      <w:pPr>
        <w:rPr>
          <w:rFonts w:cs="Times New Roman"/>
          <w:szCs w:val="24"/>
        </w:rPr>
      </w:pPr>
      <w:r w:rsidRPr="00051297">
        <w:rPr>
          <w:rFonts w:cs="Times New Roman"/>
          <w:szCs w:val="24"/>
          <w:lang w:val="en-US"/>
        </w:rPr>
        <w:t xml:space="preserve">The equilibrium requirement will be met by inserting the safety factor FS into the study, which will divide the strength parameters of a given soil, c, and </w:t>
      </w:r>
      <w:r w:rsidRPr="00051297">
        <w:rPr>
          <w:rFonts w:cs="Times New Roman"/>
          <w:i/>
          <w:iCs/>
          <w:szCs w:val="24"/>
          <w:lang w:val="en-US"/>
        </w:rPr>
        <w:t>tan</w:t>
      </w:r>
      <w:r w:rsidRPr="00051297">
        <w:rPr>
          <w:rFonts w:cs="Times New Roman"/>
          <w:i/>
          <w:iCs/>
          <w:szCs w:val="24"/>
        </w:rPr>
        <w:t>φ</w:t>
      </w:r>
      <w:r w:rsidRPr="00F97DFC">
        <w:rPr>
          <w:rFonts w:cs="Times New Roman"/>
          <w:i/>
          <w:iCs/>
          <w:szCs w:val="24"/>
          <w:lang w:val="en-US"/>
        </w:rPr>
        <w:t>.</w:t>
      </w:r>
      <w:r w:rsidRPr="00051297">
        <w:rPr>
          <w:rFonts w:cs="Times New Roman"/>
          <w:szCs w:val="24"/>
          <w:lang w:val="en-US"/>
        </w:rPr>
        <w:t xml:space="preserve"> Then Equation 2.67</w:t>
      </w:r>
      <w:r w:rsidRPr="00051297">
        <w:rPr>
          <w:rFonts w:cs="Times New Roman"/>
          <w:szCs w:val="24"/>
        </w:rPr>
        <w:t xml:space="preserve"> becomes: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
        <w:gridCol w:w="7600"/>
        <w:gridCol w:w="1505"/>
      </w:tblGrid>
      <w:tr w:rsidR="00051297" w:rsidRPr="00051297" w14:paraId="1936A46C" w14:textId="77777777" w:rsidTr="00D20B01">
        <w:tc>
          <w:tcPr>
            <w:tcW w:w="265" w:type="dxa"/>
          </w:tcPr>
          <w:p w14:paraId="2BDA820E" w14:textId="77777777" w:rsidR="00051297" w:rsidRPr="00051297" w:rsidRDefault="00051297" w:rsidP="00051297">
            <w:pPr>
              <w:spacing w:after="160"/>
              <w:rPr>
                <w:szCs w:val="24"/>
              </w:rPr>
            </w:pPr>
          </w:p>
        </w:tc>
        <w:tc>
          <w:tcPr>
            <w:tcW w:w="8820" w:type="dxa"/>
          </w:tcPr>
          <w:p w14:paraId="78BC2461"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i</m:t>
                    </m:r>
                  </m:sub>
                </m:sSub>
                <m:r>
                  <w:rPr>
                    <w:rFonts w:ascii="Cambria Math" w:hAns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f>
                          <m:fPr>
                            <m:ctrlPr>
                              <w:rPr>
                                <w:rFonts w:ascii="Cambria Math" w:hAnsi="Cambria Math"/>
                                <w:i/>
                                <w:szCs w:val="24"/>
                              </w:rPr>
                            </m:ctrlPr>
                          </m:fPr>
                          <m:num>
                            <m:d>
                              <m:dPr>
                                <m:begChr m:val="{"/>
                                <m:endChr m:val="}"/>
                                <m:ctrlPr>
                                  <w:rPr>
                                    <w:rFonts w:ascii="Cambria Math" w:hAnsi="Cambria Math"/>
                                    <w:i/>
                                    <w:szCs w:val="24"/>
                                  </w:rPr>
                                </m:ctrlPr>
                              </m:dPr>
                              <m:e>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func>
                                      </m:e>
                                    </m:func>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e>
                                </m:func>
                              </m:e>
                            </m:d>
                          </m:num>
                          <m:den>
                            <m:r>
                              <w:rPr>
                                <w:rFonts w:ascii="Cambria Math" w:hAnsi="Cambria Math"/>
                                <w:szCs w:val="24"/>
                              </w:rPr>
                              <m:t>FS</m:t>
                            </m:r>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F</m:t>
                                </m:r>
                              </m:e>
                              <m:sub>
                                <m:r>
                                  <w:rPr>
                                    <w:rFonts w:ascii="Cambria Math" w:hAnsi="Cambria Math"/>
                                    <w:szCs w:val="24"/>
                                  </w:rPr>
                                  <m:t>i+1</m:t>
                                </m:r>
                              </m:sub>
                            </m:sSub>
                            <m:d>
                              <m:dPr>
                                <m:begChr m:val="["/>
                                <m:endChr m:val="]"/>
                                <m:ctrlPr>
                                  <w:rPr>
                                    <w:rFonts w:ascii="Cambria Math" w:hAnsi="Cambria Math"/>
                                    <w:i/>
                                    <w:szCs w:val="24"/>
                                  </w:rPr>
                                </m:ctrlPr>
                              </m:dPr>
                              <m:e>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e>
                                    </m:func>
                                  </m:e>
                                </m:func>
                              </m:e>
                            </m:d>
                          </m:num>
                          <m:den>
                            <m:r>
                              <w:rPr>
                                <w:rFonts w:ascii="Cambria Math" w:hAnsi="Cambria Math"/>
                                <w:szCs w:val="24"/>
                              </w:rPr>
                              <m:t>FS</m:t>
                            </m:r>
                          </m:den>
                        </m:f>
                      </m:e>
                    </m:func>
                  </m:e>
                </m:func>
              </m:oMath>
            </m:oMathPara>
          </w:p>
        </w:tc>
        <w:tc>
          <w:tcPr>
            <w:tcW w:w="265" w:type="dxa"/>
          </w:tcPr>
          <w:p w14:paraId="64CCA083" w14:textId="2807E692"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69</w:t>
            </w:r>
            <w:r w:rsidRPr="00051297">
              <w:rPr>
                <w:szCs w:val="24"/>
                <w:lang w:val="en-US"/>
              </w:rPr>
              <w:fldChar w:fldCharType="end"/>
            </w:r>
            <w:r w:rsidRPr="00051297">
              <w:rPr>
                <w:szCs w:val="24"/>
                <w:lang w:val="en-US"/>
              </w:rPr>
              <w:t>)</w:t>
            </w:r>
          </w:p>
        </w:tc>
      </w:tr>
    </w:tbl>
    <w:p w14:paraId="604E8D1D" w14:textId="77835FA1" w:rsidR="00051297" w:rsidRPr="00051297" w:rsidRDefault="00051297" w:rsidP="00051297">
      <w:pPr>
        <w:rPr>
          <w:rFonts w:cs="Times New Roman"/>
          <w:szCs w:val="24"/>
          <w:lang w:val="en-US"/>
        </w:rPr>
      </w:pPr>
      <w:r w:rsidRPr="00051297">
        <w:rPr>
          <w:rFonts w:cs="Times New Roman"/>
          <w:szCs w:val="24"/>
          <w:lang w:val="en-US"/>
        </w:rPr>
        <w:t xml:space="preserve">Through the process of iteration, Equation </w:t>
      </w:r>
      <w:r w:rsidRPr="00051297">
        <w:rPr>
          <w:rFonts w:cs="Times New Roman"/>
          <w:szCs w:val="24"/>
          <w:lang w:val="en-US"/>
        </w:rPr>
        <w:fldChar w:fldCharType="begin"/>
      </w:r>
      <w:r w:rsidRPr="00051297">
        <w:rPr>
          <w:rFonts w:cs="Times New Roman"/>
          <w:szCs w:val="24"/>
          <w:lang w:val="en-US"/>
        </w:rPr>
        <w:instrText xml:space="preserve"> REF _Ref103557270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68</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yields the sought-after safety factor FS. During this technique, a force of 0 kN is applied to the highest (end) point of the slip surface. Equation </w:t>
      </w:r>
      <w:r w:rsidRPr="00051297">
        <w:rPr>
          <w:rFonts w:cs="Times New Roman"/>
          <w:szCs w:val="24"/>
          <w:lang w:val="en-US"/>
        </w:rPr>
        <w:fldChar w:fldCharType="begin"/>
      </w:r>
      <w:r w:rsidRPr="00051297">
        <w:rPr>
          <w:rFonts w:cs="Times New Roman"/>
          <w:szCs w:val="24"/>
          <w:lang w:val="en-US"/>
        </w:rPr>
        <w:instrText xml:space="preserve"> REF _Ref103557270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68</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xml:space="preserve"> is used to compute the forces F</w:t>
      </w:r>
      <w:r w:rsidRPr="00051297">
        <w:rPr>
          <w:rFonts w:cs="Times New Roman"/>
          <w:szCs w:val="24"/>
          <w:vertAlign w:val="subscript"/>
          <w:lang w:val="en-US"/>
        </w:rPr>
        <w:t>i</w:t>
      </w:r>
      <w:r w:rsidRPr="00051297">
        <w:rPr>
          <w:rFonts w:cs="Times New Roman"/>
          <w:szCs w:val="24"/>
          <w:lang w:val="en-US"/>
        </w:rPr>
        <w:t xml:space="preserve"> acting between blocks for a given value of the factor of safety FS. This phase is done for a variety of FS values until we discover one for which the force F</w:t>
      </w:r>
      <w:r w:rsidRPr="007350F9">
        <w:rPr>
          <w:rFonts w:cs="Times New Roman"/>
          <w:szCs w:val="24"/>
          <w:vertAlign w:val="subscript"/>
          <w:lang w:val="en-US"/>
        </w:rPr>
        <w:t>0</w:t>
      </w:r>
      <w:r w:rsidRPr="00051297">
        <w:rPr>
          <w:rFonts w:cs="Times New Roman"/>
          <w:szCs w:val="24"/>
          <w:lang w:val="en-US"/>
        </w:rPr>
        <w:t xml:space="preserve"> at the slope base equals 0 kN. There will be no stress along the slip surface. If the equilibrium condition requires a negative value for normal force N</w:t>
      </w:r>
      <w:r w:rsidRPr="00051297">
        <w:rPr>
          <w:rFonts w:cs="Times New Roman"/>
          <w:szCs w:val="24"/>
          <w:vertAlign w:val="subscript"/>
          <w:lang w:val="en-US"/>
        </w:rPr>
        <w:t>i</w:t>
      </w:r>
      <w:r w:rsidRPr="00051297">
        <w:rPr>
          <w:rFonts w:cs="Times New Roman"/>
          <w:szCs w:val="24"/>
          <w:lang w:val="en-US"/>
        </w:rPr>
        <w:t>, showing that the soil is loaded in tension, this force's value is set to zero in the next iteration step, and the shear force T</w:t>
      </w:r>
      <w:r w:rsidRPr="00051297">
        <w:rPr>
          <w:rFonts w:cs="Times New Roman"/>
          <w:szCs w:val="24"/>
          <w:vertAlign w:val="subscript"/>
          <w:lang w:val="en-US"/>
        </w:rPr>
        <w:t>i</w:t>
      </w:r>
      <w:r w:rsidRPr="00051297">
        <w:rPr>
          <w:rFonts w:cs="Times New Roman"/>
          <w:szCs w:val="24"/>
          <w:lang w:val="en-US"/>
        </w:rPr>
        <w:t xml:space="preserve"> acting on a single segment is estimated exclusively using soil cohesion </w:t>
      </w:r>
      <w:r w:rsidRPr="00051297">
        <w:rPr>
          <w:rFonts w:cs="Times New Roman"/>
          <w:szCs w:val="24"/>
        </w:rPr>
        <w:fldChar w:fldCharType="begin" w:fldLock="1"/>
      </w:r>
      <w:r w:rsidR="00FA5896">
        <w:rPr>
          <w:rFonts w:cs="Times New Roman"/>
          <w:szCs w:val="24"/>
          <w:lang w:val="en-US"/>
        </w:rPr>
        <w:instrText>ADDIN CSL_CITATION {"citationItems":[{"id":"ITEM-1","itemData":{"DOI":"10.3969/j.issn.0258-2724.20170607","ISSN":"02582724","abstract":"An abandoned dreg site is a common occurrence in construction projects. There are numerous factors that influence the slope stability including the spatial effect of the concave and convex form, and side-body-end and slope strike, which play vital roles in slope stability analysis. In order to investigate the effect of slope strike on slope stability, an abandoned dreg site in a Nuclear Power Plant was considered, of which the strike is a broken line (i.e., an angle of strike exists between the upper region and the lower region) to discuss the method of slope stability analysis. The effect of the angle of strike was then studied for potential failure mechanism of the abandoned dreg site via geotechnical field investigation and region division using a 3D-model that was constructed using ANSYS, and an analysis of the slope stability by the strength reduction method in FLAC3D was conducted. Finally, the imbalance thrust force method was proposed, taking into consideration the angle of strike. An analysis of the effect of the angle of strike and the dip of slope for stability was then performed. The results indicate that the angle of strike has an effect on the distribution of the stress field and the capability for force transmission. Hence, slope stability will be improved with an increase of the strike angle, and safety factors will increase significantly when the strike angle is more than 60°. In addition, there is a significant increase in safety factors with an increase in the angle of strike, while the dip of the slope crest increases and the dip of slope toe decreases. The results provide a scientific reference to evaluate the stability and design treatment for slopes, where the strike is a broken line.","author":[{"dropping-particle":"","family":"Sun","given":"Chaoyi","non-dropping-particle":"","parse-names":false,"suffix":""},{"dropping-particle":"","family":"Chen","given":"Congxin","non-dropping-particle":"","parse-names":false,"suffix":""},{"dropping-particle":"","family":"Zheng","given":"Yun","non-dropping-particle":"","parse-names":false,"suffix":""},{"dropping-particle":"","family":"Lu","given":"Zude","non-dropping-particle":"","parse-names":false,"suffix":""},{"dropping-particle":"","family":"Deng","given":"Yangyang","non-dropping-particle":"","parse-names":false,"suffix":""}],"container-title":"Xinan Jiaotong Daxue Xuebao/Journal of Southwest Jiaotong University","id":"ITEM-1","issued":{"date-parts":[["2019"]]},"title":"Discussion on Slope Stability Analysis Method of Abandoned Dreg Site Based on Spatial Effect","type":"article-journal"},"uris":["http://www.mendeley.com/documents/?uuid=ae66d18c-a089-41d5-aac0-209d6a5c78b2","http://www.mendeley.com/documents/?uuid=d415f3bd-7ec8-4c9f-aa58-c85078e979a0","http://www.mendeley.com/documents/?uuid=f7663996-a93d-4fe5-8057-78964309ece0"]}],"mendeley":{"formattedCitation":"[173]","plainTextFormattedCitation":"[173]","previouslyFormattedCitation":"[173]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[173]</w:t>
      </w:r>
      <w:r w:rsidRPr="00051297">
        <w:rPr>
          <w:rFonts w:cs="Times New Roman"/>
          <w:szCs w:val="24"/>
        </w:rPr>
        <w:fldChar w:fldCharType="end"/>
      </w:r>
      <w:r w:rsidRPr="00051297">
        <w:rPr>
          <w:rFonts w:cs="Times New Roman"/>
          <w:szCs w:val="24"/>
          <w:lang w:val="en-US"/>
        </w:rPr>
        <w:t>.</w:t>
      </w:r>
    </w:p>
    <w:p w14:paraId="40886F1F" w14:textId="29455139" w:rsidR="00051297" w:rsidRPr="00051297" w:rsidRDefault="00051297" w:rsidP="00051297">
      <w:pPr>
        <w:rPr>
          <w:rFonts w:cs="Times New Roman"/>
          <w:szCs w:val="24"/>
          <w:lang w:val="en-US"/>
        </w:rPr>
      </w:pPr>
      <w:r w:rsidRPr="00051297">
        <w:rPr>
          <w:rFonts w:cs="Times New Roman"/>
          <w:szCs w:val="24"/>
          <w:lang w:val="en-US"/>
        </w:rPr>
        <w:t xml:space="preserve">When it comes to the form of the slip surface, the ITF approach is extremely sensitive. When there are acute segment discontinuities on the slip surface, the resulting factor of safety is often higher than in reality. The slope difference between adjacent portions of the slip surface should be less than 10 degrees. The computer checks this automatically, and if the slope difference is determined to be bigger, the program warns that the results may be overstated </w:t>
      </w:r>
      <w:r w:rsidRPr="00051297">
        <w:rPr>
          <w:rFonts w:cs="Times New Roman"/>
          <w:szCs w:val="24"/>
        </w:rPr>
        <w:fldChar w:fldCharType="begin" w:fldLock="1"/>
      </w:r>
      <w:r w:rsidR="00FA5896">
        <w:rPr>
          <w:rFonts w:cs="Times New Roman"/>
          <w:szCs w:val="24"/>
          <w:lang w:val="en-US"/>
        </w:rPr>
        <w:instrText>ADDIN CSL_CITATION {"citationItems":[{"id":"ITEM-1","itemData":{"DOI":"10.1007/s10064-021-02167-9","ISSN":"1435-9529","abstract":"The impoundment of the Three Gorges Reservoir in China inevitably caused the reservoir landslides to develop toward instability, which has attracted widespread attention. Taking the Huangtupo Riverside Slump 1# with the structural characteristics of double sliding zones as a case, this study focuses on the sliding zone soils in the hydro-fluctuation belt affected by the periodic fluctuations of reservoir water level. The wetting-drying cycles test is carried out to simulate the cyclic impact of the fluctuations on the sliding zone soils. Hence the weakening law of the strength parameters is illustrated and well characterized by an exponential function model. Considering the different number of wetting-drying cycles, the long-term reliability of the shallow and deep sliding surfaces is quantified via the imbalance thrust force method and reliability theory. The results indicate that the local failure probability of both sliding surfaces gradually rises as the number of wetting-drying cycles increases. In particular, the shallow sliding surface presents a greater local failure probability than that of the deep one since more slices are in the hydro-fluctuation belt. Besides, the sensitivity of the landslide response to the strength parameters is different, and the internal friction angle is much greater than the cohesion. The area of the hydro-fluctuation belt plays a significant role on the long-term reliability of the landslide, which should be closely monitored to guide the reservoir operation.","author":[{"dropping-particle":"","family":"Liao","given":"Kang","non-dropping-particle":"","parse-names":false,"suffix":""},{"dropping-particle":"","family":"Wu","given":"Yiping","non-dropping-particle":"","parse-names":false,"suffix":""},{"dropping-particle":"","family":"Miao","given":"Fasheng","non-dropping-particle":"","parse-names":false,"suffix":""},{"dropping-particle":"","family":"Li","given":"Linwei","non-dropping-particle":"","parse-names":false,"suffix":""},{"dropping-particle":"","family":"Xue","given":"Yang","non-dropping-particle":"","parse-names":false,"suffix":""}],"container-title":"Bulletin of Engineering Geology and the Environment","id":"ITEM-1","issue":"5","issued":{"date-parts":[["2021","5"]]},"page":"3801-3815","title":"Effect of weakening of sliding zone soils in hydro-fluctuation belt on long-term reliability of reservoir landslides","type":"article-journal","volume":"80"},"uris":["http://www.mendeley.com/documents/?uuid=c8279ed0-278e-4a12-b64e-e95adce91a3d","http://www.mendeley.com/documents/?uuid=be5d52f5-52f1-43e2-b5c5-b757c447f641"]}],"mendeley":{"formattedCitation":"[171]","plainTextFormattedCitation":"[171]","previouslyFormattedCitation":"[171]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[171]</w:t>
      </w:r>
      <w:r w:rsidRPr="00051297">
        <w:rPr>
          <w:rFonts w:cs="Times New Roman"/>
          <w:szCs w:val="24"/>
        </w:rPr>
        <w:fldChar w:fldCharType="end"/>
      </w:r>
      <w:r w:rsidRPr="00051297">
        <w:rPr>
          <w:rFonts w:cs="Times New Roman"/>
          <w:szCs w:val="24"/>
          <w:lang w:val="en-US"/>
        </w:rPr>
        <w:t xml:space="preserve">. This isn't </w:t>
      </w:r>
      <w:r w:rsidRPr="00051297">
        <w:rPr>
          <w:rFonts w:cs="Times New Roman"/>
          <w:szCs w:val="24"/>
          <w:lang w:val="en-US"/>
        </w:rPr>
        <w:lastRenderedPageBreak/>
        <w:t xml:space="preserve">normally a problem with a circular slip surface, but it's something to keep in mind with polygonal slip surfaces </w:t>
      </w:r>
      <w:r w:rsidRPr="00051297">
        <w:rPr>
          <w:rFonts w:cs="Times New Roman"/>
          <w:szCs w:val="24"/>
        </w:rPr>
        <w:fldChar w:fldCharType="begin" w:fldLock="1"/>
      </w:r>
      <w:r w:rsidR="00FA5896">
        <w:rPr>
          <w:rFonts w:cs="Times New Roman"/>
          <w:szCs w:val="24"/>
          <w:lang w:val="en-US"/>
        </w:rPr>
        <w:instrText>ADDIN CSL_CITATION {"citationItems":[{"id":"ITEM-1","itemData":{"DOI":"10.1007/s40098-018-0331-5","ISSN":"0971-9555","abstract":"As one of the important limit equilibrium methods, the transfer coefficient method or imbalance thrust force method for landslide and slope stability has been proposed by Chinese engineers for decades. But the permissible static conditions for inter-slice interfaces are not completely considered for the method. A stability coefficient of inter-slice interfaces is introduced to ensure that the stability of inter-slice interfaces is not less than that of critical slip surface of a slope or landslide. The full computation procedure of the improved transfer coefficient method is presented. Comparison was made among the proposed method, some classical limit equilibrium methods, and numerical simulation method using the shear strength reduction technique for landslide examples with or without groundwater. The calculation results obtained using the proposed method is in good agreement with those determined by other methods. However, the proposed method provides a more conservative assessment of the slope stability than the traditional transfer coefficient method. In addition, the analysis of landslide examples shows that the factor of safety of landslides decreases to some extent with the stability coefficient of inter-slice interfaces in increase. Consequently, in order to eliminate much more conservative assessment of slope stability, it is suggested that the stability coefficient is assumed the same as the factor of safety of landslides.","author":[{"dropping-particle":"","family":"Xiao","given":"Shiguo","non-dropping-particle":"","parse-names":false,"suffix":""}],"container-title":"Indian Geotechnical Journal","id":"ITEM-1","issue":"6","issued":{"date-parts":[["2019","12"]]},"page":"595-602","title":"Improved Transfer Coefficient Method for Stability Analysis of a Landslide with Polyline Slip Surface","type":"article-journal","volume":"49"},"uris":["http://www.mendeley.com/documents/?uuid=9706d7e7-7ad7-436f-b9c8-ce16093b2936","http://www.mendeley.com/documents/?uuid=42aed413-d62d-4e14-b04a-360be730b522","http://www.mendeley.com/documents/?uuid=2bc78179-fabb-46d8-88c7-807d5f2241c2"]}],"mendeley":{"formattedCitation":"[174]","plainTextFormattedCitation":"[174]","previouslyFormattedCitation":"[174]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[174]</w:t>
      </w:r>
      <w:r w:rsidRPr="00051297">
        <w:rPr>
          <w:rFonts w:cs="Times New Roman"/>
          <w:szCs w:val="24"/>
        </w:rPr>
        <w:fldChar w:fldCharType="end"/>
      </w:r>
      <w:r w:rsidRPr="00051297">
        <w:rPr>
          <w:rFonts w:cs="Times New Roman"/>
          <w:szCs w:val="24"/>
          <w:lang w:val="en-US"/>
        </w:rPr>
        <w:t>.</w:t>
      </w:r>
    </w:p>
    <w:p w14:paraId="4D1BCD14" w14:textId="77777777" w:rsidR="00051297" w:rsidRPr="00051297" w:rsidRDefault="00051297" w:rsidP="00051297">
      <w:pPr>
        <w:rPr>
          <w:rFonts w:cs="Times New Roman"/>
          <w:szCs w:val="24"/>
          <w:lang w:val="en-US"/>
        </w:rPr>
      </w:pPr>
      <w:r w:rsidRPr="00051297">
        <w:rPr>
          <w:rFonts w:cs="Times New Roman"/>
          <w:szCs w:val="24"/>
          <w:lang w:val="en-US"/>
        </w:rPr>
        <w:t>(k) ITF Method - explicit solution</w:t>
      </w:r>
    </w:p>
    <w:p w14:paraId="3E9769C8" w14:textId="67862747" w:rsidR="00051297" w:rsidRPr="00051297" w:rsidRDefault="00051297" w:rsidP="00051297">
      <w:pPr>
        <w:rPr>
          <w:rFonts w:cs="Times New Roman"/>
          <w:szCs w:val="24"/>
          <w:lang w:val="en-US"/>
        </w:rPr>
      </w:pPr>
      <w:r w:rsidRPr="00051297">
        <w:rPr>
          <w:rFonts w:cs="Times New Roman"/>
          <w:szCs w:val="24"/>
          <w:lang w:val="en-US"/>
        </w:rPr>
        <w:t xml:space="preserve">The ITF method's explicit solution assumes a new approach to introducing the factor of safety into the analysis. The mathematical solution does not need to be iterated, and the resulting factor of safety can be derived in a single step. The resulting factor of safety is often higher using this approach, which may completely invalidate the solution, particularly in scenarios involving polygonal slip surfaces with considerable slope changes between adjacent segments </w:t>
      </w:r>
      <w:r w:rsidRPr="00051297">
        <w:rPr>
          <w:rFonts w:cs="Times New Roman"/>
          <w:szCs w:val="24"/>
        </w:rPr>
        <w:fldChar w:fldCharType="begin" w:fldLock="1"/>
      </w:r>
      <w:r w:rsidR="00FA5896">
        <w:rPr>
          <w:rFonts w:cs="Times New Roman"/>
          <w:szCs w:val="24"/>
          <w:lang w:val="en-US"/>
        </w:rPr>
        <w:instrText>ADDIN CSL_CITATION {"citationItems":[{"id":"ITEM-1","itemData":{"DOI":"10.3785/j.issn.1008-973X.2018.07.012","ISSN":"1008973X","abstract":"The position function and scale magnification coefficient of the gradual softening section were introduced to reflect the timeliness of the actual slip zone soil based on the constitutive equation of the sliding zone aiming at the value of slip belt parameters and the uncertainty of conventional design thrust of landslide. Then the quantization method was proposed based on the displacement monitoring in order to determine the intensity of each point of the sliding area. An imbalance thrust improvement method considering pile-soil coupling interaction was deduced. Taking a landslide in Panzhihua airport as an example, the imbalance thrust improvement method was compared with the traditional imbalance thrust method. Results showed that the landslide thrusts proposed by the imbalance thrust improvement method were between the explicit solution and the implicit solution of the traditional imbalance thrust method. The thrust of anti-slide pile increased with the inclination angle of the sliding surfaces where piles set up. The thrust of the anti-sliding pile obtained by the improved explicit solution was larger with the increase of the safety factor, while that by the modified implicit solution was smaller.","author":[{"dropping-particle":"","family":"Chen","given":"Ying Qi","non-dropping-particle":"","parse-names":false,"suffix":""},{"dropping-particle":"","family":"Wang","given":"Quan Cai","non-dropping-particle":"","parse-names":false,"suffix":""}],"container-title":"Zhejiang Daxue Xuebao (Gongxue Ban)/Journal of Zhejiang University (Engineering Science)","id":"ITEM-1","issued":{"date-parts":[["2018"]]},"title":"Optimization calculation of design thrust for landslide","type":"article-journal"},"uris":["http://www.mendeley.com/documents/?uuid=07be17ca-a60d-4514-8cad-78203936b3f6","http://www.mendeley.com/documents/?uuid=bce59d25-1b97-4480-bbf3-ef2866b16318","http://www.mendeley.com/documents/?uuid=2d1533cc-c2d0-43fa-982f-d52d6eb4c0e1"]}],"mendeley":{"formattedCitation":"[175]","plainTextFormattedCitation":"[175]","previouslyFormattedCitation":"[175]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[175]</w:t>
      </w:r>
      <w:r w:rsidRPr="00051297">
        <w:rPr>
          <w:rFonts w:cs="Times New Roman"/>
          <w:szCs w:val="24"/>
        </w:rPr>
        <w:fldChar w:fldCharType="end"/>
      </w:r>
      <w:r w:rsidRPr="00051297">
        <w:rPr>
          <w:rFonts w:cs="Times New Roman"/>
          <w:szCs w:val="24"/>
          <w:lang w:val="en-US"/>
        </w:rPr>
        <w:t>.</w:t>
      </w:r>
    </w:p>
    <w:p w14:paraId="51C1FE9D" w14:textId="4AE0B79C" w:rsidR="00051297" w:rsidRPr="00051297" w:rsidRDefault="00051297" w:rsidP="00051297">
      <w:pPr>
        <w:rPr>
          <w:rFonts w:cs="Times New Roman"/>
          <w:szCs w:val="24"/>
          <w:lang w:val="en-US"/>
        </w:rPr>
      </w:pPr>
      <w:r w:rsidRPr="00051297">
        <w:rPr>
          <w:rFonts w:cs="Times New Roman"/>
          <w:szCs w:val="24"/>
          <w:lang w:val="en-US"/>
        </w:rPr>
        <w:t xml:space="preserve">The answer is based on Equation </w:t>
      </w:r>
      <w:r w:rsidRPr="00051297">
        <w:rPr>
          <w:rFonts w:cs="Times New Roman"/>
          <w:szCs w:val="24"/>
          <w:lang w:val="en-US"/>
        </w:rPr>
        <w:fldChar w:fldCharType="begin"/>
      </w:r>
      <w:r w:rsidRPr="00051297">
        <w:rPr>
          <w:rFonts w:cs="Times New Roman"/>
          <w:szCs w:val="24"/>
          <w:lang w:val="en-US"/>
        </w:rPr>
        <w:instrText xml:space="preserve"> REF _Ref103557297 \h </w:instrText>
      </w:r>
      <w:r w:rsidRPr="00051297">
        <w:rPr>
          <w:rFonts w:cs="Times New Roman"/>
          <w:szCs w:val="24"/>
          <w:lang w:val="en-US"/>
        </w:rPr>
      </w:r>
      <w:r w:rsidRPr="00051297">
        <w:rPr>
          <w:rFonts w:cs="Times New Roman"/>
          <w:szCs w:val="24"/>
          <w:lang w:val="en-US"/>
        </w:rPr>
        <w:fldChar w:fldCharType="separate"/>
      </w:r>
      <w:r w:rsidR="004870F1" w:rsidRPr="00051297">
        <w:rPr>
          <w:szCs w:val="24"/>
          <w:lang w:val="en-US"/>
        </w:rPr>
        <w:t>(</w:t>
      </w:r>
      <w:r w:rsidR="004870F1">
        <w:rPr>
          <w:noProof/>
          <w:szCs w:val="24"/>
          <w:lang w:val="en-US"/>
        </w:rPr>
        <w:t>1</w:t>
      </w:r>
      <w:r w:rsidR="004870F1" w:rsidRPr="00051297">
        <w:rPr>
          <w:szCs w:val="24"/>
          <w:lang w:val="en-US"/>
        </w:rPr>
        <w:t>.</w:t>
      </w:r>
      <w:r w:rsidR="004870F1">
        <w:rPr>
          <w:noProof/>
          <w:szCs w:val="24"/>
          <w:lang w:val="en-US"/>
        </w:rPr>
        <w:t>73</w:t>
      </w:r>
      <w:r w:rsidR="004870F1" w:rsidRPr="00051297">
        <w:rPr>
          <w:szCs w:val="24"/>
          <w:lang w:val="en-US"/>
        </w:rPr>
        <w:t>)</w:t>
      </w:r>
      <w:r w:rsidRPr="00051297">
        <w:rPr>
          <w:rFonts w:cs="Times New Roman"/>
          <w:szCs w:val="24"/>
          <w:lang w:val="en-US"/>
        </w:rPr>
        <w:fldChar w:fldCharType="end"/>
      </w:r>
      <w:r w:rsidRPr="00051297">
        <w:rPr>
          <w:rFonts w:cs="Times New Roman"/>
          <w:szCs w:val="24"/>
          <w:lang w:val="en-US"/>
        </w:rPr>
        <w:t>, to which the factor of safety FS is added, multiplying the active components of forces, i.e., those acting in the sliding direction. As a result, the equilibrium condition is: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051297" w14:paraId="7753626F" w14:textId="77777777" w:rsidTr="00D20B01">
        <w:tc>
          <w:tcPr>
            <w:tcW w:w="257" w:type="dxa"/>
          </w:tcPr>
          <w:p w14:paraId="1A51A886" w14:textId="77777777" w:rsidR="00051297" w:rsidRPr="00051297" w:rsidRDefault="00051297" w:rsidP="00051297">
            <w:pPr>
              <w:spacing w:after="160"/>
              <w:rPr>
                <w:szCs w:val="24"/>
                <w:lang w:val="en-US"/>
              </w:rPr>
            </w:pPr>
          </w:p>
        </w:tc>
        <w:tc>
          <w:tcPr>
            <w:tcW w:w="7592" w:type="dxa"/>
          </w:tcPr>
          <w:p w14:paraId="49BAEE34"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i</m:t>
                    </m:r>
                  </m:sub>
                </m:sSub>
                <m:r>
                  <w:rPr>
                    <w:rFonts w:ascii="Cambria Math" w:hAnsi="Cambria Math"/>
                    <w:szCs w:val="24"/>
                  </w:rPr>
                  <m:t>=</m:t>
                </m:r>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e>
                    </m:func>
                  </m:e>
                </m:d>
                <m:r>
                  <w:rPr>
                    <w:rFonts w:ascii="Cambria Math" w:hAnsi="Cambria Math"/>
                    <w:szCs w:val="24"/>
                  </w:rPr>
                  <m:t>SF-</m:t>
                </m:r>
                <m:d>
                  <m:dPr>
                    <m:begChr m:val="{"/>
                    <m:endChr m:val="}"/>
                    <m:ctrlPr>
                      <w:rPr>
                        <w:rFonts w:ascii="Cambria Math" w:hAnsi="Cambria Math"/>
                        <w:i/>
                        <w:szCs w:val="24"/>
                      </w:rPr>
                    </m:ctrlPr>
                  </m:dPr>
                  <m:e>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func>
                          </m:e>
                        </m:func>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e>
                    </m:func>
                  </m:e>
                </m:d>
                <m:r>
                  <w:rPr>
                    <w:rFonts w:ascii="Cambria Math" w:hAnsi="Cambria Math"/>
                    <w:szCs w:val="24"/>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i+1</m:t>
                    </m:r>
                  </m:sub>
                </m:sSub>
                <m:d>
                  <m:dPr>
                    <m:begChr m:val="["/>
                    <m:endChr m:val="]"/>
                    <m:ctrlPr>
                      <w:rPr>
                        <w:rFonts w:ascii="Cambria Math" w:hAnsi="Cambria Math"/>
                        <w:i/>
                        <w:szCs w:val="24"/>
                      </w:rPr>
                    </m:ctrlPr>
                  </m:dPr>
                  <m:e>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d>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e>
                        </m:func>
                      </m:e>
                    </m:func>
                  </m:e>
                </m:d>
              </m:oMath>
            </m:oMathPara>
          </w:p>
        </w:tc>
        <w:tc>
          <w:tcPr>
            <w:tcW w:w="1505" w:type="dxa"/>
          </w:tcPr>
          <w:p w14:paraId="23510C58" w14:textId="78DD0D16"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70</w:t>
            </w:r>
            <w:r w:rsidRPr="00051297">
              <w:rPr>
                <w:szCs w:val="24"/>
                <w:lang w:val="en-US"/>
              </w:rPr>
              <w:fldChar w:fldCharType="end"/>
            </w:r>
            <w:r w:rsidRPr="00051297">
              <w:rPr>
                <w:szCs w:val="24"/>
                <w:lang w:val="en-US"/>
              </w:rPr>
              <w:t>)</w:t>
            </w:r>
          </w:p>
        </w:tc>
      </w:tr>
    </w:tbl>
    <w:p w14:paraId="54F42DB1" w14:textId="77777777" w:rsidR="00051297" w:rsidRPr="00051297" w:rsidRDefault="00051297" w:rsidP="00051297">
      <w:pPr>
        <w:rPr>
          <w:rFonts w:cs="Times New Roman"/>
          <w:szCs w:val="24"/>
          <w:lang w:val="en-US"/>
        </w:rPr>
      </w:pPr>
      <w:r w:rsidRPr="00051297">
        <w:rPr>
          <w:rFonts w:cs="Times New Roman"/>
          <w:szCs w:val="24"/>
          <w:lang w:val="en-US"/>
        </w:rPr>
        <w:t>For clarity's sake, we'll refer to the component of active forces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1F59C70E" w14:textId="77777777" w:rsidTr="00D20B01">
        <w:tc>
          <w:tcPr>
            <w:tcW w:w="258" w:type="dxa"/>
          </w:tcPr>
          <w:p w14:paraId="3689B266" w14:textId="77777777" w:rsidR="00051297" w:rsidRPr="00051297" w:rsidRDefault="00051297" w:rsidP="00051297">
            <w:pPr>
              <w:spacing w:after="160"/>
              <w:rPr>
                <w:szCs w:val="24"/>
                <w:lang w:val="en-US"/>
              </w:rPr>
            </w:pPr>
          </w:p>
        </w:tc>
        <w:tc>
          <w:tcPr>
            <w:tcW w:w="7591" w:type="dxa"/>
          </w:tcPr>
          <w:p w14:paraId="5B8DB763"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A</m:t>
                    </m:r>
                  </m:e>
                  <m:sub>
                    <m:r>
                      <w:rPr>
                        <w:rFonts w:ascii="Cambria Math" w:hAnsi="Cambria Math"/>
                        <w:szCs w:val="24"/>
                      </w:rPr>
                      <m:t>i</m:t>
                    </m:r>
                  </m:sub>
                </m:sSub>
                <m:r>
                  <w:rPr>
                    <w:rFonts w:ascii="Cambria Math" w:hAns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func>
                  </m:e>
                </m:func>
              </m:oMath>
            </m:oMathPara>
          </w:p>
        </w:tc>
        <w:tc>
          <w:tcPr>
            <w:tcW w:w="1505" w:type="dxa"/>
          </w:tcPr>
          <w:p w14:paraId="66C143FA" w14:textId="7BC650C1"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71</w:t>
            </w:r>
            <w:r w:rsidRPr="00051297">
              <w:rPr>
                <w:szCs w:val="24"/>
                <w:lang w:val="en-US"/>
              </w:rPr>
              <w:fldChar w:fldCharType="end"/>
            </w:r>
            <w:r w:rsidRPr="00051297">
              <w:rPr>
                <w:szCs w:val="24"/>
                <w:lang w:val="en-US"/>
              </w:rPr>
              <w:t>)</w:t>
            </w:r>
          </w:p>
        </w:tc>
      </w:tr>
    </w:tbl>
    <w:p w14:paraId="523639E1" w14:textId="77777777" w:rsidR="00051297" w:rsidRPr="00051297" w:rsidRDefault="00051297" w:rsidP="00051297">
      <w:pPr>
        <w:rPr>
          <w:rFonts w:cs="Times New Roman"/>
          <w:szCs w:val="24"/>
          <w:lang w:val="en-US"/>
        </w:rPr>
      </w:pPr>
      <w:r w:rsidRPr="00051297">
        <w:rPr>
          <w:rFonts w:cs="Times New Roman"/>
          <w:szCs w:val="24"/>
          <w:lang w:val="en-US"/>
        </w:rPr>
        <w:t>as well as the passive force component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17B9CA44" w14:textId="77777777" w:rsidTr="00D20B01">
        <w:tc>
          <w:tcPr>
            <w:tcW w:w="265" w:type="dxa"/>
          </w:tcPr>
          <w:p w14:paraId="055745C2" w14:textId="77777777" w:rsidR="00051297" w:rsidRPr="00051297" w:rsidRDefault="00051297" w:rsidP="00051297">
            <w:pPr>
              <w:spacing w:after="160"/>
              <w:rPr>
                <w:szCs w:val="24"/>
                <w:lang w:val="en-US"/>
              </w:rPr>
            </w:pPr>
          </w:p>
        </w:tc>
        <w:tc>
          <w:tcPr>
            <w:tcW w:w="8820" w:type="dxa"/>
          </w:tcPr>
          <w:p w14:paraId="001BCEDD"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i</m:t>
                    </m:r>
                  </m:sub>
                </m:sSub>
                <m:r>
                  <w:rPr>
                    <w:rFonts w:ascii="Cambria Math" w:hAnsi="Cambria Math"/>
                    <w:szCs w:val="24"/>
                  </w:rPr>
                  <m:t>=</m:t>
                </m:r>
                <m:d>
                  <m:dPr>
                    <m:begChr m:val="["/>
                    <m:endChr m:val="]"/>
                    <m:ctrlPr>
                      <w:rPr>
                        <w:rFonts w:ascii="Cambria Math" w:hAnsi="Cambria Math"/>
                        <w:i/>
                        <w:szCs w:val="24"/>
                      </w:rPr>
                    </m:ctrlPr>
                  </m:d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W</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Fy</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cos</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Fx</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sin</m:t>
                            </m:r>
                          </m:fName>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i</m:t>
                                </m:r>
                              </m:sub>
                            </m:sSub>
                          </m:e>
                        </m:func>
                      </m:e>
                    </m:func>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i</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i</m:t>
                        </m:r>
                      </m:sub>
                    </m:sSub>
                  </m:e>
                </m:func>
              </m:oMath>
            </m:oMathPara>
          </w:p>
        </w:tc>
        <w:tc>
          <w:tcPr>
            <w:tcW w:w="265" w:type="dxa"/>
          </w:tcPr>
          <w:p w14:paraId="45DBAE48" w14:textId="30F5CEC2"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72</w:t>
            </w:r>
            <w:r w:rsidRPr="00051297">
              <w:rPr>
                <w:szCs w:val="24"/>
                <w:lang w:val="en-US"/>
              </w:rPr>
              <w:fldChar w:fldCharType="end"/>
            </w:r>
            <w:r w:rsidRPr="00051297">
              <w:rPr>
                <w:szCs w:val="24"/>
                <w:lang w:val="en-US"/>
              </w:rPr>
              <w:t>)</w:t>
            </w:r>
          </w:p>
        </w:tc>
      </w:tr>
    </w:tbl>
    <w:p w14:paraId="4D9146DA" w14:textId="77777777" w:rsidR="00051297" w:rsidRPr="00051297" w:rsidRDefault="00051297" w:rsidP="00051297">
      <w:pPr>
        <w:rPr>
          <w:rFonts w:cs="Times New Roman"/>
          <w:szCs w:val="24"/>
        </w:rPr>
      </w:pPr>
      <w:r w:rsidRPr="00051297">
        <w:rPr>
          <w:rFonts w:cs="Times New Roman"/>
          <w:szCs w:val="24"/>
        </w:rPr>
        <w:t>and an auxiliary function: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4F92AE93" w14:textId="77777777" w:rsidTr="00D20B01">
        <w:tc>
          <w:tcPr>
            <w:tcW w:w="265" w:type="dxa"/>
          </w:tcPr>
          <w:p w14:paraId="59580338" w14:textId="77777777" w:rsidR="00051297" w:rsidRPr="00051297" w:rsidRDefault="00051297" w:rsidP="00051297">
            <w:pPr>
              <w:spacing w:after="160"/>
              <w:rPr>
                <w:szCs w:val="24"/>
              </w:rPr>
            </w:pPr>
          </w:p>
        </w:tc>
        <w:tc>
          <w:tcPr>
            <w:tcW w:w="8820" w:type="dxa"/>
          </w:tcPr>
          <w:p w14:paraId="20805602"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i/>
                        <w:szCs w:val="24"/>
                      </w:rPr>
                      <w:sym w:font="Symbol" w:char="F059"/>
                    </m:r>
                  </m:e>
                  <m:sub>
                    <m:r>
                      <w:rPr>
                        <w:rFonts w:ascii="Cambria Math" w:hAnsi="Cambria Math"/>
                        <w:szCs w:val="24"/>
                      </w:rPr>
                      <m:t>i</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d>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α</m:t>
                                </m:r>
                              </m:e>
                              <m:sub>
                                <m:r>
                                  <w:rPr>
                                    <w:rFonts w:ascii="Cambria Math" w:hAnsi="Cambria Math"/>
                                    <w:szCs w:val="24"/>
                                  </w:rPr>
                                  <m:t>i+1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i</m:t>
                                </m:r>
                              </m:sub>
                            </m:sSub>
                          </m:e>
                        </m:d>
                        <m:func>
                          <m:funcPr>
                            <m:ctrlPr>
                              <w:rPr>
                                <w:rFonts w:ascii="Cambria Math" w:hAnsi="Cambria Math"/>
                                <w:i/>
                                <w:szCs w:val="24"/>
                              </w:rPr>
                            </m:ctrlPr>
                          </m:funcPr>
                          <m:fName>
                            <m:r>
                              <m:rPr>
                                <m:sty m:val="p"/>
                              </m:rPr>
                              <w:rPr>
                                <w:rFonts w:ascii="Cambria Math" w:hAnsi="Cambria Math"/>
                                <w:szCs w:val="24"/>
                              </w:rPr>
                              <m:t>tan</m:t>
                            </m:r>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i</m:t>
                                </m:r>
                              </m:sub>
                            </m:sSub>
                          </m:e>
                        </m:func>
                      </m:e>
                    </m:func>
                  </m:e>
                </m:func>
              </m:oMath>
            </m:oMathPara>
          </w:p>
        </w:tc>
        <w:tc>
          <w:tcPr>
            <w:tcW w:w="265" w:type="dxa"/>
          </w:tcPr>
          <w:p w14:paraId="76705C52" w14:textId="31080752" w:rsidR="00051297" w:rsidRPr="00051297" w:rsidRDefault="00051297" w:rsidP="00051297">
            <w:pPr>
              <w:spacing w:after="160"/>
            </w:pPr>
            <w:bookmarkStart w:id="367" w:name="_Ref103557297"/>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73</w:t>
            </w:r>
            <w:r w:rsidRPr="00051297">
              <w:rPr>
                <w:szCs w:val="24"/>
                <w:lang w:val="en-US"/>
              </w:rPr>
              <w:fldChar w:fldCharType="end"/>
            </w:r>
            <w:r w:rsidRPr="00051297">
              <w:rPr>
                <w:szCs w:val="24"/>
                <w:lang w:val="en-US"/>
              </w:rPr>
              <w:t>)</w:t>
            </w:r>
            <w:bookmarkEnd w:id="367"/>
          </w:p>
        </w:tc>
      </w:tr>
    </w:tbl>
    <w:p w14:paraId="49400FC0" w14:textId="77777777" w:rsidR="00051297" w:rsidRPr="00051297" w:rsidRDefault="00051297" w:rsidP="00051297">
      <w:pPr>
        <w:rPr>
          <w:rFonts w:cs="Times New Roman"/>
          <w:szCs w:val="24"/>
          <w:lang w:val="en-US"/>
        </w:rPr>
      </w:pPr>
      <w:r w:rsidRPr="00051297">
        <w:rPr>
          <w:rFonts w:cs="Times New Roman"/>
          <w:szCs w:val="24"/>
          <w:lang w:val="en-US"/>
        </w:rPr>
        <w:t>Equation (6) can then be written in a more compact form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591"/>
        <w:gridCol w:w="1505"/>
      </w:tblGrid>
      <w:tr w:rsidR="00051297" w:rsidRPr="00051297" w14:paraId="76ED196A" w14:textId="77777777" w:rsidTr="00D20B01">
        <w:tc>
          <w:tcPr>
            <w:tcW w:w="258" w:type="dxa"/>
          </w:tcPr>
          <w:p w14:paraId="39A90421" w14:textId="77777777" w:rsidR="00051297" w:rsidRPr="00051297" w:rsidRDefault="00051297" w:rsidP="00051297">
            <w:pPr>
              <w:spacing w:after="160"/>
              <w:rPr>
                <w:szCs w:val="24"/>
                <w:lang w:val="en-US"/>
              </w:rPr>
            </w:pPr>
          </w:p>
        </w:tc>
        <w:tc>
          <w:tcPr>
            <w:tcW w:w="7591" w:type="dxa"/>
          </w:tcPr>
          <w:p w14:paraId="2410357D"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i</m:t>
                    </m:r>
                  </m:sub>
                </m:sSub>
                <m:r>
                  <w:rPr>
                    <w:rFonts w:ascii="Cambria Math" w:hAnsi="Cambria Math"/>
                    <w:szCs w:val="24"/>
                  </w:rPr>
                  <m:t>FS-</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i+1</m:t>
                    </m:r>
                  </m:sub>
                </m:sSub>
                <m:sSub>
                  <m:sSubPr>
                    <m:ctrlPr>
                      <w:rPr>
                        <w:rFonts w:ascii="Cambria Math" w:hAnsi="Cambria Math"/>
                        <w:i/>
                        <w:szCs w:val="24"/>
                      </w:rPr>
                    </m:ctrlPr>
                  </m:sSubPr>
                  <m:e>
                    <m:r>
                      <w:rPr>
                        <w:rFonts w:ascii="Cambria Math" w:hAnsi="Cambria Math"/>
                        <w:i/>
                        <w:szCs w:val="24"/>
                      </w:rPr>
                      <w:sym w:font="Symbol" w:char="F059"/>
                    </m:r>
                  </m:e>
                  <m:sub>
                    <m:r>
                      <w:rPr>
                        <w:rFonts w:ascii="Cambria Math" w:hAnsi="Cambria Math"/>
                        <w:szCs w:val="24"/>
                      </w:rPr>
                      <m:t>i+1</m:t>
                    </m:r>
                  </m:sub>
                </m:sSub>
              </m:oMath>
            </m:oMathPara>
          </w:p>
        </w:tc>
        <w:tc>
          <w:tcPr>
            <w:tcW w:w="1505" w:type="dxa"/>
          </w:tcPr>
          <w:p w14:paraId="1CE0CB89" w14:textId="79A86EB9"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74</w:t>
            </w:r>
            <w:r w:rsidRPr="00051297">
              <w:rPr>
                <w:szCs w:val="24"/>
                <w:lang w:val="en-US"/>
              </w:rPr>
              <w:fldChar w:fldCharType="end"/>
            </w:r>
            <w:r w:rsidRPr="00051297">
              <w:rPr>
                <w:szCs w:val="24"/>
                <w:lang w:val="en-US"/>
              </w:rPr>
              <w:t>)</w:t>
            </w:r>
          </w:p>
        </w:tc>
      </w:tr>
    </w:tbl>
    <w:p w14:paraId="00F4DEC3" w14:textId="77777777" w:rsidR="00051297" w:rsidRPr="00051297" w:rsidRDefault="00051297" w:rsidP="00051297">
      <w:pPr>
        <w:rPr>
          <w:rFonts w:cs="Times New Roman"/>
          <w:szCs w:val="24"/>
          <w:lang w:val="en-US"/>
        </w:rPr>
      </w:pPr>
      <w:r w:rsidRPr="00051297">
        <w:rPr>
          <w:rFonts w:cs="Times New Roman"/>
          <w:szCs w:val="24"/>
          <w:lang w:val="en-US"/>
        </w:rPr>
        <w:t>The next step assumes that the known force F</w:t>
      </w:r>
      <w:r w:rsidRPr="00051297">
        <w:rPr>
          <w:rFonts w:cs="Times New Roman"/>
          <w:szCs w:val="24"/>
          <w:vertAlign w:val="subscript"/>
          <w:lang w:val="en-US"/>
        </w:rPr>
        <w:t xml:space="preserve">n </w:t>
      </w:r>
      <w:r w:rsidRPr="00051297">
        <w:rPr>
          <w:rFonts w:cs="Times New Roman"/>
          <w:szCs w:val="24"/>
          <w:lang w:val="en-US"/>
        </w:rPr>
        <w:t>= 0, resulting in force expressions between blocks F in the form:</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051297" w14:paraId="42D50B07" w14:textId="77777777" w:rsidTr="00D20B01">
        <w:tc>
          <w:tcPr>
            <w:tcW w:w="263" w:type="dxa"/>
          </w:tcPr>
          <w:p w14:paraId="4D129E01" w14:textId="77777777" w:rsidR="00051297" w:rsidRPr="00051297" w:rsidRDefault="00051297" w:rsidP="00051297">
            <w:pPr>
              <w:spacing w:after="160"/>
              <w:rPr>
                <w:szCs w:val="24"/>
                <w:lang w:val="en-US"/>
              </w:rPr>
            </w:pPr>
            <w:bookmarkStart w:id="368" w:name="_Hlk92396024"/>
          </w:p>
        </w:tc>
        <w:tc>
          <w:tcPr>
            <w:tcW w:w="8461" w:type="dxa"/>
          </w:tcPr>
          <w:p w14:paraId="5E446AEC"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n-1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n-1</m:t>
                    </m:r>
                  </m:sub>
                </m:sSub>
                <m:r>
                  <w:rPr>
                    <w:rFonts w:ascii="Cambria Math" w:hAnsi="Cambria Math"/>
                    <w:szCs w:val="24"/>
                  </w:rPr>
                  <m:t>FS-</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n-1</m:t>
                    </m:r>
                  </m:sub>
                </m:sSub>
              </m:oMath>
            </m:oMathPara>
          </w:p>
        </w:tc>
        <w:tc>
          <w:tcPr>
            <w:tcW w:w="636" w:type="dxa"/>
          </w:tcPr>
          <w:p w14:paraId="01C6CDE2" w14:textId="5632F202"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75</w:t>
            </w:r>
            <w:r w:rsidRPr="00051297">
              <w:rPr>
                <w:szCs w:val="24"/>
                <w:lang w:val="en-US"/>
              </w:rPr>
              <w:fldChar w:fldCharType="end"/>
            </w:r>
            <w:r w:rsidRPr="00051297">
              <w:rPr>
                <w:szCs w:val="24"/>
                <w:lang w:val="en-US"/>
              </w:rPr>
              <w:t>)</w:t>
            </w:r>
          </w:p>
        </w:tc>
      </w:tr>
      <w:bookmarkEnd w:id="368"/>
      <w:tr w:rsidR="00051297" w:rsidRPr="00051297" w14:paraId="4A399D2D" w14:textId="77777777" w:rsidTr="00D20B01">
        <w:tc>
          <w:tcPr>
            <w:tcW w:w="263" w:type="dxa"/>
          </w:tcPr>
          <w:p w14:paraId="0214E0AB" w14:textId="77777777" w:rsidR="00051297" w:rsidRPr="00051297" w:rsidRDefault="00051297" w:rsidP="00051297">
            <w:pPr>
              <w:spacing w:after="160"/>
              <w:rPr>
                <w:szCs w:val="24"/>
              </w:rPr>
            </w:pPr>
          </w:p>
        </w:tc>
        <w:tc>
          <w:tcPr>
            <w:tcW w:w="8461" w:type="dxa"/>
          </w:tcPr>
          <w:p w14:paraId="75FBB16C"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n-2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n-2</m:t>
                    </m:r>
                  </m:sub>
                </m:sSub>
                <m:r>
                  <w:rPr>
                    <w:rFonts w:ascii="Cambria Math" w:hAnsi="Cambria Math"/>
                    <w:szCs w:val="24"/>
                  </w:rPr>
                  <m:t>FS-</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n-2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n-1</m:t>
                    </m:r>
                  </m:sub>
                </m:sSub>
                <m:r>
                  <w:rPr>
                    <w:rFonts w:ascii="Cambria Math" w:hAnsi="Cambria Math"/>
                    <w:szCs w:val="24"/>
                  </w:rPr>
                  <m:t>FS-</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n-1</m:t>
                    </m:r>
                  </m:sub>
                </m:sSub>
                <m:r>
                  <w:rPr>
                    <w:rFonts w:ascii="Cambria Math" w:hAnsi="Cambria Math"/>
                    <w:szCs w:val="24"/>
                  </w:rPr>
                  <m:t>)</m:t>
                </m:r>
                <m:sSub>
                  <m:sSubPr>
                    <m:ctrlPr>
                      <w:rPr>
                        <w:rFonts w:ascii="Cambria Math" w:hAnsi="Cambria Math"/>
                        <w:i/>
                        <w:szCs w:val="24"/>
                      </w:rPr>
                    </m:ctrlPr>
                  </m:sSubPr>
                  <m:e>
                    <m:r>
                      <w:rPr>
                        <w:rFonts w:ascii="Cambria Math" w:hAnsi="Cambria Math"/>
                        <w:i/>
                        <w:szCs w:val="24"/>
                      </w:rPr>
                      <w:sym w:font="Symbol" w:char="F059"/>
                    </m:r>
                  </m:e>
                  <m:sub>
                    <m:r>
                      <w:rPr>
                        <w:rFonts w:ascii="Cambria Math" w:hAnsi="Cambria Math"/>
                        <w:szCs w:val="24"/>
                      </w:rPr>
                      <m:t>n-1</m:t>
                    </m:r>
                  </m:sub>
                </m:sSub>
              </m:oMath>
            </m:oMathPara>
          </w:p>
        </w:tc>
        <w:tc>
          <w:tcPr>
            <w:tcW w:w="636" w:type="dxa"/>
          </w:tcPr>
          <w:p w14:paraId="53D26A01" w14:textId="524A985F"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76</w:t>
            </w:r>
            <w:r w:rsidRPr="00051297">
              <w:rPr>
                <w:szCs w:val="24"/>
                <w:lang w:val="en-US"/>
              </w:rPr>
              <w:fldChar w:fldCharType="end"/>
            </w:r>
            <w:r w:rsidRPr="00051297">
              <w:rPr>
                <w:szCs w:val="24"/>
                <w:lang w:val="en-US"/>
              </w:rPr>
              <w:t>)</w:t>
            </w:r>
          </w:p>
        </w:tc>
      </w:tr>
      <w:tr w:rsidR="00051297" w:rsidRPr="00051297" w14:paraId="6F5963FD" w14:textId="77777777" w:rsidTr="00D20B01">
        <w:tc>
          <w:tcPr>
            <w:tcW w:w="263" w:type="dxa"/>
          </w:tcPr>
          <w:p w14:paraId="1F4FA802" w14:textId="77777777" w:rsidR="00051297" w:rsidRPr="00051297" w:rsidRDefault="00051297" w:rsidP="00051297">
            <w:pPr>
              <w:spacing w:after="160"/>
              <w:rPr>
                <w:szCs w:val="24"/>
              </w:rPr>
            </w:pPr>
          </w:p>
        </w:tc>
        <w:tc>
          <w:tcPr>
            <w:tcW w:w="8461" w:type="dxa"/>
          </w:tcPr>
          <w:p w14:paraId="4DED1457"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n-3</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n-3</m:t>
                    </m:r>
                  </m:sub>
                </m:sSub>
                <m:r>
                  <w:rPr>
                    <w:rFonts w:ascii="Cambria Math" w:hAnsi="Cambria Math"/>
                    <w:szCs w:val="24"/>
                  </w:rPr>
                  <m:t>FS-</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n-3</m:t>
                    </m:r>
                  </m:sub>
                </m:sSub>
                <m:r>
                  <w:rPr>
                    <w:rFonts w:ascii="Cambria Math" w:hAns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n-2</m:t>
                        </m:r>
                      </m:sub>
                    </m:sSub>
                    <m:r>
                      <w:rPr>
                        <w:rFonts w:ascii="Cambria Math" w:hAnsi="Cambria Math"/>
                        <w:szCs w:val="24"/>
                      </w:rPr>
                      <m:t>FS-</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n-2</m:t>
                        </m:r>
                      </m:sub>
                    </m:sSub>
                  </m:e>
                </m:d>
                <m:sSub>
                  <m:sSubPr>
                    <m:ctrlPr>
                      <w:rPr>
                        <w:rFonts w:ascii="Cambria Math" w:hAnsi="Cambria Math"/>
                        <w:i/>
                        <w:szCs w:val="24"/>
                      </w:rPr>
                    </m:ctrlPr>
                  </m:sSubPr>
                  <m:e>
                    <m:r>
                      <w:rPr>
                        <w:rFonts w:ascii="Cambria Math" w:hAnsi="Cambria Math"/>
                        <w:i/>
                        <w:szCs w:val="24"/>
                      </w:rPr>
                      <w:sym w:font="Symbol" w:char="F059"/>
                    </m:r>
                  </m:e>
                  <m:sub>
                    <m:r>
                      <w:rPr>
                        <w:rFonts w:ascii="Cambria Math" w:hAnsi="Cambria Math"/>
                        <w:szCs w:val="24"/>
                      </w:rPr>
                      <m:t>n-2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n-1</m:t>
                    </m:r>
                  </m:sub>
                </m:sSub>
                <m:r>
                  <w:rPr>
                    <w:rFonts w:ascii="Cambria Math" w:hAnsi="Cambria Math"/>
                    <w:szCs w:val="24"/>
                  </w:rPr>
                  <m:t>FS-</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n-1</m:t>
                    </m:r>
                  </m:sub>
                </m:sSub>
                <m:r>
                  <w:rPr>
                    <w:rFonts w:ascii="Cambria Math" w:hAnsi="Cambria Math"/>
                    <w:szCs w:val="24"/>
                  </w:rPr>
                  <m:t>)</m:t>
                </m:r>
                <m:sSub>
                  <m:sSubPr>
                    <m:ctrlPr>
                      <w:rPr>
                        <w:rFonts w:ascii="Cambria Math" w:hAnsi="Cambria Math"/>
                        <w:i/>
                        <w:szCs w:val="24"/>
                      </w:rPr>
                    </m:ctrlPr>
                  </m:sSubPr>
                  <m:e>
                    <m:r>
                      <w:rPr>
                        <w:rFonts w:ascii="Cambria Math" w:hAnsi="Cambria Math"/>
                        <w:i/>
                        <w:szCs w:val="24"/>
                      </w:rPr>
                      <w:sym w:font="Symbol" w:char="F059"/>
                    </m:r>
                  </m:e>
                  <m:sub>
                    <m:r>
                      <w:rPr>
                        <w:rFonts w:ascii="Cambria Math" w:hAnsi="Cambria Math"/>
                        <w:szCs w:val="24"/>
                      </w:rPr>
                      <m:t>n-1</m:t>
                    </m:r>
                  </m:sub>
                </m:sSub>
                <m:sSub>
                  <m:sSubPr>
                    <m:ctrlPr>
                      <w:rPr>
                        <w:rFonts w:ascii="Cambria Math" w:hAnsi="Cambria Math"/>
                        <w:i/>
                        <w:szCs w:val="24"/>
                      </w:rPr>
                    </m:ctrlPr>
                  </m:sSubPr>
                  <m:e>
                    <m:r>
                      <w:rPr>
                        <w:rFonts w:ascii="Cambria Math" w:hAnsi="Cambria Math"/>
                        <w:i/>
                        <w:szCs w:val="24"/>
                      </w:rPr>
                      <w:sym w:font="Symbol" w:char="F059"/>
                    </m:r>
                  </m:e>
                  <m:sub>
                    <m:r>
                      <w:rPr>
                        <w:rFonts w:ascii="Cambria Math" w:hAnsi="Cambria Math"/>
                        <w:szCs w:val="24"/>
                      </w:rPr>
                      <m:t>n-2</m:t>
                    </m:r>
                  </m:sub>
                </m:sSub>
              </m:oMath>
            </m:oMathPara>
          </w:p>
        </w:tc>
        <w:tc>
          <w:tcPr>
            <w:tcW w:w="636" w:type="dxa"/>
          </w:tcPr>
          <w:p w14:paraId="1B322F9D" w14:textId="7D564D41"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77</w:t>
            </w:r>
            <w:r w:rsidRPr="00051297">
              <w:rPr>
                <w:szCs w:val="24"/>
                <w:lang w:val="en-US"/>
              </w:rPr>
              <w:fldChar w:fldCharType="end"/>
            </w:r>
            <w:r w:rsidRPr="00051297">
              <w:rPr>
                <w:szCs w:val="24"/>
                <w:lang w:val="en-US"/>
              </w:rPr>
              <w:t>)</w:t>
            </w:r>
          </w:p>
        </w:tc>
      </w:tr>
    </w:tbl>
    <w:p w14:paraId="535DC577" w14:textId="77777777" w:rsidR="00051297" w:rsidRPr="00051297" w:rsidRDefault="00051297" w:rsidP="00051297">
      <w:pPr>
        <w:rPr>
          <w:rFonts w:cs="Times New Roman"/>
          <w:szCs w:val="24"/>
        </w:rPr>
      </w:pPr>
      <w:r w:rsidRPr="00051297">
        <w:rPr>
          <w:rFonts w:cs="Times New Roman"/>
          <w:szCs w:val="24"/>
        </w:rPr>
        <w:t>And so on.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592"/>
        <w:gridCol w:w="1505"/>
      </w:tblGrid>
      <w:tr w:rsidR="00051297" w:rsidRPr="00051297" w14:paraId="586DF39E" w14:textId="77777777" w:rsidTr="00D20B01">
        <w:tc>
          <w:tcPr>
            <w:tcW w:w="265" w:type="dxa"/>
          </w:tcPr>
          <w:p w14:paraId="4F6D3714" w14:textId="77777777" w:rsidR="00051297" w:rsidRPr="00051297" w:rsidRDefault="00051297" w:rsidP="00051297">
            <w:pPr>
              <w:spacing w:after="160"/>
              <w:rPr>
                <w:szCs w:val="24"/>
              </w:rPr>
            </w:pPr>
          </w:p>
        </w:tc>
        <w:tc>
          <w:tcPr>
            <w:tcW w:w="8820" w:type="dxa"/>
          </w:tcPr>
          <w:p w14:paraId="2BE6D3BB" w14:textId="77777777" w:rsidR="00051297" w:rsidRPr="00051297" w:rsidRDefault="00536556" w:rsidP="00051297">
            <w:pPr>
              <w:spacing w:after="160"/>
              <w:rPr>
                <w:szCs w:val="24"/>
              </w:rPr>
            </w:pPr>
            <m:oMathPara>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0</m:t>
                    </m:r>
                  </m:sub>
                </m:sSub>
                <m:r>
                  <w:rPr>
                    <w:rFonts w:ascii="Cambria Math" w:hAnsi="Cambria Math"/>
                    <w:szCs w:val="24"/>
                  </w:rPr>
                  <m:t>=</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0</m:t>
                        </m:r>
                      </m:sub>
                    </m:sSub>
                    <m:r>
                      <w:rPr>
                        <w:rFonts w:ascii="Cambria Math" w:hAnsi="Cambria Math"/>
                        <w:szCs w:val="24"/>
                      </w:rPr>
                      <m:t>+</m:t>
                    </m:r>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n-1</m:t>
                        </m:r>
                      </m:sup>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i</m:t>
                                </m:r>
                              </m:sub>
                            </m:sSub>
                            <m:nary>
                              <m:naryPr>
                                <m:chr m:val="∏"/>
                                <m:limLoc m:val="undOvr"/>
                                <m:ctrlPr>
                                  <w:rPr>
                                    <w:rFonts w:ascii="Cambria Math" w:hAnsi="Cambria Math"/>
                                    <w:i/>
                                    <w:szCs w:val="24"/>
                                  </w:rPr>
                                </m:ctrlPr>
                              </m:naryPr>
                              <m:sub>
                                <m:r>
                                  <w:rPr>
                                    <w:rFonts w:ascii="Cambria Math" w:hAnsi="Cambria Math"/>
                                    <w:szCs w:val="24"/>
                                  </w:rPr>
                                  <m:t>j-1</m:t>
                                </m:r>
                              </m:sub>
                              <m:sup>
                                <m:r>
                                  <w:rPr>
                                    <w:rFonts w:ascii="Cambria Math" w:hAnsi="Cambria Math"/>
                                    <w:szCs w:val="24"/>
                                  </w:rPr>
                                  <m:t>i</m:t>
                                </m:r>
                              </m:sup>
                              <m:e>
                                <m:sSub>
                                  <m:sSubPr>
                                    <m:ctrlPr>
                                      <w:rPr>
                                        <w:rFonts w:ascii="Cambria Math" w:hAnsi="Cambria Math"/>
                                        <w:i/>
                                        <w:szCs w:val="24"/>
                                      </w:rPr>
                                    </m:ctrlPr>
                                  </m:sSubPr>
                                  <m:e>
                                    <m:r>
                                      <w:rPr>
                                        <w:rFonts w:ascii="Cambria Math" w:hAnsi="Cambria Math"/>
                                        <w:i/>
                                        <w:szCs w:val="24"/>
                                      </w:rPr>
                                      <w:sym w:font="Symbol" w:char="F059"/>
                                    </m:r>
                                  </m:e>
                                  <m:sub>
                                    <m:r>
                                      <w:rPr>
                                        <w:rFonts w:ascii="Cambria Math" w:hAnsi="Cambria Math"/>
                                        <w:szCs w:val="24"/>
                                      </w:rPr>
                                      <m:t>j</m:t>
                                    </m:r>
                                  </m:sub>
                                </m:sSub>
                              </m:e>
                            </m:nary>
                          </m:e>
                        </m:d>
                      </m:e>
                    </m:nary>
                  </m:e>
                </m:d>
                <m:r>
                  <w:rPr>
                    <w:rFonts w:ascii="Cambria Math" w:hAnsi="Cambria Math"/>
                    <w:szCs w:val="24"/>
                  </w:rPr>
                  <m:t>FS-</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0</m:t>
                    </m:r>
                  </m:sub>
                </m:sSub>
                <m:r>
                  <w:rPr>
                    <w:rFonts w:ascii="Cambria Math" w:hAnsi="Cambria Math"/>
                    <w:szCs w:val="24"/>
                  </w:rPr>
                  <m:t>-</m:t>
                </m:r>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n-1</m:t>
                    </m:r>
                  </m:sup>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i</m:t>
                            </m:r>
                          </m:sub>
                        </m:sSub>
                        <m:nary>
                          <m:naryPr>
                            <m:chr m:val="∏"/>
                            <m:limLoc m:val="undOvr"/>
                            <m:ctrlPr>
                              <w:rPr>
                                <w:rFonts w:ascii="Cambria Math" w:hAnsi="Cambria Math"/>
                                <w:i/>
                                <w:szCs w:val="24"/>
                              </w:rPr>
                            </m:ctrlPr>
                          </m:naryPr>
                          <m:sub>
                            <m:r>
                              <w:rPr>
                                <w:rFonts w:ascii="Cambria Math" w:hAnsi="Cambria Math"/>
                                <w:szCs w:val="24"/>
                              </w:rPr>
                              <m:t>j-1</m:t>
                            </m:r>
                          </m:sub>
                          <m:sup>
                            <m:r>
                              <w:rPr>
                                <w:rFonts w:ascii="Cambria Math" w:hAnsi="Cambria Math"/>
                                <w:szCs w:val="24"/>
                              </w:rPr>
                              <m:t>i</m:t>
                            </m:r>
                          </m:sup>
                          <m:e>
                            <m:sSub>
                              <m:sSubPr>
                                <m:ctrlPr>
                                  <w:rPr>
                                    <w:rFonts w:ascii="Cambria Math" w:hAnsi="Cambria Math"/>
                                    <w:i/>
                                    <w:szCs w:val="24"/>
                                  </w:rPr>
                                </m:ctrlPr>
                              </m:sSubPr>
                              <m:e>
                                <m:r>
                                  <w:rPr>
                                    <w:rFonts w:ascii="Cambria Math" w:hAnsi="Cambria Math"/>
                                    <w:i/>
                                    <w:szCs w:val="24"/>
                                  </w:rPr>
                                  <w:sym w:font="Symbol" w:char="F059"/>
                                </m:r>
                              </m:e>
                              <m:sub>
                                <m:r>
                                  <w:rPr>
                                    <w:rFonts w:ascii="Cambria Math" w:hAnsi="Cambria Math"/>
                                    <w:szCs w:val="24"/>
                                  </w:rPr>
                                  <m:t>j</m:t>
                                </m:r>
                              </m:sub>
                            </m:sSub>
                          </m:e>
                        </m:nary>
                      </m:e>
                    </m:d>
                  </m:e>
                </m:nary>
              </m:oMath>
            </m:oMathPara>
          </w:p>
        </w:tc>
        <w:tc>
          <w:tcPr>
            <w:tcW w:w="265" w:type="dxa"/>
          </w:tcPr>
          <w:p w14:paraId="51558220" w14:textId="358D6D3B"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78</w:t>
            </w:r>
            <w:r w:rsidRPr="00051297">
              <w:rPr>
                <w:szCs w:val="24"/>
                <w:lang w:val="en-US"/>
              </w:rPr>
              <w:fldChar w:fldCharType="end"/>
            </w:r>
            <w:r w:rsidRPr="00051297">
              <w:rPr>
                <w:szCs w:val="24"/>
                <w:lang w:val="en-US"/>
              </w:rPr>
              <w:t>)</w:t>
            </w:r>
          </w:p>
        </w:tc>
      </w:tr>
    </w:tbl>
    <w:p w14:paraId="0D27E71E" w14:textId="77777777" w:rsidR="00051297" w:rsidRPr="00051297" w:rsidRDefault="00051297" w:rsidP="00051297">
      <w:pPr>
        <w:rPr>
          <w:rFonts w:cs="Times New Roman"/>
          <w:szCs w:val="24"/>
          <w:lang w:val="en-US"/>
        </w:rPr>
      </w:pPr>
      <w:r w:rsidRPr="00051297">
        <w:rPr>
          <w:rFonts w:cs="Times New Roman"/>
          <w:szCs w:val="24"/>
          <w:lang w:val="en-US"/>
        </w:rPr>
        <w:t>Because the force on the slip surface's bottom origin should be 0 kN, we derive the final form of the factor of safety FS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
        <w:gridCol w:w="7593"/>
        <w:gridCol w:w="1505"/>
      </w:tblGrid>
      <w:tr w:rsidR="00051297" w:rsidRPr="00051297" w14:paraId="18858802" w14:textId="77777777" w:rsidTr="00D20B01">
        <w:tc>
          <w:tcPr>
            <w:tcW w:w="265" w:type="dxa"/>
          </w:tcPr>
          <w:p w14:paraId="4EDA20E5" w14:textId="77777777" w:rsidR="00051297" w:rsidRPr="00051297" w:rsidRDefault="00051297" w:rsidP="00051297">
            <w:pPr>
              <w:spacing w:after="160"/>
              <w:rPr>
                <w:szCs w:val="24"/>
                <w:lang w:val="en-US"/>
              </w:rPr>
            </w:pPr>
          </w:p>
        </w:tc>
        <w:tc>
          <w:tcPr>
            <w:tcW w:w="8820" w:type="dxa"/>
          </w:tcPr>
          <w:p w14:paraId="212CD779" w14:textId="77777777" w:rsidR="00051297" w:rsidRPr="00051297" w:rsidRDefault="00051297" w:rsidP="00051297">
            <w:pPr>
              <w:spacing w:after="160"/>
              <w:rPr>
                <w:szCs w:val="24"/>
              </w:rPr>
            </w:pPr>
            <m:oMathPara>
              <m:oMath>
                <m:r>
                  <w:rPr>
                    <w:rFonts w:ascii="Cambria Math" w:hAnsi="Cambria Math"/>
                    <w:szCs w:val="24"/>
                  </w:rPr>
                  <m:t>FS=</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P</m:t>
                        </m:r>
                      </m:e>
                      <m:sub>
                        <m:r>
                          <w:rPr>
                            <w:rFonts w:ascii="Cambria Math" w:hAnsi="Cambria Math"/>
                            <w:szCs w:val="24"/>
                          </w:rPr>
                          <m:t>0</m:t>
                        </m:r>
                      </m:sub>
                    </m:sSub>
                    <m:r>
                      <w:rPr>
                        <w:rFonts w:ascii="Cambria Math" w:hAnsi="Cambria Math"/>
                        <w:szCs w:val="24"/>
                      </w:rPr>
                      <m:t>+</m:t>
                    </m:r>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n-1</m:t>
                        </m:r>
                      </m:sup>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i</m:t>
                                </m:r>
                              </m:sub>
                            </m:sSub>
                            <m:nary>
                              <m:naryPr>
                                <m:chr m:val="∏"/>
                                <m:limLoc m:val="undOvr"/>
                                <m:ctrlPr>
                                  <w:rPr>
                                    <w:rFonts w:ascii="Cambria Math" w:hAnsi="Cambria Math"/>
                                    <w:i/>
                                    <w:szCs w:val="24"/>
                                  </w:rPr>
                                </m:ctrlPr>
                              </m:naryPr>
                              <m:sub>
                                <m:r>
                                  <w:rPr>
                                    <w:rFonts w:ascii="Cambria Math" w:hAnsi="Cambria Math"/>
                                    <w:szCs w:val="24"/>
                                  </w:rPr>
                                  <m:t>j-1</m:t>
                                </m:r>
                              </m:sub>
                              <m:sup>
                                <m:r>
                                  <w:rPr>
                                    <w:rFonts w:ascii="Cambria Math" w:hAnsi="Cambria Math"/>
                                    <w:szCs w:val="24"/>
                                  </w:rPr>
                                  <m:t>i</m:t>
                                </m:r>
                              </m:sup>
                              <m:e>
                                <m:sSub>
                                  <m:sSubPr>
                                    <m:ctrlPr>
                                      <w:rPr>
                                        <w:rFonts w:ascii="Cambria Math" w:hAnsi="Cambria Math"/>
                                        <w:i/>
                                        <w:szCs w:val="24"/>
                                      </w:rPr>
                                    </m:ctrlPr>
                                  </m:sSubPr>
                                  <m:e>
                                    <m:r>
                                      <w:rPr>
                                        <w:rFonts w:ascii="Cambria Math" w:hAnsi="Cambria Math"/>
                                        <w:i/>
                                        <w:szCs w:val="24"/>
                                      </w:rPr>
                                      <w:sym w:font="Symbol" w:char="F059"/>
                                    </m:r>
                                  </m:e>
                                  <m:sub>
                                    <m:r>
                                      <w:rPr>
                                        <w:rFonts w:ascii="Cambria Math" w:hAnsi="Cambria Math"/>
                                        <w:szCs w:val="24"/>
                                      </w:rPr>
                                      <m:t>j</m:t>
                                    </m:r>
                                  </m:sub>
                                </m:sSub>
                              </m:e>
                            </m:nary>
                          </m:e>
                        </m:d>
                      </m:e>
                    </m:nary>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0</m:t>
                        </m:r>
                      </m:sub>
                    </m:sSub>
                    <m:r>
                      <w:rPr>
                        <w:rFonts w:ascii="Cambria Math" w:hAnsi="Cambria Math"/>
                        <w:szCs w:val="24"/>
                      </w:rPr>
                      <m:t>+</m:t>
                    </m:r>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n-1</m:t>
                        </m:r>
                      </m:sup>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i</m:t>
                                </m:r>
                              </m:sub>
                            </m:sSub>
                            <m:nary>
                              <m:naryPr>
                                <m:chr m:val="∏"/>
                                <m:limLoc m:val="undOvr"/>
                                <m:ctrlPr>
                                  <w:rPr>
                                    <w:rFonts w:ascii="Cambria Math" w:hAnsi="Cambria Math"/>
                                    <w:i/>
                                    <w:szCs w:val="24"/>
                                  </w:rPr>
                                </m:ctrlPr>
                              </m:naryPr>
                              <m:sub>
                                <m:r>
                                  <w:rPr>
                                    <w:rFonts w:ascii="Cambria Math" w:hAnsi="Cambria Math"/>
                                    <w:szCs w:val="24"/>
                                  </w:rPr>
                                  <m:t>j-1</m:t>
                                </m:r>
                              </m:sub>
                              <m:sup>
                                <m:r>
                                  <w:rPr>
                                    <w:rFonts w:ascii="Cambria Math" w:hAnsi="Cambria Math"/>
                                    <w:szCs w:val="24"/>
                                  </w:rPr>
                                  <m:t>i</m:t>
                                </m:r>
                              </m:sup>
                              <m:e>
                                <m:sSub>
                                  <m:sSubPr>
                                    <m:ctrlPr>
                                      <w:rPr>
                                        <w:rFonts w:ascii="Cambria Math" w:hAnsi="Cambria Math"/>
                                        <w:i/>
                                        <w:szCs w:val="24"/>
                                      </w:rPr>
                                    </m:ctrlPr>
                                  </m:sSubPr>
                                  <m:e>
                                    <m:r>
                                      <w:rPr>
                                        <w:rFonts w:ascii="Cambria Math" w:hAnsi="Cambria Math"/>
                                        <w:i/>
                                        <w:szCs w:val="24"/>
                                      </w:rPr>
                                      <w:sym w:font="Symbol" w:char="F059"/>
                                    </m:r>
                                  </m:e>
                                  <m:sub>
                                    <m:r>
                                      <w:rPr>
                                        <w:rFonts w:ascii="Cambria Math" w:hAnsi="Cambria Math"/>
                                        <w:szCs w:val="24"/>
                                      </w:rPr>
                                      <m:t>j</m:t>
                                    </m:r>
                                  </m:sub>
                                </m:sSub>
                              </m:e>
                            </m:nary>
                          </m:e>
                        </m:d>
                      </m:e>
                    </m:nary>
                  </m:den>
                </m:f>
              </m:oMath>
            </m:oMathPara>
          </w:p>
        </w:tc>
        <w:tc>
          <w:tcPr>
            <w:tcW w:w="265" w:type="dxa"/>
          </w:tcPr>
          <w:p w14:paraId="5052EE1C" w14:textId="250172E7" w:rsidR="00051297" w:rsidRPr="00051297" w:rsidRDefault="00051297" w:rsidP="00051297">
            <w:pPr>
              <w:spacing w:after="160"/>
            </w:pPr>
            <w:r w:rsidRPr="00051297">
              <w:rPr>
                <w:szCs w:val="24"/>
                <w:lang w:val="en-US"/>
              </w:rPr>
              <w:t>(</w:t>
            </w:r>
            <w:r w:rsidRPr="00051297">
              <w:rPr>
                <w:szCs w:val="24"/>
                <w:lang w:val="en-US"/>
              </w:rPr>
              <w:fldChar w:fldCharType="begin"/>
            </w:r>
            <w:r w:rsidRPr="00051297">
              <w:rPr>
                <w:szCs w:val="24"/>
                <w:lang w:val="en-US"/>
              </w:rPr>
              <w:instrText xml:space="preserve"> STYLEREF 1 \s </w:instrText>
            </w:r>
            <w:r w:rsidRPr="00051297">
              <w:rPr>
                <w:szCs w:val="24"/>
                <w:lang w:val="en-US"/>
              </w:rPr>
              <w:fldChar w:fldCharType="separate"/>
            </w:r>
            <w:r w:rsidR="004870F1">
              <w:rPr>
                <w:noProof/>
                <w:szCs w:val="24"/>
                <w:lang w:val="en-US"/>
              </w:rPr>
              <w:t>1</w:t>
            </w:r>
            <w:r w:rsidRPr="00051297">
              <w:rPr>
                <w:szCs w:val="24"/>
                <w:lang w:val="en-US"/>
              </w:rPr>
              <w:fldChar w:fldCharType="end"/>
            </w:r>
            <w:r w:rsidRPr="00051297">
              <w:rPr>
                <w:szCs w:val="24"/>
                <w:lang w:val="en-US"/>
              </w:rPr>
              <w:t>.</w:t>
            </w:r>
            <w:r w:rsidRPr="00051297">
              <w:rPr>
                <w:szCs w:val="24"/>
                <w:lang w:val="en-US"/>
              </w:rPr>
              <w:fldChar w:fldCharType="begin"/>
            </w:r>
            <w:r w:rsidRPr="00051297">
              <w:rPr>
                <w:szCs w:val="24"/>
                <w:lang w:val="en-US"/>
              </w:rPr>
              <w:instrText xml:space="preserve"> SEQ Equation \* ARABIC \s 1 </w:instrText>
            </w:r>
            <w:r w:rsidRPr="00051297">
              <w:rPr>
                <w:szCs w:val="24"/>
                <w:lang w:val="en-US"/>
              </w:rPr>
              <w:fldChar w:fldCharType="separate"/>
            </w:r>
            <w:r w:rsidR="004870F1">
              <w:rPr>
                <w:noProof/>
                <w:szCs w:val="24"/>
                <w:lang w:val="en-US"/>
              </w:rPr>
              <w:t>79</w:t>
            </w:r>
            <w:r w:rsidRPr="00051297">
              <w:rPr>
                <w:szCs w:val="24"/>
                <w:lang w:val="en-US"/>
              </w:rPr>
              <w:fldChar w:fldCharType="end"/>
            </w:r>
            <w:r w:rsidRPr="00051297">
              <w:rPr>
                <w:szCs w:val="24"/>
                <w:lang w:val="en-US"/>
              </w:rPr>
              <w:t>)</w:t>
            </w:r>
          </w:p>
        </w:tc>
      </w:tr>
    </w:tbl>
    <w:p w14:paraId="55BF746A" w14:textId="26982ABD" w:rsidR="00051297" w:rsidRPr="00051297" w:rsidRDefault="00051297" w:rsidP="00EE7BED">
      <w:pPr>
        <w:pStyle w:val="4"/>
      </w:pPr>
      <w:bookmarkStart w:id="369" w:name="_Toc97504753"/>
      <w:bookmarkStart w:id="370" w:name="_Toc103543887"/>
      <w:bookmarkStart w:id="371" w:name="_Toc104985211"/>
      <w:r w:rsidRPr="00051297">
        <w:t>Dam safety</w:t>
      </w:r>
      <w:bookmarkStart w:id="372" w:name="_Toc79511107"/>
      <w:bookmarkEnd w:id="369"/>
      <w:bookmarkEnd w:id="370"/>
      <w:bookmarkEnd w:id="371"/>
      <w:r w:rsidRPr="00051297">
        <w:t xml:space="preserve"> </w:t>
      </w:r>
      <w:bookmarkEnd w:id="372"/>
    </w:p>
    <w:p w14:paraId="2CE1EF7C" w14:textId="6D137913" w:rsidR="00051297" w:rsidRPr="00051297" w:rsidRDefault="00051297" w:rsidP="00EE7BED">
      <w:pPr>
        <w:pStyle w:val="5"/>
        <w:rPr>
          <w:lang w:val="en-US"/>
        </w:rPr>
      </w:pPr>
      <w:bookmarkStart w:id="373" w:name="_Toc79511108"/>
      <w:bookmarkStart w:id="374" w:name="_Toc97504754"/>
      <w:bookmarkStart w:id="375" w:name="_Toc103543888"/>
      <w:bookmarkStart w:id="376" w:name="_Toc104985212"/>
      <w:r w:rsidRPr="00051297">
        <w:rPr>
          <w:lang w:val="en-US"/>
        </w:rPr>
        <w:t>World declaration on dam safety</w:t>
      </w:r>
      <w:bookmarkEnd w:id="373"/>
      <w:bookmarkEnd w:id="374"/>
      <w:bookmarkEnd w:id="375"/>
      <w:bookmarkEnd w:id="376"/>
    </w:p>
    <w:p w14:paraId="72AD2DE1" w14:textId="19BFE48C" w:rsidR="00051297" w:rsidRPr="00051297" w:rsidRDefault="00051297" w:rsidP="00051297">
      <w:pPr>
        <w:rPr>
          <w:rFonts w:cs="Times New Roman"/>
          <w:szCs w:val="24"/>
          <w:lang w:val="en-US"/>
        </w:rPr>
      </w:pPr>
      <w:r w:rsidRPr="00051297">
        <w:rPr>
          <w:rFonts w:cs="Times New Roman"/>
          <w:szCs w:val="24"/>
          <w:lang w:val="en-US"/>
        </w:rPr>
        <w:t>Dams and associated storage reservoirs have brought substantial benefits to humanity throughout history through their construction, operation, and upkeep. Water storage behind dams regulates natural streamflow and provides benefits such as enhanced water availability, renewable energy production, and a reduction in the negative effects of natural extremes such as floods and drought</w:t>
      </w:r>
      <w:r w:rsidR="000036DE">
        <w:rPr>
          <w:rFonts w:cs="Times New Roman"/>
          <w:szCs w:val="24"/>
          <w:lang w:val="en-US"/>
        </w:rPr>
        <w:t xml:space="preserve"> </w:t>
      </w:r>
      <w:r w:rsidR="000036DE" w:rsidRPr="00051297">
        <w:rPr>
          <w:rFonts w:cs="Times New Roman"/>
          <w:szCs w:val="24"/>
        </w:rPr>
        <w:fldChar w:fldCharType="begin" w:fldLock="1"/>
      </w:r>
      <w:r w:rsidR="00FA5896">
        <w:rPr>
          <w:rFonts w:cs="Times New Roman"/>
          <w:szCs w:val="24"/>
          <w:lang w:val="en-US"/>
        </w:rPr>
        <w:instrText>ADDIN CSL_CITATION {"citationItems":[{"id":"ITEM-1","itemData":{"DOI":"10.1016/J.ENG.2017.01.018","ISSN":"20958099","abstract":"The possible mitigation of floods by dams and the risk to dams from floods are key problems. The People's Republic of China is now leading world dam construction with great success and efficiency. This paper is devoted to relevant experiences from other countries, with a particular focus on lessons from accidents over the past two centuries and on new solutions. Accidents from floods are analyzed according to the dam's height, storage, dam material, and spillway data. Most of the huge accidents that have been reported occurred for embankments storing over 10 hm3. New solutions appear promising for both dam safety and flood mitigation.","author":[{"dropping-particle":"","family":"Lempérière","given":"F.","non-dropping-particle":"","parse-names":false,"suffix":""}],"container-title":"Engineering","id":"ITEM-1","issue":"1","issued":{"date-parts":[["2017","2"]]},"page":"144-149","title":"Dams and Floods","type":"article-journal","volume":"3"},"uris":["http://www.mendeley.com/documents/?uuid=6884898a-ce97-4c27-a43f-d2928837b92f","http://www.mendeley.com/documents/?uuid=4246a5fd-0218-449b-b978-b20eb81cd5dd"]}],"mendeley":{"formattedCitation":"[176]","plainTextFormattedCitation":"[176]","previouslyFormattedCitation":"[176]"},"properties":{"noteIndex":0},"schema":"https://github.com/citation-style-language/schema/raw/master/csl-citation.json"}</w:instrText>
      </w:r>
      <w:r w:rsidR="000036DE" w:rsidRPr="00051297">
        <w:rPr>
          <w:rFonts w:cs="Times New Roman"/>
          <w:szCs w:val="24"/>
        </w:rPr>
        <w:fldChar w:fldCharType="separate"/>
      </w:r>
      <w:r w:rsidR="000036DE" w:rsidRPr="0032684D">
        <w:rPr>
          <w:rFonts w:cs="Times New Roman"/>
          <w:noProof/>
          <w:szCs w:val="24"/>
          <w:lang w:val="en-US"/>
        </w:rPr>
        <w:t>[176]</w:t>
      </w:r>
      <w:r w:rsidR="000036DE" w:rsidRPr="00051297">
        <w:rPr>
          <w:rFonts w:cs="Times New Roman"/>
          <w:szCs w:val="24"/>
        </w:rPr>
        <w:fldChar w:fldCharType="end"/>
      </w:r>
      <w:r w:rsidRPr="00051297">
        <w:rPr>
          <w:rFonts w:cs="Times New Roman"/>
          <w:szCs w:val="24"/>
          <w:lang w:val="en-US"/>
        </w:rPr>
        <w:t xml:space="preserve">. </w:t>
      </w:r>
    </w:p>
    <w:p w14:paraId="78C5F5AA" w14:textId="4BF273CC" w:rsidR="00051297" w:rsidRPr="00051297" w:rsidRDefault="00051297" w:rsidP="00051297">
      <w:pPr>
        <w:rPr>
          <w:rFonts w:cs="Times New Roman"/>
          <w:szCs w:val="24"/>
          <w:lang w:val="en-US"/>
        </w:rPr>
      </w:pPr>
      <w:r w:rsidRPr="00051297">
        <w:rPr>
          <w:rFonts w:cs="Times New Roman"/>
          <w:szCs w:val="24"/>
          <w:lang w:val="en-US"/>
        </w:rPr>
        <w:t xml:space="preserve">Dams are essential infrastructure for meeting both basic human requirements and rising living standards. On the other hand, Dams provide additional threats to downstream communities, including the potential for detrimental effects on life, property, and the environment </w:t>
      </w:r>
      <w:r w:rsidRPr="00051297">
        <w:rPr>
          <w:rFonts w:cs="Times New Roman"/>
          <w:szCs w:val="24"/>
        </w:rPr>
        <w:fldChar w:fldCharType="begin" w:fldLock="1"/>
      </w:r>
      <w:r w:rsidR="00FA5896">
        <w:rPr>
          <w:rFonts w:cs="Times New Roman"/>
          <w:szCs w:val="24"/>
          <w:lang w:val="en-US"/>
        </w:rPr>
        <w:instrText>ADDIN CSL_CITATION {"citationItems":[{"id":"ITEM-1","itemData":{"DOI":"10.3390/w11030461","ISSN":"2073-4441","abstract":"In this paper, we present a method to assess the influence of the initial reservoir level in hydrological dam safety and risk analysis. Traditionally, in professional practice, the procedures applied are basically deterministic. Several physical processes are defined deterministically, according to the criteria of the designer (usually in the conservative side), although there is a high degree of uncertainty regarding these processes. A relevant variable is the reservoir level considered at the beginning of flood events. Hydrological dam safety assessment methods traditionally assume that the reservoir is initially full when it receives the design flood, thus, staying in the conservative side when designing a new dam. However, the distribution of reservoir levels at the beginning of flood episodes takes more importance for evaluating the real risk for the dams in operation. We analyzed three different scenarios—initial reservoir level equal to maximum normal level, equal to a maximum conservation level, and following the probability distribution from the historical records. To do so, we presented a method applied to a gated-spillway dam located in the Tagus river basin. A set of 100,000 inflow hydrographs was generated through a Monte Carlo procedure, by reproducing the statistics of the main observed hydrograph characteristics—peak flow, volume, and duration. The set of 100,000 hydrographs was routed through the reservoir applying the Volumetric Evaluation Method as a flood control strategy. In order to compare the three scenarios, we applied an economic global risk index. The index combines the hydrological risk for the dam, linked to the maximum water level reached in the reservoir, during the flood routing, and the flood risk in the downstream river reach, linked to the discharge releases from the dam. The results showed the importance of accounting for the fluctuation of initial reservoir levels, for assessing the risk related to hydrological dam safety. Furthermore, a procedure to quantify the uncertainty associated with the effects of initial reservoir level on hydrological dam safety, has been proposed.","author":[{"dropping-particle":"","family":"Gabriel-Martin","given":"Ivan","non-dropping-particle":"","parse-names":false,"suffix":""},{"dropping-particle":"","family":"Sordo-Ward","given":"Alvaro","non-dropping-particle":"","parse-names":false,"suffix":""},{"dropping-particle":"","family":"Garrote","given":"Luis","non-dropping-particle":"","parse-names":false,"suffix":""},{"dropping-particle":"","family":"Granados","given":"Isabel","non-dropping-particle":"","parse-names":false,"suffix":""}],"container-title":"Water","id":"ITEM-1","issue":"3","issued":{"date-parts":[["2019","3"]]},"page":"461","title":"Hydrological Risk Analysis of Dams: The Influence of Initial Reservoir Level Conditions","type":"article-journal","volume":"11"},"uris":["http://www.mendeley.com/documents/?uuid=30ba754f-3fb5-4a87-845b-52e7f6e420c2"]},{"id":"ITEM-2","itemData":{"DOI":"10.1016/j.ijdrr.2019.101361","ISSN":"22124209","abstract":"The global mining industry produces billions of tonnes of mine tailings each year. This slurry of waste material is often contained in dams, which are among some of the world's largest engineered structures. Several recent and catastrophic tailings dam disasters bring the complex interaction between a mine and its local operating context into plain sight. The absence of public, timely, multi-scalar information about the multiple dimensions of this interaction is a normalised feature in the management of tailings dams. This article highlights the importance of establishing and sharing diverse knowledge about tailings dam disaster risk. We argue that the assessment and disclosure of “situated” disaster risk ought to be prioritised; that is, the combined risk of a hazard bearing structure situated within a local context with inherent vulnerabilities. We present a method for examining situated disaster risk of tailings dams by utilising Environmental, Social and Governance (ESG) indicators to screen for risk across eight categories: waste, water, biodiversity, land uses, indigenous peoples’ lands, social vulnerability, political fragility, and approval and permitting. Applied to a global sample of operating mines, the method shows disaster risk potential of existing tailings dams globally. Future application could be used to generate a more complete inventory that includes both established and newly constructed facilities.","author":[{"dropping-particle":"","family":"Owen","given":"J.R.","non-dropping-particle":"","parse-names":false,"suffix":""},{"dropping-particle":"","family":"Kemp","given":"D.","non-dropping-particle":"","parse-names":false,"suffix":""},{"dropping-particle":"","family":"Lèbre","given":"É.","non-dropping-particle":"","parse-names":false,"suffix":""},{"dropping-particle":"","family":"Svobodova","given":"K.","non-dropping-particle":"","parse-names":false,"suffix":""},{"dropping-particle":"","family":"Pérez Murillo","given":"G.","non-dropping-particle":"","parse-names":false,"suffix":""}],"container-title":"International Journal of Disaster Risk Reduction","id":"ITEM-2","issued":{"date-parts":[["2020","1"]]},"page":"101361","title":"Catastrophic tailings dam failures and disaster risk disclosure","type":"article-journal","volume":"42"},"uris":["http://www.mendeley.com/documents/?uuid=914dc274-c66e-46b8-bbd4-ac144b9cefca","http://www.mendeley.com/documents/?uuid=26ee92d9-c938-4b55-8099-e46c26980b91","http://www.mendeley.com/documents/?uuid=c82edf12-c03c-474c-819f-bb7841e41764"]}],"mendeley":{"formattedCitation":"[177,178]","plainTextFormattedCitation":"[177,178]","previouslyFormattedCitation":"[177,178]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[177,178]</w:t>
      </w:r>
      <w:r w:rsidRPr="00051297">
        <w:rPr>
          <w:rFonts w:cs="Times New Roman"/>
          <w:szCs w:val="24"/>
        </w:rPr>
        <w:fldChar w:fldCharType="end"/>
      </w:r>
      <w:r w:rsidRPr="00051297">
        <w:rPr>
          <w:rFonts w:cs="Times New Roman"/>
          <w:szCs w:val="24"/>
          <w:lang w:val="en-US"/>
        </w:rPr>
        <w:t>. Dam safety issues, which could result in an uncontrolled or catastrophic release of stored water, are a major source of concern.</w:t>
      </w:r>
    </w:p>
    <w:p w14:paraId="5D6E6E5F" w14:textId="5752AE44" w:rsidR="00051297" w:rsidRPr="00051297" w:rsidRDefault="00051297" w:rsidP="00051297">
      <w:pPr>
        <w:rPr>
          <w:rFonts w:cs="Times New Roman"/>
          <w:szCs w:val="24"/>
          <w:lang w:val="en-US"/>
        </w:rPr>
      </w:pPr>
      <w:r w:rsidRPr="00051297">
        <w:rPr>
          <w:rFonts w:cs="Times New Roman"/>
          <w:szCs w:val="24"/>
          <w:lang w:val="en-US"/>
        </w:rPr>
        <w:t xml:space="preserve">Dam engineers have a significant ethical responsibility to carry out their professional responsibilities in such a way that dams and reservoirs are designed, built, and operated most effectively and sustainably possible while also ensuring that new and existing dams are safe throughout their entire lifespan, from construction to decommissioning </w:t>
      </w:r>
      <w:r w:rsidRPr="00051297">
        <w:rPr>
          <w:rFonts w:cs="Times New Roman"/>
          <w:szCs w:val="24"/>
        </w:rPr>
        <w:fldChar w:fldCharType="begin" w:fldLock="1"/>
      </w:r>
      <w:r w:rsidR="00FA5896">
        <w:rPr>
          <w:rFonts w:cs="Times New Roman"/>
          <w:szCs w:val="24"/>
          <w:lang w:val="en-US"/>
        </w:rPr>
        <w:instrText>ADDIN CSL_CITATION {"citationItems":[{"id":"ITEM-1","itemData":{"DOI":"10.3390/infrastructures5050039","ISSN":"24123811","author":[{"dropping-particle":"","family":"Hariri-Ardebili","given":"Mohammad Amin","non-dropping-particle":"","parse-names":false,"suffix":""},{"dropping-particle":"","family":"Hariri-Ardebili","given":"Mohammad Amin","non-dropping-particle":"","parse-names":false,"suffix":""},{"dropping-particle":"","family":"Salamon","given":"Jerzy","non-dropping-particle":"","parse-names":false,"suffix":""},{"dropping-particle":"","family":"Mazza","given":"Guido","non-dropping-particle":"","parse-names":false,"suffix":""},{"dropping-particle":"","family":"Mazza","given":"Guido","non-dropping-particle":"","parse-names":false,"suffix":""},{"dropping-particle":"","family":"Tosun","given":"Hasan","non-dropping-particle":"","parse-names":false,"suffix":""},{"dropping-particle":"","family":"Tosun","given":"Hasan","non-dropping-particle":"","parse-names":false,"suffix":""},{"dropping-particle":"","family":"Xu","given":"Bin","non-dropping-particle":"","parse-names":false,"suffix":""}],"container-title":"Infrastructures","id":"ITEM-1","issued":{"date-parts":[["2020"]]},"title":"Advances in dam engineering","type":"article"},"uris":["http://www.mendeley.com/documents/?uuid=6bf37e53-388b-416f-914b-db44a2b161e0","http://www.mendeley.com/documents/?uuid=9c4fc7cf-12bd-4e3b-8624-c5e795062c38","http://www.mendeley.com/documents/?uuid=37405be2-46be-421c-a6a5-4fc0512a2da1"]}],"mendeley":{"formattedCitation":"[179]","plainTextFormattedCitation":"[179]","previouslyFormattedCitation":"[179]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[179]</w:t>
      </w:r>
      <w:r w:rsidRPr="00051297">
        <w:rPr>
          <w:rFonts w:cs="Times New Roman"/>
          <w:szCs w:val="24"/>
        </w:rPr>
        <w:fldChar w:fldCharType="end"/>
      </w:r>
      <w:r w:rsidRPr="00051297">
        <w:rPr>
          <w:rFonts w:cs="Times New Roman"/>
          <w:szCs w:val="24"/>
          <w:lang w:val="en-US"/>
        </w:rPr>
        <w:t>.</w:t>
      </w:r>
    </w:p>
    <w:p w14:paraId="708D16D7" w14:textId="77777777" w:rsidR="00051297" w:rsidRPr="00051297" w:rsidRDefault="00051297" w:rsidP="00051297">
      <w:pPr>
        <w:rPr>
          <w:rFonts w:cs="Times New Roman"/>
          <w:szCs w:val="24"/>
          <w:lang w:val="en-US"/>
        </w:rPr>
      </w:pPr>
      <w:bookmarkStart w:id="377" w:name="_Toc79511109"/>
      <w:r w:rsidRPr="00051297">
        <w:rPr>
          <w:rFonts w:cs="Times New Roman"/>
          <w:szCs w:val="24"/>
          <w:lang w:val="en-US"/>
        </w:rPr>
        <w:t>(a) International Commission on Large Dams (ICOLD) and Dam Safety</w:t>
      </w:r>
      <w:bookmarkEnd w:id="377"/>
    </w:p>
    <w:p w14:paraId="6FB21842" w14:textId="1BD6625B" w:rsidR="00051297" w:rsidRPr="00051297" w:rsidRDefault="00051297" w:rsidP="00051297">
      <w:pPr>
        <w:rPr>
          <w:rFonts w:cs="Times New Roman"/>
          <w:szCs w:val="24"/>
          <w:lang w:val="en-US"/>
        </w:rPr>
      </w:pPr>
      <w:r w:rsidRPr="00051297">
        <w:rPr>
          <w:rFonts w:cs="Times New Roman"/>
          <w:szCs w:val="24"/>
          <w:lang w:val="en-US"/>
        </w:rPr>
        <w:t xml:space="preserve">Dam safety has been one of the greatest organizational commitments of the International Commission on Large Dams (ICOLD) for more than a century, as stated in the ICOLD Mission statement: ICOLD is the industry leader in developing standards and recommendations to guarantee that dams are built and operated in a safe, efficient, and cost-effective manner that is both environmentally sustainable and socially equitable </w:t>
      </w:r>
      <w:r w:rsidRPr="00051297">
        <w:rPr>
          <w:rFonts w:cs="Times New Roman"/>
          <w:szCs w:val="24"/>
        </w:rPr>
        <w:fldChar w:fldCharType="begin" w:fldLock="1"/>
      </w:r>
      <w:r w:rsidR="00FA5896">
        <w:rPr>
          <w:rFonts w:cs="Times New Roman"/>
          <w:szCs w:val="24"/>
          <w:lang w:val="en-US"/>
        </w:rPr>
        <w:instrText>ADDIN CSL_CITATION {"citationItems":[{"id":"ITEM-1","itemData":{"ISSN":"00169714","abstract":"This paper observes an activity of the International Commission on Large Dams(ICOLD) and its Russian National Committee (RUSCOLD). On the territory of the former USSR there are six large dams with their heights more than 200 m. It is noted that there are no cases of Russian large dams damage because of their reliability and safety based on the application of the state standards and rules for building and design, the high level of hydraulic science, thorough engineering and geological prospecting during construction site choice and large scope of field observations and studies for construction, maintenance and hydraulic science purposes. In the paper there are given the descriptions of some large dams in Spain where the 60-th Executive Meeting of ICOLD was taken place.","author":[{"dropping-particle":"","family":"Semenov","given":"A. N.","non-dropping-particle":"","parse-names":false,"suffix":""}],"container-title":"Gidrotekhnicheskoe Stroitel'stvo","id":"ITEM-1","issued":{"date-parts":[["1993"]]},"title":"At the international commission on large dams","type":"article-journal"},"uris":["http://www.mendeley.com/documents/?uuid=087c36b3-8495-47e6-9d15-cd4417917e71","http://www.mendeley.com/documents/?uuid=d3cc0d6d-1882-4b40-b4f4-be24429ab488","http://www.mendeley.com/documents/?uuid=514cab1a-07f6-49b5-a0b2-cb8cf8a64f63"]}],"mendeley":{"formattedCitation":"[180]","plainTextFormattedCitation":"[180]","previouslyFormattedCitation":"[180]"},"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[180]</w:t>
      </w:r>
      <w:r w:rsidRPr="00051297">
        <w:rPr>
          <w:rFonts w:cs="Times New Roman"/>
          <w:szCs w:val="24"/>
        </w:rPr>
        <w:fldChar w:fldCharType="end"/>
      </w:r>
      <w:r w:rsidRPr="00051297">
        <w:rPr>
          <w:rFonts w:cs="Times New Roman"/>
          <w:szCs w:val="24"/>
          <w:lang w:val="en-US"/>
        </w:rPr>
        <w:t xml:space="preserve">. Prior to the establishment of ICOLD in 1928, there was a lack of understanding about dam safety, even though the need for water storage infrastructure was great and expanding. As a result, ICOLD made it a priority to share knowledge on dam design and operation based on experience within the global dam engineering community </w:t>
      </w:r>
      <w:r w:rsidRPr="00051297">
        <w:rPr>
          <w:rFonts w:cs="Times New Roman"/>
          <w:szCs w:val="24"/>
        </w:rPr>
        <w:fldChar w:fldCharType="begin" w:fldLock="1"/>
      </w:r>
      <w:r w:rsidR="00FA5896">
        <w:rPr>
          <w:rFonts w:cs="Times New Roman"/>
          <w:szCs w:val="24"/>
          <w:lang w:val="en-US"/>
        </w:rPr>
        <w:instrText>ADDIN CSL_CITATION {"citationItems":[{"id":"ITEM-1","itemData":{"DOI":"10.1038/160784c0","ISSN":"0028-0836","container-title":"Nature","id":"ITEM-1","issue":"4075","issued":{"date-parts":[["1947","12"]]},"page":"784-784","title":"International Commission on Large Dams","type":"article-journal","volume":"160"},"uris":["http://www.mendeley.com/documents/?uuid=b3eb8b4c-8b11-4f4a-ad04-281c8a756b89","http://www.mendeley.com/documents/?uuid=5be5561d-1f49-409a-8462-9c52a67a7008","http://www.mendeley.com/documents/?uuid=136bae27-0c7f-4c51-8bc2-598464398b29"]}],"mendeley":{"formattedCitation":"[181]","plainTextFormattedCitation":"[181]","previouslyFormattedCitation":"[181]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[181]</w:t>
      </w:r>
      <w:r w:rsidRPr="00051297">
        <w:rPr>
          <w:rFonts w:cs="Times New Roman"/>
          <w:szCs w:val="24"/>
        </w:rPr>
        <w:fldChar w:fldCharType="end"/>
      </w:r>
      <w:r w:rsidRPr="00051297">
        <w:rPr>
          <w:rFonts w:cs="Times New Roman"/>
          <w:szCs w:val="24"/>
          <w:lang w:val="en-US"/>
        </w:rPr>
        <w:t xml:space="preserve">. With this spread came a great emphasis on dam safety, which has continued into the present period. Through its efforts in collecting and evaluating the information </w:t>
      </w:r>
      <w:r w:rsidRPr="00051297">
        <w:rPr>
          <w:rFonts w:cs="Times New Roman"/>
          <w:szCs w:val="24"/>
          <w:lang w:val="en-US"/>
        </w:rPr>
        <w:lastRenderedPageBreak/>
        <w:t>on the lessons learned from past triumphs and failures, ICOLD has played a critical role in improving dam safety. Since its inception, ICOLD and its tens of thousands of professionals from member countries have worked to improve dam safety through the publication of scientific papers and the exchange of knowledge at Annual Meetings and Congresses.</w:t>
      </w:r>
    </w:p>
    <w:p w14:paraId="1E599A62" w14:textId="6F511BA5" w:rsidR="00051297" w:rsidRPr="00051297" w:rsidRDefault="00051297" w:rsidP="00051297">
      <w:pPr>
        <w:rPr>
          <w:rFonts w:cs="Times New Roman"/>
          <w:szCs w:val="24"/>
          <w:lang w:val="en-US"/>
        </w:rPr>
      </w:pPr>
      <w:r w:rsidRPr="00051297">
        <w:rPr>
          <w:rFonts w:cs="Times New Roman"/>
          <w:szCs w:val="24"/>
          <w:lang w:val="en-US"/>
        </w:rPr>
        <w:t xml:space="preserve">The Technical Committees of ICOLD produce Bulletins that outline the present state of the practice for publication. Since the founding of ICOLD, the number of dam failures has decreased dramatically in comparison to the total number of dams in operation, which is a positive achievement that shows ICOLD's global influence in strengthening dam design and management standards. Nonetheless, to keep the global trend toward safer dams going, persistent awareness and commitment to dam safety are still essential. Dam professionals are extremely concerned about any dam incident </w:t>
      </w:r>
      <w:r w:rsidRPr="00051297">
        <w:rPr>
          <w:rFonts w:cs="Times New Roman"/>
          <w:szCs w:val="24"/>
        </w:rPr>
        <w:fldChar w:fldCharType="begin" w:fldLock="1"/>
      </w:r>
      <w:r w:rsidR="00FA5896">
        <w:rPr>
          <w:rFonts w:cs="Times New Roman"/>
          <w:szCs w:val="24"/>
          <w:lang w:val="en-US"/>
        </w:rPr>
        <w:instrText>ADDIN CSL_CITATION {"citationItems":[{"id":"ITEM-1","itemData":{"DOI":"10.1016/j.conbuildmat.2018.11.143","ISSN":"09500618","abstract":"Studies on the diagnosis of pathologies of concrete dams are a valuable reference for professionals managing such assets. However, detailed information is rarely reported in the literature. This paper compiles the most important lessons learned during 30 years of practical experience in this area. The diagnostic procedure is illustrated through 4 of the most interesting dams analysed and monitored by the authors. All were subjected to a first stage that included inspection and analysis of historical documentation, leading to the proposal of a diagnose hypothesis. This was followed by a second stage that included an experimental programme with laboratory tests and, in some cases, numerical simulations to confirm or reject the hypothesis. The analysis of the information shows different pathologies and provide a wide spectrum of boundary conditions, symptoms and diagnoses (from internal sulphate attack and alkali-aggregate reaction to soil-structure interaction).","author":[{"dropping-particle":"","family":"Blanco","given":"A.","non-dropping-particle":"","parse-names":false,"suffix":""},{"dropping-particle":"","family":"Pardo-Bosch","given":"F.","non-dropping-particle":"","parse-names":false,"suffix":""},{"dropping-particle":"","family":"Cavalaro","given":"S.","non-dropping-particle":"","parse-names":false,"suffix":""},{"dropping-particle":"","family":"Aguado","given":"A.","non-dropping-particle":"","parse-names":false,"suffix":""}],"container-title":"Construction and Building Materials","id":"ITEM-1","issued":{"date-parts":[["2019","2"]]},"page":"356-368","title":"Lessons learned about the diagnosis of pathologies in concrete dams: 30 years of research and practice","type":"article-journal","volume":"197"},"uris":["http://www.mendeley.com/documents/?uuid=7ae5d19d-5c8d-46b5-85cc-ba082e0930f9","http://www.mendeley.com/documents/?uuid=64933b49-95e9-4d7a-a7a3-84d2d33d3e0a","http://www.mendeley.com/documents/?uuid=8b24a943-9347-4524-8581-653f8e21b7c6"]}],"mendeley":{"formattedCitation":"[182]","plainTextFormattedCitation":"[182]","previouslyFormattedCitation":"[182]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[182]</w:t>
      </w:r>
      <w:r w:rsidRPr="00051297">
        <w:rPr>
          <w:rFonts w:cs="Times New Roman"/>
          <w:szCs w:val="24"/>
        </w:rPr>
        <w:fldChar w:fldCharType="end"/>
      </w:r>
      <w:r w:rsidRPr="00051297">
        <w:rPr>
          <w:rFonts w:cs="Times New Roman"/>
          <w:szCs w:val="24"/>
          <w:lang w:val="en-US"/>
        </w:rPr>
        <w:t>.</w:t>
      </w:r>
    </w:p>
    <w:p w14:paraId="6E84658F" w14:textId="77777777" w:rsidR="00051297" w:rsidRPr="00051297" w:rsidRDefault="00051297" w:rsidP="00051297">
      <w:pPr>
        <w:rPr>
          <w:rFonts w:cs="Times New Roman"/>
          <w:szCs w:val="24"/>
          <w:lang w:val="en-US"/>
        </w:rPr>
      </w:pPr>
      <w:bookmarkStart w:id="378" w:name="_Toc79511110"/>
      <w:r w:rsidRPr="00051297">
        <w:rPr>
          <w:rFonts w:cs="Times New Roman"/>
          <w:szCs w:val="24"/>
          <w:lang w:val="en-US"/>
        </w:rPr>
        <w:t>(b) Changing Conditions of Dam Safety</w:t>
      </w:r>
      <w:bookmarkEnd w:id="378"/>
      <w:r w:rsidRPr="00051297">
        <w:rPr>
          <w:rFonts w:cs="Times New Roman"/>
          <w:szCs w:val="24"/>
          <w:lang w:val="en-US"/>
        </w:rPr>
        <w:t xml:space="preserve"> based on ICOLD </w:t>
      </w:r>
    </w:p>
    <w:p w14:paraId="6839157C" w14:textId="672785F4" w:rsidR="00051297" w:rsidRPr="00051297" w:rsidRDefault="00051297" w:rsidP="00051297">
      <w:pPr>
        <w:rPr>
          <w:rFonts w:cs="Times New Roman"/>
          <w:szCs w:val="24"/>
          <w:lang w:val="en-US"/>
        </w:rPr>
      </w:pPr>
      <w:r w:rsidRPr="00051297">
        <w:rPr>
          <w:rFonts w:cs="Times New Roman"/>
          <w:szCs w:val="24"/>
          <w:lang w:val="en-US"/>
        </w:rPr>
        <w:t xml:space="preserve">The overall number of dams worldwide continues to rise due to the critical need for water, food, energy, minerals, and flood control. Maintaining the current trend of lower dam failure rates is a never-ending problem for the industry. The importance of ICOLD's involvement in knowledge transfer and capacity building through the dissemination of best practices is undeniable </w:t>
      </w:r>
      <w:r w:rsidRPr="00051297">
        <w:rPr>
          <w:rFonts w:cs="Times New Roman"/>
          <w:szCs w:val="24"/>
        </w:rPr>
        <w:fldChar w:fldCharType="begin" w:fldLock="1"/>
      </w:r>
      <w:r w:rsidR="00FA5896">
        <w:rPr>
          <w:rFonts w:cs="Times New Roman"/>
          <w:szCs w:val="24"/>
          <w:lang w:val="en-US"/>
        </w:rPr>
        <w:instrText>ADDIN CSL_CITATION {"citationItems":[{"id":"ITEM-1","itemData":{"DOI":"10.1201/9781351033664","ISBN":"9781351033657","container-title":"ICOLD Dam Decommissioning - Guidelines","editor":[{"dropping-particle":"","family":"ICOLD","given":"CIGB","non-dropping-particle":"","parse-names":false,"suffix":""}],"id":"ITEM-1","issued":{"date-parts":[["2018","10"]]},"publisher":"CRC Press","title":"ICOLD Dam Decommissioning - Guidelines","type":"book"},"uris":["http://www.mendeley.com/documents/?uuid=447f10c8-6c75-4eb3-91db-6905d3d6a639","http://www.mendeley.com/documents/?uuid=654c986b-8ec2-42ff-99cb-fe4dd6f37118","http://www.mendeley.com/documents/?uuid=b297f75e-a8f8-4dff-bc1e-b8cf0083a30a"]},{"id":"ITEM-2","itemData":{"abstract":"Every second year, the Technical Committee A (Computational Aspects of Dam Analysis and Design) of ICOLD organizes an international benchmark workshop on numerical analysis of dams. The purpose is to share knowledge and experience regarding numerical modelling within the fields of dam safety, planning, design, construction as well as operation and maintenance of dams. The Terms of Reference for Committee A state; ”BenchmarkWorkshops are organised to compare numerical models between one another and/or with reference solutions, including the dissemination and publication of results”. The 14th ICOLD International Benchmark Workshop on Numerical Analysis of Dams was held from the 6th to the 8th September 2017 in Stockholm, the capital of Sweden. It was organized by the Local Organizing Committee, on behalf of the Swedish National Committee of ICOLD (SwedCold) and the ICOLD Technical Committee A. It was hosted by KTH Royal Institute of Technology, Sweden’s largest technical research and learning institution and one of Europe’s leading technical universities. With respect to hydropower and dam engineering, KTH has for many years been active within of the Swedish hydropower Center (SVC), a key centre for research and educational activities in Sweden. SwedCOLD established in 1931, and is one of the oldest members of the International Commission On Large Dams, ICOLD. The development of hydro power for electricity production was initiated in the late 19th century and made the large scale industrialisation in Sweden possible. About 2000 hydropower plants are in operation in Sweden today, producing almost half of the total electricity supply. Considering the many and relatively old dams in Sweden, organizing the benchmark workshop was important to increase the knowledge regarding managing aging hydropower structures. The 14th ICOLD International Benchmark Workshop has addressed current challenges regarding design and maintenance of existing dams and improved the understanding of these by exchange of experience on the use of numerical modelling for design, performance evaluation and safety assessment of dams. On behalf of the organizing committee, I would like to express my sincere appreciation to the formulators/moderators of each theme for their outstanding work to prepare the themes, reviewing the papers and evaluating the results. I also want to thank all participants to the benchmark workshop for their contributions and their presence to this benchmark workshop…","author":[{"dropping-particle":"","family":"Malm","given":"Richard","non-dropping-particle":"","parse-names":false,"suffix":""},{"dropping-particle":"","family":"Hassanzadeh","given":"Manouchehr","non-dropping-particle":"","parse-names":false,"suffix":""},{"dropping-particle":"","family":"Hellgren","given":"Rikard","non-dropping-particle":"","parse-names":false,"suffix":""}],"container-title":"14th ICOLD International Benchmark Workshop on Numerical Analysis of Dams","id":"ITEM-2","issued":{"date-parts":[["2018"]]},"title":"Proceedings of the 14th ICOLD International Benchmark Workshop on Numerical Analysis of Dams","type":"paper-conference"},"uris":["http://www.mendeley.com/documents/?uuid=17ed84f1-b1fa-4a80-bc14-6f24a6b7fb39","http://www.mendeley.com/documents/?uuid=67ed49e2-2b37-4ba0-b65b-e88b114a37ee","http://www.mendeley.com/documents/?uuid=685b0db6-15c1-4b00-8dbd-d68d91d07949"]}],"mendeley":{"formattedCitation":"[183,184]","plainTextFormattedCitation":"[183,184]","previouslyFormattedCitation":"[183,184]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[183,184]</w:t>
      </w:r>
      <w:r w:rsidRPr="00051297">
        <w:rPr>
          <w:rFonts w:cs="Times New Roman"/>
          <w:szCs w:val="24"/>
        </w:rPr>
        <w:fldChar w:fldCharType="end"/>
      </w:r>
      <w:r w:rsidRPr="00051297">
        <w:rPr>
          <w:rFonts w:cs="Times New Roman"/>
          <w:szCs w:val="24"/>
          <w:lang w:val="en-US"/>
        </w:rPr>
        <w:t xml:space="preserve">. With various shifting variables, science, technology, and human involvement in dam safety are always evolving </w:t>
      </w:r>
      <w:r w:rsidRPr="00051297">
        <w:rPr>
          <w:rFonts w:cs="Times New Roman"/>
          <w:szCs w:val="24"/>
        </w:rPr>
        <w:fldChar w:fldCharType="begin" w:fldLock="1"/>
      </w:r>
      <w:r w:rsidR="00FA5896">
        <w:rPr>
          <w:rFonts w:cs="Times New Roman"/>
          <w:szCs w:val="24"/>
          <w:lang w:val="en-US"/>
        </w:rPr>
        <w:instrText>ADDIN CSL_CITATION {"citationItems":[{"id":"ITEM-1","itemData":{"DOI":"10.33736/jcest.2615.2020","ISSN":"2462-1382","abstract":"This research paper explains the results of the prediction analysis of the number of lives lost in the event of a catastrophic dam collapse in Indonesia as a further consideration in assessing the level of risk of dam safety. The proposed procedure is to make a new prediction index of the number of lives lost (LoL) as the development of a risk index of evacuation requirements from Risk Affected Populations (PENRIS), on the Modified ICOLD Method which is always used in Indonesia. This study, resulting in a regression equation as a correlation between PENRIS and LoL, takes its source from various catastrophic dam collapse events that have occurred in the world including Indonesia. Furthermore the regression equation is integrated with the standard determination of the level of risk of dam safety used in Indonesia and the world, for conditions with and without a disaster early warning system based on the Graham formula (2010). Further analysis of the Emergency Action Plan (EAP or RTD) of 16 dams in Indonesia as a sample, gives an indication that the implementation of an early warning system will reduce the amount of LoL by almost 100% if implemented according to design. This research, with its focus on developing a prediction index for the number of LoL, proves that in Indonesia, where there are still many dams eventhough they already have RTDs, and have not conducted a disaster-based space arrangement based on predicted LoL numbers,the reduction in the value of dam security risks can only be optimal in the range of 50 % of the total dam studied.","author":[{"dropping-particle":"","family":"Henrianto","given":"A.","non-dropping-particle":"","parse-names":false,"suffix":""},{"dropping-particle":"","family":"Triweko","given":"R.W.","non-dropping-particle":"","parse-names":false,"suffix":""},{"dropping-particle":"","family":"Yudianto","given":"D.","non-dropping-particle":"","parse-names":false,"suffix":""}],"container-title":"Journal of Civil Engineering, Science and Technology","id":"ITEM-1","issued":{"date-parts":[["2020"]]},"title":"IMPROVING MODIFIED ICOLD METHOD WITH LOSS OF LIFE INDEX FOR DAM SAFETY RISK ASSESSMENT","type":"article-journal"},"uris":["http://www.mendeley.com/documents/?uuid=91b3c99a-c64b-4744-9da3-82ef34ae7894","http://www.mendeley.com/documents/?uuid=34f3f72c-b01a-4470-bc68-47fc7ee3a726","http://www.mendeley.com/documents/?uuid=d3e04fb2-fa2c-40ed-bf50-51bc5a93958c"]}],"mendeley":{"formattedCitation":"[185]","plainTextFormattedCitation":"[185]","previouslyFormattedCitation":"[185]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[185]</w:t>
      </w:r>
      <w:r w:rsidRPr="00051297">
        <w:rPr>
          <w:rFonts w:cs="Times New Roman"/>
          <w:szCs w:val="24"/>
        </w:rPr>
        <w:fldChar w:fldCharType="end"/>
      </w:r>
      <w:r w:rsidRPr="00051297">
        <w:rPr>
          <w:rFonts w:cs="Times New Roman"/>
          <w:szCs w:val="24"/>
          <w:lang w:val="en-US"/>
        </w:rPr>
        <w:t xml:space="preserve">: </w:t>
      </w:r>
    </w:p>
    <w:p w14:paraId="70FA1DAC" w14:textId="77777777" w:rsidR="00051297" w:rsidRPr="00051297" w:rsidRDefault="00051297" w:rsidP="00051297">
      <w:pPr>
        <w:numPr>
          <w:ilvl w:val="0"/>
          <w:numId w:val="27"/>
        </w:numPr>
        <w:tabs>
          <w:tab w:val="clear" w:pos="720"/>
          <w:tab w:val="num" w:pos="993"/>
        </w:tabs>
        <w:ind w:left="0" w:firstLine="709"/>
        <w:rPr>
          <w:rFonts w:cs="Times New Roman"/>
          <w:szCs w:val="24"/>
          <w:lang w:val="en-US"/>
        </w:rPr>
      </w:pPr>
      <w:r w:rsidRPr="00051297">
        <w:rPr>
          <w:rFonts w:cs="Times New Roman"/>
          <w:szCs w:val="24"/>
          <w:lang w:val="en-US"/>
        </w:rPr>
        <w:t xml:space="preserve">Existing infrastructure is deteriorating, raising new concerns about the durability of construction materials and equipment, as well as the sedimentation of reservoirs. </w:t>
      </w:r>
    </w:p>
    <w:p w14:paraId="46513157" w14:textId="77777777" w:rsidR="00051297" w:rsidRPr="00051297" w:rsidRDefault="00051297" w:rsidP="00051297">
      <w:pPr>
        <w:numPr>
          <w:ilvl w:val="0"/>
          <w:numId w:val="27"/>
        </w:numPr>
        <w:tabs>
          <w:tab w:val="clear" w:pos="720"/>
          <w:tab w:val="num" w:pos="993"/>
        </w:tabs>
        <w:ind w:left="0" w:firstLine="709"/>
        <w:rPr>
          <w:rFonts w:cs="Times New Roman"/>
          <w:szCs w:val="24"/>
          <w:lang w:val="en-US"/>
        </w:rPr>
      </w:pPr>
      <w:r w:rsidRPr="00051297">
        <w:rPr>
          <w:rFonts w:cs="Times New Roman"/>
          <w:szCs w:val="24"/>
          <w:lang w:val="en-US"/>
        </w:rPr>
        <w:t xml:space="preserve">Some countries participating in dam construction lack experience in dam safety management and operations, necessitating the need for capacity building. </w:t>
      </w:r>
    </w:p>
    <w:p w14:paraId="33DEB923" w14:textId="77777777" w:rsidR="00051297" w:rsidRPr="00051297" w:rsidRDefault="00051297" w:rsidP="00051297">
      <w:pPr>
        <w:numPr>
          <w:ilvl w:val="0"/>
          <w:numId w:val="27"/>
        </w:numPr>
        <w:tabs>
          <w:tab w:val="clear" w:pos="720"/>
          <w:tab w:val="num" w:pos="993"/>
        </w:tabs>
        <w:ind w:left="0" w:firstLine="709"/>
        <w:rPr>
          <w:rFonts w:cs="Times New Roman"/>
          <w:szCs w:val="24"/>
          <w:lang w:val="en-US"/>
        </w:rPr>
      </w:pPr>
      <w:r w:rsidRPr="00051297">
        <w:rPr>
          <w:rFonts w:cs="Times New Roman"/>
          <w:szCs w:val="24"/>
          <w:lang w:val="en-US"/>
        </w:rPr>
        <w:t xml:space="preserve">In all countries, experienced personnel are retiring, resulting in a shortage of qualified engineers trained in dam design. As the private sector becomes more involved in dam development, cost and schedule pressures on developers, designers, contractors, and operators increase, and new governance conditions for dam safety are required. </w:t>
      </w:r>
    </w:p>
    <w:p w14:paraId="02714817" w14:textId="77777777" w:rsidR="00051297" w:rsidRPr="00051297" w:rsidRDefault="00051297" w:rsidP="00051297">
      <w:pPr>
        <w:numPr>
          <w:ilvl w:val="0"/>
          <w:numId w:val="27"/>
        </w:numPr>
        <w:tabs>
          <w:tab w:val="clear" w:pos="720"/>
          <w:tab w:val="num" w:pos="993"/>
        </w:tabs>
        <w:ind w:left="0" w:firstLine="709"/>
        <w:rPr>
          <w:rFonts w:cs="Times New Roman"/>
          <w:szCs w:val="24"/>
          <w:lang w:val="en-US"/>
        </w:rPr>
      </w:pPr>
      <w:r w:rsidRPr="00051297">
        <w:rPr>
          <w:rFonts w:cs="Times New Roman"/>
          <w:szCs w:val="24"/>
          <w:lang w:val="en-US"/>
        </w:rPr>
        <w:t>Extreme precipitation and drought occurrences are changing as a result of climate change, increasing hydrological risks. Climate change must be taken into account when planning and managing dams, including robust design and adaptive reservoir operation. This necessitates the raising of dams, the expansion of spillway capacity, the modification of reservoir operation techniques, and/or the construction of additional dams in some areas. As part of the planning, design, and operating phases, other climate-related hazards may need to be assessed and addressed.</w:t>
      </w:r>
    </w:p>
    <w:p w14:paraId="4EE73BB3" w14:textId="28AFF1E4" w:rsidR="00051297" w:rsidRPr="00051297" w:rsidRDefault="00051297" w:rsidP="00051297">
      <w:pPr>
        <w:rPr>
          <w:rFonts w:cs="Times New Roman"/>
          <w:szCs w:val="24"/>
          <w:lang w:val="en-US"/>
        </w:rPr>
      </w:pPr>
      <w:r w:rsidRPr="00051297">
        <w:rPr>
          <w:rFonts w:cs="Times New Roman"/>
          <w:szCs w:val="24"/>
          <w:lang w:val="en-US"/>
        </w:rPr>
        <w:t xml:space="preserve">Because the best dam sites have been taken, new dams must be erected in increasingly difficult areas, especially in terms of geological characteristics. Dam regulatory authority can be significantly impacted by changes in local, regional, and national governance </w:t>
      </w:r>
      <w:r w:rsidRPr="00051297">
        <w:rPr>
          <w:rFonts w:cs="Times New Roman"/>
          <w:szCs w:val="24"/>
        </w:rPr>
        <w:fldChar w:fldCharType="begin" w:fldLock="1"/>
      </w:r>
      <w:r w:rsidR="00FA5896">
        <w:rPr>
          <w:rFonts w:cs="Times New Roman"/>
          <w:szCs w:val="24"/>
          <w:lang w:val="en-US"/>
        </w:rPr>
        <w:instrText>ADDIN CSL_CITATION {"citationItems":[{"id":"ITEM-1","itemData":{"DOI":"10.1080/13241583.2020.1733743","ISSN":"13241583","abstract":"There has been a resurgence of interest in the construction of large dams worldwide. This study examined many dams from around the world (&gt;10,000) and compared them to a comprehensive dataset developed for Australia (224) to provide insights that might otherwise not be apparent from examining just one or several dams. The dam datasets (ICOLD and ANCOLD) largely confirm existing narratives on Australian dam construction. Compared to dams from Rest of the World (RoW), Australian dams were found to: have larger reservoir capacities and spillway capacities for a given catchment area; have higher dam walls for a given capacity; and result in higher degrees of river regulation. A range of general relationships among reservoir capacities, reservoir surface areas, and catchment areas are presented which can be used in reconnaissance or pre-feasibility studies and for global hydrologic modelling when dam and reservoir information are required as input.","author":[{"dropping-particle":"","family":"McMahon","given":"T. A.","non-dropping-particle":"","parse-names":false,"suffix":""},{"dropping-particle":"","family":"Petheram","given":"C.","non-dropping-particle":"","parse-names":false,"suffix":""}],"container-title":"Australian Journal of Water Resources","id":"ITEM-1","issued":{"date-parts":[["2020"]]},"title":"Australian dams and reservoirs within a global setting","type":"article-journal"},"uris":["http://www.mendeley.com/documents/?uuid=17ad4588-7aa3-40cc-b87d-ebc959d61247","http://www.mendeley.com/documents/?uuid=d298c64e-7201-4000-9eec-7be36eb1d2d5","http://www.mendeley.com/documents/?uuid=3ecffb96-9678-404c-ad1c-f15c97c25f56"]}],"mendeley":{"formattedCitation":"[186]","plainTextFormattedCitation":"[186]","previouslyFormattedCitation":"[186]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[186]</w:t>
      </w:r>
      <w:r w:rsidRPr="00051297">
        <w:rPr>
          <w:rFonts w:cs="Times New Roman"/>
          <w:szCs w:val="24"/>
        </w:rPr>
        <w:fldChar w:fldCharType="end"/>
      </w:r>
      <w:r w:rsidRPr="00051297">
        <w:rPr>
          <w:rFonts w:cs="Times New Roman"/>
          <w:szCs w:val="24"/>
          <w:lang w:val="en-US"/>
        </w:rPr>
        <w:t xml:space="preserve">. As a </w:t>
      </w:r>
      <w:r w:rsidRPr="00051297">
        <w:rPr>
          <w:rFonts w:cs="Times New Roman"/>
          <w:szCs w:val="24"/>
          <w:lang w:val="en-US"/>
        </w:rPr>
        <w:lastRenderedPageBreak/>
        <w:t xml:space="preserve">recognized international organization of professionals in dam engineering, ICOLD urges governments and financial institutions to raise public awareness about dam safety </w:t>
      </w:r>
      <w:r w:rsidRPr="00051297">
        <w:rPr>
          <w:rFonts w:cs="Times New Roman"/>
          <w:szCs w:val="24"/>
        </w:rPr>
        <w:fldChar w:fldCharType="begin" w:fldLock="1"/>
      </w:r>
      <w:r w:rsidR="00FA5896">
        <w:rPr>
          <w:rFonts w:cs="Times New Roman"/>
          <w:szCs w:val="24"/>
          <w:lang w:val="en-US"/>
        </w:rPr>
        <w:instrText>ADDIN CSL_CITATION {"citationItems":[{"id":"ITEM-1","itemData":{"DOI":"10.1201/9781351035941-8","container-title":"Position Paper Dam Safety and Earthquakes (2017–2020)","id":"ITEM-1","issued":{"date-parts":[["2021","5"]]},"page":"8-8","publisher":"CRC Press","title":"The Role of ICOLD","type":"chapter"},"uris":["http://www.mendeley.com/documents/?uuid=0960f8d7-dd32-4d5e-80cb-3128405c295f","http://www.mendeley.com/documents/?uuid=2168a2da-ddc8-43b2-90ae-a1b0e188603d"]}],"mendeley":{"formattedCitation":"[187]","plainTextFormattedCitation":"[187]","previouslyFormattedCitation":"[187]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[187]</w:t>
      </w:r>
      <w:r w:rsidRPr="00051297">
        <w:rPr>
          <w:rFonts w:cs="Times New Roman"/>
          <w:szCs w:val="24"/>
        </w:rPr>
        <w:fldChar w:fldCharType="end"/>
      </w:r>
      <w:r w:rsidRPr="00051297">
        <w:rPr>
          <w:rFonts w:cs="Times New Roman"/>
          <w:szCs w:val="24"/>
          <w:lang w:val="en-US"/>
        </w:rPr>
        <w:t xml:space="preserve">. The purpose of this ICOLD World Declaration on Dam Safety is to reaffirm what has been learned about dam safety over time </w:t>
      </w:r>
      <w:r w:rsidRPr="00051297">
        <w:rPr>
          <w:rFonts w:cs="Times New Roman"/>
          <w:szCs w:val="24"/>
        </w:rPr>
        <w:fldChar w:fldCharType="begin" w:fldLock="1"/>
      </w:r>
      <w:r w:rsidR="00FA5896">
        <w:rPr>
          <w:rFonts w:cs="Times New Roman"/>
          <w:szCs w:val="24"/>
          <w:lang w:val="en-US"/>
        </w:rPr>
        <w:instrText>ADDIN CSL_CITATION {"citationItems":[{"id":"ITEM-1","itemData":{"DOI":"10.1007/s35147-019-0084-9","ISSN":"0043-0978","author":[{"dropping-particle":"","family":"Ortega","given":"Francisco","non-dropping-particle":"","parse-names":false,"suffix":""}],"container-title":"WASSERWIRTSCHAFT","id":"ITEM-1","issue":"5","issued":{"date-parts":[["2019","5"]]},"page":"166-169","title":"The new ICOLD Bulletin on RCC Dams","type":"article-journal","volume":"109"},"uris":["http://www.mendeley.com/documents/?uuid=dc9ea0dc-2e36-44f6-8a7c-571e973c32ef","http://www.mendeley.com/documents/?uuid=d2409424-a92a-4382-a627-362684bd07f0"]}],"mendeley":{"formattedCitation":"[188]","plainTextFormattedCitation":"[188]","previouslyFormattedCitation":"[188]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[188]</w:t>
      </w:r>
      <w:r w:rsidRPr="00051297">
        <w:rPr>
          <w:rFonts w:cs="Times New Roman"/>
          <w:szCs w:val="24"/>
        </w:rPr>
        <w:fldChar w:fldCharType="end"/>
      </w:r>
      <w:r w:rsidRPr="00051297">
        <w:rPr>
          <w:rFonts w:cs="Times New Roman"/>
          <w:szCs w:val="24"/>
          <w:lang w:val="en-US"/>
        </w:rPr>
        <w:t xml:space="preserve">. Furthermore, all parties involved should be reminded that it is their responsibility to guarantee that these fundamentals are followed in order to reduce the dangers connected with dams and reservoirs </w:t>
      </w:r>
      <w:r w:rsidRPr="00051297">
        <w:rPr>
          <w:rFonts w:cs="Times New Roman"/>
          <w:szCs w:val="24"/>
        </w:rPr>
        <w:fldChar w:fldCharType="begin" w:fldLock="1"/>
      </w:r>
      <w:r w:rsidR="00FA5896">
        <w:rPr>
          <w:rFonts w:cs="Times New Roman"/>
          <w:szCs w:val="24"/>
          <w:lang w:val="en-US"/>
        </w:rPr>
        <w:instrText>ADDIN CSL_CITATION {"citationItems":[{"id":"ITEM-1","itemData":{"DOI":"10.1680/jdare.20.00018","ISSN":"1368-1494","abstract":"The Canadian Dam Association hosted the International Commission on Large Dams' (ICOLD) (2019) annual meeting. This paper collates updates on the ICOLD technical committees provided by the UK representatives along with updates on general ICOLD business as discussed at the general assembly meeting. Please note this report was prepared prior to the postponement of the Delhi 2020 ICOLD annual conference.","author":[{"dropping-particle":"","family":"Loughrey","given":"Sarah","non-dropping-particle":"","parse-names":false,"suffix":""}],"container-title":"Dams and Reservoirs","id":"ITEM-1","issue":"3","issued":{"date-parts":[["2020","9"]]},"page":"105-113","title":"UK participation at ICOLD 2019, Ottawa, Canada","type":"article-journal","volume":"30"},"uris":["http://www.mendeley.com/documents/?uuid=03f6d694-0282-414d-af87-0c0dcb8b5bb8","http://www.mendeley.com/documents/?uuid=728107d6-389c-4e4c-b265-80539cb9005f","http://www.mendeley.com/documents/?uuid=d25edb45-4dfe-421e-bbb6-2360980e89a3"]},{"id":"ITEM-2","itemData":{"DOI":"10.1007/s41062-017-0089-0","ISSN":"2364-4176","abstract":"The paper presents the contents of the latest bulletin published by the International Commission on Large Dams (ICOLD) on the subject of geomembranes as sealing systems for dams. Bulletin 135, published in 2010, is an updating and expansion of ICOLD Bulletins 38, published in 1981, and 78, published in 1991. Bulletin 135 has been prepared, under the aegis of the ICOLD Committee on Materials for Fill Dams, by the ad-hoc European Working Group for geomembranes and geosynthetics as facing materials, composed by experts from nine European countries, with external contribution from USA. Different competences were covered by the group, which included geomembrane scientists, dam designers, geomembrane systems designers, dam owners, and geomembrane specialist contractors. The bulletin is composed of 9 chapters, in total 464 pages for the English and the French versions. The paper outlines the history of the constitution of the working group, the preparation of the database on geomembrane systems in dams all over the world, discusses the topics covered by each chapter, and gives some statistics based on the database. Some case histories mentioned in the Bulletin, and recent developments, are also presented.","author":[{"dropping-particle":"","family":"Scuero","given":"Alberto","non-dropping-particle":"","parse-names":false,"suffix":""},{"dropping-particle":"","family":"Vaschetti","given":"Gabriella","non-dropping-particle":"","parse-names":false,"suffix":""}],"container-title":"Innovative Infrastructure Solutions","id":"ITEM-2","issue":"1","issued":{"date-parts":[["2017","12"]]},"page":"29","title":"Geomembrane sealing systems for dams: ICOLD Bulletin 135","type":"article-journal","volume":"2"},"uris":["http://www.mendeley.com/documents/?uuid=fda115ba-c9a3-49d9-bdee-b2dfba160d57","http://www.mendeley.com/documents/?uuid=c4e4597d-242b-4f50-9022-7d14356473d0","http://www.mendeley.com/documents/?uuid=b8dfcdf1-802a-445e-89df-91902a40e48f"]}],"mendeley":{"formattedCitation":"[189,190]","plainTextFormattedCitation":"[189,190]","previouslyFormattedCitation":"[189,190]"},"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[189,190]</w:t>
      </w:r>
      <w:r w:rsidRPr="00051297">
        <w:rPr>
          <w:rFonts w:cs="Times New Roman"/>
          <w:szCs w:val="24"/>
        </w:rPr>
        <w:fldChar w:fldCharType="end"/>
      </w:r>
      <w:r w:rsidRPr="00051297">
        <w:rPr>
          <w:rFonts w:cs="Times New Roman"/>
          <w:szCs w:val="24"/>
          <w:lang w:val="en-US"/>
        </w:rPr>
        <w:t>.</w:t>
      </w:r>
    </w:p>
    <w:p w14:paraId="17EA155A" w14:textId="77777777" w:rsidR="00051297" w:rsidRPr="00051297" w:rsidRDefault="00051297" w:rsidP="00051297">
      <w:pPr>
        <w:rPr>
          <w:rFonts w:cs="Times New Roman"/>
          <w:szCs w:val="24"/>
          <w:lang w:val="en-US"/>
        </w:rPr>
      </w:pPr>
      <w:bookmarkStart w:id="379" w:name="_Toc79511111"/>
      <w:r w:rsidRPr="00051297">
        <w:rPr>
          <w:rFonts w:cs="Times New Roman"/>
          <w:szCs w:val="24"/>
          <w:lang w:val="en-US"/>
        </w:rPr>
        <w:t>(c) Pillars of Dam Safety</w:t>
      </w:r>
      <w:bookmarkEnd w:id="379"/>
    </w:p>
    <w:p w14:paraId="0A41E794" w14:textId="3CDDC24E" w:rsidR="00051297" w:rsidRPr="00051297" w:rsidRDefault="00051297" w:rsidP="00051297">
      <w:pPr>
        <w:rPr>
          <w:rFonts w:cs="Times New Roman"/>
          <w:szCs w:val="24"/>
          <w:lang w:val="en-US"/>
        </w:rPr>
      </w:pPr>
      <w:r w:rsidRPr="00051297">
        <w:rPr>
          <w:rFonts w:cs="Times New Roman"/>
          <w:szCs w:val="24"/>
          <w:lang w:val="en-US"/>
        </w:rPr>
        <w:t xml:space="preserve">ICOLD acknowledges a number of overarching pillars of dam safety based on nearly a century of commitment to dam safety and the realization that there is no such thing as zero risk </w:t>
      </w:r>
      <w:r w:rsidRPr="00051297">
        <w:rPr>
          <w:rFonts w:cs="Times New Roman"/>
          <w:szCs w:val="24"/>
        </w:rPr>
        <w:fldChar w:fldCharType="begin" w:fldLock="1"/>
      </w:r>
      <w:r w:rsidR="00FA5896">
        <w:rPr>
          <w:rFonts w:cs="Times New Roman"/>
          <w:szCs w:val="24"/>
          <w:lang w:val="en-US"/>
        </w:rPr>
        <w:instrText>ADDIN CSL_CITATION {"citationItems":[{"id":"ITEM-1","itemData":{"DOI":"10.1080/13669877.2018.1501595","ISSN":"14664461","abstract":"The construction and operation of hydroelectric power plants threatens the safety of downstream communities, most often owing to structural failures and equipment damage. Hundreds of new hydroelectric reservoirs have been proposed for the Amazon region, which could have serious socio-environmental impacts on indigenous and riverside communities. The objective of this study is to contribute to the discussion on dam safety in hydroelectric power plants, focusing on risk governance, and specifically the configuration of social involvement in participatory decision-making. Data were selected from three main groups: technical documents (reports and manuals), legal-normative documents (legislation and normative resolution), and scientific manuscripts, using the methodological technique of discourse analysis. The study has two primary focuses: (1) a theoretical conceptual framework that guides discussions on the risks associated with dams; and (2) the challenges associated with the risk governance of hydroelectric power plants in the Amazon. For hydroelectric power plants in the Amazon, particularly with regard to risk, there is limited space for dialog between dam developers and social groups. This generates risk governance deficits, limiting the participation of social actors in discussions on dam safety. It is important to ensure the involvement of society in the evaluation, mitigation, and communication of risks related to dam safety.","author":[{"dropping-particle":"","family":"Furtado Louzada","given":"Aline","non-dropping-particle":"","parse-names":false,"suffix":""},{"dropping-particle":"","family":"Ravena","given":"Nírvia","non-dropping-particle":"","parse-names":false,"suffix":""}],"container-title":"Journal of Risk Research","id":"ITEM-1","issued":{"date-parts":[["2019"]]},"title":"Dam safety and risk governance for hydroelectric power plants in the Amazon","type":"article-journal"},"uris":["http://www.mendeley.com/documents/?uuid=aa3a3793-4ac5-41a2-b0f0-d352fd01047e","http://www.mendeley.com/documents/?uuid=6b7f6f13-de33-4aeb-b8e7-1c1f7bfd3d34","http://www.mendeley.com/documents/?uuid=51e12846-2806-4b34-b513-50c0194ccbd0"]}],"mendeley":{"formattedCitation":"[191]","plainTextFormattedCitation":"[191]","previouslyFormattedCitation":"[191]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[191]</w:t>
      </w:r>
      <w:r w:rsidRPr="00051297">
        <w:rPr>
          <w:rFonts w:cs="Times New Roman"/>
          <w:szCs w:val="24"/>
        </w:rPr>
        <w:fldChar w:fldCharType="end"/>
      </w:r>
      <w:r w:rsidRPr="00051297">
        <w:rPr>
          <w:rFonts w:cs="Times New Roman"/>
          <w:szCs w:val="24"/>
          <w:lang w:val="en-US"/>
        </w:rPr>
        <w:t>.</w:t>
      </w:r>
    </w:p>
    <w:p w14:paraId="1D5DCFFD" w14:textId="77777777" w:rsidR="00051297" w:rsidRPr="00051297" w:rsidRDefault="00051297" w:rsidP="00051297">
      <w:pPr>
        <w:numPr>
          <w:ilvl w:val="0"/>
          <w:numId w:val="14"/>
        </w:numPr>
        <w:tabs>
          <w:tab w:val="left" w:pos="993"/>
        </w:tabs>
        <w:ind w:left="0" w:firstLine="709"/>
        <w:rPr>
          <w:rFonts w:cs="Times New Roman"/>
          <w:szCs w:val="24"/>
          <w:lang w:val="en-US"/>
        </w:rPr>
      </w:pPr>
      <w:r w:rsidRPr="00051297">
        <w:rPr>
          <w:rFonts w:cs="Times New Roman"/>
          <w:szCs w:val="24"/>
          <w:lang w:val="en-US"/>
        </w:rPr>
        <w:t xml:space="preserve">Dam safety is dependent on the structural integrity of dams. </w:t>
      </w:r>
    </w:p>
    <w:p w14:paraId="3300F1BB" w14:textId="77777777" w:rsidR="00051297" w:rsidRPr="00051297" w:rsidRDefault="00051297" w:rsidP="00051297">
      <w:pPr>
        <w:tabs>
          <w:tab w:val="left" w:pos="993"/>
        </w:tabs>
        <w:rPr>
          <w:rFonts w:cs="Times New Roman"/>
          <w:b/>
          <w:bCs/>
          <w:szCs w:val="24"/>
          <w:lang w:val="en-US"/>
        </w:rPr>
      </w:pPr>
      <w:r w:rsidRPr="00051297">
        <w:rPr>
          <w:rFonts w:cs="Times New Roman"/>
          <w:szCs w:val="24"/>
          <w:lang w:val="en-US"/>
        </w:rPr>
        <w:t>ICOLD bulletins have largely recorded best current practices in dam design and performance during hazardous events such as extreme floods and earthquakes, establishing a strong foundation on which existing and future dam structures should be designed, built, and operated in safe conditions.</w:t>
      </w:r>
    </w:p>
    <w:p w14:paraId="46465E16" w14:textId="77777777" w:rsidR="00051297" w:rsidRPr="00051297" w:rsidRDefault="00051297" w:rsidP="00051297">
      <w:pPr>
        <w:numPr>
          <w:ilvl w:val="0"/>
          <w:numId w:val="14"/>
        </w:numPr>
        <w:tabs>
          <w:tab w:val="left" w:pos="993"/>
        </w:tabs>
        <w:ind w:left="0" w:firstLine="709"/>
        <w:rPr>
          <w:rFonts w:cs="Times New Roman"/>
          <w:szCs w:val="24"/>
          <w:lang w:val="en-US"/>
        </w:rPr>
      </w:pPr>
      <w:r w:rsidRPr="00051297">
        <w:rPr>
          <w:rFonts w:cs="Times New Roman"/>
          <w:szCs w:val="24"/>
          <w:lang w:val="en-US"/>
        </w:rPr>
        <w:t>For early detection, a routine surveillance and maintenance program is required.</w:t>
      </w:r>
    </w:p>
    <w:p w14:paraId="149452F4" w14:textId="046C5638" w:rsidR="00051297" w:rsidRPr="00051297" w:rsidRDefault="00051297" w:rsidP="00051297">
      <w:pPr>
        <w:rPr>
          <w:rFonts w:cs="Times New Roman"/>
          <w:szCs w:val="24"/>
        </w:rPr>
      </w:pPr>
      <w:r w:rsidRPr="00051297">
        <w:rPr>
          <w:rFonts w:cs="Times New Roman"/>
          <w:szCs w:val="24"/>
          <w:lang w:val="en-US"/>
        </w:rPr>
        <w:t xml:space="preserve">Inspection and maintenance are critical to reducing risk and ensuring dam safety in the long run. Periodic safety reviews by skilled engineers with extensive experience in dam safety evaluation are required. Dam monitoring should be based on the operator's self-supervision as well as periodic external safety inspections by a recognized authority or institution. Throughout the life of a dam, an instrumentation and monitoring program is required </w:t>
      </w:r>
      <w:r w:rsidRPr="00051297">
        <w:rPr>
          <w:rFonts w:cs="Times New Roman"/>
          <w:szCs w:val="24"/>
        </w:rPr>
        <w:fldChar w:fldCharType="begin" w:fldLock="1"/>
      </w:r>
      <w:r w:rsidR="00FA5896">
        <w:rPr>
          <w:rFonts w:cs="Times New Roman"/>
          <w:szCs w:val="24"/>
          <w:lang w:val="en-US"/>
        </w:rPr>
        <w:instrText>ADDIN CSL_CITATION {"citationItems":[{"id":"ITEM-1","itemData":{"abstract":"FERC's Engineering Guidelines address Surveillance and Monitoring Programs (SMP) and other tools such as the Potential Failure Mode Analysis that can enhance dam safety. With the trend to replace personnel with equipment monitoring, the potential for a \"weak link\" failure increases. The questions are: 1) How do you know a significant \"change\" occurs and can it be mitigated? 2) Are there redundant or parallel SMP mechanisms? and 3) Does the SMP reflect the intent of the project's original design and subsequent modifications? The answers to these questions may seem simple, but the complex interaction of human, electrical, mechanical and telemetry factors can leave many openings for potential failures. Too often, the SMP or components of it simply reflect reactions to specific incidents. Potential failure mode analysis, and related analyses such as fault tree analysis, helps project owners avoid this pitfall. When a potential failure mode is identified, the questions are \"what are the consequences?\" and \"what is the best way to mitigate it?\" Subsequent investigations often include more detailed analysis and evaluations such as a fault tree analysis. A fault tree analysis looks at a potential failure in terms of the events and conditions that make that failure possible. Experience and investigations to determine weak links in electrical, mechanical and other component monitoring can and should be a proactive approach to dam safety. This paper offers examples from hydro projects ranging in age from the early 1900s to the 1950s, hydraulic heads of 50 to 1000 feet, and flows from a few to thousands of cfs. The examples discuss lessons learned about many aspects of identifying and mitigating potential failures, including the following: 1) human error; 2) reliability of equipment, including telemetry; 3) rapid shutdown that can rupture a conduit; 4) multiple and single alarms; 5) remote and on-site monitoring; 6) routine testing and maintenance of equipment; 7) operator training and 8) fault tree analysis.","author":[{"dropping-particle":"","family":"Rudolph","given":"Richard M.","non-dropping-particle":"","parse-names":false,"suffix":""},{"dropping-particle":"","family":"Hughes","given":"Alfred J.","non-dropping-particle":"","parse-names":false,"suffix":""}],"container-title":"Association of State Dam Safety Officials - Dam Safety 2006, Proceedings from the 2006 Annual Conference","id":"ITEM-1","issued":{"date-parts":[["2006"]]},"title":"Do you really know your Surveillance and Monitoring Program?","type":"paper-conference"},"uris":["http://www.mendeley.com/documents/?uuid=f00f342d-2a52-4db6-b1a0-70c8d5d051ee","http://www.mendeley.com/documents/?uuid=5de4a026-6be4-43e3-b75c-d5d49d5b36b3","http://www.mendeley.com/documents/?uuid=b75c9074-3528-4ae8-a837-ed51c790c0da"]}],"mendeley":{"formattedCitation":"[192]","plainTextFormattedCitation":"[192]","previouslyFormattedCitation":"[192]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[192]</w:t>
      </w:r>
      <w:r w:rsidRPr="00051297">
        <w:rPr>
          <w:rFonts w:cs="Times New Roman"/>
          <w:szCs w:val="24"/>
        </w:rPr>
        <w:fldChar w:fldCharType="end"/>
      </w:r>
      <w:r w:rsidRPr="00051297">
        <w:rPr>
          <w:rFonts w:cs="Times New Roman"/>
          <w:szCs w:val="24"/>
        </w:rPr>
        <w:t>.</w:t>
      </w:r>
    </w:p>
    <w:p w14:paraId="193F0FC4" w14:textId="77777777" w:rsidR="00051297" w:rsidRPr="00051297" w:rsidRDefault="00051297" w:rsidP="00051297">
      <w:pPr>
        <w:numPr>
          <w:ilvl w:val="0"/>
          <w:numId w:val="14"/>
        </w:numPr>
        <w:tabs>
          <w:tab w:val="left" w:pos="993"/>
        </w:tabs>
        <w:ind w:left="0" w:firstLine="709"/>
        <w:rPr>
          <w:rFonts w:cs="Times New Roman"/>
          <w:szCs w:val="24"/>
          <w:lang w:val="en-US"/>
        </w:rPr>
      </w:pPr>
      <w:r w:rsidRPr="00051297">
        <w:rPr>
          <w:rFonts w:cs="Times New Roman"/>
          <w:szCs w:val="24"/>
          <w:lang w:val="en-US"/>
        </w:rPr>
        <w:t xml:space="preserve">Throughout the life of a dam, an instrumentation and monitoring program is required. </w:t>
      </w:r>
    </w:p>
    <w:p w14:paraId="234CA3BA" w14:textId="77777777" w:rsidR="00051297" w:rsidRPr="00051297" w:rsidRDefault="00051297" w:rsidP="00051297">
      <w:pPr>
        <w:tabs>
          <w:tab w:val="left" w:pos="993"/>
        </w:tabs>
        <w:rPr>
          <w:rFonts w:cs="Times New Roman"/>
          <w:szCs w:val="24"/>
          <w:lang w:val="en-US"/>
        </w:rPr>
      </w:pPr>
      <w:r w:rsidRPr="00051297">
        <w:rPr>
          <w:rFonts w:cs="Times New Roman"/>
          <w:szCs w:val="24"/>
          <w:lang w:val="en-US"/>
        </w:rPr>
        <w:t xml:space="preserve">It is required to implement a comprehensive dam monitoring program in order to: </w:t>
      </w:r>
    </w:p>
    <w:p w14:paraId="4E31E206" w14:textId="39D9C4FA" w:rsidR="00051297" w:rsidRPr="00051297" w:rsidRDefault="00051297" w:rsidP="00051297">
      <w:pPr>
        <w:numPr>
          <w:ilvl w:val="0"/>
          <w:numId w:val="28"/>
        </w:numPr>
        <w:tabs>
          <w:tab w:val="left" w:pos="993"/>
        </w:tabs>
        <w:ind w:left="0" w:firstLine="709"/>
        <w:rPr>
          <w:rFonts w:cs="Times New Roman"/>
          <w:szCs w:val="24"/>
          <w:lang w:val="en-US"/>
        </w:rPr>
      </w:pPr>
      <w:r w:rsidRPr="00051297">
        <w:rPr>
          <w:rFonts w:cs="Times New Roman"/>
          <w:szCs w:val="24"/>
          <w:lang w:val="en-US"/>
        </w:rPr>
        <w:t>Determine how people will act during construction</w:t>
      </w:r>
      <w:r w:rsidR="007350F9">
        <w:rPr>
          <w:rFonts w:cs="Times New Roman"/>
          <w:szCs w:val="24"/>
          <w:lang w:val="en-US"/>
        </w:rPr>
        <w:t>.</w:t>
      </w:r>
    </w:p>
    <w:p w14:paraId="6AB8D6A5" w14:textId="7F95C278" w:rsidR="00051297" w:rsidRPr="00051297" w:rsidRDefault="00051297" w:rsidP="00051297">
      <w:pPr>
        <w:numPr>
          <w:ilvl w:val="0"/>
          <w:numId w:val="28"/>
        </w:numPr>
        <w:tabs>
          <w:tab w:val="left" w:pos="993"/>
        </w:tabs>
        <w:ind w:left="0" w:firstLine="709"/>
        <w:rPr>
          <w:rFonts w:cs="Times New Roman"/>
          <w:szCs w:val="24"/>
          <w:lang w:val="en-US"/>
        </w:rPr>
      </w:pPr>
      <w:r w:rsidRPr="00051297">
        <w:rPr>
          <w:rFonts w:cs="Times New Roman"/>
          <w:szCs w:val="24"/>
          <w:lang w:val="en-US"/>
        </w:rPr>
        <w:t>Evaluate performance during the initial reservoir fill</w:t>
      </w:r>
      <w:r w:rsidR="007350F9">
        <w:rPr>
          <w:rFonts w:cs="Times New Roman"/>
          <w:szCs w:val="24"/>
          <w:lang w:val="en-US"/>
        </w:rPr>
        <w:t>.</w:t>
      </w:r>
    </w:p>
    <w:p w14:paraId="500F694F" w14:textId="77777777" w:rsidR="00051297" w:rsidRPr="00051297" w:rsidRDefault="00051297" w:rsidP="007350F9">
      <w:pPr>
        <w:rPr>
          <w:lang w:val="en-US"/>
        </w:rPr>
      </w:pPr>
      <w:r w:rsidRPr="00051297">
        <w:rPr>
          <w:lang w:val="en-US"/>
        </w:rPr>
        <w:t>When comparing real performance to the design, keep the following in mind:</w:t>
      </w:r>
    </w:p>
    <w:p w14:paraId="7A47CEB7" w14:textId="6BA97FAC" w:rsidR="00051297" w:rsidRPr="00051297" w:rsidRDefault="00051297" w:rsidP="00051297">
      <w:pPr>
        <w:numPr>
          <w:ilvl w:val="0"/>
          <w:numId w:val="28"/>
        </w:numPr>
        <w:tabs>
          <w:tab w:val="left" w:pos="993"/>
        </w:tabs>
        <w:ind w:left="0" w:firstLine="709"/>
        <w:rPr>
          <w:rFonts w:cs="Times New Roman"/>
          <w:szCs w:val="24"/>
          <w:lang w:val="en-US"/>
        </w:rPr>
      </w:pPr>
      <w:r w:rsidRPr="00051297">
        <w:rPr>
          <w:rFonts w:cs="Times New Roman"/>
          <w:szCs w:val="24"/>
          <w:lang w:val="en-US"/>
        </w:rPr>
        <w:t>Describe long-term conduct</w:t>
      </w:r>
      <w:r w:rsidR="007350F9">
        <w:rPr>
          <w:rFonts w:cs="Times New Roman"/>
          <w:szCs w:val="24"/>
          <w:lang w:val="en-US"/>
        </w:rPr>
        <w:t>.</w:t>
      </w:r>
      <w:r w:rsidRPr="00051297">
        <w:rPr>
          <w:rFonts w:cs="Times New Roman"/>
          <w:szCs w:val="24"/>
          <w:lang w:val="en-US"/>
        </w:rPr>
        <w:t xml:space="preserve"> </w:t>
      </w:r>
    </w:p>
    <w:p w14:paraId="2FD24C93" w14:textId="6093DF58" w:rsidR="00051297" w:rsidRPr="00051297" w:rsidRDefault="00051297" w:rsidP="00051297">
      <w:pPr>
        <w:numPr>
          <w:ilvl w:val="0"/>
          <w:numId w:val="28"/>
        </w:numPr>
        <w:tabs>
          <w:tab w:val="left" w:pos="993"/>
        </w:tabs>
        <w:ind w:left="0" w:firstLine="709"/>
        <w:rPr>
          <w:rFonts w:cs="Times New Roman"/>
          <w:szCs w:val="24"/>
          <w:lang w:val="en-US"/>
        </w:rPr>
      </w:pPr>
      <w:r w:rsidRPr="00051297">
        <w:rPr>
          <w:rFonts w:cs="Times New Roman"/>
          <w:szCs w:val="24"/>
          <w:lang w:val="en-US"/>
        </w:rPr>
        <w:t>Offer information</w:t>
      </w:r>
      <w:r w:rsidR="007350F9">
        <w:rPr>
          <w:rFonts w:cs="Times New Roman"/>
          <w:szCs w:val="24"/>
          <w:lang w:val="en-US"/>
        </w:rPr>
        <w:t>.</w:t>
      </w:r>
    </w:p>
    <w:p w14:paraId="31D07440" w14:textId="35DBC305" w:rsidR="00051297" w:rsidRPr="00051297" w:rsidRDefault="00051297" w:rsidP="00051297">
      <w:pPr>
        <w:numPr>
          <w:ilvl w:val="0"/>
          <w:numId w:val="28"/>
        </w:numPr>
        <w:tabs>
          <w:tab w:val="left" w:pos="993"/>
        </w:tabs>
        <w:ind w:left="0" w:firstLine="709"/>
        <w:rPr>
          <w:rFonts w:cs="Times New Roman"/>
          <w:szCs w:val="24"/>
        </w:rPr>
      </w:pPr>
      <w:r w:rsidRPr="00051297">
        <w:rPr>
          <w:rFonts w:cs="Times New Roman"/>
          <w:szCs w:val="24"/>
        </w:rPr>
        <w:t>Early detection of abnormalities</w:t>
      </w:r>
      <w:r w:rsidR="007350F9">
        <w:rPr>
          <w:rFonts w:cs="Times New Roman"/>
          <w:szCs w:val="24"/>
          <w:lang w:val="en-US"/>
        </w:rPr>
        <w:t>.</w:t>
      </w:r>
    </w:p>
    <w:p w14:paraId="250894B7" w14:textId="6B095338" w:rsidR="00051297" w:rsidRPr="00051297" w:rsidRDefault="00051297" w:rsidP="00051297">
      <w:pPr>
        <w:numPr>
          <w:ilvl w:val="0"/>
          <w:numId w:val="28"/>
        </w:numPr>
        <w:tabs>
          <w:tab w:val="left" w:pos="993"/>
        </w:tabs>
        <w:ind w:left="0" w:firstLine="709"/>
        <w:rPr>
          <w:rFonts w:cs="Times New Roman"/>
          <w:szCs w:val="24"/>
          <w:lang w:val="en-US"/>
        </w:rPr>
      </w:pPr>
      <w:r w:rsidRPr="00051297">
        <w:rPr>
          <w:rFonts w:cs="Times New Roman"/>
          <w:szCs w:val="24"/>
          <w:lang w:val="en-US"/>
        </w:rPr>
        <w:t>Capture and analyze responses to events such as big floods, earthquakes, and other natural disasters</w:t>
      </w:r>
      <w:r w:rsidR="007350F9">
        <w:rPr>
          <w:rFonts w:cs="Times New Roman"/>
          <w:szCs w:val="24"/>
          <w:lang w:val="en-US"/>
        </w:rPr>
        <w:t>.</w:t>
      </w:r>
    </w:p>
    <w:p w14:paraId="553E05AC" w14:textId="77D4118D" w:rsidR="00051297" w:rsidRPr="00051297" w:rsidRDefault="00051297" w:rsidP="00051297">
      <w:pPr>
        <w:numPr>
          <w:ilvl w:val="0"/>
          <w:numId w:val="28"/>
        </w:numPr>
        <w:tabs>
          <w:tab w:val="left" w:pos="993"/>
        </w:tabs>
        <w:ind w:left="0" w:firstLine="709"/>
        <w:rPr>
          <w:rFonts w:cs="Times New Roman"/>
          <w:szCs w:val="24"/>
          <w:lang w:val="en-US"/>
        </w:rPr>
      </w:pPr>
      <w:r w:rsidRPr="00051297">
        <w:rPr>
          <w:rFonts w:cs="Times New Roman"/>
          <w:szCs w:val="24"/>
          <w:lang w:val="en-US"/>
        </w:rPr>
        <w:t>Forecast future dam performance</w:t>
      </w:r>
      <w:r w:rsidR="007350F9">
        <w:rPr>
          <w:rFonts w:cs="Times New Roman"/>
          <w:szCs w:val="24"/>
          <w:lang w:val="en-US"/>
        </w:rPr>
        <w:t>.</w:t>
      </w:r>
      <w:r w:rsidRPr="00051297">
        <w:rPr>
          <w:rFonts w:cs="Times New Roman"/>
          <w:szCs w:val="24"/>
          <w:lang w:val="en-US"/>
        </w:rPr>
        <w:t xml:space="preserve"> </w:t>
      </w:r>
    </w:p>
    <w:p w14:paraId="476C857B" w14:textId="77777777" w:rsidR="00051297" w:rsidRPr="00051297" w:rsidRDefault="00051297" w:rsidP="00051297">
      <w:pPr>
        <w:numPr>
          <w:ilvl w:val="0"/>
          <w:numId w:val="28"/>
        </w:numPr>
        <w:tabs>
          <w:tab w:val="left" w:pos="993"/>
        </w:tabs>
        <w:ind w:left="0" w:firstLine="709"/>
        <w:rPr>
          <w:rFonts w:cs="Times New Roman"/>
          <w:szCs w:val="24"/>
          <w:lang w:val="en-US"/>
        </w:rPr>
      </w:pPr>
      <w:r w:rsidRPr="00051297">
        <w:rPr>
          <w:rFonts w:cs="Times New Roman"/>
          <w:szCs w:val="24"/>
          <w:lang w:val="en-US"/>
        </w:rPr>
        <w:t>How safe dam management to regulatory authorities.</w:t>
      </w:r>
    </w:p>
    <w:p w14:paraId="29498C0A" w14:textId="77777777" w:rsidR="00051297" w:rsidRPr="00051297" w:rsidRDefault="00051297" w:rsidP="00051297">
      <w:pPr>
        <w:numPr>
          <w:ilvl w:val="0"/>
          <w:numId w:val="14"/>
        </w:numPr>
        <w:tabs>
          <w:tab w:val="left" w:pos="993"/>
        </w:tabs>
        <w:ind w:left="0" w:firstLine="709"/>
        <w:rPr>
          <w:rFonts w:cs="Times New Roman"/>
          <w:szCs w:val="24"/>
          <w:lang w:val="en-US"/>
        </w:rPr>
      </w:pPr>
      <w:r w:rsidRPr="00051297">
        <w:rPr>
          <w:rFonts w:cs="Times New Roman"/>
          <w:szCs w:val="24"/>
          <w:lang w:val="en-US"/>
        </w:rPr>
        <w:t xml:space="preserve">Intrinsic design hazards must be effectively addressed. </w:t>
      </w:r>
    </w:p>
    <w:p w14:paraId="058E12A2" w14:textId="01D8CDE7" w:rsidR="00051297" w:rsidRPr="00051297" w:rsidRDefault="00051297" w:rsidP="00051297">
      <w:pPr>
        <w:tabs>
          <w:tab w:val="left" w:pos="993"/>
        </w:tabs>
        <w:rPr>
          <w:rFonts w:cs="Times New Roman"/>
          <w:b/>
          <w:bCs/>
          <w:szCs w:val="24"/>
        </w:rPr>
      </w:pPr>
      <w:r w:rsidRPr="00051297">
        <w:rPr>
          <w:rFonts w:cs="Times New Roman"/>
          <w:szCs w:val="24"/>
          <w:lang w:val="en-US"/>
        </w:rPr>
        <w:lastRenderedPageBreak/>
        <w:t xml:space="preserve">These risks are based on dam type, materials, age, foundations, hydraulic structures, and other factors, with good practices and surveillance being the most important factors for safety </w:t>
      </w:r>
      <w:r w:rsidRPr="00051297">
        <w:rPr>
          <w:rFonts w:cs="Times New Roman"/>
          <w:szCs w:val="24"/>
        </w:rPr>
        <w:fldChar w:fldCharType="begin" w:fldLock="1"/>
      </w:r>
      <w:r w:rsidR="00FA5896">
        <w:rPr>
          <w:rFonts w:cs="Times New Roman"/>
          <w:szCs w:val="24"/>
          <w:lang w:val="en-US"/>
        </w:rPr>
        <w:instrText>ADDIN CSL_CITATION {"citationItems":[{"id":"ITEM-1","itemData":{"DOI":"10.1007/s10346-016-0721-7","ISSN":"1612-510X","abstract":"The Attabad landslide dam caused significant property losses and many human casualties in Pakistan, and also greatly affected the operation of the China-Pakistan Karakoram Highway (KKH). This paper discusses the risk of dam breach and hazards to the KKH project construction site following a dam breach. The paper examines the following three topics. (1) The geomorphologic dimensionless blockage index (DBI) and the analogy method were used to analyze the stability of the Attabad landslide dam. The long-term behaviors of landslide dams downstream of the Attabad landslide dam indicate that the risk of a dam breach exists, but the probability of a total dam failure is low. (2) The peak discharge of a potential breach of the Attabad landslide dam was calculated for scenarios in which 1/4, 1/3, 1/2, and total failure of the dam was breached. The potential breach discharge decreases with the downstream distance. (3) The potential impacts of the landslide dam breach on the KKH project construction site were analyzed. Based on the composition of the landslide dam, the probability of a 1/3 dam breach is high. To ensure the safety of downstream areas, disaster preparedness plans that correspond to the 1/2 dam breach scenario should be developed. Based on experience in addressing the landslide dam that was caused by the Wenchuan Earthquake, artificial controlled drainage measures are suggested and provide a technical reference for addressing the Attabad landslide dam and achieving recovery and normal operation of KKH.","author":[{"dropping-particle":"","family":"Chen","given":"Xiaoqing","non-dropping-particle":"","parse-names":false,"suffix":""},{"dropping-particle":"","family":"Cui","given":"Peng","non-dropping-particle":"","parse-names":false,"suffix":""},{"dropping-particle":"","family":"You","given":"Yong","non-dropping-particle":"","parse-names":false,"suffix":""},{"dropping-particle":"","family":"Cheng","given":"Zunlan","non-dropping-particle":"","parse-names":false,"suffix":""},{"dropping-particle":"","family":"Khan","given":"Asif","non-dropping-particle":"","parse-names":false,"suffix":""},{"dropping-particle":"","family":"Ye","given":"Chengyin","non-dropping-particle":"","parse-names":false,"suffix":""},{"dropping-particle":"","family":"Zhang","given":"Shu","non-dropping-particle":"","parse-names":false,"suffix":""}],"container-title":"Landslides","id":"ITEM-1","issue":"2","issued":{"date-parts":[["2017","4"]]},"page":"675-683","title":"Dam-break risk analysis of the Attabad landslide dam in Pakistan and emergency countermeasures","type":"article-journal","volume":"14"},"uris":["http://www.mendeley.com/documents/?uuid=b7c4851e-e3d2-4d83-b81d-0cedce920d2d","http://www.mendeley.com/documents/?uuid=7df02f01-987d-4fcb-9e9c-5711b18fea2c","http://www.mendeley.com/documents/?uuid=e7337f35-1ecb-4698-8ff9-6621efd704ce"]}],"mendeley":{"formattedCitation":"[193]","plainTextFormattedCitation":"[193]","previouslyFormattedCitation":"[193]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[193]</w:t>
      </w:r>
      <w:r w:rsidRPr="00051297">
        <w:rPr>
          <w:rFonts w:cs="Times New Roman"/>
          <w:szCs w:val="24"/>
        </w:rPr>
        <w:fldChar w:fldCharType="end"/>
      </w:r>
      <w:r w:rsidRPr="00051297">
        <w:rPr>
          <w:rFonts w:cs="Times New Roman"/>
          <w:szCs w:val="24"/>
        </w:rPr>
        <w:t>.</w:t>
      </w:r>
    </w:p>
    <w:p w14:paraId="366D90C4" w14:textId="77777777" w:rsidR="00051297" w:rsidRPr="00051297" w:rsidRDefault="00051297" w:rsidP="00051297">
      <w:pPr>
        <w:numPr>
          <w:ilvl w:val="0"/>
          <w:numId w:val="14"/>
        </w:numPr>
        <w:tabs>
          <w:tab w:val="left" w:pos="993"/>
        </w:tabs>
        <w:ind w:left="0" w:firstLine="709"/>
        <w:rPr>
          <w:rFonts w:cs="Times New Roman"/>
          <w:szCs w:val="24"/>
          <w:lang w:val="en-US"/>
        </w:rPr>
      </w:pPr>
      <w:r w:rsidRPr="00051297">
        <w:rPr>
          <w:rFonts w:cs="Times New Roman"/>
          <w:szCs w:val="24"/>
          <w:lang w:val="en-US"/>
        </w:rPr>
        <w:t xml:space="preserve">Natural hazards evolve with time and should be assessed and updated on a regular basis. </w:t>
      </w:r>
    </w:p>
    <w:p w14:paraId="245786B9" w14:textId="77777777" w:rsidR="00051297" w:rsidRPr="00051297" w:rsidRDefault="00051297" w:rsidP="00051297">
      <w:pPr>
        <w:tabs>
          <w:tab w:val="left" w:pos="993"/>
        </w:tabs>
        <w:rPr>
          <w:rFonts w:cs="Times New Roman"/>
          <w:b/>
          <w:bCs/>
          <w:szCs w:val="24"/>
          <w:lang w:val="en-US"/>
        </w:rPr>
      </w:pPr>
      <w:r w:rsidRPr="00051297">
        <w:rPr>
          <w:rFonts w:cs="Times New Roman"/>
          <w:szCs w:val="24"/>
          <w:lang w:val="en-US"/>
        </w:rPr>
        <w:t>Floods and earthquakes, for example, are external threats whose risks are acknowledged based on known science and the likelihood of occurrence.</w:t>
      </w:r>
    </w:p>
    <w:p w14:paraId="4CD820AD" w14:textId="77777777" w:rsidR="00051297" w:rsidRPr="00051297" w:rsidRDefault="00051297" w:rsidP="00051297">
      <w:pPr>
        <w:numPr>
          <w:ilvl w:val="0"/>
          <w:numId w:val="14"/>
        </w:numPr>
        <w:tabs>
          <w:tab w:val="left" w:pos="993"/>
        </w:tabs>
        <w:ind w:left="0" w:firstLine="709"/>
        <w:rPr>
          <w:rFonts w:cs="Times New Roman"/>
          <w:szCs w:val="24"/>
          <w:lang w:val="en-US"/>
        </w:rPr>
      </w:pPr>
      <w:r w:rsidRPr="00051297">
        <w:rPr>
          <w:rFonts w:cs="Times New Roman"/>
          <w:szCs w:val="24"/>
          <w:lang w:val="en-US"/>
        </w:rPr>
        <w:t xml:space="preserve">All dams must have a plan in place in case of an emergency. </w:t>
      </w:r>
    </w:p>
    <w:p w14:paraId="1A6A72E7" w14:textId="5146441A" w:rsidR="00051297" w:rsidRPr="0032684D" w:rsidRDefault="00051297" w:rsidP="00051297">
      <w:pPr>
        <w:tabs>
          <w:tab w:val="left" w:pos="993"/>
        </w:tabs>
        <w:rPr>
          <w:rFonts w:cs="Times New Roman"/>
          <w:b/>
          <w:bCs/>
          <w:szCs w:val="24"/>
          <w:lang w:val="en-US"/>
        </w:rPr>
      </w:pPr>
      <w:r w:rsidRPr="00051297">
        <w:rPr>
          <w:rFonts w:cs="Times New Roman"/>
          <w:szCs w:val="24"/>
          <w:lang w:val="en-US"/>
        </w:rPr>
        <w:t xml:space="preserve">To avert loss of life and minimize damage to property, infrastructure, and the environment as a result of a dam failure, emergency plans should be prepared. The first filling of the reservoir is a key phase during which the emergency plan must be ready to go as soon as possible. The emergency plan must be reviewed, updated, and practiced on a regular basis. </w:t>
      </w:r>
      <w:r w:rsidRPr="0032684D">
        <w:rPr>
          <w:rFonts w:cs="Times New Roman"/>
          <w:szCs w:val="24"/>
          <w:lang w:val="en-US"/>
        </w:rPr>
        <w:t xml:space="preserve">A robust dam safety program includes adequate operator training </w:t>
      </w:r>
      <w:r w:rsidRPr="00051297">
        <w:rPr>
          <w:rFonts w:cs="Times New Roman"/>
          <w:szCs w:val="24"/>
        </w:rPr>
        <w:fldChar w:fldCharType="begin" w:fldLock="1"/>
      </w:r>
      <w:r w:rsidR="00FA5896">
        <w:rPr>
          <w:rFonts w:cs="Times New Roman"/>
          <w:szCs w:val="24"/>
          <w:lang w:val="en-US"/>
        </w:rPr>
        <w:instrText>ADDIN CSL_CITATION {"citationItems":[{"id":"ITEM-1","itemData":{"DOI":"10.1007/978-981-15-1971-0_1","ISSN":"2198316X","abstract":"Dam Safety Emergency Plan (DSEP) is a management document for safety and emergency events like flood and earthquake affecting the dam and appurtenant structures. The document aids the dam owner to detect early warnings, strategize their remedial measures, develop evacuation plan and identify the right person to execute the plan. The paper describes the challenges in preparation and implementation of the DSEP for Hydroelectric Plants namely Batang Ai Hydroelectric Plant and Murum-Bakun hydroelectric plant. During preparation of the DSEP, information gathered from Hydrological review and inundation maps are used to develop a notification flowchart which assisted the Emergency Management Team (EMT) during Dam Safety Event and Emergencies. Meanwhile, challenges during the implementation of DSEP are coordinating and educating the staff working at respective Hydroelectric Plants; communication and in-house competency. Post mortem session after tabletop exercise and on-site drill were conducted to ensure challenges were documented for future improvement.","author":[{"dropping-particle":"","family":"Tipol","given":"Farah Hanan Binti","non-dropping-particle":"","parse-names":false,"suffix":""}],"container-title":"Water Resources Development and Management","id":"ITEM-1","issued":{"date-parts":[["2020"]]},"title":"Challenges in Preparation and Implementation of Dam Safety Emergency Plan for Hydroelectric Plants in Sarawak","type":"chapter"},"uris":["http://www.mendeley.com/documents/?uuid=d123e30d-2df5-4f84-915f-cace489d9c1a","http://www.mendeley.com/documents/?uuid=dde9bd9e-ff8b-4e7c-a1df-18ce1d7b0541","http://www.mendeley.com/documents/?uuid=9fc30bc9-8ed8-471e-ab6f-bc4b176d9b28"]}],"mendeley":{"formattedCitation":"[194]","plainTextFormattedCitation":"[194]","previouslyFormattedCitation":"[194]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[194]</w:t>
      </w:r>
      <w:r w:rsidRPr="00051297">
        <w:rPr>
          <w:rFonts w:cs="Times New Roman"/>
          <w:szCs w:val="24"/>
        </w:rPr>
        <w:fldChar w:fldCharType="end"/>
      </w:r>
      <w:r w:rsidRPr="0032684D">
        <w:rPr>
          <w:rFonts w:cs="Times New Roman"/>
          <w:szCs w:val="24"/>
          <w:lang w:val="en-US"/>
        </w:rPr>
        <w:t>.</w:t>
      </w:r>
    </w:p>
    <w:p w14:paraId="00C6CA89" w14:textId="77777777" w:rsidR="00051297" w:rsidRPr="00051297" w:rsidRDefault="00051297" w:rsidP="00051297">
      <w:pPr>
        <w:numPr>
          <w:ilvl w:val="0"/>
          <w:numId w:val="14"/>
        </w:numPr>
        <w:tabs>
          <w:tab w:val="left" w:pos="993"/>
        </w:tabs>
        <w:ind w:left="0" w:firstLine="709"/>
        <w:rPr>
          <w:rFonts w:cs="Times New Roman"/>
          <w:szCs w:val="24"/>
          <w:lang w:val="en-US"/>
        </w:rPr>
      </w:pPr>
      <w:r w:rsidRPr="00051297">
        <w:rPr>
          <w:rFonts w:cs="Times New Roman"/>
          <w:szCs w:val="24"/>
          <w:lang w:val="en-US"/>
        </w:rPr>
        <w:t>Adequate training of operators is part of a comprehensive dam safety program.</w:t>
      </w:r>
    </w:p>
    <w:p w14:paraId="6554893D" w14:textId="4B378319" w:rsidR="00051297" w:rsidRPr="00051297" w:rsidRDefault="00051297" w:rsidP="00051297">
      <w:pPr>
        <w:tabs>
          <w:tab w:val="left" w:pos="993"/>
        </w:tabs>
        <w:rPr>
          <w:rFonts w:cs="Times New Roman"/>
          <w:szCs w:val="24"/>
        </w:rPr>
      </w:pPr>
      <w:r w:rsidRPr="00051297">
        <w:rPr>
          <w:rFonts w:cs="Times New Roman"/>
          <w:szCs w:val="24"/>
          <w:lang w:val="en-US"/>
        </w:rPr>
        <w:t xml:space="preserve">Dam malfunctions, particularly spillway gates, can result in accidents, downstream flooding, or potential dam overtopping. The industry as a whole benefit from sharing lessons learned, making all dams safer </w:t>
      </w:r>
      <w:r w:rsidRPr="00051297">
        <w:rPr>
          <w:rFonts w:cs="Times New Roman"/>
          <w:szCs w:val="24"/>
        </w:rPr>
        <w:fldChar w:fldCharType="begin" w:fldLock="1"/>
      </w:r>
      <w:r w:rsidR="00FA5896">
        <w:rPr>
          <w:rFonts w:cs="Times New Roman"/>
          <w:szCs w:val="24"/>
          <w:lang w:val="en-US"/>
        </w:rPr>
        <w:instrText>ADDIN CSL_CITATION {"citationItems":[{"id":"ITEM-1","itemData":{"DOI":"10.1016/j.ejrh.2018.06.006","ISSN":"22145818","abstract":"Study Region: The study region is the Southern Quebec river network. Dataset on dams as well as daily flow recorded at stations were used. Study Focus: Dam construction and operation can have significant impacts on hydrological regimes. If dam construction induces some basic alterations to basin hydrology, dam operation can introduce dynamic alterations in streamflow. Assessing the impacts of dam operation can be crucial for many applications where recorded flow series are used as a proxy for flow at nearby ungauged basins in regional flood frequency analysis or for hydrological modelling. The potential influence of dam operation on recorded flows was assessed through statistical testing that verified the unimodality of the daily flow distribution. The Degree of Regulation (DOR) index was then used to relate the potential influences of dam operation to basic physiographic and dam characteristics. New Hydrological Insights for the Region: Application of a unimodality test to daily flow series recorded at stations located in the study region confirms that dam operation can result in non-unimodal daily flow distribution. Estimation of DOR values for all reaches of the study region shows that regulated river reaches could be potentially influenced by dam operation when DOR &gt; 8. Of the 29% regulated river reaches (i.e. with one or more upstream dams), approximately 30% could be potentially influenced (DOR &gt; 8) by dam operation.","author":[{"dropping-particle":"","family":"Mailhot","given":"A.","non-dropping-particle":"","parse-names":false,"suffix":""},{"dropping-particle":"","family":"Talbot","given":"G.","non-dropping-particle":"","parse-names":false,"suffix":""},{"dropping-particle":"","family":"Ricard","given":"S.","non-dropping-particle":"","parse-names":false,"suffix":""},{"dropping-particle":"","family":"Turcotte","given":"R.","non-dropping-particle":"","parse-names":false,"suffix":""},{"dropping-particle":"","family":"Guinard","given":"K.","non-dropping-particle":"","parse-names":false,"suffix":""}],"container-title":"Journal of Hydrology: Regional Studies","id":"ITEM-1","issued":{"date-parts":[["2018","8"]]},"page":"156-167","title":"Assessing the potential impacts of dam operation on daily flow at ungauged river reaches","type":"article-journal","volume":"18"},"uris":["http://www.mendeley.com/documents/?uuid=23a08df0-9747-4924-87fa-fcb090f77216","http://www.mendeley.com/documents/?uuid=20f04671-754c-4ef1-be94-cfaafc617ddd","http://www.mendeley.com/documents/?uuid=107e7e43-75bf-4506-8101-5e22c5971bb2"]}],"mendeley":{"formattedCitation":"[195]","plainTextFormattedCitation":"[195]","previouslyFormattedCitation":"[195]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[195]</w:t>
      </w:r>
      <w:r w:rsidRPr="00051297">
        <w:rPr>
          <w:rFonts w:cs="Times New Roman"/>
          <w:szCs w:val="24"/>
        </w:rPr>
        <w:fldChar w:fldCharType="end"/>
      </w:r>
      <w:r w:rsidRPr="00051297">
        <w:rPr>
          <w:rFonts w:cs="Times New Roman"/>
          <w:szCs w:val="24"/>
        </w:rPr>
        <w:t>.</w:t>
      </w:r>
    </w:p>
    <w:p w14:paraId="7721CE16" w14:textId="77777777" w:rsidR="00051297" w:rsidRPr="00051297" w:rsidRDefault="00051297" w:rsidP="00051297">
      <w:pPr>
        <w:numPr>
          <w:ilvl w:val="0"/>
          <w:numId w:val="14"/>
        </w:numPr>
        <w:tabs>
          <w:tab w:val="left" w:pos="993"/>
        </w:tabs>
        <w:ind w:left="0" w:firstLine="709"/>
        <w:rPr>
          <w:rFonts w:cs="Times New Roman"/>
          <w:szCs w:val="24"/>
          <w:lang w:val="en-US"/>
        </w:rPr>
      </w:pPr>
      <w:r w:rsidRPr="00051297">
        <w:rPr>
          <w:rFonts w:cs="Times New Roman"/>
          <w:szCs w:val="24"/>
          <w:lang w:val="en-US"/>
        </w:rPr>
        <w:t xml:space="preserve">Sharing lessons learned benefits the entire industry, making all dams safer. </w:t>
      </w:r>
    </w:p>
    <w:p w14:paraId="66EC20FE" w14:textId="77777777" w:rsidR="00051297" w:rsidRPr="00051297" w:rsidRDefault="00051297" w:rsidP="00051297">
      <w:pPr>
        <w:tabs>
          <w:tab w:val="left" w:pos="993"/>
        </w:tabs>
        <w:rPr>
          <w:rFonts w:cs="Times New Roman"/>
          <w:szCs w:val="24"/>
          <w:lang w:val="en-US"/>
        </w:rPr>
      </w:pPr>
      <w:r w:rsidRPr="00051297">
        <w:rPr>
          <w:rFonts w:cs="Times New Roman"/>
          <w:szCs w:val="24"/>
          <w:lang w:val="en-US"/>
        </w:rPr>
        <w:t>Sharing learning from dam mishaps and failures is critical for improving state-of-the-art processes, according to ICOLD's experience. It is therefore critical that all data on dam incidents, including independent expert reports on the core causes of such incidents, be made publicly available to the international community for all parties concerned. Risks can be minimized with a thorough dam safety program.</w:t>
      </w:r>
    </w:p>
    <w:p w14:paraId="0BBAABFC" w14:textId="77777777" w:rsidR="00051297" w:rsidRPr="00051297" w:rsidRDefault="00051297" w:rsidP="00051297">
      <w:pPr>
        <w:numPr>
          <w:ilvl w:val="0"/>
          <w:numId w:val="14"/>
        </w:numPr>
        <w:tabs>
          <w:tab w:val="left" w:pos="993"/>
        </w:tabs>
        <w:ind w:left="0" w:firstLine="709"/>
        <w:rPr>
          <w:rFonts w:cs="Times New Roman"/>
          <w:szCs w:val="24"/>
          <w:lang w:val="en-US"/>
        </w:rPr>
      </w:pPr>
      <w:r w:rsidRPr="00051297">
        <w:rPr>
          <w:rFonts w:cs="Times New Roman"/>
          <w:szCs w:val="24"/>
          <w:lang w:val="en-US"/>
        </w:rPr>
        <w:t xml:space="preserve">A comprehensive dam safety approach will allow the minimization of risks. </w:t>
      </w:r>
    </w:p>
    <w:p w14:paraId="136491C1" w14:textId="52A42F4C" w:rsidR="00051297" w:rsidRPr="00051297" w:rsidRDefault="00051297" w:rsidP="00051297">
      <w:pPr>
        <w:tabs>
          <w:tab w:val="left" w:pos="993"/>
        </w:tabs>
        <w:rPr>
          <w:rFonts w:cs="Times New Roman"/>
          <w:b/>
          <w:bCs/>
          <w:szCs w:val="24"/>
          <w:lang w:val="en-US"/>
        </w:rPr>
      </w:pPr>
      <w:r w:rsidRPr="00051297">
        <w:rPr>
          <w:rFonts w:cs="Times New Roman"/>
          <w:szCs w:val="24"/>
          <w:lang w:val="en-US"/>
        </w:rPr>
        <w:t xml:space="preserve">This is accomplished through the participation of national organizations to promote dam safety measures such as structural steps to improve the structure's integrity and stability, efforts to reduce the effects of failures, and dam education and public awareness. A complete dam safety approach must also take into account the fact that river basins, many of which are transboundary basins, sometimes contain many dams or dam complexes and levees </w:t>
      </w:r>
      <w:r w:rsidRPr="00051297">
        <w:rPr>
          <w:rFonts w:cs="Times New Roman"/>
          <w:szCs w:val="24"/>
        </w:rPr>
        <w:fldChar w:fldCharType="begin" w:fldLock="1"/>
      </w:r>
      <w:r w:rsidR="00FA5896">
        <w:rPr>
          <w:rFonts w:cs="Times New Roman"/>
          <w:szCs w:val="24"/>
          <w:lang w:val="en-US"/>
        </w:rPr>
        <w:instrText>ADDIN CSL_CITATION {"citationItems":[{"id":"ITEM-1","itemData":{"DOI":"10.1016/j.ijdrr.2020.101820","ISSN":"22124209","abstract":"Community evacuations following dam failures like that of Edenville and Sanford Dams in 2020 and the Oroville Dam in 2017 in the United States, and Toddbrook Reservoir Dam in the United Kingdom in 2019, highlight the importance of risk communication that is designed to educate and encourage safe community response. However, research on community knowledge of and response to dam failure is scarce, limiting evidence-based design of risk communication. To support the development of effective dam failure risk communication, in the current study we conducted in-depth exploratory interviews with 26 public participants and five national dam experts in Australia. The findings from this study identify areas of convergence and divergence between expert and public participants’ perceptions of and knowledge about dam failure and risk mitigation strategies as well as responses to an existing risk communication message. This evidence base can serve to drive risk communication strategy and design that supports community knowledge of potential dam failure and improve preparedness.","author":[{"dropping-particle":"","family":"Mehta","given":"Amisha M.","non-dropping-particle":"","parse-names":false,"suffix":""},{"dropping-particle":"","family":"Weeks","given":"Clinton S.","non-dropping-particle":"","parse-names":false,"suffix":""},{"dropping-particle":"","family":"Tyquin","given":"Ellen","non-dropping-particle":"","parse-names":false,"suffix":""}],"container-title":"International Journal of Disaster Risk Reduction","id":"ITEM-1","issued":{"date-parts":[["2020"]]},"title":"Towards preparedness for dam failure: An evidence base for risk communication for downstream communities","type":"article-journal"},"uris":["http://www.mendeley.com/documents/?uuid=85c4110a-ad40-4869-8471-10de8a49304b","http://www.mendeley.com/documents/?uuid=20e280c4-1954-4f2d-9443-4d775c0acecf","http://www.mendeley.com/documents/?uuid=5567488f-2fc1-4969-8acf-4024d98c2383"]}],"mendeley":{"formattedCitation":"[196]","plainTextFormattedCitation":"[196]","previouslyFormattedCitation":"[196]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[196]</w:t>
      </w:r>
      <w:r w:rsidRPr="00051297">
        <w:rPr>
          <w:rFonts w:cs="Times New Roman"/>
          <w:szCs w:val="24"/>
        </w:rPr>
        <w:fldChar w:fldCharType="end"/>
      </w:r>
      <w:r w:rsidRPr="00051297">
        <w:rPr>
          <w:rFonts w:cs="Times New Roman"/>
          <w:szCs w:val="24"/>
          <w:lang w:val="en-US"/>
        </w:rPr>
        <w:t>.</w:t>
      </w:r>
    </w:p>
    <w:p w14:paraId="14385D3A" w14:textId="77777777" w:rsidR="00051297" w:rsidRPr="00051297" w:rsidRDefault="00051297" w:rsidP="00051297">
      <w:pPr>
        <w:numPr>
          <w:ilvl w:val="0"/>
          <w:numId w:val="14"/>
        </w:numPr>
        <w:tabs>
          <w:tab w:val="left" w:pos="993"/>
        </w:tabs>
        <w:ind w:left="0" w:firstLine="709"/>
        <w:rPr>
          <w:rFonts w:cs="Times New Roman"/>
          <w:szCs w:val="24"/>
          <w:lang w:val="en-US"/>
        </w:rPr>
      </w:pPr>
      <w:r w:rsidRPr="00051297">
        <w:rPr>
          <w:rFonts w:cs="Times New Roman"/>
          <w:szCs w:val="24"/>
          <w:lang w:val="en-US"/>
        </w:rPr>
        <w:t xml:space="preserve">A dam owner has the ultimate responsibility for its dam. </w:t>
      </w:r>
    </w:p>
    <w:p w14:paraId="515D31D1" w14:textId="32E59CCC" w:rsidR="00051297" w:rsidRPr="00051297" w:rsidRDefault="00051297" w:rsidP="00051297">
      <w:pPr>
        <w:tabs>
          <w:tab w:val="left" w:pos="993"/>
        </w:tabs>
        <w:rPr>
          <w:rFonts w:cs="Times New Roman"/>
          <w:b/>
          <w:bCs/>
          <w:szCs w:val="24"/>
          <w:lang w:val="en-US"/>
        </w:rPr>
      </w:pPr>
      <w:r w:rsidRPr="00051297">
        <w:rPr>
          <w:rFonts w:cs="Times New Roman"/>
          <w:szCs w:val="24"/>
          <w:lang w:val="en-US"/>
        </w:rPr>
        <w:t xml:space="preserve">The International Commission on Dam Safety (ICOLD) believes that the safety of all dams is essentially the responsibility and liability of their owners and operators. To meet this responsibility, adequate personnel and financial resources, as well as relevant know-how, are required. The importance of regulatory authorities in terms of safety cannot be overstated </w:t>
      </w:r>
      <w:r w:rsidRPr="00051297">
        <w:rPr>
          <w:rFonts w:cs="Times New Roman"/>
          <w:szCs w:val="24"/>
        </w:rPr>
        <w:fldChar w:fldCharType="begin" w:fldLock="1"/>
      </w:r>
      <w:r w:rsidR="00FA5896">
        <w:rPr>
          <w:rFonts w:cs="Times New Roman"/>
          <w:szCs w:val="24"/>
          <w:lang w:val="en-US"/>
        </w:rPr>
        <w:instrText>ADDIN CSL_CITATION {"citationItems":[{"id":"ITEM-1","itemData":{"DOI":"10.1680/jdare.16.00009","ISSN":"1368-1494","abstract":"The ICOLD Annual Meeting and Congress were held in Stavanger, in the southwest of Norway. Delegates from the BDS attended the various technical committee meetings, the general assembly, technical presentations, tours and social events. A summary description of some of these are included within this report.","author":[{"dropping-particle":"","family":"Williamson","given":"Tracey","non-dropping-particle":"","parse-names":false,"suffix":""},{"dropping-particle":"","family":"Hughes","given":"Andy","non-dropping-particle":"","parse-names":false,"suffix":""},{"dropping-particle":"","family":"Hope","given":"Ian","non-dropping-particle":"","parse-names":false,"suffix":""},{"dropping-particle":"","family":"Mason","given":"Peter","non-dropping-particle":"","parse-names":false,"suffix":""},{"dropping-particle":"","family":"Bridle","given":"Rod","non-dropping-particle":"","parse-names":false,"suffix":""},{"dropping-particle":"","family":"Grubb","given":"Ken","non-dropping-particle":"","parse-names":false,"suffix":""},{"dropping-particle":"","family":"Tudor","given":"Samuel","non-dropping-particle":"","parse-names":false,"suffix":""}],"container-title":"Dams and Reservoirs","id":"ITEM-1","issue":"3","issued":{"date-parts":[["2015","12"]]},"page":"93-110","title":"Meeting report: ICOLD Annual Meeting and Congress 2015, Stavanger","type":"article-journal","volume":"25"},"uris":["http://www.mendeley.com/documents/?uuid=06b9e827-46c9-45b9-9ab2-234fc224729b","http://www.mendeley.com/documents/?uuid=01f55cb6-051a-4c22-b4c5-a87371a231e6","http://www.mendeley.com/documents/?uuid=e2b82266-df3b-499c-8591-35974d8e102f"]}],"mendeley":{"formattedCitation":"[197]","plainTextFormattedCitation":"[197]","previouslyFormattedCitation":"[197]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[197]</w:t>
      </w:r>
      <w:r w:rsidRPr="00051297">
        <w:rPr>
          <w:rFonts w:cs="Times New Roman"/>
          <w:szCs w:val="24"/>
        </w:rPr>
        <w:fldChar w:fldCharType="end"/>
      </w:r>
      <w:r w:rsidRPr="00051297">
        <w:rPr>
          <w:rFonts w:cs="Times New Roman"/>
          <w:szCs w:val="24"/>
          <w:lang w:val="en-US"/>
        </w:rPr>
        <w:t>.</w:t>
      </w:r>
    </w:p>
    <w:p w14:paraId="7F4CFE28" w14:textId="77777777" w:rsidR="00051297" w:rsidRPr="00051297" w:rsidRDefault="00051297" w:rsidP="00051297">
      <w:pPr>
        <w:numPr>
          <w:ilvl w:val="0"/>
          <w:numId w:val="14"/>
        </w:numPr>
        <w:tabs>
          <w:tab w:val="left" w:pos="993"/>
        </w:tabs>
        <w:ind w:left="0" w:firstLine="709"/>
        <w:rPr>
          <w:rFonts w:cs="Times New Roman"/>
          <w:szCs w:val="24"/>
          <w:lang w:val="en-US"/>
        </w:rPr>
      </w:pPr>
      <w:r w:rsidRPr="00051297">
        <w:rPr>
          <w:rFonts w:cs="Times New Roman"/>
          <w:szCs w:val="24"/>
          <w:lang w:val="en-US"/>
        </w:rPr>
        <w:t xml:space="preserve">The role of regulatory authorities is paramount for safety. </w:t>
      </w:r>
    </w:p>
    <w:p w14:paraId="47BF3F90" w14:textId="77777777" w:rsidR="00051297" w:rsidRPr="00051297" w:rsidRDefault="00051297" w:rsidP="00051297">
      <w:pPr>
        <w:tabs>
          <w:tab w:val="left" w:pos="993"/>
        </w:tabs>
        <w:rPr>
          <w:rFonts w:cs="Times New Roman"/>
          <w:b/>
          <w:bCs/>
          <w:szCs w:val="24"/>
        </w:rPr>
      </w:pPr>
      <w:r w:rsidRPr="00051297">
        <w:rPr>
          <w:rFonts w:cs="Times New Roman"/>
          <w:szCs w:val="24"/>
          <w:lang w:val="en-US"/>
        </w:rPr>
        <w:lastRenderedPageBreak/>
        <w:t xml:space="preserve">Regulatory agencies should play a key role in assuring proper site investigation, best-practice design standards, high-quality construction, contractual frameworks, emergency readiness, and operational compliance with established rules and standards. Developing norms, regulations, and safeguards is an important part of ensuring dam safety. </w:t>
      </w:r>
      <w:r w:rsidRPr="00051297">
        <w:rPr>
          <w:rFonts w:cs="Times New Roman"/>
          <w:szCs w:val="24"/>
        </w:rPr>
        <w:t>A global perspective on dam safety can be instructive.</w:t>
      </w:r>
    </w:p>
    <w:p w14:paraId="0EF65B0C" w14:textId="77777777" w:rsidR="00051297" w:rsidRPr="00051297" w:rsidRDefault="00051297" w:rsidP="00051297">
      <w:pPr>
        <w:numPr>
          <w:ilvl w:val="0"/>
          <w:numId w:val="14"/>
        </w:numPr>
        <w:tabs>
          <w:tab w:val="left" w:pos="993"/>
        </w:tabs>
        <w:ind w:left="0" w:firstLine="709"/>
        <w:rPr>
          <w:rFonts w:cs="Times New Roman"/>
          <w:szCs w:val="24"/>
          <w:lang w:val="en-US"/>
        </w:rPr>
      </w:pPr>
      <w:r w:rsidRPr="00051297">
        <w:rPr>
          <w:rFonts w:cs="Times New Roman"/>
          <w:szCs w:val="24"/>
          <w:lang w:val="en-US"/>
        </w:rPr>
        <w:t xml:space="preserve">An international perspective on dam safety can be enlightening. </w:t>
      </w:r>
    </w:p>
    <w:p w14:paraId="1C0F85C5" w14:textId="70BA40BA" w:rsidR="00051297" w:rsidRPr="00051297" w:rsidRDefault="00051297" w:rsidP="00051297">
      <w:pPr>
        <w:tabs>
          <w:tab w:val="left" w:pos="993"/>
        </w:tabs>
        <w:rPr>
          <w:rFonts w:cs="Times New Roman"/>
          <w:b/>
          <w:bCs/>
          <w:szCs w:val="24"/>
          <w:lang w:val="en-US"/>
        </w:rPr>
      </w:pPr>
      <w:r w:rsidRPr="00051297">
        <w:rPr>
          <w:rFonts w:cs="Times New Roman"/>
          <w:szCs w:val="24"/>
          <w:lang w:val="en-US"/>
        </w:rPr>
        <w:t>International organizations, such as ICOLD, which establish guidelines based on global experience, can help designers, owners, and government officials better understand the current state of best practices for dam design and safety.</w:t>
      </w:r>
    </w:p>
    <w:p w14:paraId="1A8BA911" w14:textId="1AB1C550" w:rsidR="00051297" w:rsidRPr="00051297" w:rsidRDefault="00051297" w:rsidP="00051297">
      <w:pPr>
        <w:rPr>
          <w:rFonts w:cs="Times New Roman"/>
          <w:szCs w:val="24"/>
          <w:lang w:val="en-US"/>
        </w:rPr>
      </w:pPr>
      <w:bookmarkStart w:id="380" w:name="_Toc79511112"/>
      <w:r w:rsidRPr="00051297">
        <w:rPr>
          <w:rFonts w:cs="Times New Roman"/>
          <w:szCs w:val="24"/>
          <w:lang w:val="en-US"/>
        </w:rPr>
        <w:t xml:space="preserve">(d) Summary </w:t>
      </w:r>
      <w:r w:rsidR="00141AE9">
        <w:rPr>
          <w:rFonts w:cs="Times New Roman"/>
          <w:szCs w:val="24"/>
          <w:lang w:val="en-US"/>
        </w:rPr>
        <w:t xml:space="preserve">of the </w:t>
      </w:r>
      <w:r w:rsidR="00736947">
        <w:rPr>
          <w:rFonts w:cs="Times New Roman"/>
          <w:szCs w:val="24"/>
          <w:lang w:val="en-US"/>
        </w:rPr>
        <w:t>d</w:t>
      </w:r>
      <w:r w:rsidRPr="00051297">
        <w:rPr>
          <w:rFonts w:cs="Times New Roman"/>
          <w:szCs w:val="24"/>
          <w:lang w:val="en-US"/>
        </w:rPr>
        <w:t>eclaration</w:t>
      </w:r>
      <w:bookmarkEnd w:id="380"/>
    </w:p>
    <w:p w14:paraId="7AE1A420" w14:textId="121B353B" w:rsidR="00051297" w:rsidRPr="00051297" w:rsidRDefault="00051297" w:rsidP="00051297">
      <w:pPr>
        <w:rPr>
          <w:rFonts w:cs="Times New Roman"/>
          <w:szCs w:val="24"/>
        </w:rPr>
      </w:pPr>
      <w:r w:rsidRPr="00051297">
        <w:rPr>
          <w:rFonts w:cs="Times New Roman"/>
          <w:szCs w:val="24"/>
          <w:lang w:val="en-US"/>
        </w:rPr>
        <w:t xml:space="preserve">ICOLD, as the premier international organization dedicated to dam safety, calls on all concerned professionals and organizations to make a solid commitment to safety improvements and risk reductions at all dams, with the aspirational objective of working towards a continual reduction of dam safety events </w:t>
      </w:r>
      <w:r w:rsidRPr="00051297">
        <w:rPr>
          <w:rFonts w:cs="Times New Roman"/>
          <w:szCs w:val="24"/>
        </w:rPr>
        <w:fldChar w:fldCharType="begin" w:fldLock="1"/>
      </w:r>
      <w:r w:rsidR="00FA5896">
        <w:rPr>
          <w:rFonts w:cs="Times New Roman"/>
          <w:szCs w:val="24"/>
          <w:lang w:val="en-US"/>
        </w:rPr>
        <w:instrText>ADDIN CSL_CITATION {"citationItems":[{"id":"ITEM-1","itemData":{"DOI":"10.1680/jdare.16.00050","ISSN":"1368-1494","abstract":"The ICOLD programme kicked off with an opportunity to attend a technical tour on Sunday, 15 May, 2016. There was also an opportunity to attend these tours again on 19 May 2016, discussed in the technical tours paper.","author":[{"dropping-particle":"","family":"Williamson","given":"Tracey","non-dropping-particle":"","parse-names":false,"suffix":""},{"dropping-particle":"","family":"Hughes","given":"Andy","non-dropping-particle":"","parse-names":false,"suffix":""},{"dropping-particle":"","family":"Hope","given":"Ian","non-dropping-particle":"","parse-names":false,"suffix":""},{"dropping-particle":"","family":"Monroy","given":"Rafael","non-dropping-particle":"","parse-names":false,"suffix":""}],"container-title":"Dams and Reservoirs","id":"ITEM-1","issue":"1","issued":{"date-parts":[["2017","4"]]},"page":"2-7","title":"ICOLD technical tours","type":"article-journal","volume":"27"},"uris":["http://www.mendeley.com/documents/?uuid=081dac1b-8073-4a20-9631-dc28ff69c8d6","http://www.mendeley.com/documents/?uuid=5a9d124b-72a3-446b-b5fb-6a3184613bd2","http://www.mendeley.com/documents/?uuid=bae2be73-41d3-486d-8901-4a08ee2e2d48"]}],"mendeley":{"formattedCitation":"[198]","plainTextFormattedCitation":"[198]","previouslyFormattedCitation":"[198]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[198]</w:t>
      </w:r>
      <w:r w:rsidRPr="00051297">
        <w:rPr>
          <w:rFonts w:cs="Times New Roman"/>
          <w:szCs w:val="24"/>
        </w:rPr>
        <w:fldChar w:fldCharType="end"/>
      </w:r>
      <w:r w:rsidRPr="00051297">
        <w:rPr>
          <w:rFonts w:cs="Times New Roman"/>
          <w:szCs w:val="24"/>
          <w:lang w:val="en-US"/>
        </w:rPr>
        <w:t xml:space="preserve">. Furthermore, as part of their contribution to the development and regulation of dam infrastructure, governments, financial institutions, and other developers are urged to make a similar political and financial commitment to ensure that the critical safety recommendations for dams outlined in ICOLD Bulletins are disseminated to the appropriate parties and followed through </w:t>
      </w:r>
      <w:r w:rsidRPr="00051297">
        <w:rPr>
          <w:rFonts w:cs="Times New Roman"/>
          <w:szCs w:val="24"/>
        </w:rPr>
        <w:fldChar w:fldCharType="begin" w:fldLock="1"/>
      </w:r>
      <w:r w:rsidR="00FA5896">
        <w:rPr>
          <w:rFonts w:cs="Times New Roman"/>
          <w:szCs w:val="24"/>
          <w:lang w:val="en-US"/>
        </w:rPr>
        <w:instrText>ADDIN CSL_CITATION {"citationItems":[{"id":"ITEM-1","itemData":{"DOI":"10.1007/s35147-017-0019-2","ISSN":"0043-0978","author":[{"dropping-particle":"","family":"Wieland","given":"Martin","non-dropping-particle":"","parse-names":false,"suffix":""}],"container-title":"WASSERWIRTSCHAFT","id":"ITEM-1","issue":"2-3","issued":{"date-parts":[["2017","3"]]},"page":"87-87","title":"Neue ICOLD-Bulletins","type":"article-journal","volume":"107"},"uris":["http://www.mendeley.com/documents/?uuid=09d7031e-a400-46d5-853f-81ab43df6edd","http://www.mendeley.com/documents/?uuid=03b05d4e-a6ea-4895-b846-904137896db8","http://www.mendeley.com/documents/?uuid=b8d59e5e-e68e-4f79-bec5-da2eed0be1f2"]},{"id":"ITEM-2","itemData":{"DOI":"10.1007/s35147-019-0084-9","ISSN":"0043-0978","author":[{"dropping-particle":"","family":"Ortega","given":"Francisco","non-dropping-particle":"","parse-names":false,"suffix":""}],"container-title":"WASSERWIRTSCHAFT","id":"ITEM-2","issue":"5","issued":{"date-parts":[["2019","5"]]},"page":"166-169","title":"The new ICOLD Bulletin on RCC Dams","type":"article-journal","volume":"109"},"uris":["http://www.mendeley.com/documents/?uuid=d2409424-a92a-4382-a627-362684bd07f0","http://www.mendeley.com/documents/?uuid=f1134866-bba6-4376-94fa-2a31c2f45e73","http://www.mendeley.com/documents/?uuid=dc9ea0dc-2e36-44f6-8a7c-571e973c32ef"]},{"id":"ITEM-3","itemData":{"DOI":"10.1007/s41062-017-0089-0","ISSN":"2364-4176","abstract":"The paper presents the contents of the latest bulletin published by the International Commission on Large Dams (ICOLD) on the subject of geomembranes as sealing systems for dams. Bulletin 135, published in 2010, is an updating and expansion of ICOLD Bulletins 38, published in 1981, and 78, published in 1991. Bulletin 135 has been prepared, under the aegis of the ICOLD Committee on Materials for Fill Dams, by the ad-hoc European Working Group for geomembranes and geosynthetics as facing materials, composed by experts from nine European countries, with external contribution from USA. Different competences were covered by the group, which included geomembrane scientists, dam designers, geomembrane systems designers, dam owners, and geomembrane specialist contractors. The bulletin is composed of 9 chapters, in total 464 pages for the English and the French versions. The paper outlines the history of the constitution of the working group, the preparation of the database on geomembrane systems in dams all over the world, discusses the topics covered by each chapter, and gives some statistics based on the database. Some case histories mentioned in the Bulletin, and recent developments, are also presented.","author":[{"dropping-particle":"","family":"Scuero","given":"Alberto","non-dropping-particle":"","parse-names":false,"suffix":""},{"dropping-particle":"","family":"Vaschetti","given":"Gabriella","non-dropping-particle":"","parse-names":false,"suffix":""}],"container-title":"Innovative Infrastructure Solutions","id":"ITEM-3","issue":"1","issued":{"date-parts":[["2017","12"]]},"page":"29","title":"Geomembrane sealing systems for dams: ICOLD Bulletin 135","type":"article-journal","volume":"2"},"uris":["http://www.mendeley.com/documents/?uuid=b8dfcdf1-802a-445e-89df-91902a40e48f","http://www.mendeley.com/documents/?uuid=c4e4597d-242b-4f50-9022-7d14356473d0","http://www.mendeley.com/documents/?uuid=9711d488-a5bf-45aa-8828-6a88b7f59617"]}],"mendeley":{"formattedCitation":"[188,190,199]","plainTextFormattedCitation":"[188,190,199]","previouslyFormattedCitation":"[188,190,199]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[188,190,199]</w:t>
      </w:r>
      <w:r w:rsidRPr="00051297">
        <w:rPr>
          <w:rFonts w:cs="Times New Roman"/>
          <w:szCs w:val="24"/>
        </w:rPr>
        <w:fldChar w:fldCharType="end"/>
      </w:r>
      <w:r w:rsidRPr="00051297">
        <w:rPr>
          <w:rFonts w:cs="Times New Roman"/>
          <w:szCs w:val="24"/>
        </w:rPr>
        <w:t xml:space="preserve">. </w:t>
      </w:r>
    </w:p>
    <w:p w14:paraId="3D624D3F" w14:textId="3DCD3A40" w:rsidR="00051297" w:rsidRPr="00051297" w:rsidRDefault="00051297" w:rsidP="00EE7BED">
      <w:pPr>
        <w:pStyle w:val="5"/>
      </w:pPr>
      <w:bookmarkStart w:id="381" w:name="_Toc79511113"/>
      <w:bookmarkStart w:id="382" w:name="_Toc97504755"/>
      <w:bookmarkStart w:id="383" w:name="_Toc103543889"/>
      <w:bookmarkStart w:id="384" w:name="_Toc104985213"/>
      <w:r w:rsidRPr="00051297">
        <w:t>Dam safety management</w:t>
      </w:r>
      <w:bookmarkEnd w:id="381"/>
      <w:bookmarkEnd w:id="382"/>
      <w:bookmarkEnd w:id="383"/>
      <w:bookmarkEnd w:id="384"/>
    </w:p>
    <w:p w14:paraId="7F3A39D5" w14:textId="23656CFD" w:rsidR="00051297" w:rsidRPr="00051297" w:rsidRDefault="00051297" w:rsidP="00051297">
      <w:pPr>
        <w:rPr>
          <w:rFonts w:cs="Times New Roman"/>
          <w:szCs w:val="24"/>
          <w:lang w:val="en-US"/>
        </w:rPr>
      </w:pPr>
      <w:r w:rsidRPr="00051297">
        <w:rPr>
          <w:rFonts w:cs="Times New Roman"/>
          <w:szCs w:val="24"/>
          <w:lang w:val="en-US"/>
        </w:rPr>
        <w:t xml:space="preserve">Dam safety rules and management systems provide dams the foresight they need to avoid catastrophic disasters </w:t>
      </w:r>
      <w:r w:rsidRPr="00051297">
        <w:rPr>
          <w:rFonts w:cs="Times New Roman"/>
          <w:szCs w:val="24"/>
        </w:rPr>
        <w:fldChar w:fldCharType="begin" w:fldLock="1"/>
      </w:r>
      <w:r w:rsidR="00FA5896">
        <w:rPr>
          <w:rFonts w:cs="Times New Roman"/>
          <w:szCs w:val="24"/>
          <w:lang w:val="en-US"/>
        </w:rPr>
        <w:instrText>ADDIN CSL_CITATION {"citationItems":[{"id":"ITEM-1","itemData":{"DOI":"10.1016/j.agwat.2010.10.001","ISSN":"03783774","abstract":"In most countries, owner responsibility exists under Common Law to manage and maintain dams according to current standards. However, farm dam safety in Australia is being flouted and the sustainability of farming businesses compromised because of the potential and severe consequences of dam failure. This paper explores management and policy issues associated with safety of farm dam water storage through a comparison of developments in two Australian states against international benchmarks. Historical review and a longitudinal study over a 12-year period provides the basis for case analysis and demonstrates the application of the benchmarked model policy selection guidelines. Research results show South Australia is lagging international best practice in a number of ways whilst Tasmania provides leadership. The contribution of this paper is a regulatory mix analysis approach, incorporating a cost-effective spillway safety engineering/accounting tool, developed and demonstrated through Australian case studies, that can be applied by any jurisdiction wanting to check and/or improve its farm dam safety management and provide a clearer analysis of the social and environmental costs and threats associated with on-farm dam safety issues. © 2010.","author":[{"dropping-particle":"","family":"Pisaniello","given":"John D.","non-dropping-particle":"","parse-names":false,"suffix":""},{"dropping-particle":"","family":"Burritt","given":"Roger L.","non-dropping-particle":"","parse-names":false,"suffix":""},{"dropping-particle":"","family":"Tingey-Holyoak","given":"Joanne","non-dropping-particle":"","parse-names":false,"suffix":""}],"container-title":"Agricultural Water Management","id":"ITEM-1","issue":"4","issued":{"date-parts":[["2011","2"]]},"page":"507-516","title":"Dam safety management for sustainable farming businesses and catchments","type":"article-journal","volume":"98"},"uris":["http://www.mendeley.com/documents/?uuid=58b5c07c-2de8-4070-96e6-4f956ea3d02b","http://www.mendeley.com/documents/?uuid=db486d63-bd7a-4994-83ed-e307acf53e65","http://www.mendeley.com/documents/?uuid=c4b25db3-79fa-47ad-8b92-5f2013743122"]},{"id":"ITEM-2","itemData":{"DOI":"10.1016/j.advengsoft.2008.10.009","ISSN":"09659978","abstract":"Recently, we can see an increasing amount of dam damage or failure due to aging, earthquakes occurrence and unusual changes in weather. For this reason, dam safety is gaining more importance than ever before in terms of disaster management at a national level. Therefore, the government is trying to come up with an array of legal actions to secure consistent dam safety. Other dam management organizations are also taking various institutional and technical measures for the same purpose. The Korea Water Resource Corporation (Kwater) which is currently operating and managing 30 large dams, has developed a dam safety management system, KDSMS, for consistent and efficient dam safety management. The KDSMS consists of dam and reservoir data, a hydrological information system, a field inspection and data management system, instrumentation and monitoring system including earthquake monitoring, a field investigation and safety evaluation system, and a collective information system. The KDSMS is a kind of enterprise management system which has been developed to deal with safety management of each field, research center, and headquarter office and their correlation as well as detailed safety information management. © 2008 Elsevier Ltd. All rights reserved.","author":[{"dropping-particle":"","family":"Jeon","given":"Jesung","non-dropping-particle":"","parse-names":false,"suffix":""},{"dropping-particle":"","family":"Lee","given":"Jongwook","non-dropping-particle":"","parse-names":false,"suffix":""},{"dropping-particle":"","family":"Shin","given":"Donghoon","non-dropping-particle":"","parse-names":false,"suffix":""},{"dropping-particle":"","family":"Park","given":"Hangyu","non-dropping-particle":"","parse-names":false,"suffix":""}],"container-title":"Advances in Engineering Software","id":"ITEM-2","issue":"8","issued":{"date-parts":[["2009","8"]]},"page":"554-563","title":"Development of dam safety management system","type":"article-journal","volume":"40"},"uris":["http://www.mendeley.com/documents/?uuid=53fbce74-0b98-4920-a4a2-a43eda511c30","http://www.mendeley.com/documents/?uuid=e0bd42e5-f2ab-4bf4-8d5c-4366a822443b","http://www.mendeley.com/documents/?uuid=3d8edeea-a0ad-4e67-9ffb-1c58cb35055c"]}],"mendeley":{"formattedCitation":"[200,201]","plainTextFormattedCitation":"[200,201]","previouslyFormattedCitation":"[200,201]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[200,201]</w:t>
      </w:r>
      <w:r w:rsidRPr="00051297">
        <w:rPr>
          <w:rFonts w:cs="Times New Roman"/>
          <w:szCs w:val="24"/>
        </w:rPr>
        <w:fldChar w:fldCharType="end"/>
      </w:r>
      <w:r w:rsidRPr="00051297">
        <w:rPr>
          <w:rFonts w:cs="Times New Roman"/>
          <w:szCs w:val="24"/>
          <w:lang w:val="en-US"/>
        </w:rPr>
        <w:t>. Dam owners are accountable for their dams' safety. Certain controls, such as safety management systems, monitoring, and operational procedures, must be implemented.</w:t>
      </w:r>
    </w:p>
    <w:p w14:paraId="77C9994F" w14:textId="43533098" w:rsidR="00051297" w:rsidRPr="00051297" w:rsidRDefault="00051297" w:rsidP="00EE7BED">
      <w:pPr>
        <w:pStyle w:val="5"/>
      </w:pPr>
      <w:bookmarkStart w:id="385" w:name="_Toc79511114"/>
      <w:bookmarkStart w:id="386" w:name="_Toc97504756"/>
      <w:bookmarkStart w:id="387" w:name="_Toc103543890"/>
      <w:bookmarkStart w:id="388" w:name="_Toc104985214"/>
      <w:r w:rsidRPr="00051297">
        <w:t xml:space="preserve">Dam </w:t>
      </w:r>
      <w:r w:rsidR="00141AE9">
        <w:rPr>
          <w:lang w:val="en-US"/>
        </w:rPr>
        <w:t>s</w:t>
      </w:r>
      <w:r w:rsidRPr="00051297">
        <w:t xml:space="preserve">afety </w:t>
      </w:r>
      <w:r w:rsidR="00141AE9">
        <w:rPr>
          <w:lang w:val="en-US"/>
        </w:rPr>
        <w:t>p</w:t>
      </w:r>
      <w:r w:rsidRPr="00051297">
        <w:t>rograms</w:t>
      </w:r>
      <w:bookmarkEnd w:id="385"/>
      <w:bookmarkEnd w:id="386"/>
      <w:bookmarkEnd w:id="387"/>
      <w:bookmarkEnd w:id="388"/>
    </w:p>
    <w:p w14:paraId="0C0B7280" w14:textId="0E459B34" w:rsidR="00051297" w:rsidRPr="007350F9" w:rsidRDefault="00051297" w:rsidP="00051297">
      <w:pPr>
        <w:rPr>
          <w:rFonts w:cs="Times New Roman"/>
          <w:spacing w:val="-4"/>
          <w:szCs w:val="24"/>
          <w:lang w:val="en-US"/>
        </w:rPr>
      </w:pPr>
      <w:r w:rsidRPr="007350F9">
        <w:rPr>
          <w:rFonts w:cs="Times New Roman"/>
          <w:spacing w:val="-4"/>
          <w:szCs w:val="24"/>
          <w:lang w:val="en-US"/>
        </w:rPr>
        <w:t xml:space="preserve">Dam owners and dam engineers have various obligations when it comes to ensuring dam safety. The owner bears the primary responsibility for the dam's safety. As a result, dam owners are responsible for conducting investigations, design, construction, and safety reviews of their assets, as well as reporting on them. They must guarantee that operations and maintenance (O&amp;M) manuals and dam safety emergency plans (DSEP) are prepared and updated (DSEP) </w:t>
      </w:r>
      <w:r w:rsidRPr="007350F9">
        <w:rPr>
          <w:rFonts w:cs="Times New Roman"/>
          <w:spacing w:val="-4"/>
          <w:szCs w:val="24"/>
        </w:rPr>
        <w:fldChar w:fldCharType="begin" w:fldLock="1"/>
      </w:r>
      <w:r w:rsidR="00FA5896" w:rsidRPr="007350F9">
        <w:rPr>
          <w:rFonts w:cs="Times New Roman"/>
          <w:spacing w:val="-4"/>
          <w:szCs w:val="24"/>
          <w:lang w:val="en-US"/>
        </w:rPr>
        <w:instrText>ADDIN CSL_CITATION {"citationItems":[{"id":"ITEM-1","itemData":{"DOI":"10.1007/978-981-15-1971-0_1","ISSN":"2198316X","abstract":"Dam Safety Emergency Plan (DSEP) is a management document for safety and emergency events like flood and earthquake affecting the dam and appurtenant structures. The document aids the dam owner to detect early warnings, strategize their remedial measures, develop evacuation plan and identify the right person to execute the plan. The paper describes the challenges in preparation and implementation of the DSEP for Hydroelectric Plants namely Batang Ai Hydroelectric Plant and Murum-Bakun hydroelectric plant. During preparation of the DSEP, information gathered from Hydrological review and inundation maps are used to develop a notification flowchart which assisted the Emergency Management Team (EMT) during Dam Safety Event and Emergencies. Meanwhile, challenges during the implementation of DSEP are coordinating and educating the staff working at respective Hydroelectric Plants; communication and in-house competency. Post mortem session after tabletop exercise and on-site drill were conducted to ensure challenges were documented for future improvement.","author":[{"dropping-particle":"","family":"Tipol","given":"Farah Hanan Binti","non-dropping-particle":"","parse-names":false,"suffix":""}],"container-title":"Water Resources Development and Management","id":"ITEM-1","issued":{"date-parts":[["2020"]]},"title":"Challenges in Preparation and Implementation of Dam Safety Emergency Plan for Hydroelectric Plants in Sarawak","type":"chapter"},"uris":["http://www.mendeley.com/documents/?uuid=9fc30bc9-8ed8-471e-ab6f-bc4b176d9b28","http://www.mendeley.com/documents/?uuid=dde9bd9e-ff8b-4e7c-a1df-18ce1d7b0541"]}],"mendeley":{"formattedCitation":"[194]","plainTextFormattedCitation":"[194]","previouslyFormattedCitation":"[194]"},"properties":{"noteIndex":0},"schema":"https://github.com/citation-style-language/schema/raw/master/csl-citation.json"}</w:instrText>
      </w:r>
      <w:r w:rsidRPr="007350F9">
        <w:rPr>
          <w:rFonts w:cs="Times New Roman"/>
          <w:spacing w:val="-4"/>
          <w:szCs w:val="24"/>
        </w:rPr>
        <w:fldChar w:fldCharType="separate"/>
      </w:r>
      <w:r w:rsidR="0032684D" w:rsidRPr="007350F9">
        <w:rPr>
          <w:rFonts w:cs="Times New Roman"/>
          <w:noProof/>
          <w:spacing w:val="-4"/>
          <w:szCs w:val="24"/>
          <w:lang w:val="en-US"/>
        </w:rPr>
        <w:t>[194]</w:t>
      </w:r>
      <w:r w:rsidRPr="007350F9">
        <w:rPr>
          <w:rFonts w:cs="Times New Roman"/>
          <w:spacing w:val="-4"/>
          <w:szCs w:val="24"/>
        </w:rPr>
        <w:fldChar w:fldCharType="end"/>
      </w:r>
      <w:r w:rsidRPr="007350F9">
        <w:rPr>
          <w:rFonts w:cs="Times New Roman"/>
          <w:spacing w:val="-4"/>
          <w:szCs w:val="24"/>
          <w:lang w:val="en-US"/>
        </w:rPr>
        <w:t xml:space="preserve">. </w:t>
      </w:r>
    </w:p>
    <w:p w14:paraId="2E344349" w14:textId="77777777" w:rsidR="00051297" w:rsidRPr="007350F9" w:rsidRDefault="00051297" w:rsidP="00051297">
      <w:pPr>
        <w:rPr>
          <w:rFonts w:cs="Times New Roman"/>
          <w:spacing w:val="-4"/>
          <w:szCs w:val="24"/>
          <w:lang w:val="en-US"/>
        </w:rPr>
      </w:pPr>
      <w:r w:rsidRPr="007350F9">
        <w:rPr>
          <w:rFonts w:cs="Times New Roman"/>
          <w:spacing w:val="-4"/>
          <w:szCs w:val="24"/>
          <w:lang w:val="en-US"/>
        </w:rPr>
        <w:t>Dam owners also conduct monitoring programs in order to collect operational and performance data, as well as commission dam safety checks. The dam's engineer's job is to help dam owners with their responsibilities by addressing technical issues like regional and site geology, structural soundness, design for all loading conditions, and material selection.</w:t>
      </w:r>
    </w:p>
    <w:p w14:paraId="2606167F" w14:textId="654AEAAD" w:rsidR="00051297" w:rsidRPr="007350F9" w:rsidRDefault="00051297" w:rsidP="00051297">
      <w:pPr>
        <w:rPr>
          <w:rFonts w:cs="Times New Roman"/>
          <w:spacing w:val="-4"/>
          <w:szCs w:val="24"/>
          <w:lang w:val="en-US"/>
        </w:rPr>
      </w:pPr>
      <w:r w:rsidRPr="007350F9">
        <w:rPr>
          <w:rFonts w:cs="Times New Roman"/>
          <w:spacing w:val="-4"/>
          <w:szCs w:val="24"/>
          <w:lang w:val="en-US"/>
        </w:rPr>
        <w:t xml:space="preserve">Dam safety programs include a variety of activities to offer, manage, and ensure dam safety in order to meet the goals outlined above. To begin, a comprehensive dam safety program should include </w:t>
      </w:r>
      <w:r w:rsidRPr="007350F9">
        <w:rPr>
          <w:rFonts w:cs="Times New Roman"/>
          <w:spacing w:val="-4"/>
          <w:szCs w:val="24"/>
          <w:lang w:val="en-US"/>
        </w:rPr>
        <w:lastRenderedPageBreak/>
        <w:t xml:space="preserve">an overall inspection and monitoring program, as well as clearly defined responsibilities for dam operators, training programs to prepare operators for incident management, and a system to validate operations and updates. Second, any incidents must be handled according to a detailed plan </w:t>
      </w:r>
      <w:r w:rsidRPr="007350F9">
        <w:rPr>
          <w:rFonts w:cs="Times New Roman"/>
          <w:spacing w:val="-4"/>
          <w:szCs w:val="24"/>
        </w:rPr>
        <w:fldChar w:fldCharType="begin" w:fldLock="1"/>
      </w:r>
      <w:r w:rsidR="00FA5896" w:rsidRPr="007350F9">
        <w:rPr>
          <w:rFonts w:cs="Times New Roman"/>
          <w:spacing w:val="-4"/>
          <w:szCs w:val="24"/>
          <w:lang w:val="en-US"/>
        </w:rPr>
        <w:instrText>ADDIN CSL_CITATION {"citationItems":[{"id":"ITEM-1","itemData":{"DOI":"10.1016/J.ENG.2016.04.003","ISSN":"20958099","abstract":"The first author proposed the concept of the cemented material dam (CMD) in 2009. This concept was aimed at building an environmentally friendly dam in a safer and more economical way for both the dam and the area downstream. The concept covers the cemented sand, gravel, and rock dam (CSGRD), the rockfill concrete (RFC) dam (or the cemented rockfill dam, CRD), and the cemented soil dam (CSD). This paper summarizes the concept and principles of the CMD based on studies and practices in projects around the world. It also introduces new developments in the CSGRD, CRD, and CSD.","author":[{"dropping-particle":"","family":"Jia","given":"Jinsheng","non-dropping-particle":"","parse-names":false,"suffix":""},{"dropping-particle":"","family":"Lino","given":"Michel","non-dropping-particle":"","parse-names":false,"suffix":""},{"dropping-particle":"","family":"Jin","given":"Feng","non-dropping-particle":"","parse-names":false,"suffix":""},{"dropping-particle":"","family":"Zheng","given":"Cuiying","non-dropping-particle":"","parse-names":false,"suffix":""}],"container-title":"Engineering","id":"ITEM-1","issued":{"date-parts":[["2016"]]},"title":"The Cemented Material Dam: A New, Environmentally Friendly Type of Dam","type":"article-journal"},"uris":["http://www.mendeley.com/documents/?uuid=6398e60b-101a-4cce-abe8-3b6168865c9a","http://www.mendeley.com/documents/?uuid=99dd3a00-c284-4497-aff6-f2f8eaf4acd5","http://www.mendeley.com/documents/?uuid=97231a5e-a107-4b09-90ea-ac57b828cd54"]}],"mendeley":{"formattedCitation":"[202]","plainTextFormattedCitation":"[202]","previouslyFormattedCitation":"[202]"},"properties":{"noteIndex":0},"schema":"https://github.com/citation-style-language/schema/raw/master/csl-citation.json"}</w:instrText>
      </w:r>
      <w:r w:rsidRPr="007350F9">
        <w:rPr>
          <w:rFonts w:cs="Times New Roman"/>
          <w:spacing w:val="-4"/>
          <w:szCs w:val="24"/>
        </w:rPr>
        <w:fldChar w:fldCharType="separate"/>
      </w:r>
      <w:r w:rsidR="0032684D" w:rsidRPr="007350F9">
        <w:rPr>
          <w:rFonts w:cs="Times New Roman"/>
          <w:noProof/>
          <w:spacing w:val="-4"/>
          <w:szCs w:val="24"/>
          <w:lang w:val="en-US"/>
        </w:rPr>
        <w:t>[202]</w:t>
      </w:r>
      <w:r w:rsidRPr="007350F9">
        <w:rPr>
          <w:rFonts w:cs="Times New Roman"/>
          <w:spacing w:val="-4"/>
          <w:szCs w:val="24"/>
        </w:rPr>
        <w:fldChar w:fldCharType="end"/>
      </w:r>
      <w:r w:rsidRPr="007350F9">
        <w:rPr>
          <w:rFonts w:cs="Times New Roman"/>
          <w:spacing w:val="-4"/>
          <w:szCs w:val="24"/>
          <w:lang w:val="en-US"/>
        </w:rPr>
        <w:t>.</w:t>
      </w:r>
    </w:p>
    <w:p w14:paraId="5299CAD8" w14:textId="77777777" w:rsidR="00051297" w:rsidRPr="007350F9" w:rsidRDefault="00051297" w:rsidP="00051297">
      <w:pPr>
        <w:rPr>
          <w:rFonts w:cs="Times New Roman"/>
          <w:spacing w:val="-4"/>
          <w:szCs w:val="24"/>
          <w:lang w:val="en-US"/>
        </w:rPr>
      </w:pPr>
      <w:r w:rsidRPr="007350F9">
        <w:rPr>
          <w:rFonts w:cs="Times New Roman"/>
          <w:spacing w:val="-4"/>
          <w:szCs w:val="24"/>
          <w:lang w:val="en-US"/>
        </w:rPr>
        <w:t>Finally, they should ensure that current standards are followed, that preventative maintenance is performed as planned, that risks are managed within acceptable limits, and that adequate funds and personnel are available. As briefly explained below, numerous dam safety activities and processes handle these issues simultaneously, albeit in different ways.</w:t>
      </w:r>
    </w:p>
    <w:p w14:paraId="7107AFF6" w14:textId="77777777" w:rsidR="00051297" w:rsidRPr="007350F9" w:rsidRDefault="00051297" w:rsidP="00051297">
      <w:pPr>
        <w:numPr>
          <w:ilvl w:val="0"/>
          <w:numId w:val="15"/>
        </w:numPr>
        <w:tabs>
          <w:tab w:val="left" w:pos="993"/>
        </w:tabs>
        <w:ind w:left="0" w:firstLine="709"/>
        <w:rPr>
          <w:rFonts w:cs="Times New Roman"/>
          <w:spacing w:val="-4"/>
          <w:szCs w:val="24"/>
          <w:lang w:val="en-US"/>
        </w:rPr>
      </w:pPr>
      <w:r w:rsidRPr="007350F9">
        <w:rPr>
          <w:rFonts w:cs="Times New Roman"/>
          <w:spacing w:val="-4"/>
          <w:szCs w:val="24"/>
          <w:lang w:val="en-US"/>
        </w:rPr>
        <w:t>Dam Safety Emergency Plans and Operation and Maintenance Manuals</w:t>
      </w:r>
    </w:p>
    <w:p w14:paraId="4EF654FF" w14:textId="1AAE6F33" w:rsidR="00051297" w:rsidRPr="007350F9" w:rsidRDefault="00051297" w:rsidP="00051297">
      <w:pPr>
        <w:tabs>
          <w:tab w:val="left" w:pos="993"/>
        </w:tabs>
        <w:rPr>
          <w:rFonts w:cs="Times New Roman"/>
          <w:spacing w:val="-4"/>
          <w:szCs w:val="24"/>
          <w:lang w:val="en-US"/>
        </w:rPr>
      </w:pPr>
      <w:r w:rsidRPr="007350F9">
        <w:rPr>
          <w:rFonts w:cs="Times New Roman"/>
          <w:spacing w:val="-4"/>
          <w:szCs w:val="24"/>
          <w:lang w:val="en-US"/>
        </w:rPr>
        <w:t xml:space="preserve">A dam safety emergency plan (DSEP) is a constantly updated set of instructions and maps that address potential crises or odd occurrences at or near a dam or reservoir. It covers individual duties and responsibilities in an emergency, as well as emergency identification, evaluation, and notification protocols. For ease of reference during times of hardship, these are usually provided in flowchart format. The State Emergency Response Plan (DISPLAN), inundation maps, preventive activities, exercise training, and review history are also included </w:t>
      </w:r>
      <w:r w:rsidRPr="007350F9">
        <w:rPr>
          <w:rFonts w:cs="Times New Roman"/>
          <w:spacing w:val="-4"/>
          <w:szCs w:val="24"/>
        </w:rPr>
        <w:fldChar w:fldCharType="begin" w:fldLock="1"/>
      </w:r>
      <w:r w:rsidR="00FA5896" w:rsidRPr="007350F9">
        <w:rPr>
          <w:rFonts w:cs="Times New Roman"/>
          <w:spacing w:val="-4"/>
          <w:szCs w:val="24"/>
          <w:lang w:val="en-US"/>
        </w:rPr>
        <w:instrText>ADDIN CSL_CITATION {"citationItems":[{"id":"ITEM-1","itemData":{"abstract":"Of the approximately 910 dams on Indian reservations in the Western United States, 135 dams are currently classified as high- and significant-hazard potential, and are under the jurisdiction of the Bureau of Indian Affairs Safety of Dams (SOD) program. The program covers inspections, safety evaluations and analysis, corrective action process (design and construction) to mitigate deficiencies, operation and maintenance (O&amp;M), instrumentation and monitoring, and emergency management. Since 2002, the BIA SOD program has undergone gradual changes to its policy, guidelines, processes, and methodology under its own initiatives and also under the guidance of the Bureau of Reclamation (Reclamation), which is the lead agency for the Department of Interior (DOI) dam safety programs. This paper summarizes those key recent changes as well as future directions in the BIA dam-safety program. The most significant change is the adaptation of Reclamation's risk best practice and Public Protection Guidelines in BIA's decision process, but scaled to the size of BIA facilities. BIA is moving away from DOI's Technical Priority Rating System. The deficiency verification analysis (DVA) process has been replaced by Issue Evaluation (IE) in 2009. The official BIA guidelines used in the dam-safety decision process (expedited action, expedited dam safety action, short term test, long term test) are being formalized. Other new development includes: (a) a database containing project information and basic data similar to the National Inventory of Dams; (b) procedures and processes to prepare and exercise Emergency Action Plans; (c) guidelines to prepare O&amp;M manuals; (d) dam security guidelines scaled to BIA level. In addition, the new role of Reclamation in the BIA dam-safety program will be discussed.","author":[{"dropping-particle":"","family":"Byers","given":"Jack","non-dropping-particle":"","parse-names":false,"suffix":""}],"container-title":"Association of State Dam Safety Officials - Dam Safety 2012","id":"ITEM-1","issued":{"date-parts":[["2012"]]},"title":"New directions for bia dam safety program","type":"paper-conference"},"uris":["http://www.mendeley.com/documents/?uuid=b1a43353-f118-4c4c-993a-80cb02cb23f5","http://www.mendeley.com/documents/?uuid=a55216a7-3b32-4505-981d-35dc68eebf09","http://www.mendeley.com/documents/?uuid=fae62ecf-e513-4225-a3f6-46755865f343"]}],"mendeley":{"formattedCitation":"[203]","plainTextFormattedCitation":"[203]","previouslyFormattedCitation":"[203]"},"properties":{"noteIndex":0},"schema":"https://github.com/citation-style-language/schema/raw/master/csl-citation.json"}</w:instrText>
      </w:r>
      <w:r w:rsidRPr="007350F9">
        <w:rPr>
          <w:rFonts w:cs="Times New Roman"/>
          <w:spacing w:val="-4"/>
          <w:szCs w:val="24"/>
        </w:rPr>
        <w:fldChar w:fldCharType="separate"/>
      </w:r>
      <w:r w:rsidR="0032684D" w:rsidRPr="007350F9">
        <w:rPr>
          <w:rFonts w:cs="Times New Roman"/>
          <w:noProof/>
          <w:spacing w:val="-4"/>
          <w:szCs w:val="24"/>
          <w:lang w:val="en-US"/>
        </w:rPr>
        <w:t>[203]</w:t>
      </w:r>
      <w:r w:rsidRPr="007350F9">
        <w:rPr>
          <w:rFonts w:cs="Times New Roman"/>
          <w:spacing w:val="-4"/>
          <w:szCs w:val="24"/>
        </w:rPr>
        <w:fldChar w:fldCharType="end"/>
      </w:r>
      <w:r w:rsidRPr="007350F9">
        <w:rPr>
          <w:rFonts w:cs="Times New Roman"/>
          <w:spacing w:val="-4"/>
          <w:szCs w:val="24"/>
          <w:lang w:val="en-US"/>
        </w:rPr>
        <w:t>.</w:t>
      </w:r>
    </w:p>
    <w:p w14:paraId="5B279260" w14:textId="21663906" w:rsidR="00051297" w:rsidRPr="007350F9" w:rsidRDefault="00051297" w:rsidP="00051297">
      <w:pPr>
        <w:tabs>
          <w:tab w:val="left" w:pos="993"/>
        </w:tabs>
        <w:rPr>
          <w:rFonts w:cs="Times New Roman"/>
          <w:spacing w:val="-4"/>
          <w:szCs w:val="24"/>
          <w:lang w:val="en-US"/>
        </w:rPr>
      </w:pPr>
      <w:r w:rsidRPr="007350F9">
        <w:rPr>
          <w:rFonts w:cs="Times New Roman"/>
          <w:spacing w:val="-4"/>
          <w:szCs w:val="24"/>
          <w:lang w:val="en-US"/>
        </w:rPr>
        <w:t xml:space="preserve">Adopting appropriate Operation &amp; Maintenance (O&amp;M) techniques improve a dam's efficiency and effectiveness. An O&amp;M Manual is a great approach to keeping track of such procedures. Drawings, operation instructions and procedures, safety surveillance features, maintenance schedules, and records are normally included in the dam manual  </w:t>
      </w:r>
      <w:r w:rsidRPr="007350F9">
        <w:rPr>
          <w:rFonts w:cs="Times New Roman"/>
          <w:spacing w:val="-4"/>
          <w:szCs w:val="24"/>
        </w:rPr>
        <w:fldChar w:fldCharType="begin" w:fldLock="1"/>
      </w:r>
      <w:r w:rsidR="00FA5896" w:rsidRPr="007350F9">
        <w:rPr>
          <w:rFonts w:cs="Times New Roman"/>
          <w:spacing w:val="-4"/>
          <w:szCs w:val="24"/>
          <w:lang w:val="en-US"/>
        </w:rPr>
        <w:instrText xml:space="preserve">ADDIN CSL_CITATION {"citationItems":[{"id":"ITEM-1","itemData":{"DOI":"10.1201/9781351035781","ISBN":"9781351035781","abstract":"The terms of reference for the present technical committee of ICOLD, on Dam Surveillance approved at ICOLD 2003 is to: “Prepare guidelines for the optimal organisation of all components required for dam surveillance and monitoring (independently of the Automated Monitoring, already covered by Bulletin n° 118) with the purpose of dissemination in the fields of: </w:instrText>
      </w:r>
      <w:r w:rsidR="00FA5896" w:rsidRPr="007350F9">
        <w:rPr>
          <w:rFonts w:cs="Times New Roman"/>
          <w:spacing w:val="-4"/>
          <w:szCs w:val="24"/>
          <w:lang w:val="en-US"/>
        </w:rPr>
        <w:instrText xml:space="preserve"> visual inspection methods and procedures for improving their efficiency; </w:instrText>
      </w:r>
      <w:r w:rsidR="00FA5896" w:rsidRPr="007350F9">
        <w:rPr>
          <w:rFonts w:cs="Times New Roman"/>
          <w:spacing w:val="-4"/>
          <w:szCs w:val="24"/>
          <w:lang w:val="en-US"/>
        </w:rPr>
        <w:instrText xml:space="preserve"> continued availability and maintenance of technical data (documentation management for storage of engineering data and all information needed for periodical appraisal of the dam condition and support of engineering judgement as well as knowledge transfer from one generation to the next); </w:instrText>
      </w:r>
      <w:r w:rsidR="00FA5896" w:rsidRPr="007350F9">
        <w:rPr>
          <w:rFonts w:cs="Times New Roman"/>
          <w:spacing w:val="-4"/>
          <w:szCs w:val="24"/>
          <w:lang w:val="en-US"/>
        </w:rPr>
        <w:instrText xml:space="preserve"> optimization of instrumentation and monitoring (depending on the dam type and condition) and upgrading of instrumentation (on old dams); and </w:instrText>
      </w:r>
      <w:r w:rsidR="00FA5896" w:rsidRPr="007350F9">
        <w:rPr>
          <w:rFonts w:cs="Times New Roman"/>
          <w:spacing w:val="-4"/>
          <w:szCs w:val="24"/>
          <w:lang w:val="en-US"/>
        </w:rPr>
        <w:instrText> efficient management of monitoring data (acquisition, processing, conservation) and interpretation (of processed readings and observed data) to assess the present dam condition” The following figure (extracted from ICOLD Bulletin 118) explains the extent of the definition of the concept of “surveillance” to be used in this Bulletin.","container-title":"Dam Surveillance Guide","editor":[{"dropping-particle":"","family":"ICOLD","given":"CIGB","non-dropping-particle":"","parse-names":false,"suffix":""}],"id":"ITEM-1","issued":{"date-parts":[["2018","8"]]},"publisher":"CRC Press","title":"Dam Surveillance Guide","type":"book"},"uris":["http://www.mendeley.com/documents/?uuid=9f5c0973-3b21-4b83-9dae-b7bc1f4c4352","http://www.mendeley.com/documents/?uuid=95266e80-2469-4744-9f8f-1662ce557ad6","http://www.mendeley.com/documents/?uuid=578174a9-f1b6-4f01-a033-afe031b85cef"]}],"mendeley":{"formattedCitation":"[204]","plainTextFormattedCitation":"[204]","previouslyFormattedCitation":"[204]"},"properties":{"noteIndex":0},"schema":"https://github.com/citation-style-language/schema/raw/master/csl-citation.json"}</w:instrText>
      </w:r>
      <w:r w:rsidRPr="007350F9">
        <w:rPr>
          <w:rFonts w:cs="Times New Roman"/>
          <w:spacing w:val="-4"/>
          <w:szCs w:val="24"/>
        </w:rPr>
        <w:fldChar w:fldCharType="separate"/>
      </w:r>
      <w:r w:rsidR="0032684D" w:rsidRPr="007350F9">
        <w:rPr>
          <w:rFonts w:cs="Times New Roman"/>
          <w:noProof/>
          <w:spacing w:val="-4"/>
          <w:szCs w:val="24"/>
          <w:lang w:val="en-US"/>
        </w:rPr>
        <w:t>[204]</w:t>
      </w:r>
      <w:r w:rsidRPr="007350F9">
        <w:rPr>
          <w:rFonts w:cs="Times New Roman"/>
          <w:spacing w:val="-4"/>
          <w:szCs w:val="24"/>
        </w:rPr>
        <w:fldChar w:fldCharType="end"/>
      </w:r>
      <w:r w:rsidRPr="007350F9">
        <w:rPr>
          <w:rFonts w:cs="Times New Roman"/>
          <w:spacing w:val="-4"/>
          <w:szCs w:val="24"/>
          <w:lang w:val="en-US"/>
        </w:rPr>
        <w:t>.</w:t>
      </w:r>
    </w:p>
    <w:p w14:paraId="1827619E" w14:textId="1C9998C7" w:rsidR="00051297" w:rsidRPr="007350F9" w:rsidRDefault="00051297" w:rsidP="00051297">
      <w:pPr>
        <w:numPr>
          <w:ilvl w:val="0"/>
          <w:numId w:val="15"/>
        </w:numPr>
        <w:tabs>
          <w:tab w:val="left" w:pos="993"/>
        </w:tabs>
        <w:ind w:left="0" w:firstLine="709"/>
        <w:rPr>
          <w:rFonts w:cs="Times New Roman"/>
          <w:spacing w:val="-4"/>
          <w:szCs w:val="24"/>
        </w:rPr>
      </w:pPr>
      <w:r w:rsidRPr="007350F9">
        <w:rPr>
          <w:rFonts w:cs="Times New Roman"/>
          <w:spacing w:val="-4"/>
          <w:szCs w:val="24"/>
        </w:rPr>
        <w:t xml:space="preserve">Dam </w:t>
      </w:r>
      <w:r w:rsidR="00F2310A">
        <w:rPr>
          <w:rFonts w:cs="Times New Roman"/>
          <w:spacing w:val="-4"/>
          <w:szCs w:val="24"/>
          <w:lang w:val="en-US"/>
        </w:rPr>
        <w:t>s</w:t>
      </w:r>
      <w:r w:rsidRPr="007350F9">
        <w:rPr>
          <w:rFonts w:cs="Times New Roman"/>
          <w:spacing w:val="-4"/>
          <w:szCs w:val="24"/>
        </w:rPr>
        <w:t>urveillance </w:t>
      </w:r>
    </w:p>
    <w:p w14:paraId="39D89DBA" w14:textId="683774F6" w:rsidR="00051297" w:rsidRPr="007350F9" w:rsidRDefault="00051297" w:rsidP="00051297">
      <w:pPr>
        <w:tabs>
          <w:tab w:val="left" w:pos="993"/>
        </w:tabs>
        <w:rPr>
          <w:rFonts w:cs="Times New Roman"/>
          <w:spacing w:val="-4"/>
          <w:szCs w:val="24"/>
        </w:rPr>
      </w:pPr>
      <w:r w:rsidRPr="007350F9">
        <w:rPr>
          <w:rFonts w:cs="Times New Roman"/>
          <w:spacing w:val="-4"/>
          <w:szCs w:val="24"/>
          <w:lang w:val="en-US"/>
        </w:rPr>
        <w:t xml:space="preserve">The continual examination and recording of the state of a dam and its related structures are known as dam surveillance. Instrumentation is utilized to measure factors such as pore water pressures, seepage flow, and movement, which aids in dam inspection and monitoring. The data from the instruments is collected and analyzed to see if deteriorating trends are occurring or are likely to develop. A study of the operating, maintenance and monitoring processes is also included. Surveillance reports document the outcomes. Every 5 to 10 years, an independent review of the surveillance program is conducted </w:t>
      </w:r>
      <w:r w:rsidRPr="007350F9">
        <w:rPr>
          <w:rFonts w:cs="Times New Roman"/>
          <w:spacing w:val="-4"/>
          <w:szCs w:val="24"/>
        </w:rPr>
        <w:fldChar w:fldCharType="begin" w:fldLock="1"/>
      </w:r>
      <w:r w:rsidR="00FA5896" w:rsidRPr="007350F9">
        <w:rPr>
          <w:rFonts w:cs="Times New Roman"/>
          <w:spacing w:val="-4"/>
          <w:szCs w:val="24"/>
          <w:lang w:val="en-US"/>
        </w:rPr>
        <w:instrText xml:space="preserve">ADDIN CSL_CITATION {"citationItems":[{"id":"ITEM-1","itemData":{"abstract":"INDEX 1 Introduction 2 Visual Inspections and Special / Ad hoc Inspections 3 Checking and testing hydro-mechanical equipment 4 Monitoring parameters and devices 5 Automation 6 Maintenance and ageing of monitoring systems 7 Re-instrumentation of existing dams 8 Recent instrumentation developments and applications 9 Data management 10 Dam documentation management 11 Assessment of condition and behavior of dams 12 Assessment of Dam Safety Monitoring Programme 13 Prioritisation of maintenance, remedial and upgrading monitoring systems 14 Concluding remarks Annexure FOREWORD The terms of reference for the present technical committee of ICOLD, on Dam Surveillance approved at ICOLD 2003 is to: \" Prepare guidelines for the optimal organisation of all components required for dam surveillance and monitoring (independently of the Automated Monitoring, already covered by Bulletin n° 118) with the purpose of dissemination in the fields of: </w:instrText>
      </w:r>
      <w:r w:rsidR="00FA5896" w:rsidRPr="007350F9">
        <w:rPr>
          <w:rFonts w:cs="Times New Roman"/>
          <w:spacing w:val="-4"/>
          <w:szCs w:val="24"/>
          <w:lang w:val="en-US"/>
        </w:rPr>
        <w:instrText xml:space="preserve"> visual inspection methods and procedures for improving their efficiency; </w:instrText>
      </w:r>
      <w:r w:rsidR="00FA5896" w:rsidRPr="007350F9">
        <w:rPr>
          <w:rFonts w:cs="Times New Roman"/>
          <w:spacing w:val="-4"/>
          <w:szCs w:val="24"/>
          <w:lang w:val="en-US"/>
        </w:rPr>
        <w:instrText xml:space="preserve"> continued availability and maintenance of technical data (documentation management for storage of engineering data and all information needed for periodical appraisal of the dam condition and support of engineering judgement as well as knowledge transfer from one generation to the next); </w:instrText>
      </w:r>
      <w:r w:rsidR="00FA5896" w:rsidRPr="007350F9">
        <w:rPr>
          <w:rFonts w:cs="Times New Roman"/>
          <w:spacing w:val="-4"/>
          <w:szCs w:val="24"/>
          <w:lang w:val="en-US"/>
        </w:rPr>
        <w:instrText xml:space="preserve"> optimization of instrumentation and monitoring (depending on the dam type and condition) and upgrading of instrumentation (on old dams); and </w:instrText>
      </w:r>
      <w:r w:rsidR="00FA5896" w:rsidRPr="007350F9">
        <w:rPr>
          <w:rFonts w:cs="Times New Roman"/>
          <w:spacing w:val="-4"/>
          <w:szCs w:val="24"/>
          <w:lang w:val="en-US"/>
        </w:rPr>
        <w:instrText> efficient management of monitoring data (acquisition, processing, conservation) and interpretation (of processed readings and observed data) to assess the present dam condition \" The following figure (extracted from ICOLD Bulletin 118) explains the extent of the definition of the concept of \" surveillance \" to be used in this Bulletin.","author":[{"dropping-particle":"","family":"ICOLD (International Committee on Large Dams)","given":"","non-dropping-particle":"","parse-names":false,"suffix":""}],"container-title":"ICOLD Bulletin","id":"ITEM-1","issued":{"date-parts":[["2003"]]},"title":"Bulletin 158: Dam Surveillance Guide","type":"article-journal"},"uris":["http://www.mendeley.com/documents/?uuid=f99ea3b8-4125-455e-8ef1-6312aba91244","http://www.mendeley.com/documents/?uuid=4015cd7d-f790-424b-88f2-850885a0f1b8","http://www.mendeley.com/documents/?uuid=ebba6ab2-e617-4007-9389-99c167b19d2a"]}],"mendeley":{"formattedCitation":"[205]","plainTextFormattedCitation":"[205]","previouslyFormattedCitation":"[205]"},"properties":{"noteIndex":0},"schema":"https://github.com/citation-style-language/schema/raw/master/csl-citation.json"}</w:instrText>
      </w:r>
      <w:r w:rsidRPr="007350F9">
        <w:rPr>
          <w:rFonts w:cs="Times New Roman"/>
          <w:spacing w:val="-4"/>
          <w:szCs w:val="24"/>
        </w:rPr>
        <w:fldChar w:fldCharType="separate"/>
      </w:r>
      <w:r w:rsidR="0032684D" w:rsidRPr="007350F9">
        <w:rPr>
          <w:rFonts w:cs="Times New Roman"/>
          <w:noProof/>
          <w:spacing w:val="-4"/>
          <w:szCs w:val="24"/>
        </w:rPr>
        <w:t>[205]</w:t>
      </w:r>
      <w:r w:rsidRPr="007350F9">
        <w:rPr>
          <w:rFonts w:cs="Times New Roman"/>
          <w:spacing w:val="-4"/>
          <w:szCs w:val="24"/>
        </w:rPr>
        <w:fldChar w:fldCharType="end"/>
      </w:r>
      <w:r w:rsidRPr="007350F9">
        <w:rPr>
          <w:rFonts w:cs="Times New Roman"/>
          <w:spacing w:val="-4"/>
          <w:szCs w:val="24"/>
        </w:rPr>
        <w:t>. </w:t>
      </w:r>
    </w:p>
    <w:p w14:paraId="4627AC4E" w14:textId="28123194" w:rsidR="00051297" w:rsidRPr="007350F9" w:rsidRDefault="00051297" w:rsidP="00051297">
      <w:pPr>
        <w:numPr>
          <w:ilvl w:val="0"/>
          <w:numId w:val="15"/>
        </w:numPr>
        <w:tabs>
          <w:tab w:val="left" w:pos="993"/>
        </w:tabs>
        <w:ind w:left="0" w:firstLine="709"/>
        <w:rPr>
          <w:rFonts w:cs="Times New Roman"/>
          <w:spacing w:val="-4"/>
          <w:szCs w:val="24"/>
        </w:rPr>
      </w:pPr>
      <w:r w:rsidRPr="007350F9">
        <w:rPr>
          <w:rFonts w:cs="Times New Roman"/>
          <w:spacing w:val="-4"/>
          <w:szCs w:val="24"/>
        </w:rPr>
        <w:t xml:space="preserve">Inspections of </w:t>
      </w:r>
      <w:r w:rsidR="00F2310A">
        <w:rPr>
          <w:rFonts w:cs="Times New Roman"/>
          <w:spacing w:val="-4"/>
          <w:szCs w:val="24"/>
          <w:lang w:val="en-US"/>
        </w:rPr>
        <w:t>d</w:t>
      </w:r>
      <w:r w:rsidRPr="007350F9">
        <w:rPr>
          <w:rFonts w:cs="Times New Roman"/>
          <w:spacing w:val="-4"/>
          <w:szCs w:val="24"/>
        </w:rPr>
        <w:t>ams</w:t>
      </w:r>
    </w:p>
    <w:p w14:paraId="7B0A0DF7" w14:textId="77777777" w:rsidR="00051297" w:rsidRPr="007350F9" w:rsidRDefault="00051297" w:rsidP="00051297">
      <w:pPr>
        <w:tabs>
          <w:tab w:val="left" w:pos="993"/>
        </w:tabs>
        <w:rPr>
          <w:rFonts w:cs="Times New Roman"/>
          <w:spacing w:val="-4"/>
          <w:szCs w:val="24"/>
          <w:lang w:val="en-US"/>
        </w:rPr>
      </w:pPr>
      <w:r w:rsidRPr="007350F9">
        <w:rPr>
          <w:rFonts w:cs="Times New Roman"/>
          <w:spacing w:val="-4"/>
          <w:szCs w:val="24"/>
          <w:lang w:val="en-US"/>
        </w:rPr>
        <w:t>In order of diminishing detail and increasing frequency, dam safety inspections are classed as comprehensive, intermediate, or routine visual. The regularity with which these inspections are carried out for various dams is determined by the dam's consequence category, as defined by the ANCOLD Guidelines on Dam Safety Management. Dams in the extreme consequence category, for example, must have comprehensive inspections every five years, annual intermediate inspections, and daily routine visual inspections.</w:t>
      </w:r>
    </w:p>
    <w:p w14:paraId="4BC6B092" w14:textId="35870256" w:rsidR="00051297" w:rsidRPr="007350F9" w:rsidRDefault="00051297" w:rsidP="00051297">
      <w:pPr>
        <w:tabs>
          <w:tab w:val="left" w:pos="993"/>
        </w:tabs>
        <w:rPr>
          <w:rFonts w:cs="Times New Roman"/>
          <w:spacing w:val="-4"/>
          <w:szCs w:val="24"/>
        </w:rPr>
      </w:pPr>
      <w:r w:rsidRPr="007350F9">
        <w:rPr>
          <w:rFonts w:cs="Times New Roman"/>
          <w:spacing w:val="-4"/>
          <w:szCs w:val="24"/>
          <w:lang w:val="en-US"/>
        </w:rPr>
        <w:t xml:space="preserve">Following inspections, dam safety reports are written to describe new findings, changes since prior inspections, and recommendations. They include a look at the dam's surveillance and monitoring </w:t>
      </w:r>
      <w:r w:rsidRPr="007350F9">
        <w:rPr>
          <w:rFonts w:cs="Times New Roman"/>
          <w:spacing w:val="-4"/>
          <w:szCs w:val="24"/>
          <w:lang w:val="en-US"/>
        </w:rPr>
        <w:lastRenderedPageBreak/>
        <w:t xml:space="preserve">data, as well as its general performance. Additional material is required at the comprehensive level, such as an assessment of the dam's flood management capacity, remarks about the structure's safety in comparison to current standards, and the overall adequacy of the dam safety program </w:t>
      </w:r>
      <w:r w:rsidRPr="007350F9">
        <w:rPr>
          <w:rFonts w:cs="Times New Roman"/>
          <w:spacing w:val="-4"/>
          <w:szCs w:val="24"/>
        </w:rPr>
        <w:fldChar w:fldCharType="begin" w:fldLock="1"/>
      </w:r>
      <w:r w:rsidR="00FA5896" w:rsidRPr="007350F9">
        <w:rPr>
          <w:rFonts w:cs="Times New Roman"/>
          <w:spacing w:val="-4"/>
          <w:szCs w:val="24"/>
          <w:lang w:val="en-US"/>
        </w:rPr>
        <w:instrText>ADDIN CSL_CITATION {"citationItems":[{"id":"ITEM-1","itemData":{"DOI":"10.47260/jesge/1114","abstract":"When a dam is built, its safety becomes a constant concern for the owner, the public and for governments. Therefore, continuous observation through routine inspections and safety reviews become necessary. Acting as protectors of public safety, governments and professional organizations save no effort in the promulgation of legislations and laying out guidelines for such inspections and reviews. These issues are discussed here starting with the basic first step of visual inspections by the operators and the follow up of detailed safety reviews by specialists. Careful visual inspections assisted by instrumentation measurements may reveal an early negative issue such as, but not limited to, increased seepage, increased uplift pressure, signs of weakness like cracking in the body of the dam, or dams’ slope sloughing, and even damaged hydraulic control equipment. Documenting and reporting these observation helps in taking remedial measures in good time and may lead to more intensive safety reviews. Suggested check lists for the inspection engineers are given here, but these may be tailored for each dam according to its needs. These lists cover issues common to both embankment and concrete dams, and include other specific issues related to each type of them. Metal equipment take their share by listing such areas as corrosion, fatigue and cracking, tear, and wear and so on. Instrumentation measurements are also given their due consideration by giving brief mention of types of measurements needed and points to be observed in instrumentation control work. Finally, guidelines, rules, and legislations for Dam Safety Reviews are generally discussed giving examples from four countries in the world.","author":[{"dropping-particle":"","family":"Adamo","given":"Nasrat","non-dropping-particle":"","parse-names":false,"suffix":""},{"dropping-particle":"","family":"Al-Ansari","given":"Nadhir","non-dropping-particle":"","parse-names":false,"suffix":""},{"dropping-particle":"","family":"Sissakian","given":"Varoujan","non-dropping-particle":"","parse-names":false,"suffix":""},{"dropping-particle":"","family":"Laue","given":"Jan","non-dropping-particle":"","parse-names":false,"suffix":""},{"dropping-particle":"","family":"Knutsson","given":"Sven","non-dropping-particle":"","parse-names":false,"suffix":""}],"container-title":"Journal of Earth Sciences and Geotechnical Engineering","id":"ITEM-1","issued":{"date-parts":[["2020"]]},"title":"Dams Safety: Inspections, Safety Reviews, and Legislations","type":"article-journal"},"uris":["http://www.mendeley.com/documents/?uuid=14cb8f55-4116-400c-bad8-ea78af35206f","http://www.mendeley.com/documents/?uuid=9133109d-0bb9-4bad-9611-c81485f3dd9c","http://www.mendeley.com/documents/?uuid=acc204ec-de7d-4ddc-8138-d4c5ebe1de18"]}],"mendeley":{"formattedCitation":"[206]","plainTextFormattedCitation":"[206]","previouslyFormattedCitation":"[206]"},"properties":{"noteIndex":0},"schema":"https://github.com/citation-style-language/schema/raw/master/csl-citation.json"}</w:instrText>
      </w:r>
      <w:r w:rsidRPr="007350F9">
        <w:rPr>
          <w:rFonts w:cs="Times New Roman"/>
          <w:spacing w:val="-4"/>
          <w:szCs w:val="24"/>
        </w:rPr>
        <w:fldChar w:fldCharType="separate"/>
      </w:r>
      <w:r w:rsidR="0032684D" w:rsidRPr="007350F9">
        <w:rPr>
          <w:rFonts w:cs="Times New Roman"/>
          <w:noProof/>
          <w:spacing w:val="-4"/>
          <w:szCs w:val="24"/>
        </w:rPr>
        <w:t>[206]</w:t>
      </w:r>
      <w:r w:rsidRPr="007350F9">
        <w:rPr>
          <w:rFonts w:cs="Times New Roman"/>
          <w:spacing w:val="-4"/>
          <w:szCs w:val="24"/>
        </w:rPr>
        <w:fldChar w:fldCharType="end"/>
      </w:r>
      <w:r w:rsidRPr="007350F9">
        <w:rPr>
          <w:rFonts w:cs="Times New Roman"/>
          <w:spacing w:val="-4"/>
          <w:szCs w:val="24"/>
        </w:rPr>
        <w:t>. </w:t>
      </w:r>
    </w:p>
    <w:p w14:paraId="2070A3FD" w14:textId="2315DC43" w:rsidR="00051297" w:rsidRPr="007350F9" w:rsidRDefault="00051297" w:rsidP="00051297">
      <w:pPr>
        <w:numPr>
          <w:ilvl w:val="0"/>
          <w:numId w:val="15"/>
        </w:numPr>
        <w:tabs>
          <w:tab w:val="left" w:pos="993"/>
        </w:tabs>
        <w:ind w:left="0" w:firstLine="709"/>
        <w:rPr>
          <w:rFonts w:cs="Times New Roman"/>
          <w:spacing w:val="-4"/>
          <w:szCs w:val="24"/>
        </w:rPr>
      </w:pPr>
      <w:r w:rsidRPr="007350F9">
        <w:rPr>
          <w:rFonts w:cs="Times New Roman"/>
          <w:spacing w:val="-4"/>
          <w:szCs w:val="24"/>
        </w:rPr>
        <w:t xml:space="preserve">Review of </w:t>
      </w:r>
      <w:r w:rsidR="00F2310A">
        <w:rPr>
          <w:rFonts w:cs="Times New Roman"/>
          <w:spacing w:val="-4"/>
          <w:szCs w:val="24"/>
          <w:lang w:val="en-US"/>
        </w:rPr>
        <w:t>d</w:t>
      </w:r>
      <w:r w:rsidRPr="007350F9">
        <w:rPr>
          <w:rFonts w:cs="Times New Roman"/>
          <w:spacing w:val="-4"/>
          <w:szCs w:val="24"/>
        </w:rPr>
        <w:t xml:space="preserve">am </w:t>
      </w:r>
      <w:r w:rsidR="00F2310A">
        <w:rPr>
          <w:rFonts w:cs="Times New Roman"/>
          <w:spacing w:val="-4"/>
          <w:szCs w:val="24"/>
          <w:lang w:val="en-US"/>
        </w:rPr>
        <w:t>s</w:t>
      </w:r>
      <w:r w:rsidRPr="007350F9">
        <w:rPr>
          <w:rFonts w:cs="Times New Roman"/>
          <w:spacing w:val="-4"/>
          <w:szCs w:val="24"/>
        </w:rPr>
        <w:t>afety</w:t>
      </w:r>
    </w:p>
    <w:p w14:paraId="1C4FD750" w14:textId="7B6DB14B" w:rsidR="00051297" w:rsidRPr="007350F9" w:rsidRDefault="00051297" w:rsidP="00051297">
      <w:pPr>
        <w:tabs>
          <w:tab w:val="left" w:pos="993"/>
        </w:tabs>
        <w:rPr>
          <w:rFonts w:cs="Times New Roman"/>
          <w:spacing w:val="-4"/>
          <w:szCs w:val="24"/>
        </w:rPr>
      </w:pPr>
      <w:r w:rsidRPr="007350F9">
        <w:rPr>
          <w:rFonts w:cs="Times New Roman"/>
          <w:spacing w:val="-4"/>
          <w:szCs w:val="24"/>
          <w:lang w:val="en-US"/>
        </w:rPr>
        <w:t xml:space="preserve">Dam safety reviews differ from dam safety inspections in that they necessitate a thorough investigation of the dam's records and reports over a long period. They're a type of technical audit in which dam safety is reviewed by looking into and analyzing issues that haven't been addressed before or elements that are subject to new design criteria or prospective deterioration. Literature reviews, hydrological/geotechnical/seismological investigations, and engineering assessments of individual dam structures are among the additional technical information included in a dam safety review, in addition to those detailed in dam safety reports. Where necessary, engineering solutions for flaws discovered during dam safety inspections can be devised, designed, and built </w:t>
      </w:r>
      <w:r w:rsidRPr="007350F9">
        <w:rPr>
          <w:rFonts w:cs="Times New Roman"/>
          <w:spacing w:val="-4"/>
          <w:szCs w:val="24"/>
        </w:rPr>
        <w:fldChar w:fldCharType="begin" w:fldLock="1"/>
      </w:r>
      <w:r w:rsidR="00FA5896" w:rsidRPr="007350F9">
        <w:rPr>
          <w:rFonts w:cs="Times New Roman"/>
          <w:spacing w:val="-4"/>
          <w:szCs w:val="24"/>
          <w:lang w:val="en-US"/>
        </w:rPr>
        <w:instrText>ADDIN CSL_CITATION {"citationItems":[{"id":"ITEM-1","itemData":{"DOI":"10.47260/jesge/1117","abstract":"The awareness to tailings dam safety monitoring and reviews has increased by the catastrophes resulting from failures of such dams worsened by increasing tailings waste and construction of larger dams. The losses born by the mining industry from high costs of compensations and environmental rehabilitation work have brought this matter into focus. In the present article the need for safety monitoring programs of tailings dam is highlighted and mode of failures and factors leading to them are described. Basic principles of such programs are investigated with all phenomena needing observation described and their impacts explained. As in conventional dams this work is carried out by visual inspections and use of similar methods and instruments. In similar manners in both types of dams’ observation and measurements are done for measuring seepage water quantity and quality, phreatic surface level and pore pressure and total earth pressure values in addition to deformation measurements; and all are done by similar devices and methods such as weirs, piezometers, inclinometers, settlement plates and geodetic surveying. Basic differences between safety monitoring systems of the two types of dam, however, are presented in a tabular form. The continuity of safety monitoring of tailings dams is emphasized not only during the long construction phase but also after that in the abandonment and closure phase which can last indefinitely in order to watch for possible adverse effects on the environment and ecosystem due to the winds eroding and carrying of poisonous tailings contents, in addition to contaminated seepage water entering surface water streams and ground water. Justifications for using real time monitoring systems for recording and transmitting all data to the control center are presented with emphasis given on savings in both labor and time and need for the discovery of warning signs enabling raising earlier the alarm of possible failure or incident and the early taking of preventive measures. In this article it is argued that, in spite of the large investment of installing and running cost of comprehensive dam safety monitoring systems in tailings dams, such costs are justified as they form only a small percentage of the total investment in the tailings facilities projects, and may save huge costs if failure does happen. Such systems may be considered as an additional insurance against such events.","author":[{"dropping-particle":"","family":"Adamo","given":"Nasrat","non-dropping-particle":"","parse-names":false,"suffix":""},{"dropping-particle":"","family":"Al-Ansari","given":"Nadhir","non-dropping-particle":"","parse-names":false,"suffix":""},{"dropping-particle":"","family":"Sissakian","given":"Varoujan","non-dropping-particle":"","parse-names":false,"suffix":""},{"dropping-particle":"","family":"Laue","given":"Jan","non-dropping-particle":"","parse-names":false,"suffix":""},{"dropping-particle":"","family":"Knutsson","given":"Sven","non-dropping-particle":"","parse-names":false,"suffix":""}],"container-title":"Journal of Earth Sciences and Geotechnical Engineering","id":"ITEM-1","issued":{"date-parts":[["2020","9"]]},"page":"249-289","title":"Dam Safety: Monitoring of Tailings Dams and Safety Reviews","type":"article-journal"},"uris":["http://www.mendeley.com/documents/?uuid=2d112036-f5e4-4ee9-8b4d-d193b6a51ae2","http://www.mendeley.com/documents/?uuid=17a506cd-aa54-4b4d-aa03-8a9b0d0e9405","http://www.mendeley.com/documents/?uuid=b9b50dc4-314b-4cc0-8e17-4b7f7f614a33"]}],"mendeley":{"formattedCitation":"[207]","plainTextFormattedCitation":"[207]","previouslyFormattedCitation":"[207]"},"properties":{"noteIndex":0},"schema":"https://github.com/citation-style-language/schema/raw/master/csl-citation.json"}</w:instrText>
      </w:r>
      <w:r w:rsidRPr="007350F9">
        <w:rPr>
          <w:rFonts w:cs="Times New Roman"/>
          <w:spacing w:val="-4"/>
          <w:szCs w:val="24"/>
        </w:rPr>
        <w:fldChar w:fldCharType="separate"/>
      </w:r>
      <w:r w:rsidR="0032684D" w:rsidRPr="007350F9">
        <w:rPr>
          <w:rFonts w:cs="Times New Roman"/>
          <w:noProof/>
          <w:spacing w:val="-4"/>
          <w:szCs w:val="24"/>
        </w:rPr>
        <w:t>[207]</w:t>
      </w:r>
      <w:r w:rsidRPr="007350F9">
        <w:rPr>
          <w:rFonts w:cs="Times New Roman"/>
          <w:spacing w:val="-4"/>
          <w:szCs w:val="24"/>
        </w:rPr>
        <w:fldChar w:fldCharType="end"/>
      </w:r>
      <w:r w:rsidRPr="007350F9">
        <w:rPr>
          <w:rFonts w:cs="Times New Roman"/>
          <w:spacing w:val="-4"/>
          <w:szCs w:val="24"/>
        </w:rPr>
        <w:t>.</w:t>
      </w:r>
    </w:p>
    <w:p w14:paraId="3E03C698" w14:textId="56BB316F" w:rsidR="00051297" w:rsidRPr="007350F9" w:rsidRDefault="00051297" w:rsidP="00051297">
      <w:pPr>
        <w:numPr>
          <w:ilvl w:val="0"/>
          <w:numId w:val="15"/>
        </w:numPr>
        <w:tabs>
          <w:tab w:val="left" w:pos="993"/>
        </w:tabs>
        <w:ind w:left="0" w:firstLine="709"/>
        <w:rPr>
          <w:rFonts w:cs="Times New Roman"/>
          <w:spacing w:val="-4"/>
          <w:szCs w:val="24"/>
        </w:rPr>
      </w:pPr>
      <w:r w:rsidRPr="007350F9">
        <w:rPr>
          <w:rFonts w:cs="Times New Roman"/>
          <w:spacing w:val="-4"/>
          <w:szCs w:val="24"/>
        </w:rPr>
        <w:t xml:space="preserve">Dam </w:t>
      </w:r>
      <w:r w:rsidR="00F2310A">
        <w:rPr>
          <w:rFonts w:cs="Times New Roman"/>
          <w:spacing w:val="-4"/>
          <w:szCs w:val="24"/>
          <w:lang w:val="en-US"/>
        </w:rPr>
        <w:t>s</w:t>
      </w:r>
      <w:r w:rsidRPr="007350F9">
        <w:rPr>
          <w:rFonts w:cs="Times New Roman"/>
          <w:spacing w:val="-4"/>
          <w:szCs w:val="24"/>
        </w:rPr>
        <w:t xml:space="preserve">afety </w:t>
      </w:r>
      <w:r w:rsidR="00F2310A">
        <w:rPr>
          <w:rFonts w:cs="Times New Roman"/>
          <w:spacing w:val="-4"/>
          <w:szCs w:val="24"/>
          <w:lang w:val="en-US"/>
        </w:rPr>
        <w:t>r</w:t>
      </w:r>
      <w:r w:rsidRPr="007350F9">
        <w:rPr>
          <w:rFonts w:cs="Times New Roman"/>
          <w:spacing w:val="-4"/>
          <w:szCs w:val="24"/>
        </w:rPr>
        <w:t xml:space="preserve">isk </w:t>
      </w:r>
      <w:r w:rsidR="00F2310A">
        <w:rPr>
          <w:rFonts w:cs="Times New Roman"/>
          <w:spacing w:val="-4"/>
          <w:szCs w:val="24"/>
          <w:lang w:val="en-US"/>
        </w:rPr>
        <w:t>a</w:t>
      </w:r>
      <w:r w:rsidRPr="007350F9">
        <w:rPr>
          <w:rFonts w:cs="Times New Roman"/>
          <w:spacing w:val="-4"/>
          <w:szCs w:val="24"/>
        </w:rPr>
        <w:t>ssessments</w:t>
      </w:r>
    </w:p>
    <w:p w14:paraId="31E68757" w14:textId="4FC49908" w:rsidR="00051297" w:rsidRPr="00051297" w:rsidRDefault="00051297" w:rsidP="00051297">
      <w:pPr>
        <w:tabs>
          <w:tab w:val="left" w:pos="993"/>
        </w:tabs>
        <w:rPr>
          <w:rFonts w:cs="Times New Roman"/>
          <w:szCs w:val="24"/>
          <w:lang w:val="en-US"/>
        </w:rPr>
      </w:pPr>
      <w:r w:rsidRPr="007350F9">
        <w:rPr>
          <w:rFonts w:cs="Times New Roman"/>
          <w:spacing w:val="-4"/>
          <w:szCs w:val="24"/>
          <w:lang w:val="en-US"/>
        </w:rPr>
        <w:t>The likelihood or probability of negative effects occurring is defined as risk. All probable failure mechanisms, their probability of occurrence, and the magnitude of the resulting adverse event are considered in risk assessments. The risk assessment process entails analyzing and evaluating risks to determine whether they are tolerable (</w:t>
      </w:r>
      <w:r w:rsidRPr="007350F9">
        <w:rPr>
          <w:rFonts w:cs="Times New Roman"/>
          <w:spacing w:val="-4"/>
          <w:szCs w:val="24"/>
          <w:lang w:val="en-US"/>
        </w:rPr>
        <w:fldChar w:fldCharType="begin"/>
      </w:r>
      <w:r w:rsidRPr="007350F9">
        <w:rPr>
          <w:rFonts w:cs="Times New Roman"/>
          <w:spacing w:val="-4"/>
          <w:szCs w:val="24"/>
          <w:lang w:val="en-US"/>
        </w:rPr>
        <w:instrText xml:space="preserve"> REF _Ref98103295 \h </w:instrText>
      </w:r>
      <w:r w:rsidR="007350F9">
        <w:rPr>
          <w:rFonts w:cs="Times New Roman"/>
          <w:spacing w:val="-4"/>
          <w:szCs w:val="24"/>
          <w:lang w:val="en-US"/>
        </w:rPr>
        <w:instrText xml:space="preserve"> \* MERGEFORMAT </w:instrText>
      </w:r>
      <w:r w:rsidRPr="007350F9">
        <w:rPr>
          <w:rFonts w:cs="Times New Roman"/>
          <w:spacing w:val="-4"/>
          <w:szCs w:val="24"/>
          <w:lang w:val="en-US"/>
        </w:rPr>
      </w:r>
      <w:r w:rsidRPr="007350F9">
        <w:rPr>
          <w:rFonts w:cs="Times New Roman"/>
          <w:spacing w:val="-4"/>
          <w:szCs w:val="24"/>
          <w:lang w:val="en-US"/>
        </w:rPr>
        <w:fldChar w:fldCharType="separate"/>
      </w:r>
      <w:r w:rsidR="004870F1" w:rsidRPr="004870F1">
        <w:rPr>
          <w:rFonts w:cs="Times New Roman"/>
          <w:spacing w:val="-4"/>
          <w:szCs w:val="24"/>
          <w:lang w:val="en-US" w:bidi="en-US"/>
        </w:rPr>
        <w:t xml:space="preserve">Figure </w:t>
      </w:r>
      <w:r w:rsidR="004870F1" w:rsidRPr="004870F1">
        <w:rPr>
          <w:rFonts w:cs="Times New Roman"/>
          <w:noProof/>
          <w:spacing w:val="-4"/>
          <w:szCs w:val="24"/>
          <w:lang w:val="en-US" w:bidi="en-US"/>
        </w:rPr>
        <w:t>1.22</w:t>
      </w:r>
      <w:r w:rsidRPr="007350F9">
        <w:rPr>
          <w:rFonts w:cs="Times New Roman"/>
          <w:spacing w:val="-4"/>
          <w:szCs w:val="24"/>
          <w:lang w:val="en-US"/>
        </w:rPr>
        <w:fldChar w:fldCharType="end"/>
      </w:r>
      <w:r w:rsidRPr="007350F9">
        <w:rPr>
          <w:rFonts w:cs="Times New Roman"/>
          <w:spacing w:val="-4"/>
          <w:szCs w:val="24"/>
          <w:lang w:val="en-US"/>
        </w:rPr>
        <w:t xml:space="preserve">) and whether current risk control measures are sufficient. If not, it investigates whether the implementation of alternative risk control measures is justified. Dam break simulations are carried out, resulting in a probability-based analysis of damage and loss of life. Further economic and model sensitivity analysis is also carried out, with remedial steps based on acceptable risks being recommended </w:t>
      </w:r>
      <w:r w:rsidRPr="007350F9">
        <w:rPr>
          <w:rFonts w:cs="Times New Roman"/>
          <w:spacing w:val="-4"/>
          <w:szCs w:val="24"/>
        </w:rPr>
        <w:fldChar w:fldCharType="begin" w:fldLock="1"/>
      </w:r>
      <w:r w:rsidR="00FA5896" w:rsidRPr="007350F9">
        <w:rPr>
          <w:rFonts w:cs="Times New Roman"/>
          <w:spacing w:val="-4"/>
          <w:szCs w:val="24"/>
          <w:lang w:val="en-US"/>
        </w:rPr>
        <w:instrText>ADDIN CSL_CITATION {"citationItems":[{"id":"ITEM-1","itemData":{"abstract":"The use of uncertainty analysis in conjunction with risk assessment provides enhanced information for decision makers. Uncertainties in risk analysis inputs are propagated through the risk analysis and evaluation steps of risk assessment to obtain estimates of the level of confidence in the risk assessment outcomes. This paper presents a framework for uncertainty analysis in dam safety risk assessment, including an approach to incorporating input uncertainties into the risk analysis model. It proposes some useful formats for representing uncertainties in risk analysis results, such as expressing risk evaluation outcomes in terms of the confidence associated with meeting tolerable risk guidelines. The concepts are illustrated through an example application of uncertainty analysis for a large embankment dam.","author":[{"dropping-particle":"","family":"Chauhan","given":"S.S.","non-dropping-particle":"","parse-names":false,"suffix":""},{"dropping-particle":"","family":"Bowles","given":"D.S.","non-dropping-particle":"","parse-names":false,"suffix":""}],"container-title":"Proceedings of the Australian Committee on Large Dams Risk Workshop","id":"ITEM-1","issued":{"date-parts":[["2003"]]},"title":"Dam safety risk assessment with uncertainty analysis","type":"article-journal"},"uris":["http://www.mendeley.com/documents/?uuid=615cbb92-c941-4b45-8559-2a957f50982b","http://www.mendeley.com/documents/?uuid=95be0433-a72b-4346-9c70-3addebc4ed3f","http://www.mendeley.com/documents/?uuid=efa31246-0d6d-42db-83ef-b7fec017038e"]}],"mendeley":{"formattedCitation":"[208]","plainTextFormattedCitation":"[208]","previouslyFormattedCitation":"[208]"},"properties":{"noteIndex":0},"schema":"https://github.com/citation-style-language/schema/raw/master/csl-citation.json"}</w:instrText>
      </w:r>
      <w:r w:rsidRPr="007350F9">
        <w:rPr>
          <w:rFonts w:cs="Times New Roman"/>
          <w:spacing w:val="-4"/>
          <w:szCs w:val="24"/>
        </w:rPr>
        <w:fldChar w:fldCharType="separate"/>
      </w:r>
      <w:r w:rsidR="0032684D" w:rsidRPr="007350F9">
        <w:rPr>
          <w:rFonts w:cs="Times New Roman"/>
          <w:noProof/>
          <w:spacing w:val="-4"/>
          <w:szCs w:val="24"/>
          <w:lang w:val="en-US"/>
        </w:rPr>
        <w:t>[208]</w:t>
      </w:r>
      <w:r w:rsidRPr="007350F9">
        <w:rPr>
          <w:rFonts w:cs="Times New Roman"/>
          <w:spacing w:val="-4"/>
          <w:szCs w:val="24"/>
        </w:rPr>
        <w:fldChar w:fldCharType="end"/>
      </w:r>
      <w:r w:rsidRPr="007350F9">
        <w:rPr>
          <w:rFonts w:cs="Times New Roman"/>
          <w:spacing w:val="-4"/>
          <w:szCs w:val="24"/>
          <w:lang w:val="en-US"/>
        </w:rPr>
        <w:t>.</w:t>
      </w:r>
    </w:p>
    <w:p w14:paraId="73E2F170"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38B6F7CC" wp14:editId="666244B4">
            <wp:extent cx="3702445" cy="324000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t="4236" b="1930"/>
                    <a:stretch/>
                  </pic:blipFill>
                  <pic:spPr bwMode="auto">
                    <a:xfrm>
                      <a:off x="0" y="0"/>
                      <a:ext cx="3702445"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645557E9" w14:textId="0DACC5DA" w:rsidR="00051297" w:rsidRPr="00051297" w:rsidRDefault="00051297" w:rsidP="00051297">
      <w:pPr>
        <w:ind w:firstLine="0"/>
        <w:jc w:val="center"/>
        <w:rPr>
          <w:rFonts w:cs="Times New Roman"/>
          <w:szCs w:val="24"/>
          <w:lang w:val="en-US" w:bidi="en-US"/>
        </w:rPr>
      </w:pPr>
      <w:bookmarkStart w:id="389" w:name="_Ref98103295"/>
      <w:bookmarkStart w:id="390" w:name="_Toc104985409"/>
      <w:bookmarkStart w:id="391" w:name="_Toc98085889"/>
      <w:bookmarkStart w:id="392" w:name="_Toc103544086"/>
      <w:bookmarkStart w:id="393" w:name="_Toc97428214"/>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22</w:t>
      </w:r>
      <w:r w:rsidR="00527861">
        <w:rPr>
          <w:rFonts w:cs="Times New Roman"/>
          <w:szCs w:val="24"/>
          <w:lang w:val="en-US" w:bidi="en-US"/>
        </w:rPr>
        <w:fldChar w:fldCharType="end"/>
      </w:r>
      <w:bookmarkStart w:id="394" w:name="_Toc79511157"/>
      <w:bookmarkEnd w:id="389"/>
      <w:r w:rsidRPr="00051297">
        <w:rPr>
          <w:rFonts w:cs="Times New Roman"/>
          <w:szCs w:val="24"/>
          <w:lang w:val="en-US" w:bidi="en-US"/>
        </w:rPr>
        <w:t xml:space="preserve"> – Existing dam social risk recommendations </w:t>
      </w:r>
      <w:r w:rsidRPr="00051297">
        <w:rPr>
          <w:rFonts w:cs="Times New Roman"/>
          <w:szCs w:val="24"/>
          <w:lang w:val="en-US" w:bidi="en-US"/>
        </w:rPr>
        <w:fldChar w:fldCharType="begin" w:fldLock="1"/>
      </w:r>
      <w:r w:rsidR="00FA5896">
        <w:rPr>
          <w:rFonts w:cs="Times New Roman"/>
          <w:szCs w:val="24"/>
          <w:lang w:val="en-US" w:bidi="en-US"/>
        </w:rPr>
        <w:instrText>ADDIN CSL_CITATION {"citationItems":[{"id":"ITEM-1","itemData":{"author":[{"dropping-particle":"","family":"Gamini","given":"Adikari","non-dropping-particle":"","parse-names":false,"suffix":""},{"dropping-particle":"","family":"Natalie","given":"Kho","non-dropping-particle":"","parse-names":false,"suffix":""}],"container-title":"waterpowermagazine","id":"ITEM-1","issued":{"date-parts":[["2021"]]},"title":"Safety management of dams – the Australian practice","type":"webpage"},"uris":["http://www.mendeley.com/documents/?uuid=58c479e0-93c4-4e58-82f6-e0a2d6ada5ba","http://www.mendeley.com/documents/?uuid=78e1dd09-1958-450b-a2ba-1f2a28661b06"]}],"mendeley":{"formattedCitation":"[209]","plainTextFormattedCitation":"[209]","previouslyFormattedCitation":"[209]"},"properties":{"noteIndex":0},"schema":"https://github.com/citation-style-language/schema/raw/master/csl-citation.json"}</w:instrText>
      </w:r>
      <w:r w:rsidRPr="00051297">
        <w:rPr>
          <w:rFonts w:cs="Times New Roman"/>
          <w:szCs w:val="24"/>
          <w:lang w:val="en-US" w:bidi="en-US"/>
        </w:rPr>
        <w:fldChar w:fldCharType="separate"/>
      </w:r>
      <w:bookmarkEnd w:id="391"/>
      <w:bookmarkEnd w:id="392"/>
      <w:r w:rsidR="0032684D" w:rsidRPr="0032684D">
        <w:rPr>
          <w:rFonts w:cs="Times New Roman"/>
          <w:noProof/>
          <w:szCs w:val="24"/>
          <w:lang w:val="en-US" w:bidi="en-US"/>
        </w:rPr>
        <w:t>[209]</w:t>
      </w:r>
      <w:bookmarkEnd w:id="390"/>
      <w:r w:rsidRPr="00051297">
        <w:rPr>
          <w:rFonts w:cs="Times New Roman"/>
          <w:szCs w:val="24"/>
          <w:lang w:val="en-US" w:bidi="en-US"/>
        </w:rPr>
        <w:fldChar w:fldCharType="end"/>
      </w:r>
      <w:bookmarkEnd w:id="393"/>
      <w:bookmarkEnd w:id="394"/>
    </w:p>
    <w:p w14:paraId="391A7A29" w14:textId="77777777" w:rsidR="00051297" w:rsidRPr="00051297" w:rsidRDefault="00051297" w:rsidP="00051297">
      <w:pPr>
        <w:rPr>
          <w:rFonts w:cs="Times New Roman"/>
          <w:szCs w:val="24"/>
          <w:lang w:val="en-US"/>
        </w:rPr>
      </w:pPr>
      <w:r w:rsidRPr="00051297">
        <w:rPr>
          <w:rFonts w:cs="Times New Roman"/>
          <w:szCs w:val="24"/>
          <w:lang w:val="en-US"/>
        </w:rPr>
        <w:lastRenderedPageBreak/>
        <w:t>In contrast to the engineering-focused outcomes of a dam safety review, the risk-based approach allows remedial actions to be either engineering or non-engineering solutions. Changes to operating rules or the installation of warning systems are examples of non-engineering solutions. Remedial actions can be employed to correct flaws, but that does not mean there is no danger after the steps are completed. Dam management is always fraught with inherent dangers.</w:t>
      </w:r>
    </w:p>
    <w:p w14:paraId="47CD3BAE" w14:textId="160F50D8" w:rsidR="00051297" w:rsidRPr="00051297" w:rsidRDefault="00051297" w:rsidP="00051297">
      <w:pPr>
        <w:rPr>
          <w:rFonts w:cs="Times New Roman"/>
          <w:szCs w:val="24"/>
          <w:lang w:val="en-US"/>
        </w:rPr>
      </w:pPr>
      <w:r w:rsidRPr="00051297">
        <w:rPr>
          <w:rFonts w:cs="Times New Roman"/>
          <w:szCs w:val="24"/>
          <w:lang w:val="en-US"/>
        </w:rPr>
        <w:t xml:space="preserve">Dam safety risk assessments can be done for a group of dams or a single dam. Regardless of the approach, risk assessments are used to identify critical assets and serve as a planning tool for addressing high-risk components by providing a foundation for investment optimization and stakeholder justification </w:t>
      </w:r>
      <w:r w:rsidRPr="00051297">
        <w:rPr>
          <w:rFonts w:cs="Times New Roman"/>
          <w:szCs w:val="24"/>
        </w:rPr>
        <w:fldChar w:fldCharType="begin" w:fldLock="1"/>
      </w:r>
      <w:r w:rsidR="00FA5896">
        <w:rPr>
          <w:rFonts w:cs="Times New Roman"/>
          <w:szCs w:val="24"/>
          <w:lang w:val="en-US"/>
        </w:rPr>
        <w:instrText>ADDIN CSL_CITATION {"citationItems":[{"id":"ITEM-1","itemData":{"abstract":"This paper provides an overview and introduction to the current practice of dam safety risk assessment and management. It includes a summary of the history and development (\" roots \"); various facets and roles (\" branches \"); and benefits, limitations, and future growth (\"fruit \") of risk assessment and management. A broad role for risk assessment at the core of a comprehensive dam safety management program is proposed. In this role, the results of risk assessment are used to feed business and management processes such as, capital project evaluation and budgeting, loss financing and insurance, legal liability and due diligence assessment, and emergency preparedness and contingency planning. Contrasts are made with traditional dam engineering practice and the standards approach. The paper draws on the experience of the authors in conducting risk assessments on more than 130 dams for government and private owners and regulators in the U.","author":[{"dropping-particle":"","family":"Bowles","given":"D. S.","non-dropping-particle":"","parse-names":false,"suffix":""},{"dropping-particle":"","family":"Anderson","given":"L. R.","non-dropping-particle":"","parse-names":false,"suffix":""},{"dropping-particle":"","family":"Glover","given":"T. F","non-dropping-particle":"","parse-names":false,"suffix":""}],"container-title":"Eighteenth USCOLD Annual Meeting and Lecture","id":"ITEM-1","issued":{"date-parts":[["1998"]]},"title":"The practice of dam safety risk assessment and management: Its roots, its branches and its fruit","type":"article-journal"},"uris":["http://www.mendeley.com/documents/?uuid=27666cc3-573e-4bff-a76b-d892f3e9c4ca","http://www.mendeley.com/documents/?uuid=a93e11b1-3c41-4c0c-9711-f39a566173d1","http://www.mendeley.com/documents/?uuid=0cd174f1-1648-4338-994a-d9b151d2f6de"]}],"mendeley":{"formattedCitation":"[210]","plainTextFormattedCitation":"[210]","previouslyFormattedCitation":"[210]"},"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[210]</w:t>
      </w:r>
      <w:r w:rsidRPr="00051297">
        <w:rPr>
          <w:rFonts w:cs="Times New Roman"/>
          <w:szCs w:val="24"/>
        </w:rPr>
        <w:fldChar w:fldCharType="end"/>
      </w:r>
      <w:r w:rsidRPr="00051297">
        <w:rPr>
          <w:rFonts w:cs="Times New Roman"/>
          <w:szCs w:val="24"/>
          <w:lang w:val="en-US"/>
        </w:rPr>
        <w:t>.</w:t>
      </w:r>
    </w:p>
    <w:p w14:paraId="27775250" w14:textId="462957E7" w:rsidR="00051297" w:rsidRPr="00051297" w:rsidRDefault="00051297" w:rsidP="00EE7BED">
      <w:pPr>
        <w:pStyle w:val="5"/>
        <w:rPr>
          <w:lang w:val="en-US"/>
        </w:rPr>
      </w:pPr>
      <w:bookmarkStart w:id="395" w:name="_Toc97504757"/>
      <w:bookmarkStart w:id="396" w:name="_Toc103543891"/>
      <w:bookmarkStart w:id="397" w:name="_Toc104985215"/>
      <w:r w:rsidRPr="00051297">
        <w:rPr>
          <w:lang w:val="en-US"/>
        </w:rPr>
        <w:t>Dam safety and flood evaluation</w:t>
      </w:r>
      <w:bookmarkEnd w:id="395"/>
      <w:bookmarkEnd w:id="396"/>
      <w:bookmarkEnd w:id="397"/>
    </w:p>
    <w:p w14:paraId="279D8135" w14:textId="5FA4E207" w:rsidR="00051297" w:rsidRPr="00051297" w:rsidRDefault="00051297" w:rsidP="00051297">
      <w:pPr>
        <w:rPr>
          <w:rFonts w:cs="Times New Roman"/>
          <w:szCs w:val="24"/>
        </w:rPr>
      </w:pPr>
      <w:r w:rsidRPr="00051297">
        <w:rPr>
          <w:rFonts w:cs="Times New Roman"/>
          <w:szCs w:val="24"/>
          <w:lang w:val="en-US"/>
        </w:rPr>
        <w:t xml:space="preserve">Dams and hydrology are two fields that are intertwined. However, the majority of the analyses performed in a dam hydrological study are independent of the structure's type or characteristics. Its location is crucial in determining the quantity and variability of the water inflow available for useful purposes (irrigation, energy production), as well as the characteristics of the unusual hydrological events that threaten the dam (floods and their intensity). The hydrological studies, on the other hand, do not address the dam structure </w:t>
      </w:r>
      <w:r w:rsidRPr="00051297">
        <w:rPr>
          <w:rFonts w:cs="Times New Roman"/>
          <w:szCs w:val="24"/>
        </w:rPr>
        <w:fldChar w:fldCharType="begin" w:fldLock="1"/>
      </w:r>
      <w:r w:rsidR="00FA5896">
        <w:rPr>
          <w:rFonts w:cs="Times New Roman"/>
          <w:szCs w:val="24"/>
          <w:lang w:val="en-US"/>
        </w:rPr>
        <w:instrText>ADDIN CSL_CITATION {"citationItems":[{"id":"ITEM-1","itemData":{"DOI":"10.1201/9781351031103","ISBN":"9781351031103","abstract":"Hydrology and dams are two fields that are obviously closely related. The fact is however that most of the analyses developed in a hydrological study are independent from the type of the dam and its charac- teristics. Its location is just important to determine the quantity and variability of the water inflow available for useful use (irrigation, energy production) and the properties of the unusual hydrological events threat- ening the dam (floods and their intensity). But the hydrological studies do not address the dam structure itself. Four bulletins have so far been published by this committee: Selection of design flood – Currents methods (#82, 1992), Dams and Floods – Guidelines and Cases Histories (2003), Role of Dams in Flood Mitigation (2006) and Integrated Flood Management (2010). These texts have essentially addressed floods, the risks they represent and their significance for the populations at stake. Examples were given of the observed beneficial role of dams for attenuating the destructive power of extreme hydrological events, as well as conceptual approaches for coping with such situations. Hints were provided at ways to integrate the flood management in the reservoir operation, along with other considerations related to climate change and real case experiences. The present Bulletin extends the various aspects of hydrology and dams presented in the former bulletins, adopting a somewhat more technical perspective. The text consists of three chapters of different nature, written to be easily accessible to practitioners. The first one is a vade mecum of “clas- sical” hydrological methods, which are briefly summarized. The second is a description of an original approach to cope with the uncertainties of extreme floods; this method is based on numerical models. The last chapter focuses on the various criteria applied throughout the world for selecting the design flood, a reference for flood evacuation systems. A few specific recommendations are presented at the end of each chapter. All","container-title":"Flood Evaluation and Dam Safety","editor":[{"dropping-particle":"","family":"ICOLD","given":"CIGB","non-dropping-particle":"","parse-names":false,"suffix":""}],"id":"ITEM-1","issued":{"date-parts":[["2018","8"]]},"publisher":"CRC Press","title":"Flood Evaluation and Dam Safety","type":"book"},"uris":["http://www.mendeley.com/documents/?uuid=496723cc-8a9f-4760-87b1-787a05ece512","http://www.mendeley.com/documents/?uuid=fb201592-a796-4d73-a1a7-fc5f8ad37042"]}],"mendeley":{"formattedCitation":"[211]","plainTextFormattedCitation":"[211]","previouslyFormattedCitation":"[211]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[211]</w:t>
      </w:r>
      <w:r w:rsidRPr="00051297">
        <w:rPr>
          <w:rFonts w:cs="Times New Roman"/>
          <w:szCs w:val="24"/>
        </w:rPr>
        <w:fldChar w:fldCharType="end"/>
      </w:r>
      <w:r w:rsidRPr="00051297">
        <w:rPr>
          <w:rFonts w:cs="Times New Roman"/>
          <w:szCs w:val="24"/>
        </w:rPr>
        <w:t>.</w:t>
      </w:r>
    </w:p>
    <w:p w14:paraId="6072A64B" w14:textId="446E5D39" w:rsidR="00051297" w:rsidRPr="00051297" w:rsidRDefault="00051297" w:rsidP="00EE7BED">
      <w:pPr>
        <w:pStyle w:val="5"/>
      </w:pPr>
      <w:bookmarkStart w:id="398" w:name="_Toc97504758"/>
      <w:bookmarkStart w:id="399" w:name="_Toc103543892"/>
      <w:bookmarkStart w:id="400" w:name="_Toc104985216"/>
      <w:r w:rsidRPr="00051297">
        <w:t>Dam internal erosion</w:t>
      </w:r>
      <w:bookmarkEnd w:id="398"/>
      <w:bookmarkEnd w:id="399"/>
      <w:bookmarkEnd w:id="400"/>
    </w:p>
    <w:p w14:paraId="2962757F" w14:textId="397BE455" w:rsidR="00051297" w:rsidRPr="00051297" w:rsidRDefault="00051297" w:rsidP="00051297">
      <w:pPr>
        <w:rPr>
          <w:rFonts w:cs="Times New Roman"/>
          <w:szCs w:val="24"/>
          <w:lang w:val="en-US"/>
        </w:rPr>
      </w:pPr>
      <w:r w:rsidRPr="00051297">
        <w:rPr>
          <w:rFonts w:cs="Times New Roman"/>
          <w:szCs w:val="24"/>
          <w:lang w:val="en-US"/>
        </w:rPr>
        <w:t xml:space="preserve">Internal erosion occurs when the material is removed from the soil via seepage, resulting in the formation of voids. It is the second most prevalent cause of levee failure and one of the most common causes of earth dam failures, accounting for almost half of all embankment dam failures </w:t>
      </w:r>
      <w:r w:rsidRPr="00051297">
        <w:rPr>
          <w:rFonts w:cs="Times New Roman"/>
          <w:szCs w:val="24"/>
        </w:rPr>
        <w:fldChar w:fldCharType="begin" w:fldLock="1"/>
      </w:r>
      <w:r w:rsidR="00FA5896">
        <w:rPr>
          <w:rFonts w:cs="Times New Roman"/>
          <w:szCs w:val="24"/>
          <w:lang w:val="en-US"/>
        </w:rPr>
        <w:instrText>ADDIN CSL_CITATION {"citationItems":[{"id":"ITEM-1","itemData":{"DOI":"10.28927/SR.413237","ISSN":"19809743","abstract":"In embankment dams and dam foundations, internal erosion is the major cause of structural dam failures and incidents. Internal erosion develops locally along concentrated leaks or in the largest flow velocity zones, where the permeability is high, and at the interface between coarse and fine materials, where the flow velocity in coarse material may be high compared to the adjacent fine material. The mechanics of the equilibrium of the particle governs the initiation of the internal erosion. Filter and drain systems constitute a first line of defense against the phase of continuation of erosion. It is assumed by several authors that the continuation of internal erosion can be prevented by using adequate granular filters in areas where important hydraulic gradients may develop. This lecture addresses the most important and frequent of those internal erosion mechanisms in dams-induced by concentrated leaks or by backward erosion piping, presenting event trees for estimating the resultant probabilities of failure. To assist in the determination of the range of probabilities of their branches, a set of laboratory tests is described. In complement, some knowledge gaps related to the described mechanisms are identified, where future research efforts are directed at LNEC. Two case studies of dams and one case study of a cofferdam with internal erosion problems are described. The first is an embankment dam, Lapão dam, where due to design and construction problems an internal erosion process was developed. The other is Crestuma dam, a gated structure type. Since the dam started operating, the riverbed near the dam has been subject to frequent monitoring that showed progressive scour of the protective rockfill layer. This lecture presents the results of the studies undertaken in relation to the hydraulic stability of the alluvial foundation of the dam stilling basins and of the downstream rockfill, and the main features of the implemented repairing solutions. The last case is a cofferdam constituted by natural decomposed granite rock mass and a water tightness solution with jet grouting columns and grouting. The problems of internal erosion related to this type of formation are described, as well as the interventions adopted to overcome their effects.","author":[{"dropping-particle":"","family":"Caldeira","given":"Laura","non-dropping-particle":"","parse-names":false,"suffix":""}],"container-title":"Soils and Rocks","id":"ITEM-1","issue":"3","issued":{"date-parts":[["2018","12"]]},"page":"237-263","title":"Internal Erosion in Dams","type":"article-journal","volume":"41"},"uris":["http://www.mendeley.com/documents/?uuid=7ee89e2d-eec2-4634-bc93-2f765696086b","http://www.mendeley.com/documents/?uuid=2a7c8cf3-fdb1-4011-8667-79c7e5fc28fe","http://www.mendeley.com/documents/?uuid=6678ccbf-cb46-43e8-92e9-4dd287c71e95"]}],"mendeley":{"formattedCitation":"[212]","plainTextFormattedCitation":"[212]","previouslyFormattedCitation":"[212]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[212]</w:t>
      </w:r>
      <w:r w:rsidRPr="00051297">
        <w:rPr>
          <w:rFonts w:cs="Times New Roman"/>
          <w:szCs w:val="24"/>
        </w:rPr>
        <w:fldChar w:fldCharType="end"/>
      </w:r>
      <w:r w:rsidRPr="00051297">
        <w:rPr>
          <w:rFonts w:cs="Times New Roman"/>
          <w:szCs w:val="24"/>
          <w:lang w:val="en-US"/>
        </w:rPr>
        <w:t xml:space="preserve">. </w:t>
      </w:r>
    </w:p>
    <w:p w14:paraId="41425258" w14:textId="7488B13B" w:rsidR="00051297" w:rsidRPr="00051297" w:rsidRDefault="00051297" w:rsidP="00051297">
      <w:pPr>
        <w:rPr>
          <w:rFonts w:cs="Times New Roman"/>
          <w:szCs w:val="24"/>
          <w:lang w:val="en-US"/>
        </w:rPr>
      </w:pPr>
      <w:r w:rsidRPr="00051297">
        <w:rPr>
          <w:rFonts w:cs="Times New Roman"/>
          <w:szCs w:val="24"/>
          <w:lang w:val="en-US"/>
        </w:rPr>
        <w:t xml:space="preserve">Moreover, internal erosion occurs when water seeping via pores and fractures in the dam and/or foundation exerts sufficient hydraulic forces to dislodge particles and transport them out of the dam structure. Internal erosion is particularly harmful because there may be no or only mild external evidence that it is occurring. A sand boil may usually be found, but it may be hidden underwater. After evidence of internal erosion becomes apparent, a dam may breach within a few hours </w:t>
      </w:r>
      <w:r w:rsidRPr="00051297">
        <w:rPr>
          <w:rFonts w:cs="Times New Roman"/>
          <w:szCs w:val="24"/>
        </w:rPr>
        <w:fldChar w:fldCharType="begin" w:fldLock="1"/>
      </w:r>
      <w:r w:rsidR="00FA5896">
        <w:rPr>
          <w:rFonts w:cs="Times New Roman"/>
          <w:szCs w:val="24"/>
          <w:lang w:val="en-US"/>
        </w:rPr>
        <w:instrText>ADDIN CSL_CITATION {"citationItems":[{"id":"ITEM-1","itemData":{"ISBN":"9789082746815","abstract":"Dams and dikes are both water-retaining earth embankments. These are vulnerable to internal erosion but specific differences lead to varying vulnerabilities to different types of internal erosion: • Dams are usually zoned, with potential filtering capability to arrest piping if it is initiated, while dikes are more commonly unzoned and incapable of arresting erosion. • Dams are usually higher than dikes, therefore the pressures are higher and leakages are more damaging. • Dams have usually been built to their present height in one stage, dikes have often been improved over time, with a present crest height considerably higher than the initial height. In case of a significant raise, the original design assumptions no longer apply and modifications to the existing structure to provide sufficient safety may be costly. • Dams have a limited crest length, while dikes may extend for hundreds of kilometres. This poses quite different possibilities and challenges for inspection and monitoring. • Dams are built across a stream to block it, while dikes are built along it and only guide the stream. For the design and construction of dams the flow must be sufficiently blocked, including through the foundation. Many dikes on untreated sandy foundations are vulnerable to backward erosion. • Dams always require provisions to pass the flow, for dikes this is rare. Concentrated leak erosion along culverts and spillways often poses a threat to dams but rarely to dikes. Each of the above points will be illustrated by practical cases, focusing on the various mechanisms of internal erosion which are dealt with first.","author":[{"dropping-particle":"","family":"Koelewijn","given":"A. R.","non-dropping-particle":"","parse-names":false,"suffix":""},{"dropping-particle":"","family":"Bridle","given":"R","non-dropping-particle":"","parse-names":false,"suffix":""}],"container-title":"25th Meeting European Working Group on Internal Erosion in Embankment Dams &amp; their Foundations","id":"ITEM-1","issued":{"date-parts":[["2017"]]},"title":"Internal erosion in dams and dikes: a comparison","type":"article-journal"},"uris":["http://www.mendeley.com/documents/?uuid=2e86896f-4a7c-48aa-8c2d-84ec374ebd1e","http://www.mendeley.com/documents/?uuid=de2555ba-4a07-4e29-a723-65cfbded2a1e","http://www.mendeley.com/documents/?uuid=6e75edb4-b394-4589-b7bc-3adfd28b5303"]}],"mendeley":{"formattedCitation":"[213]","plainTextFormattedCitation":"[213]","previouslyFormattedCitation":"[213]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[213]</w:t>
      </w:r>
      <w:r w:rsidRPr="00051297">
        <w:rPr>
          <w:rFonts w:cs="Times New Roman"/>
          <w:szCs w:val="24"/>
        </w:rPr>
        <w:fldChar w:fldCharType="end"/>
      </w:r>
      <w:r w:rsidRPr="00051297">
        <w:rPr>
          <w:rFonts w:cs="Times New Roman"/>
          <w:szCs w:val="24"/>
          <w:lang w:val="en-US"/>
        </w:rPr>
        <w:t>.</w:t>
      </w:r>
    </w:p>
    <w:p w14:paraId="285DBF34" w14:textId="5278DE03" w:rsidR="00051297" w:rsidRPr="00051297" w:rsidRDefault="00051297" w:rsidP="00051297">
      <w:pPr>
        <w:rPr>
          <w:rFonts w:cs="Times New Roman"/>
          <w:szCs w:val="24"/>
          <w:vertAlign w:val="superscript"/>
          <w:lang w:val="en-US"/>
        </w:rPr>
      </w:pPr>
      <w:r w:rsidRPr="00051297">
        <w:rPr>
          <w:rFonts w:cs="Times New Roman"/>
          <w:szCs w:val="24"/>
          <w:lang w:val="en-US"/>
        </w:rPr>
        <w:t xml:space="preserve">Piping is a related phenomenon that is defined as the gradual development of internal erosion by seepage, manifesting downstream as a water-dispensing hole. Until a continuous pipe is constructed, regressive erosion of particles from downstream and along the upstream line towards an outside environment causes piping </w:t>
      </w:r>
      <w:r w:rsidRPr="00051297">
        <w:rPr>
          <w:rFonts w:cs="Times New Roman"/>
          <w:szCs w:val="24"/>
        </w:rPr>
        <w:fldChar w:fldCharType="begin" w:fldLock="1"/>
      </w:r>
      <w:r w:rsidR="00FA5896">
        <w:rPr>
          <w:rFonts w:cs="Times New Roman"/>
          <w:szCs w:val="24"/>
          <w:lang w:val="en-US"/>
        </w:rPr>
        <w:instrText>ADDIN CSL_CITATION {"citationItems":[{"id":"ITEM-1","itemData":{"DOI":"10.1016/j.wse.2019.08.001","ISSN":"16742370","abstract":"Based on model tests of earthen dam breach due to piping failure, a numerical model was developed. A key difference from previous research is the assumption that the cross-section of the pipe channel is an arch, with a rectangle at the bottom and a semicircle at the top before the collapse of the pipe roof, rather than a rectangular or circular cross-section. A shear stress-based erosion rate formula was utilized, and the arched pipe tunnel was assumed to enlarge along its length and width until the overlying soil could no longer maintain stability. Orifice flow and open channel flow were adopted to calculate the breach flow discharge for pressure and free surface flows, respectively. The collapse of the pipe roof was determined by comparing the weight of the overlying soil and the cohesion of the soil on the two sidewalls of the pipe. After the collapse, overtopping failure dominated, and the limit equilibrium method was adopted to estimate the stability of the breach slope when the water flow overtopped. In addition, incomplete and base erosion, as well as one- and two-sided breaches were taken into account. The USDA-ARS-HERU model test P1, with detailed measured data, was used as a case study, and two artificially filled earthen dam failure cases were studied to verify the model. Feedback analysis demonstrates that the proposed model can provide satisfactory results for modeling the breach flow discharge and breach development process. Sensitivity analysis shows that the soil erodibility and initial piping position significantly affect the prediction of the breach flow discharge. Furthermore, a comparison with a well-known numerical model shows that the proposed model performs better than the NWS BREACH model.","author":[{"dropping-particle":"","family":"Chen","given":"Sheng-shui","non-dropping-particle":"","parse-names":false,"suffix":""},{"dropping-particle":"","family":"Zhong","given":"Qi-ming","non-dropping-particle":"","parse-names":false,"suffix":""},{"dropping-particle":"","family":"Shen","given":"Guang-ze","non-dropping-particle":"","parse-names":false,"suffix":""}],"container-title":"Water Science and Engineering","id":"ITEM-1","issue":"3","issued":{"date-parts":[["2019","9"]]},"page":"169-178","title":"Numerical modeling of earthen dam breach due to piping failure","type":"article-journal","volume":"12"},"uris":["http://www.mendeley.com/documents/?uuid=0e5c9c85-f976-4749-9961-f74d0336a0e2","http://www.mendeley.com/documents/?uuid=3ddc1c16-093b-421d-b291-709574ec3b21","http://www.mendeley.com/documents/?uuid=91d59985-81dd-47de-8e54-2c7998680ee4"]}],"mendeley":{"formattedCitation":"[68]","plainTextFormattedCitation":"[68]","previouslyFormattedCitation":"[68]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[68]</w:t>
      </w:r>
      <w:r w:rsidRPr="00051297">
        <w:rPr>
          <w:rFonts w:cs="Times New Roman"/>
          <w:szCs w:val="24"/>
        </w:rPr>
        <w:fldChar w:fldCharType="end"/>
      </w:r>
      <w:r w:rsidRPr="00051297">
        <w:rPr>
          <w:rFonts w:cs="Times New Roman"/>
          <w:szCs w:val="24"/>
          <w:lang w:val="en-US"/>
        </w:rPr>
        <w:t>.</w:t>
      </w:r>
      <w:r w:rsidRPr="00051297">
        <w:rPr>
          <w:rFonts w:cs="Times New Roman"/>
          <w:szCs w:val="24"/>
          <w:vertAlign w:val="superscript"/>
          <w:lang w:val="en-US"/>
        </w:rPr>
        <w:t xml:space="preserve"> </w:t>
      </w:r>
    </w:p>
    <w:p w14:paraId="2F7D0170" w14:textId="77777777" w:rsidR="00051297" w:rsidRPr="00051297" w:rsidRDefault="00051297" w:rsidP="00051297">
      <w:pPr>
        <w:rPr>
          <w:rFonts w:cs="Times New Roman"/>
          <w:szCs w:val="24"/>
          <w:lang w:val="en-US"/>
        </w:rPr>
      </w:pPr>
      <w:bookmarkStart w:id="401" w:name="_Toc79511117"/>
      <w:r w:rsidRPr="00051297">
        <w:rPr>
          <w:rFonts w:cs="Times New Roman"/>
          <w:szCs w:val="24"/>
          <w:lang w:val="en-US"/>
        </w:rPr>
        <w:t xml:space="preserve">(a) </w:t>
      </w:r>
      <w:bookmarkEnd w:id="401"/>
      <w:r w:rsidRPr="00051297">
        <w:rPr>
          <w:rFonts w:cs="Times New Roman"/>
          <w:szCs w:val="24"/>
          <w:lang w:val="en-US"/>
        </w:rPr>
        <w:t>Internal erosion and the piping system</w:t>
      </w:r>
    </w:p>
    <w:p w14:paraId="69ACED77" w14:textId="2BE7CA14" w:rsidR="00051297" w:rsidRPr="00051297" w:rsidRDefault="00051297" w:rsidP="00051297">
      <w:pPr>
        <w:rPr>
          <w:rFonts w:cs="Times New Roman"/>
          <w:szCs w:val="24"/>
          <w:lang w:val="en-US"/>
        </w:rPr>
      </w:pPr>
      <w:r w:rsidRPr="00051297">
        <w:rPr>
          <w:rFonts w:cs="Times New Roman"/>
          <w:szCs w:val="24"/>
          <w:lang w:val="en-US"/>
        </w:rPr>
        <w:t xml:space="preserve">The International Commission on Large Dams (ICLD) claims that internal erosion of embankment dams and their foundations has four general failure types </w:t>
      </w:r>
      <w:r w:rsidRPr="00051297">
        <w:rPr>
          <w:rFonts w:cs="Times New Roman"/>
          <w:szCs w:val="24"/>
        </w:rPr>
        <w:fldChar w:fldCharType="begin" w:fldLock="1"/>
      </w:r>
      <w:r w:rsidR="00FA5896">
        <w:rPr>
          <w:rFonts w:cs="Times New Roman"/>
          <w:szCs w:val="24"/>
          <w:lang w:val="en-US"/>
        </w:rPr>
        <w:instrText>ADDIN CSL_CITATION {"citationItems":[{"id":"ITEM-1","itemData":{"DOI":"10.1201/9781351035941-8","container-title":"Position Paper Dam Safety and Earthquakes (2017–2020)","id":"ITEM-1","issued":{"date-parts":[["2021","5"]]},"page":"8-8","publisher":"CRC Press","title":"The Role of ICOLD","type":"chapter"},"uris":["http://www.mendeley.com/documents/?uuid=2168a2da-ddc8-43b2-90ae-a1b0e188603d","http://www.mendeley.com/documents/?uuid=0d50527a-5039-4869-8805-d1384290881a","http://www.mendeley.com/documents/?uuid=0960f8d7-dd32-4d5e-80cb-3128405c295f"]}],"mendeley":{"formattedCitation":"[187]","plainTextFormattedCitation":"[187]","previouslyFormattedCitation":"[187]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[187]</w:t>
      </w:r>
      <w:r w:rsidRPr="00051297">
        <w:rPr>
          <w:rFonts w:cs="Times New Roman"/>
          <w:szCs w:val="24"/>
        </w:rPr>
        <w:fldChar w:fldCharType="end"/>
      </w:r>
      <w:r w:rsidRPr="00051297">
        <w:rPr>
          <w:rFonts w:cs="Times New Roman"/>
          <w:szCs w:val="24"/>
          <w:lang w:val="en-US"/>
        </w:rPr>
        <w:t xml:space="preserve">: </w:t>
      </w:r>
    </w:p>
    <w:p w14:paraId="2A1EEEE2" w14:textId="77777777" w:rsidR="00051297" w:rsidRPr="00051297" w:rsidRDefault="00051297" w:rsidP="00051297">
      <w:pPr>
        <w:numPr>
          <w:ilvl w:val="0"/>
          <w:numId w:val="13"/>
        </w:numPr>
        <w:tabs>
          <w:tab w:val="clear" w:pos="720"/>
          <w:tab w:val="num" w:pos="993"/>
        </w:tabs>
        <w:ind w:left="0" w:firstLine="709"/>
        <w:rPr>
          <w:rFonts w:cs="Times New Roman"/>
          <w:szCs w:val="24"/>
        </w:rPr>
      </w:pPr>
      <w:r w:rsidRPr="00051297">
        <w:rPr>
          <w:rFonts w:cs="Times New Roman"/>
          <w:szCs w:val="24"/>
        </w:rPr>
        <w:t>Through the embankment</w:t>
      </w:r>
      <w:r w:rsidRPr="00051297">
        <w:rPr>
          <w:rFonts w:cs="Times New Roman"/>
          <w:szCs w:val="24"/>
          <w:lang w:val="en-US"/>
        </w:rPr>
        <w:t>.</w:t>
      </w:r>
    </w:p>
    <w:p w14:paraId="7FBF2937" w14:textId="77777777" w:rsidR="00051297" w:rsidRPr="00051297" w:rsidRDefault="00051297" w:rsidP="00051297">
      <w:pPr>
        <w:numPr>
          <w:ilvl w:val="0"/>
          <w:numId w:val="13"/>
        </w:numPr>
        <w:tabs>
          <w:tab w:val="clear" w:pos="720"/>
          <w:tab w:val="num" w:pos="993"/>
        </w:tabs>
        <w:ind w:left="0" w:firstLine="709"/>
        <w:rPr>
          <w:rFonts w:cs="Times New Roman"/>
          <w:szCs w:val="24"/>
        </w:rPr>
      </w:pPr>
      <w:r w:rsidRPr="00051297">
        <w:rPr>
          <w:rFonts w:cs="Times New Roman"/>
          <w:szCs w:val="24"/>
        </w:rPr>
        <w:lastRenderedPageBreak/>
        <w:t>Through the foundation</w:t>
      </w:r>
      <w:r w:rsidRPr="00051297">
        <w:rPr>
          <w:rFonts w:cs="Times New Roman"/>
          <w:szCs w:val="24"/>
          <w:lang w:val="en-US"/>
        </w:rPr>
        <w:t>.</w:t>
      </w:r>
    </w:p>
    <w:p w14:paraId="639D305E" w14:textId="77777777" w:rsidR="00051297" w:rsidRPr="00051297" w:rsidRDefault="00051297" w:rsidP="00051297">
      <w:pPr>
        <w:numPr>
          <w:ilvl w:val="0"/>
          <w:numId w:val="13"/>
        </w:numPr>
        <w:tabs>
          <w:tab w:val="clear" w:pos="720"/>
          <w:tab w:val="num" w:pos="993"/>
        </w:tabs>
        <w:ind w:left="0" w:firstLine="709"/>
        <w:rPr>
          <w:rFonts w:cs="Times New Roman"/>
          <w:szCs w:val="24"/>
        </w:rPr>
      </w:pPr>
      <w:r w:rsidRPr="00051297">
        <w:rPr>
          <w:rFonts w:cs="Times New Roman"/>
          <w:szCs w:val="24"/>
        </w:rPr>
        <w:t>Embankment-into-foundation</w:t>
      </w:r>
      <w:r w:rsidRPr="00051297">
        <w:rPr>
          <w:rFonts w:cs="Times New Roman"/>
          <w:szCs w:val="24"/>
          <w:lang w:val="en-US"/>
        </w:rPr>
        <w:t>.</w:t>
      </w:r>
    </w:p>
    <w:p w14:paraId="20557D10" w14:textId="77777777" w:rsidR="00051297" w:rsidRPr="00051297" w:rsidRDefault="00051297" w:rsidP="00051297">
      <w:pPr>
        <w:numPr>
          <w:ilvl w:val="0"/>
          <w:numId w:val="13"/>
        </w:numPr>
        <w:tabs>
          <w:tab w:val="clear" w:pos="720"/>
          <w:tab w:val="num" w:pos="993"/>
        </w:tabs>
        <w:ind w:left="0" w:firstLine="709"/>
        <w:rPr>
          <w:rFonts w:cs="Times New Roman"/>
          <w:szCs w:val="24"/>
          <w:lang w:val="en-US"/>
        </w:rPr>
      </w:pPr>
      <w:r w:rsidRPr="00051297">
        <w:rPr>
          <w:rFonts w:cs="Times New Roman"/>
          <w:szCs w:val="24"/>
          <w:lang w:val="en-US"/>
        </w:rPr>
        <w:t>Associated with through-penetrating structures.</w:t>
      </w:r>
    </w:p>
    <w:p w14:paraId="0AAB8C68" w14:textId="1EDAD33B" w:rsidR="00051297" w:rsidRPr="00051297" w:rsidRDefault="00051297" w:rsidP="00051297">
      <w:pPr>
        <w:rPr>
          <w:rFonts w:cs="Times New Roman"/>
          <w:szCs w:val="24"/>
          <w:lang w:val="en-US"/>
        </w:rPr>
      </w:pPr>
      <w:r w:rsidRPr="00051297">
        <w:rPr>
          <w:rFonts w:cs="Times New Roman"/>
          <w:szCs w:val="24"/>
          <w:lang w:val="en-US"/>
        </w:rPr>
        <w:t xml:space="preserve">Internal erosion comprises four stages: the beginning of erosion, progressing to the formation of a pipe, surface instability, and finally, the beginning of a breach. Internal erosion is also divided into four types based on the failure path, how the erosion begins and progresses, and where it occurs </w:t>
      </w:r>
      <w:r w:rsidRPr="00051297">
        <w:rPr>
          <w:rFonts w:cs="Times New Roman"/>
          <w:szCs w:val="24"/>
        </w:rPr>
        <w:fldChar w:fldCharType="begin" w:fldLock="1"/>
      </w:r>
      <w:r w:rsidR="00FA5896">
        <w:rPr>
          <w:rFonts w:cs="Times New Roman"/>
          <w:szCs w:val="24"/>
          <w:lang w:val="en-US"/>
        </w:rPr>
        <w:instrText xml:space="preserve">ADDIN CSL_CITATION {"citationItems":[{"id":"ITEM-1","itemData":{"DOI":"10.1201/9781351035781","ISBN":"9781351035781","abstract":"The terms of reference for the present technical committee of ICOLD, on Dam Surveillance approved at ICOLD 2003 is to: “Prepare guidelines for the optimal organisation of all components required for dam surveillance and monitoring (independently of the Automated Monitoring, already covered by Bulletin n° 118) with the purpose of dissemination in the fields of: </w:instrText>
      </w:r>
      <w:r w:rsidR="00FA5896">
        <w:rPr>
          <w:rFonts w:cs="Times New Roman"/>
          <w:szCs w:val="24"/>
          <w:lang w:val="en-US"/>
        </w:rPr>
        <w:instrText xml:space="preserve"> visual inspection methods and procedures for improving their efficiency; </w:instrText>
      </w:r>
      <w:r w:rsidR="00FA5896">
        <w:rPr>
          <w:rFonts w:cs="Times New Roman"/>
          <w:szCs w:val="24"/>
          <w:lang w:val="en-US"/>
        </w:rPr>
        <w:instrText xml:space="preserve"> continued availability and maintenance of technical data (documentation management for storage of engineering data and all information needed for periodical appraisal of the dam condition and support of engineering judgement as well as knowledge transfer from one generation to the next); </w:instrText>
      </w:r>
      <w:r w:rsidR="00FA5896">
        <w:rPr>
          <w:rFonts w:cs="Times New Roman"/>
          <w:szCs w:val="24"/>
          <w:lang w:val="en-US"/>
        </w:rPr>
        <w:instrText xml:space="preserve"> optimization of instrumentation and monitoring (depending on the dam type and condition) and upgrading of instrumentation (on old dams); and </w:instrText>
      </w:r>
      <w:r w:rsidR="00FA5896">
        <w:rPr>
          <w:rFonts w:cs="Times New Roman"/>
          <w:szCs w:val="24"/>
          <w:lang w:val="en-US"/>
        </w:rPr>
        <w:instrText> efficient management of monitoring data (acquisition, processing, conservation) and interpretation (of processed readings and observed data) to assess the present dam condition” The following figure (extracted from ICOLD Bulletin 118) explains the extent of the definition of the concept of “surveillance” to be used in this Bulletin.","container-title":"Dam Surveillance Guide","editor":[{"dropping-particle":"","family":"ICOLD","given":"CIGB","non-dropping-particle":"","parse-names":false,"suffix":""}],"id":"ITEM-1","issued":{"date-parts":[["2018","8"]]},"publisher":"CRC Press","title":"Dam Surveillance Guide","type":"book"},"uris":["http://www.mendeley.com/documents/?uuid=578174a9-f1b6-4f01-a033-afe031b85cef","http://www.mendeley.com/documents/?uuid=95266e80-2469-4744-9f8f-1662ce557ad6"]}],"mendeley":{"formattedCitation":"[204]","plainTextFormattedCitation":"[204]","previouslyFormattedCitation":"[204]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[204]</w:t>
      </w:r>
      <w:r w:rsidRPr="00051297">
        <w:rPr>
          <w:rFonts w:cs="Times New Roman"/>
          <w:szCs w:val="24"/>
        </w:rPr>
        <w:fldChar w:fldCharType="end"/>
      </w:r>
      <w:r w:rsidRPr="00051297">
        <w:rPr>
          <w:rFonts w:cs="Times New Roman"/>
          <w:szCs w:val="24"/>
          <w:lang w:val="en-US"/>
        </w:rPr>
        <w:t>:</w:t>
      </w:r>
    </w:p>
    <w:p w14:paraId="72363118" w14:textId="77777777" w:rsidR="00051297" w:rsidRPr="00F97DFC" w:rsidRDefault="00051297" w:rsidP="00051297">
      <w:pPr>
        <w:numPr>
          <w:ilvl w:val="0"/>
          <w:numId w:val="13"/>
        </w:numPr>
        <w:tabs>
          <w:tab w:val="clear" w:pos="720"/>
          <w:tab w:val="num" w:pos="993"/>
        </w:tabs>
        <w:ind w:left="0" w:firstLine="709"/>
        <w:rPr>
          <w:rFonts w:cs="Times New Roman"/>
          <w:szCs w:val="24"/>
          <w:lang w:val="en-US"/>
        </w:rPr>
      </w:pPr>
      <w:r w:rsidRPr="00F97DFC">
        <w:rPr>
          <w:rFonts w:cs="Times New Roman"/>
          <w:szCs w:val="24"/>
          <w:lang w:val="en-US"/>
        </w:rPr>
        <w:t>Seeping water erodes and enlarges a fissure until it bursts in a concentrated leak. The erosion eventually generates a pipe or a sinkhole, even if the crack does not grow to the exit (collapse is still conceivable).</w:t>
      </w:r>
    </w:p>
    <w:p w14:paraId="24065238" w14:textId="77777777" w:rsidR="00051297" w:rsidRPr="00F97DFC" w:rsidRDefault="00051297" w:rsidP="00051297">
      <w:pPr>
        <w:numPr>
          <w:ilvl w:val="0"/>
          <w:numId w:val="13"/>
        </w:numPr>
        <w:tabs>
          <w:tab w:val="clear" w:pos="720"/>
          <w:tab w:val="num" w:pos="993"/>
        </w:tabs>
        <w:ind w:left="0" w:firstLine="709"/>
        <w:rPr>
          <w:rFonts w:cs="Times New Roman"/>
          <w:szCs w:val="24"/>
          <w:lang w:val="en-US"/>
        </w:rPr>
      </w:pPr>
      <w:r w:rsidRPr="00F97DFC">
        <w:rPr>
          <w:rFonts w:cs="Times New Roman"/>
          <w:szCs w:val="24"/>
          <w:lang w:val="en-US"/>
        </w:rPr>
        <w:t>Backward erosion: begins at the seepage path's exit point and happens when the hydraulic gradient is high enough to promote particle dissociation and transport; a pipe forms backward from the exit point until it is breached.</w:t>
      </w:r>
    </w:p>
    <w:p w14:paraId="218CE26C" w14:textId="77777777" w:rsidR="00051297" w:rsidRPr="00F97DFC" w:rsidRDefault="00051297" w:rsidP="00051297">
      <w:pPr>
        <w:numPr>
          <w:ilvl w:val="0"/>
          <w:numId w:val="13"/>
        </w:numPr>
        <w:tabs>
          <w:tab w:val="clear" w:pos="720"/>
          <w:tab w:val="num" w:pos="993"/>
        </w:tabs>
        <w:ind w:left="0" w:firstLine="709"/>
        <w:rPr>
          <w:rFonts w:cs="Times New Roman"/>
          <w:szCs w:val="24"/>
          <w:lang w:val="en-US"/>
        </w:rPr>
      </w:pPr>
      <w:r w:rsidRPr="00F97DFC">
        <w:rPr>
          <w:rFonts w:cs="Times New Roman"/>
          <w:szCs w:val="24"/>
          <w:lang w:val="en-US"/>
        </w:rPr>
        <w:t>Suffusion: is a phenomenon that happens in soils with a wide variety of particle sizes. The spaces between coarser soil particles allow finer soil particles to dissolve. Internally unstable soils are those that are subject to suffusion. Suffusion can only happen if the volume of the finer particles is smaller than the vacuum space between the coarse particles.</w:t>
      </w:r>
    </w:p>
    <w:p w14:paraId="34D705ED" w14:textId="77777777" w:rsidR="00051297" w:rsidRPr="00F97DFC" w:rsidRDefault="00051297" w:rsidP="00051297">
      <w:pPr>
        <w:numPr>
          <w:ilvl w:val="0"/>
          <w:numId w:val="13"/>
        </w:numPr>
        <w:tabs>
          <w:tab w:val="clear" w:pos="720"/>
          <w:tab w:val="num" w:pos="993"/>
        </w:tabs>
        <w:ind w:left="0" w:firstLine="709"/>
        <w:rPr>
          <w:rFonts w:cs="Times New Roman"/>
          <w:szCs w:val="24"/>
          <w:lang w:val="en-US"/>
        </w:rPr>
      </w:pPr>
      <w:r w:rsidRPr="00F97DFC">
        <w:rPr>
          <w:rFonts w:cs="Times New Roman"/>
          <w:szCs w:val="24"/>
          <w:lang w:val="en-US"/>
        </w:rPr>
        <w:t>Soil contact erosion: Sheet flow occurs at the interfaces between coarse and fine soils, causing soil contact erosion. Water penetrates through the interface between the two soils, eroding the finer layer's particles into the coarser layer.</w:t>
      </w:r>
    </w:p>
    <w:p w14:paraId="380B33E2" w14:textId="77777777" w:rsidR="00051297" w:rsidRPr="00051297" w:rsidRDefault="00051297" w:rsidP="00051297">
      <w:pPr>
        <w:rPr>
          <w:rFonts w:cs="Times New Roman"/>
          <w:szCs w:val="24"/>
          <w:lang w:val="en-US"/>
        </w:rPr>
      </w:pPr>
      <w:bookmarkStart w:id="402" w:name="_Toc79511123"/>
      <w:r w:rsidRPr="00051297">
        <w:rPr>
          <w:rFonts w:cs="Times New Roman"/>
          <w:szCs w:val="24"/>
          <w:lang w:val="en-US"/>
        </w:rPr>
        <w:t xml:space="preserve">(b) </w:t>
      </w:r>
      <w:bookmarkEnd w:id="402"/>
      <w:r w:rsidRPr="00051297">
        <w:rPr>
          <w:rFonts w:cs="Times New Roman"/>
          <w:szCs w:val="24"/>
          <w:lang w:val="en-US"/>
        </w:rPr>
        <w:t>Internal Erosion fundamentals</w:t>
      </w:r>
    </w:p>
    <w:p w14:paraId="20D23653" w14:textId="02C1FAAD" w:rsidR="00051297" w:rsidRPr="00051297" w:rsidRDefault="00051297" w:rsidP="00051297">
      <w:pPr>
        <w:rPr>
          <w:rFonts w:cs="Times New Roman"/>
          <w:szCs w:val="24"/>
          <w:lang w:val="en-US"/>
        </w:rPr>
      </w:pPr>
      <w:r w:rsidRPr="00051297">
        <w:rPr>
          <w:rFonts w:cs="Times New Roman"/>
          <w:szCs w:val="24"/>
          <w:lang w:val="en-US"/>
        </w:rPr>
        <w:t xml:space="preserve">Internal erosion is one of the most typical reasons for earth dam failure. It's possible that there's no outward evidence, or simply a sliver of evidence, that it's happening. After evidence of internal deterioration becomes apparent, a dam may breach within a few hours. Internal erosion can occur immediately after water is impounded behind a dam, or it can take years to develop. Internal erosion may be exacerbated or initiated by higher water surface elevations and pressure. You can't assume that your dam is safe from internal erosion just because it has been performing well for a long time. Dam "penetrations," such as outlet pipes buried in the embankment, rodent activity, and concrete spillways that traverse the embankment, are frequently linked to internal erosion failures. During normal periodic inspections, a skilled dam engineer may be able to detect minor indicators of internal erosion, but you should be aware of what signs to check for between inspections </w:t>
      </w:r>
      <w:r w:rsidRPr="00051297">
        <w:rPr>
          <w:rFonts w:cs="Times New Roman"/>
          <w:szCs w:val="24"/>
        </w:rPr>
        <w:fldChar w:fldCharType="begin" w:fldLock="1"/>
      </w:r>
      <w:r w:rsidR="00FA5896">
        <w:rPr>
          <w:rFonts w:cs="Times New Roman"/>
          <w:szCs w:val="24"/>
          <w:lang w:val="en-US"/>
        </w:rPr>
        <w:instrText>ADDIN CSL_CITATION {"citationItems":[{"id":"ITEM-1","itemData":{"abstract":"Internal erosion is one of the major causes of embankment dam failure. When constructing new dams, protection against internal erosion is provided by zoning and by providing filters (ICOLD Bulletin No. 95, ICOLD, 1994). However, many existing dams are not adequately zoned and do not have filters and may therefore be vulnerable to internal erosion. Others have filters not designed and/or constructed to modern standards, they too may be vulnerable to internal erosion. Internal erosion occurs when soil particles within an embankment dam or its foundation are carried downstream by seepage flow. It starts when the erosive forces imposed by the hydraulic loads exceed the resistance of the materials in the dam to erosion. The erosive forces are directly related to reservoir water level. Many internal erosion problems become apparent on first filling but most occur many years after first filling. This is almost certainly because the dam is subject for the first time to high water levels which may initiate erosion in the upper parts of the dam. After long periods of flood flows, for example, which cause the reservoir to rise higher on the dam and/or to subject it to greater gradients and velocities of flow than it has experienced before. It may be because ageing causes deterioration of the dam, particularly of the pipes and culverts through dams but also due to on-going settlements under repeated reservoir draw downs, or from the effect of earthquakes. Another factor may be that some internal erosion mechanisms progress slowly in an episodic fashion under cyclical reservoir loading, taking years and even decades before the effects of the episodes of erosion show any of the symptoms of internal erosion. The Bulletin is in two volumes. Volume 1 deals predominantly with internal erosion processes and the engineering assessment of the vulnerability of a dam to failure or damage by internal erosion, with a brief oversight of monitoring for and detection of internal erosion and remediation to protect dams against internal erosion. It includes a comprehensive listing of the Terminology used in internal erosion. Many references are also given, including links to many from an ICOLD internal erosion webpage.","author":[{"dropping-particle":"","family":"ICOLD","given":"","non-dropping-particle":"","parse-names":false,"suffix":""}],"container-title":"ICOLD Bulletin","id":"ITEM-1","issued":{"date-parts":[["2017"]]},"title":"Bulletin 164: Internal Erosion of Existing Dams, Levees and Dikes, and their Foundations","type":"report"},"uris":["http://www.mendeley.com/documents/?uuid=7843a3ef-52f1-4c93-aa90-25e4b2afe911","http://www.mendeley.com/documents/?uuid=b7aad101-e952-400a-9a84-231c8a57c42c","http://www.mendeley.com/documents/?uuid=dbf06b54-a0d1-4268-ba50-17f4556edd7a"]}],"mendeley":{"formattedCitation":"[214]","plainTextFormattedCitation":"[214]","previouslyFormattedCitation":"[214]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[214]</w:t>
      </w:r>
      <w:r w:rsidRPr="00051297">
        <w:rPr>
          <w:rFonts w:cs="Times New Roman"/>
          <w:szCs w:val="24"/>
        </w:rPr>
        <w:fldChar w:fldCharType="end"/>
      </w:r>
      <w:r w:rsidRPr="00051297">
        <w:rPr>
          <w:rFonts w:cs="Times New Roman"/>
          <w:szCs w:val="24"/>
          <w:lang w:val="en-US"/>
        </w:rPr>
        <w:t>. </w:t>
      </w:r>
      <w:bookmarkStart w:id="403" w:name="Signs_of_a_Developing_Situation"/>
      <w:bookmarkEnd w:id="403"/>
    </w:p>
    <w:p w14:paraId="3B7AE418" w14:textId="77777777" w:rsidR="00051297" w:rsidRPr="00051297" w:rsidRDefault="00051297" w:rsidP="00051297">
      <w:pPr>
        <w:rPr>
          <w:rFonts w:cs="Times New Roman"/>
          <w:szCs w:val="24"/>
          <w:lang w:val="en-US"/>
        </w:rPr>
      </w:pPr>
      <w:bookmarkStart w:id="404" w:name="_Toc79511122"/>
      <w:r w:rsidRPr="00051297">
        <w:rPr>
          <w:rFonts w:cs="Times New Roman"/>
          <w:szCs w:val="24"/>
          <w:lang w:val="en-US"/>
        </w:rPr>
        <w:t xml:space="preserve">(c) </w:t>
      </w:r>
      <w:bookmarkEnd w:id="404"/>
      <w:r w:rsidRPr="00051297">
        <w:rPr>
          <w:rFonts w:cs="Times New Roman"/>
          <w:szCs w:val="24"/>
          <w:lang w:val="en-US"/>
        </w:rPr>
        <w:t>Using filters to prevent erosion</w:t>
      </w:r>
    </w:p>
    <w:p w14:paraId="748D53AB" w14:textId="44AAB207" w:rsidR="00051297" w:rsidRPr="00051297" w:rsidRDefault="00051297" w:rsidP="00051297">
      <w:pPr>
        <w:rPr>
          <w:rFonts w:cs="Times New Roman"/>
          <w:szCs w:val="24"/>
        </w:rPr>
      </w:pPr>
      <w:r w:rsidRPr="00051297">
        <w:rPr>
          <w:rFonts w:cs="Times New Roman"/>
          <w:szCs w:val="24"/>
          <w:lang w:val="en-US"/>
        </w:rPr>
        <w:t xml:space="preserve">With the use of filters, the internal erosion process can be slowed down. Filters capture eroded particles while permitting seepage, and they are often coarser and more permeable than </w:t>
      </w:r>
      <w:r w:rsidRPr="00051297">
        <w:rPr>
          <w:rFonts w:cs="Times New Roman"/>
          <w:szCs w:val="24"/>
          <w:lang w:val="en-US"/>
        </w:rPr>
        <w:lastRenderedPageBreak/>
        <w:t xml:space="preserve">filtered soil. The sort of filter needed and where it should be installed are determined by which areas of the dam are more vulnerable to internal erosion. </w:t>
      </w:r>
      <w:r w:rsidRPr="00051297">
        <w:rPr>
          <w:rFonts w:cs="Times New Roman"/>
          <w:szCs w:val="24"/>
        </w:rPr>
        <w:t xml:space="preserve">Filters must meet five conditions per regulation </w:t>
      </w:r>
      <w:r w:rsidRPr="00051297">
        <w:rPr>
          <w:rFonts w:cs="Times New Roman"/>
          <w:szCs w:val="24"/>
        </w:rPr>
        <w:fldChar w:fldCharType="begin" w:fldLock="1"/>
      </w:r>
      <w:r w:rsidR="00FA5896">
        <w:rPr>
          <w:rFonts w:cs="Times New Roman"/>
          <w:szCs w:val="24"/>
        </w:rPr>
        <w:instrText>ADDIN CSL_CITATION {"citationItems":[{"id":"ITEM-1","itemData":{"DOI":"10.1061/(ASCE)1090-0241(2001)127:5(398)","ISSN":"1090-0241","abstract":"A method is presented for assessing the particle size distribution of the filters in a dam compared to the soil the filter is protecting, to determine whether the filters are sufficiently fine to give no, excessive, or continuing erosion. The method is based on the analysis of the results of laboratory tests and the characteristics of dams that have experienced piping incidents. The method can be used to determine whether filters that are coarser than required by modern filter design criteria will eventually seal or experience continuing erosion leading to possible failure of the dam in the event piping initiates.","author":[{"dropping-particle":"","family":"Foster","given":"Mark","non-dropping-particle":"","parse-names":false,"suffix":""},{"dropping-particle":"","family":"Fell","given":"Robin","non-dropping-particle":"","parse-names":false,"suffix":""}],"container-title":"Journal of Geotechnical and Geoenvironmental Engineering","id":"ITEM-1","issue":"5","issued":{"date-parts":[["2001","5"]]},"page":"398-407","title":"Assessing Embankment Dam Filters That Do Not Satisfy Design Criteria","type":"article-journal","volume":"127"},"uris":["http://www.mendeley.com/documents/?uuid=203dc717-9acd-4559-a3dd-73b011e6766e","http://www.mendeley.com/documents/?uuid=371b42ac-6b7f-478d-b422-33dbd9cd47d8","http://www.mendeley.com/documents/?uuid=aef2c5f3-0733-440c-8851-160a9e8a5674"]}],"mendeley":{"formattedCitation":"[215]","plainTextFormattedCitation":"[215]","previouslyFormattedCitation":"[215]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[215]</w:t>
      </w:r>
      <w:r w:rsidRPr="00051297">
        <w:rPr>
          <w:rFonts w:cs="Times New Roman"/>
          <w:szCs w:val="24"/>
        </w:rPr>
        <w:fldChar w:fldCharType="end"/>
      </w:r>
      <w:r w:rsidRPr="00051297">
        <w:rPr>
          <w:rFonts w:cs="Times New Roman"/>
          <w:szCs w:val="24"/>
        </w:rPr>
        <w:t xml:space="preserve">: </w:t>
      </w:r>
    </w:p>
    <w:p w14:paraId="6CCFB6FD" w14:textId="77777777" w:rsidR="00051297" w:rsidRPr="00F97DFC" w:rsidRDefault="00051297" w:rsidP="00051297">
      <w:pPr>
        <w:numPr>
          <w:ilvl w:val="0"/>
          <w:numId w:val="13"/>
        </w:numPr>
        <w:tabs>
          <w:tab w:val="clear" w:pos="720"/>
          <w:tab w:val="num" w:pos="993"/>
        </w:tabs>
        <w:ind w:left="0" w:firstLine="709"/>
        <w:rPr>
          <w:rFonts w:cs="Times New Roman"/>
          <w:szCs w:val="24"/>
          <w:lang w:val="en-US"/>
        </w:rPr>
      </w:pPr>
      <w:r w:rsidRPr="00F97DFC">
        <w:rPr>
          <w:rFonts w:cs="Times New Roman"/>
          <w:szCs w:val="24"/>
          <w:lang w:val="en-US"/>
        </w:rPr>
        <w:t>Retention: The filter must prevent eroded soil particles from being transported.</w:t>
      </w:r>
    </w:p>
    <w:p w14:paraId="77ABE917" w14:textId="77777777" w:rsidR="00051297" w:rsidRPr="00F97DFC" w:rsidRDefault="00051297" w:rsidP="00051297">
      <w:pPr>
        <w:numPr>
          <w:ilvl w:val="0"/>
          <w:numId w:val="13"/>
        </w:numPr>
        <w:tabs>
          <w:tab w:val="clear" w:pos="720"/>
          <w:tab w:val="num" w:pos="993"/>
        </w:tabs>
        <w:ind w:left="0" w:firstLine="709"/>
        <w:rPr>
          <w:rFonts w:cs="Times New Roman"/>
          <w:szCs w:val="24"/>
          <w:lang w:val="en-US"/>
        </w:rPr>
      </w:pPr>
      <w:r w:rsidRPr="00F97DFC">
        <w:rPr>
          <w:rFonts w:cs="Times New Roman"/>
          <w:szCs w:val="24"/>
          <w:lang w:val="en-US"/>
        </w:rPr>
        <w:t xml:space="preserve">Self-filtration: </w:t>
      </w:r>
      <w:r w:rsidRPr="00051297">
        <w:rPr>
          <w:rFonts w:cs="Times New Roman"/>
          <w:szCs w:val="24"/>
          <w:lang w:val="en-US"/>
        </w:rPr>
        <w:t>t</w:t>
      </w:r>
      <w:r w:rsidRPr="00F97DFC">
        <w:rPr>
          <w:rFonts w:cs="Times New Roman"/>
          <w:szCs w:val="24"/>
          <w:lang w:val="en-US"/>
        </w:rPr>
        <w:t>he filter must be internally stable, which is also known as stability.</w:t>
      </w:r>
    </w:p>
    <w:p w14:paraId="191A07D3" w14:textId="77777777" w:rsidR="00051297" w:rsidRPr="00F97DFC" w:rsidRDefault="00051297" w:rsidP="00051297">
      <w:pPr>
        <w:numPr>
          <w:ilvl w:val="0"/>
          <w:numId w:val="13"/>
        </w:numPr>
        <w:tabs>
          <w:tab w:val="clear" w:pos="720"/>
          <w:tab w:val="num" w:pos="993"/>
        </w:tabs>
        <w:ind w:left="0" w:firstLine="709"/>
        <w:rPr>
          <w:rFonts w:cs="Times New Roman"/>
          <w:szCs w:val="24"/>
          <w:lang w:val="en-US"/>
        </w:rPr>
      </w:pPr>
      <w:r w:rsidRPr="00F97DFC">
        <w:rPr>
          <w:rFonts w:cs="Times New Roman"/>
          <w:szCs w:val="24"/>
          <w:lang w:val="en-US"/>
        </w:rPr>
        <w:t>No cohesion: the filter must be incapable of maintaining cracks or cementing them.</w:t>
      </w:r>
    </w:p>
    <w:p w14:paraId="16AAF5DB" w14:textId="77777777" w:rsidR="00051297" w:rsidRPr="00F97DFC" w:rsidRDefault="00051297" w:rsidP="00051297">
      <w:pPr>
        <w:numPr>
          <w:ilvl w:val="0"/>
          <w:numId w:val="13"/>
        </w:numPr>
        <w:tabs>
          <w:tab w:val="clear" w:pos="720"/>
          <w:tab w:val="num" w:pos="993"/>
        </w:tabs>
        <w:ind w:left="0" w:firstLine="709"/>
        <w:rPr>
          <w:rFonts w:cs="Times New Roman"/>
          <w:szCs w:val="24"/>
          <w:lang w:val="en-US"/>
        </w:rPr>
      </w:pPr>
      <w:r w:rsidRPr="00F97DFC">
        <w:rPr>
          <w:rFonts w:cs="Times New Roman"/>
          <w:szCs w:val="24"/>
          <w:lang w:val="en-US"/>
        </w:rPr>
        <w:t xml:space="preserve">Drainage: </w:t>
      </w:r>
      <w:r w:rsidRPr="00051297">
        <w:rPr>
          <w:rFonts w:cs="Times New Roman"/>
          <w:szCs w:val="24"/>
          <w:lang w:val="en-US"/>
        </w:rPr>
        <w:t>t</w:t>
      </w:r>
      <w:r w:rsidRPr="00F97DFC">
        <w:rPr>
          <w:rFonts w:cs="Times New Roman"/>
          <w:szCs w:val="24"/>
          <w:lang w:val="en-US"/>
        </w:rPr>
        <w:t>he filter must be porous enough to allow water pressure to escape.</w:t>
      </w:r>
    </w:p>
    <w:p w14:paraId="37A6A1FC" w14:textId="77777777" w:rsidR="00051297" w:rsidRPr="00F97DFC" w:rsidRDefault="00051297" w:rsidP="00051297">
      <w:pPr>
        <w:numPr>
          <w:ilvl w:val="0"/>
          <w:numId w:val="13"/>
        </w:numPr>
        <w:tabs>
          <w:tab w:val="clear" w:pos="720"/>
          <w:tab w:val="num" w:pos="993"/>
        </w:tabs>
        <w:ind w:left="0" w:firstLine="709"/>
        <w:rPr>
          <w:rFonts w:cs="Times New Roman"/>
          <w:szCs w:val="24"/>
          <w:lang w:val="en-US"/>
        </w:rPr>
      </w:pPr>
      <w:r w:rsidRPr="00F97DFC">
        <w:rPr>
          <w:rFonts w:cs="Times New Roman"/>
          <w:szCs w:val="24"/>
          <w:lang w:val="en-US"/>
        </w:rPr>
        <w:t xml:space="preserve">Strength: </w:t>
      </w:r>
      <w:r w:rsidRPr="00051297">
        <w:rPr>
          <w:rFonts w:cs="Times New Roman"/>
          <w:szCs w:val="24"/>
          <w:lang w:val="en-US"/>
        </w:rPr>
        <w:t>t</w:t>
      </w:r>
      <w:r w:rsidRPr="00F97DFC">
        <w:rPr>
          <w:rFonts w:cs="Times New Roman"/>
          <w:szCs w:val="24"/>
          <w:lang w:val="en-US"/>
        </w:rPr>
        <w:t>he filter must be able to transfer tension within the dam without crushing it.</w:t>
      </w:r>
    </w:p>
    <w:p w14:paraId="0EA108B5" w14:textId="198D11F1" w:rsidR="00051297" w:rsidRPr="00051297" w:rsidRDefault="00051297" w:rsidP="00051297">
      <w:pPr>
        <w:rPr>
          <w:rFonts w:cs="Times New Roman"/>
          <w:szCs w:val="24"/>
          <w:lang w:val="en-US"/>
        </w:rPr>
      </w:pPr>
      <w:r w:rsidRPr="00051297">
        <w:rPr>
          <w:rFonts w:cs="Times New Roman"/>
          <w:szCs w:val="24"/>
          <w:lang w:val="en-US"/>
        </w:rPr>
        <w:t xml:space="preserve">When water seeps through an earth dam, soil particles are carried away from the embankment, filters, drains, foundation, or abutments of the dam, which is referred to as "piping" by dam engineers. If soil particles are carried downstream by the seepage, an elongated cavity or "pipe" may be eroded backward (working upstream) toward the reservoir via the embankment, foundation, or abutment. When a backward-eroding pipe reaches the reservoir, the dam can be catastrophically breached </w:t>
      </w:r>
      <w:r w:rsidRPr="00051297">
        <w:rPr>
          <w:rFonts w:cs="Times New Roman"/>
          <w:szCs w:val="24"/>
        </w:rPr>
        <w:fldChar w:fldCharType="begin" w:fldLock="1"/>
      </w:r>
      <w:r w:rsidR="00FA5896">
        <w:rPr>
          <w:rFonts w:cs="Times New Roman"/>
          <w:szCs w:val="24"/>
          <w:lang w:val="en-US"/>
        </w:rPr>
        <w:instrText>ADDIN CSL_CITATION {"citationItems":[{"id":"ITEM-1","itemData":{"DOI":"10.1007/s41062-019-0229-9","ISSN":"23644184","abstract":"The problem of dam failures is of great importance as it has devastating impact upon humankind and the environment. This review highlights the hydraulic failure of earthen dams and embankments, emphasizing on the piping and overtopping phenomena. Piping failures are mostly attributed to the uncontrolled seepage or the absence of suitable zonation of materials and filters in earthen dams. The overtopping process is a complex unsteady, nonhomogeneous, nonlinear three-dimensional problem, which has not yet been methodically studied from a theoretical perspective. With the advancement of time and technology, different mathematical, analytical and numerical models, aptly supported by physical modeling, has led to the better understanding of these phenomena. Although these approaches have facilitated the evaluation of seepage and deformation in the earthen dams and embankments, still several critical issues need to be addressed. This review highlights the gap areas and possible future scopes related to the hydraulic failures of dams.","author":[{"dropping-particle":"","family":"Talukdar","given":"Priyanka","non-dropping-particle":"","parse-names":false,"suffix":""},{"dropping-particle":"","family":"Dey","given":"Arindam","non-dropping-particle":"","parse-names":false,"suffix":""}],"container-title":"Innovative Infrastructure Solutions","id":"ITEM-1","issued":{"date-parts":[["2019"]]},"title":"Hydraulic failures of earthen dams and embankments","type":"article-journal"},"uris":["http://www.mendeley.com/documents/?uuid=143f2232-9897-44f5-b868-8a28b4833536","http://www.mendeley.com/documents/?uuid=e45bec98-f66e-4a37-84ba-a82f17b32095"]}],"mendeley":{"formattedCitation":"[216]","plainTextFormattedCitation":"[216]","previouslyFormattedCitation":"[216]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[216]</w:t>
      </w:r>
      <w:r w:rsidRPr="00051297">
        <w:rPr>
          <w:rFonts w:cs="Times New Roman"/>
          <w:szCs w:val="24"/>
        </w:rPr>
        <w:fldChar w:fldCharType="end"/>
      </w:r>
      <w:r w:rsidRPr="00051297">
        <w:rPr>
          <w:rFonts w:cs="Times New Roman"/>
          <w:szCs w:val="24"/>
          <w:lang w:val="en-US"/>
        </w:rPr>
        <w:t>.</w:t>
      </w:r>
    </w:p>
    <w:p w14:paraId="52D7B828" w14:textId="627D83CF" w:rsidR="00051297" w:rsidRPr="00051297" w:rsidRDefault="00051297" w:rsidP="00051297">
      <w:pPr>
        <w:rPr>
          <w:rFonts w:cs="Times New Roman"/>
          <w:szCs w:val="24"/>
        </w:rPr>
      </w:pPr>
      <w:r w:rsidRPr="00051297">
        <w:rPr>
          <w:rFonts w:cs="Times New Roman"/>
          <w:szCs w:val="24"/>
          <w:lang w:val="en-US"/>
        </w:rPr>
        <w:t xml:space="preserve">Depending on head and flow, internal erosion happens in phases of muddy water discharge interspersed with intervals of clean water discharge or no discharge at all. Even if there is no apparent water flow or if the water draining from the land downstream of a dam is not murky, internal erosion may be occurring. Chemicals, salts, dissolved and suspended particles, and dispersive clays can all degrade a dam's inside without being recognized </w:t>
      </w:r>
      <w:r w:rsidRPr="00051297">
        <w:rPr>
          <w:rFonts w:cs="Times New Roman"/>
          <w:szCs w:val="24"/>
        </w:rPr>
        <w:fldChar w:fldCharType="begin" w:fldLock="1"/>
      </w:r>
      <w:r w:rsidR="00FA5896">
        <w:rPr>
          <w:rFonts w:cs="Times New Roman"/>
          <w:szCs w:val="24"/>
          <w:lang w:val="en-US"/>
        </w:rPr>
        <w:instrText>ADDIN CSL_CITATION {"citationItems":[{"id":"ITEM-1","itemData":{"DOI":"10.3390/hydrology6030071","ISSN":"23065338","abstract":"Design of earth dams and their issues during and after construction is very important for residents downstream of the dam because of the potential risks and possible breakdowns. In the design of dams, various forces influence the dam body, including uplift pressure and piping phenomenon which should be considered in order to ensure the safety of the dam. Among the measures taken to prevent the washing away phenomenon, the reduction of the output gradient, and the leakage discharge from beneath the hydraulic structures, construction of the grout curtain and installation of the drainage are applicable. Therefore, in order to investigate the effect of various parameters such as the gradient angle of the grout curtain, length, and distance and the number of grout curtains, as well as the length of the drainage on the pressure and output gradient of the numerical models, were considered in current study. For this purpose, the SEEP/W software was used for modeling on Sattarkhan Dam as a case study. The results of the analysis showed that the use of the Qa'im grout curtain at the upstream of the dam has the highest resistance against the pressure and piping phenomenon. The results also showed that increase in the length of the curtain of the water seal increases safety against uplift and piping phenomenon. The use of further spacing between the two grout curtains under the core of the dam led to increase in overall pressure or reduction in safety against uplift pressure. Increase in the length of the horizontal drainage reduced the effects of uplift pressure and output gradient. Results show that period of 70 to 110 degree is appropriate for curtain angle and setting curtain in upstream of dam core with angle of 70 to 80 degree is optimum and economic. A length of 30 m is optimum for curtain. The number of 2 curtains is also optimum. Studying various scenarios of distance of 2 curtains in dam core indicates that distance of 6 m is optimum and also length of 18 m for horizontal drainage is optimum.","author":[{"dropping-particle":"","family":"Meshkabadi","given":"Kambiz","non-dropping-particle":"","parse-names":false,"suffix":""},{"dropping-particle":"","family":"Zandi","given":"Yousef","non-dropping-particle":"","parse-names":false,"suffix":""}],"container-title":"Hydrology","id":"ITEM-1","issued":{"date-parts":[["2019"]]},"title":"The effects of grout curtain parameters on uplift and piping phenomenon; case study: Sattarkhan Dam","type":"article-journal"},"uris":["http://www.mendeley.com/documents/?uuid=09c78fd0-984d-43aa-bd29-bfbce7592031","http://www.mendeley.com/documents/?uuid=6bbf4dbd-e1e2-48cf-a035-fabd00cea29a","http://www.mendeley.com/documents/?uuid=9df7a891-1ad7-4df5-a41f-bce9b38e8e40"]}],"mendeley":{"formattedCitation":"[217]","plainTextFormattedCitation":"[217]","previouslyFormattedCitation":"[217]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[217]</w:t>
      </w:r>
      <w:r w:rsidRPr="00051297">
        <w:rPr>
          <w:rFonts w:cs="Times New Roman"/>
          <w:szCs w:val="24"/>
        </w:rPr>
        <w:fldChar w:fldCharType="end"/>
      </w:r>
      <w:r w:rsidRPr="00051297">
        <w:rPr>
          <w:rFonts w:cs="Times New Roman"/>
          <w:szCs w:val="24"/>
        </w:rPr>
        <w:t>.</w:t>
      </w:r>
    </w:p>
    <w:p w14:paraId="38C0BD69" w14:textId="56850DEF" w:rsidR="00051297" w:rsidRPr="00051297" w:rsidRDefault="00051297" w:rsidP="00EE7BED">
      <w:pPr>
        <w:pStyle w:val="5"/>
        <w:rPr>
          <w:lang w:val="en-US"/>
        </w:rPr>
      </w:pPr>
      <w:bookmarkStart w:id="405" w:name="Internal_Erosion_Basics"/>
      <w:bookmarkStart w:id="406" w:name="_Toc97504759"/>
      <w:bookmarkStart w:id="407" w:name="_Toc103543893"/>
      <w:bookmarkStart w:id="408" w:name="_Toc104985217"/>
      <w:bookmarkEnd w:id="405"/>
      <w:r w:rsidRPr="00051297">
        <w:rPr>
          <w:lang w:val="en-US"/>
        </w:rPr>
        <w:t>Tropical residual soils as dam foundation and fill material</w:t>
      </w:r>
      <w:bookmarkEnd w:id="406"/>
      <w:bookmarkEnd w:id="407"/>
      <w:bookmarkEnd w:id="408"/>
    </w:p>
    <w:p w14:paraId="552F27AE" w14:textId="2CF9EA49" w:rsidR="00051297" w:rsidRPr="00051297" w:rsidRDefault="00051297" w:rsidP="00051297">
      <w:pPr>
        <w:rPr>
          <w:rFonts w:cs="Times New Roman"/>
          <w:szCs w:val="24"/>
          <w:lang w:val="en-US"/>
        </w:rPr>
      </w:pPr>
      <w:r w:rsidRPr="00051297">
        <w:rPr>
          <w:rFonts w:cs="Times New Roman"/>
          <w:szCs w:val="24"/>
          <w:lang w:val="en-US"/>
        </w:rPr>
        <w:t xml:space="preserve">The term "tropical residual soil" refers to a soil that has been weathered in-situ, meaning that the underlying rock structure has been destroyed by weathering and the material has not been moved from its original site </w:t>
      </w:r>
      <w:r w:rsidRPr="00051297">
        <w:rPr>
          <w:rFonts w:cs="Times New Roman"/>
          <w:szCs w:val="24"/>
        </w:rPr>
        <w:fldChar w:fldCharType="begin" w:fldLock="1"/>
      </w:r>
      <w:r w:rsidR="00FA5896">
        <w:rPr>
          <w:rFonts w:cs="Times New Roman"/>
          <w:szCs w:val="24"/>
          <w:lang w:val="en-US"/>
        </w:rPr>
        <w:instrText>ADDIN CSL_CITATION {"citationItems":[{"id":"ITEM-1","itemData":{"ISBN":"978-3-319-12127-7","abstract":"This volume addresses the multi-disciplinary topic of engineering geology and the environment, one of the fastest growing, most relevant and applied fields of research and study within the geosciences. It covers the fundamentals of geology and engineering where the two fields overlap and, in addition, highlights specialized topics that address principles, concepts and paradigms of the discipline, including operational terms, materials, tools, techniques and methods as well as processes, procedures and implications. A number of well known and respected international experts contributed to this authoritative volume, thereby ensuring proper geographic representation, professional credibility and reliability. This superb volume provides a dependable and ready source of information on approximately 300 topical entries relevant to all aspects of engineering geology. Extensive illustrations, figures, images, tables and detailed bibliographic citations ensure that the comprehensively defined contributions are broadly and clearly explained. The Encyclopedia of Engineering Geology provides a ready source of reference for several fields of study and practice including civil engineers, geologists, physical geographers, architects, hazards specialists, hydrologists, geotechnicians, geophysicists, geomorphologists, planners, resource explorers, and many others. As a key library reference, this book is an essential technical source for undergraduate and graduate students in their research. Teachers/professors can rely on it as the final authority and the first source of reference on engineering geology related studies as it provides an exceptional resource to train and educate the next generation of practitioners. Abrasiveness -- Accreditation -- Acidity (pH) -- Acid mine drainage -- Aeolian processes -- Aerial photography -- Aeromagnetic survey -- Aggregate -- Aggregate tests -- Alkali silica reactivity -- Alluvial environments -- Alteration -- Anchoring -- Angle/area of influence -- Angle of internal friction -- Aquifer -- Aquitard -- Armour stone -- Artesian -- Artificial ground -- Atterburg Limits -- Avalanche -- Backfill -- Beach replenishment -- Bearing capacity -- Bedrock -- Biological weathering -- Blasting -- Borehole -- Borehole investigations -- Boulders -- Breakwaters -- Bridges -- Brownfield sites -- Building/dimension stone -- Bulk modulus -- California bearing ratio -- Cambering -- Cantilever -- Capillarity -- Cap rock -- Casagrande test -- Casing -- Ca…","author":[{"dropping-particle":"","family":"Bobrowsky","given":"Peter T.","non-dropping-particle":"","parse-names":false,"suffix":""},{"dropping-particle":"","family":"Brian Marker","given":"","non-dropping-particle":"","parse-names":false,"suffix":""}],"container-title":"Encyclopedia of Engineering Geology","id":"ITEM-1","issued":{"date-parts":[["2017"]]},"title":"Encyclopedia of Engineering Geology","type":"article-journal"},"uris":["http://www.mendeley.com/documents/?uuid=7533e9a8-d49e-4982-98a6-a4f37d7e842c","http://www.mendeley.com/documents/?uuid=7d069d93-9c81-4b40-bf7f-914e57acb8a0","http://www.mendeley.com/documents/?uuid=e7db26d9-11ee-4605-adeb-1763367e6e16"]},{"id":"ITEM-2","itemData":{"DOI":"10.1007/978-3-319-73568-9_214","abstract":"This volume addresses the multi-disciplinary topic of engineering geology and the environment, one of the fastest growing, most relevant and applied fields of research and study within the geosciences. It covers the fundamentals of geology and engineering where the two fields overlap and, in addition, highlights specialized topics that address principles, concepts and paradigms of the discipline, including operational terms, materials, tools, techniques and methods as well as processes, procedures and implications. A number of well known and respected international experts contributed to this authoritative volume, thereby ensuring proper geographic representation, professional credibility and reliability. This superb volume provides a dependable and ready source of information on approximately 300 topical entries relevant to all aspects of engineering geology. Extensive illustrations, figures, images, tables and detailed bibliographic citations ensure that the comprehensively defined contributions are broadly and clearly explained. The Encyclopedia of Engineering Geology provides a ready source of reference for several fields of study and practice including civil engineers, geologists, physical geographers, architects, hazards specialists, hydrologists, geotechnicians, geophysicists, geomorphologists, planners, resource explorers, and many others. As a key library reference, this book is an essential technical source for undergraduate and graduate students in their research. Teachers/professors can rely on it as the final authority and the first source of reference on engineering geology related studies as it provides an exceptional resource to train and educate the next generation of practitioners. Abrasiveness -- Accreditation -- Acidity (pH) -- Acid mine drainage -- Aeolian processes -- Aerial photography -- Aeromagnetic survey -- Aggregate -- Aggregate tests -- Alkali silica reactivity -- Alluvial environments -- Alteration -- Anchoring -- Angle/area of influence -- Angle of internal friction -- Aquifer -- Aquitard -- Armour stone -- Artesian -- Artificial ground -- Atterburg Limits -- Avalanche -- Backfill -- Beach replenishment -- Bearing capacity -- Bedrock -- Biological weathering -- Blasting -- Borehole -- Borehole investigations -- Boulders -- Breakwaters -- Bridges -- Brownfield sites -- Building/dimension stone -- Bulk modulus -- California bearing ratio -- Cambering -- Cantilever -- Capillarity -- Cap rock -- Casagrande test -- Casing -- Ca…","author":[{"dropping-particle":"","family":"Kazemian","given":"Sina","non-dropping-particle":"","parse-names":false,"suffix":""}],"id":"ITEM-2","issued":{"date-parts":[["2018"]]},"page":"691-695","title":"Organic Soils and Peats","type":"chapter"},"uris":["http://www.mendeley.com/documents/?uuid=d8044182-afe6-49db-942a-1838be7a17be","http://www.mendeley.com/documents/?uuid=23e5cddb-b172-4973-9033-cce33f9aeb7c","http://www.mendeley.com/documents/?uuid=d024ac03-c8c8-4865-813a-6ac6cb740b43"]}],"mendeley":{"formattedCitation":"[218,219]","plainTextFormattedCitation":"[218,219]","previouslyFormattedCitation":"[218,219]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[218,219]</w:t>
      </w:r>
      <w:r w:rsidRPr="00051297">
        <w:rPr>
          <w:rFonts w:cs="Times New Roman"/>
          <w:szCs w:val="24"/>
        </w:rPr>
        <w:fldChar w:fldCharType="end"/>
      </w:r>
      <w:r w:rsidRPr="00051297">
        <w:rPr>
          <w:rFonts w:cs="Times New Roman"/>
          <w:szCs w:val="24"/>
          <w:lang w:val="en-US"/>
        </w:rPr>
        <w:t xml:space="preserve">. Tropical residual soils are defined differently in different parts of the world and different countries. According to </w:t>
      </w:r>
      <w:r w:rsidRPr="00051297">
        <w:rPr>
          <w:rFonts w:cs="Times New Roman"/>
          <w:szCs w:val="24"/>
        </w:rPr>
        <w:fldChar w:fldCharType="begin" w:fldLock="1"/>
      </w:r>
      <w:r w:rsidR="00FA5896">
        <w:rPr>
          <w:rFonts w:cs="Times New Roman"/>
          <w:szCs w:val="24"/>
          <w:lang w:val="en-US"/>
        </w:rPr>
        <w:instrText>ADDIN CSL_CITATION {"citationItems":[{"id":"ITEM-1","itemData":{"DOI":"10.1016/j.undsp.2018.07.001","ISSN":"24679674","abstract":"Extensive site investigations were conducted prior to the construction of a Mass Rapid Transit project in Singapore that was predominantly in the Bukit Timah Granite (BTG) formation residual soil. This paper evaluates the engineering properties of the BTG formation residual soil based on data from 208 site investigation boreholes from four different sites. Based on the results from 2481 conventional laboratory tests and 1192 in-situ tests, this paper summarizes the engineering properties of the highly variable BTG residual soil, including conventional composition analysis, index and hydraulic properties, and strength and deformation parameters required for geotechnical analysis and design. Based on these results, the BTG formation is found to be quite heterogeneous. As the degree of weathering decreases with depth from the top of the formation, the BTG residual soil becomes sandier, with reduced silt and clay fractions. The coefficient of permeability and the compression index of the BTG residual soil vary significantly. In addition, the empirical equations relating the shear strength (index) to the standard penetration test (SPT)-N, as well as the equations and charts for determining stiffness, are proposed. These findings, together with the proposed equations or charts, can be used for design guidance of similar projects related to granitic residual soils in Singapore.","author":[{"dropping-particle":"","family":"Zhang","given":"W. G.","non-dropping-particle":"","parse-names":false,"suffix":""},{"dropping-particle":"","family":"Zhang","given":"R. H.","non-dropping-particle":"","parse-names":false,"suffix":""},{"dropping-particle":"","family":"Han","given":"L.","non-dropping-particle":"","parse-names":false,"suffix":""},{"dropping-particle":"","family":"Goh","given":"A. T.C.","non-dropping-particle":"","parse-names":false,"suffix":""}],"container-title":"Underground Space (China)","id":"ITEM-1","issued":{"date-parts":[["2019"]]},"title":"Engineering properties of the Bukit Timah Granitic residual soil in Singapore","type":"article-journal"},"uris":["http://www.mendeley.com/documents/?uuid=826c1083-9768-48ee-9856-f9edc9bafba3","http://www.mendeley.com/documents/?uuid=ce40f74b-6b1d-4c2e-a7d9-9343e9ea8f84","http://www.mendeley.com/documents/?uuid=0c53d37f-8443-4fa6-8fed-ed1d41822451"]}],"mendeley":{"formattedCitation":"[220]","plainTextFormattedCitation":"[220]","previouslyFormattedCitation":"[220]"},"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[220]</w:t>
      </w:r>
      <w:r w:rsidRPr="00051297">
        <w:rPr>
          <w:rFonts w:cs="Times New Roman"/>
          <w:szCs w:val="24"/>
        </w:rPr>
        <w:fldChar w:fldCharType="end"/>
      </w:r>
      <w:r w:rsidRPr="00051297">
        <w:rPr>
          <w:rFonts w:cs="Times New Roman"/>
          <w:szCs w:val="24"/>
          <w:lang w:val="en-US"/>
        </w:rPr>
        <w:t xml:space="preserve">, residual soil behavior has a structured soil bonding impact that can occur in a variety of settings. According to </w:t>
      </w:r>
      <w:r w:rsidRPr="00051297">
        <w:rPr>
          <w:rFonts w:cs="Times New Roman"/>
          <w:szCs w:val="24"/>
        </w:rPr>
        <w:fldChar w:fldCharType="begin" w:fldLock="1"/>
      </w:r>
      <w:r w:rsidR="00FA5896">
        <w:rPr>
          <w:rFonts w:cs="Times New Roman"/>
          <w:szCs w:val="24"/>
          <w:lang w:val="en-US"/>
        </w:rPr>
        <w:instrText>ADDIN CSL_CITATION {"citationItems":[{"id":"ITEM-1","itemData":{"DOI":"10.1016/j.sandf.2021.02.001","ISSN":"00380806","abstract":"It is widely acknowledged that residual and sedimentary soils differ considerably because of how they formed. However, despite extensive advances regarding sedimentary soil, little is known about the small-strain stiffness of residual soil. This paper concerns granite residual soil from Xiamen in China, for which a typical profile is established by in situ investigations. How the stiffness varies with the soil current state, including effective mean stress, void ratio and strain, is established via systematic resonant-column tests on high-quality undisturbed and remolded specimens. Highlighted are the unique properties of the studied soil and how they affect the soil stiffness. It is found that cementation among soil particles plays a critical role in the soil stiffness. Although some existing methods can confirm the existence of cementation in the studied soil, they cannot quantify it. Therefore, a new parameter Rn is proposed to quantify the degree of cementation, with lower Rn corresponding to a more cemented structure. According to the proposed Rn, the studied residual soil in Xiamen has a different degree of cementation from that of some well-studied weathered materials, thereby necessitating separate characterization of this soil. This study improves the understanding of residual soil stiffness at small strain, especially the key effect of cementation in natural soil.","author":[{"dropping-particle":"","family":"Liu","given":"Xinyu","non-dropping-particle":"","parse-names":false,"suffix":""},{"dropping-particle":"","family":"Zhang","given":"Xianwei","non-dropping-particle":"","parse-names":false,"suffix":""},{"dropping-particle":"","family":"Kong","given":"Lingwei","non-dropping-particle":"","parse-names":false,"suffix":""},{"dropping-particle":"","family":"Li","given":"Xinming","non-dropping-particle":"","parse-names":false,"suffix":""},{"dropping-particle":"","family":"Wang","given":"Gang","non-dropping-particle":"","parse-names":false,"suffix":""}],"container-title":"Soils and Foundations","id":"ITEM-1","issue":"2","issued":{"date-parts":[["2021","4"]]},"page":"520-532","title":"Effect of cementation on the small-strain stiffness of granite residual soil","type":"article-journal","volume":"61"},"uris":["http://www.mendeley.com/documents/?uuid=dbb9450d-6317-458e-bfbb-c7e3f5e4d2c3","http://www.mendeley.com/documents/?uuid=77c0ea7a-2ef1-4e50-994f-e4b22d1e0ec9","http://www.mendeley.com/documents/?uuid=7c261bf9-eb5a-4c0f-b436-4fb8e901cea3"]},{"id":"ITEM-2","itemData":{"DOI":"10.30880/ijie.2019.11.02.030","ISSN":"2229838X","abstract":"Infiltration rate is important factors in the rainfall induced slope failure. The infiltration of water into residual soil was govern by rainfall intensity and also saturated permeability of soil. The existing of burrow holes has proven increases the permeability of the soil with increase in number of burrow holes. Therefore, it is very important to study the effect of burrow holes in residual soil slope and its effect in infiltration rate. The modified constant head permeability was done to study effect of burrow holes in residual soil. Then, the infiltration test was done to study the infiltration rate of residual soil with existing of burrow holes. The result from modified permeability shows that permeability of residual soil increases from 5 x 10-7 m/s to 1.14 x 10-3 m/s for different area of burrow holes. The result from infiltration test proven that when q/ksat greater than 1 the runoff was occurs. Meanwhile, when q/ksat less than 1 infiltration was occurs. The result also indicates that the smaller ratio between of resq/ksat, the faster the infiltration of water into the soil.","author":[{"dropping-particle":"","family":"Abu Talib","given":"Zaihasra","non-dropping-particle":"","parse-names":false,"suffix":""},{"dropping-particle":"","family":"Kassim","given":"Azman","non-dropping-particle":"","parse-names":false,"suffix":""},{"dropping-particle":"","family":"Yusak","given":"Gambo Haruna","non-dropping-particle":"","parse-names":false,"suffix":""},{"dropping-particle":"","family":"Mohd Yusof","given":"Mohd Fairus","non-dropping-particle":"","parse-names":false,"suffix":""},{"dropping-particle":"","family":"Ngee Leh","given":"Felix Ling","non-dropping-particle":"","parse-names":false,"suffix":""}],"container-title":"International Journal of Integrated Engineering","id":"ITEM-2","issue":"2","issued":{"date-parts":[["2019","3"]]},"title":"Influence of Burrow Holes in Residual Soil Slope Infiltration","type":"article-journal","volume":"11"},"uris":["http://www.mendeley.com/documents/?uuid=c4eebf39-11d0-4751-a971-4611f72bb915","http://www.mendeley.com/documents/?uuid=c44656b9-3ed1-4510-b632-ec3cc66f12d1","http://www.mendeley.com/documents/?uuid=944050ff-2002-4c36-9bb0-94678443416d"]}],"mendeley":{"formattedCitation":"[221,222]","plainTextFormattedCitation":"[221,222]","previouslyFormattedCitation":"[221,222]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[221,222]</w:t>
      </w:r>
      <w:r w:rsidRPr="00051297">
        <w:rPr>
          <w:rFonts w:cs="Times New Roman"/>
          <w:szCs w:val="24"/>
        </w:rPr>
        <w:fldChar w:fldCharType="end"/>
      </w:r>
      <w:r w:rsidRPr="00051297">
        <w:rPr>
          <w:rFonts w:cs="Times New Roman"/>
          <w:szCs w:val="24"/>
          <w:lang w:val="en-US"/>
        </w:rPr>
        <w:t>, residual soil is the consequence of chemical weathering, and engineering residual soil has numerous features, including climatic variables, raw materials, topography, flow, and age. The engineering characteristics of residual soil will be one of these variables. Soil behavior in situ is complicated since it is influenced by a variety of elements.</w:t>
      </w:r>
    </w:p>
    <w:p w14:paraId="0D122371" w14:textId="7801C05A" w:rsidR="00051297" w:rsidRPr="00051297" w:rsidRDefault="00051297" w:rsidP="00EE7BED">
      <w:pPr>
        <w:pStyle w:val="5"/>
      </w:pPr>
      <w:bookmarkStart w:id="409" w:name="_Toc103543894"/>
      <w:bookmarkStart w:id="410" w:name="_Toc104985218"/>
      <w:r w:rsidRPr="00051297">
        <w:rPr>
          <w:lang w:val="en-US"/>
        </w:rPr>
        <w:t>Summary of the sub-section</w:t>
      </w:r>
      <w:bookmarkEnd w:id="409"/>
      <w:bookmarkEnd w:id="410"/>
    </w:p>
    <w:p w14:paraId="0BE668BE" w14:textId="77777777" w:rsidR="00051297" w:rsidRPr="00051297" w:rsidRDefault="00051297" w:rsidP="00051297">
      <w:pPr>
        <w:rPr>
          <w:rFonts w:cs="Times New Roman"/>
          <w:szCs w:val="24"/>
          <w:lang w:val="en-US"/>
        </w:rPr>
      </w:pPr>
      <w:r w:rsidRPr="00051297">
        <w:rPr>
          <w:rFonts w:cs="Times New Roman"/>
          <w:szCs w:val="24"/>
          <w:lang w:val="en-US"/>
        </w:rPr>
        <w:t xml:space="preserve">To reach a high level of resilience, people of the community and stakeholders, in general, must work together. Ideas and solutions that satisfy community needs and address community-identified resilience goals must be integrated and implemented. Those who are directly or indirectly impacted by a dam or levee failure have the opportunity to mitigate the effects of the failure through community physical and social changes, community growth planning, safe housing </w:t>
      </w:r>
      <w:r w:rsidRPr="00051297">
        <w:rPr>
          <w:rFonts w:cs="Times New Roman"/>
          <w:szCs w:val="24"/>
          <w:lang w:val="en-US"/>
        </w:rPr>
        <w:lastRenderedPageBreak/>
        <w:t>construction, and financial planning (including bonds and insurance), and the development of adaptability. Dam and levee safety experts, as well as other community members and stakeholders, will be most successful in improving resilience when they identify and manage risk cooperatively in ways that promote knowledge and communication of threats, shared needs, and opportunities.</w:t>
      </w:r>
    </w:p>
    <w:p w14:paraId="214CE777" w14:textId="77777777" w:rsidR="00051297" w:rsidRPr="00051297" w:rsidRDefault="00051297" w:rsidP="00051297">
      <w:pPr>
        <w:rPr>
          <w:rFonts w:cs="Times New Roman"/>
          <w:szCs w:val="24"/>
          <w:lang w:val="en-US"/>
        </w:rPr>
      </w:pPr>
      <w:r w:rsidRPr="00051297">
        <w:rPr>
          <w:rFonts w:cs="Times New Roman"/>
          <w:szCs w:val="24"/>
          <w:lang w:val="en-US"/>
        </w:rPr>
        <w:t>Dam and levee professionals can use risk-informed approaches to improve their understanding of infrastructure-system operations, performance, vulnerabilities, and the consequences of potential failures, allowing them and the rest of the community to make better dam and levee infrastructure and resilience decisions.</w:t>
      </w:r>
    </w:p>
    <w:p w14:paraId="1E587AAD" w14:textId="4D433530" w:rsidR="00051297" w:rsidRPr="00051297" w:rsidRDefault="00051297" w:rsidP="00EE7BED">
      <w:pPr>
        <w:pStyle w:val="4"/>
        <w:rPr>
          <w:lang w:val="en-US"/>
        </w:rPr>
      </w:pPr>
      <w:bookmarkStart w:id="411" w:name="_Toc97504761"/>
      <w:bookmarkStart w:id="412" w:name="_Toc103543895"/>
      <w:bookmarkStart w:id="413" w:name="_Toc104985219"/>
      <w:r w:rsidRPr="00051297">
        <w:rPr>
          <w:lang w:val="en-US"/>
        </w:rPr>
        <w:t>Modeling of embankment dam behavior</w:t>
      </w:r>
      <w:bookmarkStart w:id="414" w:name="_Toc79511126"/>
      <w:bookmarkEnd w:id="411"/>
      <w:bookmarkEnd w:id="412"/>
      <w:bookmarkEnd w:id="413"/>
      <w:r w:rsidRPr="00051297">
        <w:rPr>
          <w:lang w:val="en-US"/>
        </w:rPr>
        <w:t xml:space="preserve"> </w:t>
      </w:r>
      <w:bookmarkEnd w:id="414"/>
    </w:p>
    <w:p w14:paraId="43670C66" w14:textId="2722AC32" w:rsidR="00051297" w:rsidRPr="00051297" w:rsidRDefault="00051297" w:rsidP="00EE7BED">
      <w:pPr>
        <w:pStyle w:val="5"/>
      </w:pPr>
      <w:bookmarkStart w:id="415" w:name="_Toc79511127"/>
      <w:bookmarkStart w:id="416" w:name="_Toc97504762"/>
      <w:bookmarkStart w:id="417" w:name="_Toc103543896"/>
      <w:bookmarkStart w:id="418" w:name="_Toc104985220"/>
      <w:r w:rsidRPr="00051297">
        <w:t>Dam modeling during construction</w:t>
      </w:r>
      <w:bookmarkEnd w:id="415"/>
      <w:bookmarkEnd w:id="416"/>
      <w:bookmarkEnd w:id="417"/>
      <w:bookmarkEnd w:id="418"/>
    </w:p>
    <w:p w14:paraId="63537ED1" w14:textId="01334ECE" w:rsidR="00051297" w:rsidRPr="00051297" w:rsidRDefault="00051297" w:rsidP="00051297">
      <w:pPr>
        <w:rPr>
          <w:rFonts w:cs="Times New Roman"/>
          <w:szCs w:val="24"/>
          <w:lang w:val="en-US"/>
        </w:rPr>
      </w:pPr>
      <w:r w:rsidRPr="00051297">
        <w:rPr>
          <w:rFonts w:cs="Times New Roman"/>
          <w:szCs w:val="24"/>
          <w:lang w:val="en-US"/>
        </w:rPr>
        <w:t xml:space="preserve">The nonlinear behavior of the building material, the interaction between the structure and the underlying soil and rock strata, the effects of water saturation, as well as the influence of water stress on the structure and foundation bedrock all play a role in the deformation of an earth dam. The deformation process can be modeled using the finite element method in conjunction with a hyperbolic model of the material's nonlinear behavior </w:t>
      </w:r>
      <w:r w:rsidRPr="00051297">
        <w:rPr>
          <w:rFonts w:cs="Times New Roman"/>
          <w:szCs w:val="24"/>
        </w:rPr>
        <w:fldChar w:fldCharType="begin" w:fldLock="1"/>
      </w:r>
      <w:r w:rsidR="00FA5896">
        <w:rPr>
          <w:rFonts w:cs="Times New Roman"/>
          <w:szCs w:val="24"/>
          <w:lang w:val="en-US"/>
        </w:rPr>
        <w:instrText>ADDIN CSL_CITATION {"citationItems":[{"id":"ITEM-1","itemData":{"DOI":"10.1061/(ASCE)GT.1943-5606.0001997","ISSN":"1090-0241","abstract":"© 2018 American Society of Civil Engineers. The behavior of interfaces between granular materials in zoned embankment dams can influence their overall behavior. Soil-structure interfaces have been largely studied, but only a few analyses of interfaces between the granular materials composing rockfill dams have been realized. Consequently, there is a need to consider the influence of material interfaces within dams. Numerical modeling of a rockfill dam was performed to simulate its mechanical behavior during the construction phase. The behavior was analyzed based on the numerical methods used to model the interfaces and on interface characteristics through sensitivity analyses. Particular attention was paid to the influence of interface shear strength on the dam shear deformations, settlements, and plasticity. The numerical results highlight that the contact condition and the interface characteristics influence the dam behavior. Low shear resistance of interface engenders an increase of relative displacements, settlements, and shear strains in the dam. Moreover, the dilative behavior of the interfaces also affects the overall dam behavior.","author":[{"dropping-particle":"","family":"Pardoen","given":"B.","non-dropping-particle":"","parse-names":false,"suffix":""},{"dropping-particle":"","family":"Konrad","given":"J.-M.","non-dropping-particle":"","parse-names":false,"suffix":""}],"container-title":"Journal of Geotechnical and Geoenvironmental Engineering","id":"ITEM-1","issue":"3","issued":{"date-parts":[["2019","3"]]},"page":"04018111","title":"Numerical Modeling of Zoned Rockfill Dam during Construction Considering Granular Interface Behavior","type":"article-journal","volume":"145"},"uris":["http://www.mendeley.com/documents/?uuid=5486642b-b418-4320-9798-81d5d8b5d72c","http://www.mendeley.com/documents/?uuid=d9454e8b-a0e5-495a-b2c9-64f1abe66f88","http://www.mendeley.com/documents/?uuid=746b1980-53f5-4feb-b2e9-db9e95f2e683"]}],"mendeley":{"formattedCitation":"[223]","plainTextFormattedCitation":"[223]","previouslyFormattedCitation":"[223]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[223]</w:t>
      </w:r>
      <w:r w:rsidRPr="00051297">
        <w:rPr>
          <w:rFonts w:cs="Times New Roman"/>
          <w:szCs w:val="24"/>
        </w:rPr>
        <w:fldChar w:fldCharType="end"/>
      </w:r>
      <w:r w:rsidRPr="00051297">
        <w:rPr>
          <w:rFonts w:cs="Times New Roman"/>
          <w:szCs w:val="24"/>
          <w:lang w:val="en-US"/>
        </w:rPr>
        <w:t>.</w:t>
      </w:r>
    </w:p>
    <w:p w14:paraId="153508FF" w14:textId="77777777" w:rsidR="00051297" w:rsidRPr="00051297" w:rsidRDefault="00051297" w:rsidP="00051297">
      <w:pPr>
        <w:rPr>
          <w:rFonts w:cs="Times New Roman"/>
          <w:szCs w:val="24"/>
          <w:lang w:val="en-US"/>
        </w:rPr>
      </w:pPr>
      <w:r w:rsidRPr="00051297">
        <w:rPr>
          <w:rFonts w:cs="Times New Roman"/>
          <w:szCs w:val="24"/>
          <w:lang w:val="en-US"/>
        </w:rPr>
        <w:t>Internal erosion of fine-grained soils from embankments, erosion under the foundation or abutment, stability issues caused by high pore pressures, hydraulic gradients, and dam or spillway overtopping are the most prevalent reasons for embankment dam failure. During earthquakes, the formation of high water pressures and probable liquefaction in the foundation or embankment is a less usual cause of failure.</w:t>
      </w:r>
    </w:p>
    <w:p w14:paraId="2EA6D5C9" w14:textId="46049CF8" w:rsidR="00051297" w:rsidRPr="00051297" w:rsidRDefault="00051297" w:rsidP="00051297">
      <w:pPr>
        <w:rPr>
          <w:rFonts w:cs="Times New Roman"/>
          <w:szCs w:val="24"/>
          <w:lang w:val="en-US"/>
        </w:rPr>
      </w:pPr>
      <w:r w:rsidRPr="00051297">
        <w:rPr>
          <w:rFonts w:cs="Times New Roman"/>
          <w:szCs w:val="24"/>
          <w:lang w:val="en-US"/>
        </w:rPr>
        <w:t xml:space="preserve">The safety of earth dams is contingent on the correct design, building, and monitoring of actual behavior during the structure's construction and operation. Monitoring is also necessary for a better and safer design of future dams by confirming design parameters, with the geotechnical factors being the most significant </w:t>
      </w:r>
      <w:r w:rsidRPr="00051297">
        <w:rPr>
          <w:rFonts w:cs="Times New Roman"/>
          <w:szCs w:val="24"/>
        </w:rPr>
        <w:fldChar w:fldCharType="begin" w:fldLock="1"/>
      </w:r>
      <w:r w:rsidR="00FA5896">
        <w:rPr>
          <w:rFonts w:cs="Times New Roman"/>
          <w:szCs w:val="24"/>
          <w:lang w:val="en-US"/>
        </w:rPr>
        <w:instrText>ADDIN CSL_CITATION {"citationItems":[{"id":"ITEM-1","itemData":{"DOI":"10.1007/s10706-020-01371-w","ISSN":"0960-3182","abstract":"Seepage control in earthfill dams is a major concern during different phases of dam construction and operation. More than 30% of earthfill dam failures occur due to uncontrolled flow in the dam body and foundation. Seepage control measures, designed and installed at suspected sites of uncontrolled flow, thus play a vital role in stabilizing earthfill dams. However, the actual efficiency of seepage control measures often falls short of expected performance due to soil heterogeneity and changes over time. Assessing the performance of seepage control measures based on monitoring and modeling is necessary to avoid abrupt failures in earthfill dams. In this study, we developed a novel method for quantifying the efficiency of seepage control measures in earthfill dams based on combined seepage modeling and monitoring data. We tested the method by applying it to assess the efficiency of seepage control components at the Doroudzan dam, Iran. The results revealed that the overall efficiency of the dam’s seepage control measures (depending on water level in the reservoir) was 51–70%, based on the magnitude of discharged flow. The efficiency of three major seepage control devices, the chimney drain, cutoff wall, and grouting diaphragm in the left abutment, was 76–82%, 68–74%, and 16–19%, respectively.","author":[{"dropping-particle":"","family":"Torabi Haghighi","given":"Ali","non-dropping-particle":"","parse-names":false,"suffix":""},{"dropping-particle":"","family":"Tuomela","given":"Anne","non-dropping-particle":"","parse-names":false,"suffix":""},{"dropping-particle":"","family":"Hekmatzadeh","given":"Ali Akbar","non-dropping-particle":"","parse-names":false,"suffix":""}],"container-title":"Geotechnical and Geological Engineering","id":"ITEM-1","issue":"5","issued":{"date-parts":[["2020","10"]]},"page":"5667-5680","title":"Assessing the Efficiency of Seepage Control Measures in Earthfill Dams","type":"article-journal","volume":"38"},"uris":["http://www.mendeley.com/documents/?uuid=360185b3-011e-45d8-9b10-a75092e01602","http://www.mendeley.com/documents/?uuid=075bee0c-9c4c-4a86-97d1-b00116a25902","http://www.mendeley.com/documents/?uuid=d623595f-a943-4399-bc06-1442e3f33130"]}],"mendeley":{"formattedCitation":"[224]","plainTextFormattedCitation":"[224]","previouslyFormattedCitation":"[224]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[224]</w:t>
      </w:r>
      <w:r w:rsidRPr="00051297">
        <w:rPr>
          <w:rFonts w:cs="Times New Roman"/>
          <w:szCs w:val="24"/>
        </w:rPr>
        <w:fldChar w:fldCharType="end"/>
      </w:r>
      <w:r w:rsidRPr="00051297">
        <w:rPr>
          <w:rFonts w:cs="Times New Roman"/>
          <w:szCs w:val="24"/>
          <w:lang w:val="en-US"/>
        </w:rPr>
        <w:t>. It should also be noted that the geotechnical parameters can be determined either in situ or in the laboratory.</w:t>
      </w:r>
    </w:p>
    <w:p w14:paraId="51644DDF" w14:textId="6BC326F2" w:rsidR="00051297" w:rsidRPr="00051297" w:rsidRDefault="00051297" w:rsidP="00051297">
      <w:pPr>
        <w:rPr>
          <w:rFonts w:cs="Times New Roman"/>
          <w:szCs w:val="24"/>
        </w:rPr>
      </w:pPr>
      <w:r w:rsidRPr="00051297">
        <w:rPr>
          <w:rFonts w:cs="Times New Roman"/>
          <w:szCs w:val="24"/>
          <w:lang w:val="en-US"/>
        </w:rPr>
        <w:t xml:space="preserve">The selected samples in laboratory testing may differ from one place to the next, they may have been disturbed during collecting, or the laboratory loading conditions may differ from natural settings. As a result, comparing the monitored data with the projected data produced during the design process might provide crucial information on geotechnical factors </w:t>
      </w:r>
      <w:r w:rsidRPr="00051297">
        <w:rPr>
          <w:rFonts w:cs="Times New Roman"/>
          <w:szCs w:val="24"/>
        </w:rPr>
        <w:fldChar w:fldCharType="begin" w:fldLock="1"/>
      </w:r>
      <w:r w:rsidR="00FA5896">
        <w:rPr>
          <w:rFonts w:cs="Times New Roman"/>
          <w:szCs w:val="24"/>
          <w:lang w:val="en-US"/>
        </w:rPr>
        <w:instrText>ADDIN CSL_CITATION {"citationItems":[{"id":"ITEM-1","itemData":{"DOI":"10.1002/stc.2074","ISSN":"15452263","abstract":"Monitoring data collected during dam construction are important in complete series of monitoring data. These data play a significant role in dam safety monitoring and the analysis of structural conditions. The traditional statistical model of the deformation of a concrete face rockfill dam (CFRD) with filling height and time factors is associated with serious multicollinearity issues during the construction phase. This study uses the Longbeiwan CFRD as an engineering model, and the internal settlement of the dam is the research focus. The traditional statistical model of deformation includes internal settlement data from the construction period and the filling height factor. Subsequently, the filling height component of the statistical model is established, and an improved statistical model is proposed with additional factors not included in the traditional statistical model. The model analysis indicates that the improved statistical model can effectively eliminate or reduce multicollinearity issues between the filling height and time factors in the traditional statistical model. The model analysis also provides a new and reasonable modeling approach for quantitatively analyzing deformation monitoring data during CFRD construction.","author":[{"dropping-particle":"","family":"Shi","given":"Yuqun","non-dropping-particle":"","parse-names":false,"suffix":""},{"dropping-particle":"","family":"Yang","given":"Juanjuan","non-dropping-particle":"","parse-names":false,"suffix":""},{"dropping-particle":"","family":"Wu","given":"Jielian","non-dropping-particle":"","parse-names":false,"suffix":""},{"dropping-particle":"","family":"He","given":"Jinping","non-dropping-particle":"","parse-names":false,"suffix":""}],"container-title":"Structural Control and Health Monitoring","id":"ITEM-1","issued":{"date-parts":[["2018"]]},"title":"A statistical model of deformation during the construction of a concrete face rockfill dam","type":"article-journal"},"uris":["http://www.mendeley.com/documents/?uuid=e796cc1e-72ce-4857-9df9-195a0da8634f","http://www.mendeley.com/documents/?uuid=7171a444-4434-43ba-b0a2-bbbdb6e5a619","http://www.mendeley.com/documents/?uuid=37776591-19cc-49cd-8292-e53ba8c72d26"]}],"mendeley":{"formattedCitation":"[225]","plainTextFormattedCitation":"[225]","previouslyFormattedCitation":"[225]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[225]</w:t>
      </w:r>
      <w:r w:rsidRPr="00051297">
        <w:rPr>
          <w:rFonts w:cs="Times New Roman"/>
          <w:szCs w:val="24"/>
        </w:rPr>
        <w:fldChar w:fldCharType="end"/>
      </w:r>
      <w:r w:rsidRPr="00051297">
        <w:rPr>
          <w:rFonts w:cs="Times New Roman"/>
          <w:szCs w:val="24"/>
          <w:lang w:val="en-US"/>
        </w:rPr>
        <w:t xml:space="preserve">. Earth dams are typically designed using the finite element technique (FEM) </w:t>
      </w:r>
      <w:r w:rsidRPr="00051297">
        <w:rPr>
          <w:rFonts w:cs="Times New Roman"/>
          <w:szCs w:val="24"/>
        </w:rPr>
        <w:fldChar w:fldCharType="begin" w:fldLock="1"/>
      </w:r>
      <w:r w:rsidR="00FA5896">
        <w:rPr>
          <w:rFonts w:cs="Times New Roman"/>
          <w:szCs w:val="24"/>
          <w:lang w:val="en-US"/>
        </w:rPr>
        <w:instrText>ADDIN CSL_CITATION {"citationItems":[{"id":"ITEM-1","itemData":{"DOI":"10.37934/arfmts.71.2.87102","ISSN":"22897879","abstract":"Dams are massive as well as the expensive hydraulic structure which needs proper attention during designing and construction. Besides earthquakes, seepage and slope instability also cause serious damages which may lead to dam failure. Keeping in view the importance of dam construction and stability, there is a need to work out its stability, seepage, and earthquake analysis very accurately. This study assesses the stability of the existing earthfill Latamber dam located in the Karak region of Pakistan. Rigorous finite element analysis (FEM) tools have been utilized to carry out seepage analysis, and dynamic analysis of the Latamber dam while for the slope stability analysis, limit equilibrium method was adopted. The results indicate that the Latamber dam is secure against seepage and piping failure, slope (upstream and downstream) failure, and dynamic loading, observing no liquefaction.","author":[{"dropping-particle":"","family":"Ahmad","given":"Afnan","non-dropping-particle":"","parse-names":false,"suffix":""},{"dropping-particle":"","family":"Ali","given":"Shahid","non-dropping-particle":"","parse-names":false,"suffix":""},{"dropping-particle":"","family":"Khan","given":"Mujahid","non-dropping-particle":"","parse-names":false,"suffix":""},{"dropping-particle":"","family":"Harahap","given":"Indra Sati Hamonangan","non-dropping-particle":"","parse-names":false,"suffix":""},{"dropping-particle":"","family":"Aslam","given":"Muhammad Sagheer","non-dropping-particle":"","parse-names":false,"suffix":""}],"container-title":"Journal of Advanced Research in Fluid Mechanics and Thermal Sciences","id":"ITEM-1","issue":"2","issued":{"date-parts":[["2020","5"]]},"page":"87-102","title":"Re-Assessment of an Earth fill Dam using Finite Element Method and Limit Equilibrium Method (Case study of Latamber Dam, Pakistan)","type":"article-journal","volume":"71"},"uris":["http://www.mendeley.com/documents/?uuid=26dca693-3914-4426-b6e0-9b809c39d8e4","http://www.mendeley.com/documents/?uuid=17a77997-73db-4362-8872-b7b60a16a9ca"]}],"mendeley":{"formattedCitation":"[226]","plainTextFormattedCitation":"[226]","previouslyFormattedCitation":"[226]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[226]</w:t>
      </w:r>
      <w:r w:rsidRPr="00051297">
        <w:rPr>
          <w:rFonts w:cs="Times New Roman"/>
          <w:szCs w:val="24"/>
        </w:rPr>
        <w:fldChar w:fldCharType="end"/>
      </w:r>
      <w:r w:rsidRPr="00051297">
        <w:rPr>
          <w:rFonts w:cs="Times New Roman"/>
          <w:szCs w:val="24"/>
          <w:lang w:val="en-US"/>
        </w:rPr>
        <w:t xml:space="preserve">. Changeable loading or boundary conditions induce predicted displacements, strains, and stresses in the structure, which are analyzed using the FEM. The FEM values can be compared to measured values to get more information about the structure's actual behavior, boundary conditions, and unexpected loads </w:t>
      </w:r>
      <w:r w:rsidRPr="00051297">
        <w:rPr>
          <w:rFonts w:cs="Times New Roman"/>
          <w:szCs w:val="24"/>
        </w:rPr>
        <w:fldChar w:fldCharType="begin" w:fldLock="1"/>
      </w:r>
      <w:r w:rsidR="00FA5896">
        <w:rPr>
          <w:rFonts w:cs="Times New Roman"/>
          <w:szCs w:val="24"/>
          <w:lang w:val="en-US"/>
        </w:rPr>
        <w:instrText>ADDIN CSL_CITATION {"citationItems":[{"id":"ITEM-1","itemData":{"DOI":"10.1016/j.engstruct.2018.05.096","ISSN":"18737323","abstract":"The seismic response of gravity dams is typically derived under a deterministic finite element model for the dam-reservoir-foundation system. In the case where uncertainty in material properties should be incorporated into overall dam performance, the sensitive parameters can be treated as random variables. This paper presents the results of a study that considers the spatial distribution of random variables in the context of random field theory. Koyna Gravity Dam is used as a setting for numerical simulations. The concrete modulus of elasticity, mass density and tensile strength are all assumed to be random fields and generated based on the covariance matrix decomposition and midpoint discretization techniques. The anatomy of the random field seismic responses are presented first, followed by a set of parametric analyses. The impact of correlation length, a single- vs. double-random field, one- or two-dimensional material distributions, ground motion intensity and record-to-record variability and, lastly, dam class are all investigated herein. The uncertainty and dispersion of the seismic responses are quantified in each model; it is found that concrete heterogeneity affects the seismic performance evaluation and should be considered in a structural assessment and risk analysis.","author":[{"dropping-particle":"","family":"Hariri-Ardebili","given":"M. A.","non-dropping-particle":"","parse-names":false,"suffix":""},{"dropping-particle":"","family":"Seyed-Kolbadi","given":"S. M.","non-dropping-particle":"","parse-names":false,"suffix":""},{"dropping-particle":"","family":"Saouma","given":"V. E.","non-dropping-particle":"","parse-names":false,"suffix":""},{"dropping-particle":"","family":"Salamon","given":"J.","non-dropping-particle":"","parse-names":false,"suffix":""},{"dropping-particle":"","family":"Rajagopalan","given":"B.","non-dropping-particle":"","parse-names":false,"suffix":""}],"container-title":"Engineering Structures","id":"ITEM-1","issued":{"date-parts":[["2018"]]},"title":"Random finite element method for the seismic analysis of gravity dams","type":"article-journal"},"uris":["http://www.mendeley.com/documents/?uuid=b34c76c4-fb69-4958-80b3-29dfbeadc829","http://www.mendeley.com/documents/?uuid=7158a11c-6838-4bab-b84e-8430a8090fd0","http://www.mendeley.com/documents/?uuid=454cf22d-0af3-47bb-b526-80c43d494edb"]}],"mendeley":{"formattedCitation":"[227]","plainTextFormattedCitation":"[227]","previouslyFormattedCitation":"[227]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rPr>
        <w:t>[227]</w:t>
      </w:r>
      <w:r w:rsidRPr="00051297">
        <w:rPr>
          <w:rFonts w:cs="Times New Roman"/>
          <w:szCs w:val="24"/>
        </w:rPr>
        <w:fldChar w:fldCharType="end"/>
      </w:r>
      <w:r w:rsidRPr="00051297">
        <w:rPr>
          <w:rFonts w:cs="Times New Roman"/>
          <w:szCs w:val="24"/>
        </w:rPr>
        <w:t>.</w:t>
      </w:r>
    </w:p>
    <w:p w14:paraId="100C334A" w14:textId="1B735585" w:rsidR="00051297" w:rsidRPr="00051297" w:rsidRDefault="00051297" w:rsidP="00EE7BED">
      <w:pPr>
        <w:pStyle w:val="5"/>
        <w:rPr>
          <w:lang w:val="en-US"/>
        </w:rPr>
      </w:pPr>
      <w:r w:rsidRPr="00051297">
        <w:rPr>
          <w:lang w:val="en-US"/>
        </w:rPr>
        <w:lastRenderedPageBreak/>
        <w:t xml:space="preserve"> </w:t>
      </w:r>
      <w:bookmarkStart w:id="419" w:name="_Toc79511128"/>
      <w:bookmarkStart w:id="420" w:name="_Toc97504763"/>
      <w:bookmarkStart w:id="421" w:name="_Toc103543897"/>
      <w:bookmarkStart w:id="422" w:name="_Toc104985221"/>
      <w:r w:rsidRPr="00051297">
        <w:rPr>
          <w:lang w:val="en-US"/>
        </w:rPr>
        <w:t>Dam modeling during first filling</w:t>
      </w:r>
      <w:bookmarkEnd w:id="419"/>
      <w:bookmarkEnd w:id="420"/>
      <w:bookmarkEnd w:id="421"/>
      <w:bookmarkEnd w:id="422"/>
      <w:r w:rsidRPr="00051297">
        <w:rPr>
          <w:lang w:val="en-US"/>
        </w:rPr>
        <w:t xml:space="preserve"> </w:t>
      </w:r>
    </w:p>
    <w:p w14:paraId="3F18581A" w14:textId="1A7981DB" w:rsidR="00051297" w:rsidRPr="00051297" w:rsidRDefault="00051297" w:rsidP="00051297">
      <w:pPr>
        <w:rPr>
          <w:rFonts w:cs="Times New Roman"/>
          <w:szCs w:val="24"/>
          <w:lang w:val="en-US"/>
        </w:rPr>
      </w:pPr>
      <w:r w:rsidRPr="00051297">
        <w:rPr>
          <w:rFonts w:cs="Times New Roman"/>
          <w:szCs w:val="24"/>
          <w:lang w:val="en-US"/>
        </w:rPr>
        <w:t xml:space="preserve">The first test of a dam's ability to execute the function for which it was constructed is the initial filling of a reservoir. A well-managed first filling is critical to a dam's long-term success. Approximately two-thirds of all dam failures and half of all dam incidents occur during the reservoir's first five years of operation, according to </w:t>
      </w:r>
      <w:r w:rsidRPr="00051297">
        <w:rPr>
          <w:rFonts w:cs="Times New Roman"/>
          <w:szCs w:val="24"/>
        </w:rPr>
        <w:fldChar w:fldCharType="begin" w:fldLock="1"/>
      </w:r>
      <w:r w:rsidR="00FA5896">
        <w:rPr>
          <w:rFonts w:cs="Times New Roman"/>
          <w:szCs w:val="24"/>
          <w:lang w:val="en-US"/>
        </w:rPr>
        <w:instrText>ADDIN CSL_CITATION {"citationItems":[{"id":"ITEM-1","itemData":{"ISBN":"9788578110796","ISSN":"1098-6596","PMID":"25246403","abstract":"This report is the result of a study by the Department of the Interior Teton Dam Failure Review Group to examine the causes of failure of the Teton Dam and make recommendations to prevent the recurrence of such failure. The study included site inspections, interviews, and examination of design and construction data. Specific questions were directed to the Bureau of Reclamation on design processes and decisions. Postfailure field, laboratory, and office investigations were also conducted. Three task groups were formed to make indepth reviews of geology, foundation grouting, and embankment construction. A continuing portion of the study, not reported herein, is a review of the Bureau of Reclamation's technical decisionmaking process and further field investigations. Teton Dam is located in a steep-walled canyon carved into a gently rolling silt covered volcanic upland. The rock that forms the canyon walls and which constitutes the major bedrock formation throughout the damsite and reservoir area is a rhyolite welded ash-flow tuff. The rock is characterized by the presence of prominent and abundant open joints and fissures. Considering all site selection factors, the site selected for the dam was the best of the available alternate sites for the purposes of the project. The preconstruction geologic investigations were sufficient to identify the important geologic features that needed to be considered for design. The dam was constructed in accordance with the intent of the designers and in agreement with the plans and specifications. The dam was a 305-foot-high zoned eartbfill embankment with a thick central silt core. A gated spillway was located at the top of the right abutment; a powerhouse was located in the base of the left abutment. The main river outlet works was located in a tunnel in the left abutment; an auxiliary outlet works was located in a tunnel in the right abutment. A cutoff trench to rock was excavated in the valley section. Deep key trenches were provided in both abutments. A deep grout curtain was constructed under the entire length of the dam. The dam failed as a result of inadequate protection of the impervious core material from internal erosion. The most probable physical mode of failure was cracking of the impervious core material either due to hydraulic fracturing or differential settlement within the embankment that allowed the initiation of erosion. Somewhat less probable is the concept that damaging seepage started at the contac…","author":[{"dropping-particle":"","family":"Eikenberry","given":"WIlliam F","non-dropping-particle":"","parse-names":false,"suffix":""},{"dropping-particle":"","family":"Arthur","given":"Harold G","non-dropping-particle":"","parse-names":false,"suffix":""},{"dropping-particle":"","family":"Bogner","given":"Neil F","non-dropping-particle":"","parse-names":false,"suffix":""},{"dropping-particle":"","family":"Lacy","given":"Floyd P","non-dropping-particle":"","parse-names":false,"suffix":""},{"dropping-particle":"","family":"Schuster","given":"Robert L","non-dropping-particle":"","parse-names":false,"suffix":""},{"dropping-particle":"","family":"Willis","given":"Homer B","non-dropping-particle":"","parse-names":false,"suffix":""}],"container-title":"US Department of the Interior Teton Dam Failure Review Group","id":"ITEM-1","issued":{"date-parts":[["1977"]]},"title":"Failure of Teton Dam: A Report of Findings","type":"article-journal"},"uris":["http://www.mendeley.com/documents/?uuid=f8e51946-ec12-4699-89f8-4f0b6804d625"]}],"mendeley":{"formattedCitation":"[228]","plainTextFormattedCitation":"[228]","previouslyFormattedCitation":"[228]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[228]</w:t>
      </w:r>
      <w:r w:rsidRPr="00051297">
        <w:rPr>
          <w:rFonts w:cs="Times New Roman"/>
          <w:szCs w:val="24"/>
        </w:rPr>
        <w:fldChar w:fldCharType="end"/>
      </w:r>
      <w:r w:rsidRPr="00051297">
        <w:rPr>
          <w:rFonts w:cs="Times New Roman"/>
          <w:szCs w:val="24"/>
          <w:lang w:val="en-US"/>
        </w:rPr>
        <w:t>, a study done by the Bureau of Reclamation on internal erosion failure types.</w:t>
      </w:r>
    </w:p>
    <w:p w14:paraId="23F8BC75" w14:textId="77777777" w:rsidR="00051297" w:rsidRPr="00051297" w:rsidRDefault="00051297" w:rsidP="00051297">
      <w:pPr>
        <w:rPr>
          <w:rFonts w:cs="Times New Roman"/>
          <w:szCs w:val="24"/>
          <w:lang w:val="en-US"/>
        </w:rPr>
      </w:pPr>
      <w:r w:rsidRPr="00051297">
        <w:rPr>
          <w:rFonts w:cs="Times New Roman"/>
          <w:szCs w:val="24"/>
          <w:lang w:val="en-US"/>
        </w:rPr>
        <w:t>Dams are usually constructed to hold and store a large amount of water. When constructing a new dam, diversion canals and cofferdams are utilized to keep water out of the construction zone. However, once the dam is built, water flow to the dam site continues, and the reservoir begins to fill. The increase in water level behind a dam from the time it is built until it reaches the appropriate operational level is referred to as initial filling.</w:t>
      </w:r>
    </w:p>
    <w:p w14:paraId="18629445" w14:textId="1B6FD089" w:rsidR="00051297" w:rsidRPr="00051297" w:rsidRDefault="00051297" w:rsidP="00051297">
      <w:pPr>
        <w:rPr>
          <w:rFonts w:cs="Times New Roman"/>
          <w:szCs w:val="24"/>
          <w:lang w:val="en-US"/>
        </w:rPr>
      </w:pPr>
      <w:r w:rsidRPr="00051297">
        <w:rPr>
          <w:rFonts w:cs="Times New Roman"/>
          <w:szCs w:val="24"/>
          <w:lang w:val="en-US"/>
        </w:rPr>
        <w:t xml:space="preserve">The duration and rate of a dam's first filling might vary depending on its location, kind, size, and intended use. To limit the danger of failure, the first filling of a reservoir should be planned, managed, and continuously monitored, whether it takes several months, several years, or with the help of pumping units </w:t>
      </w:r>
      <w:r w:rsidRPr="00051297">
        <w:rPr>
          <w:rFonts w:cs="Times New Roman"/>
          <w:szCs w:val="24"/>
        </w:rPr>
        <w:fldChar w:fldCharType="begin" w:fldLock="1"/>
      </w:r>
      <w:r w:rsidR="00FA5896">
        <w:rPr>
          <w:rFonts w:cs="Times New Roman"/>
          <w:szCs w:val="24"/>
          <w:lang w:val="en-US"/>
        </w:rPr>
        <w:instrText>ADDIN CSL_CITATION {"citationItems":[{"id":"ITEM-1","itemData":{"DOI":"10.2113/gseegeosci.16.3.229","ISSN":"1078-7275","abstract":"East Branch Dam is a Pittsburgh District U.S. Army Corps of Engineers (COE) dam that nearly failed in 1957, several years after construction. The dam is a zoned embankment that is 56 m (184 ft) high and 526 m (1,725 ft) long. Its primary purpose is flood control. Following the observation of muddy water flowing from a rock drain at the downstream toe of the dam, soon after construction, emergency drilling through the embankment exposed a void that demanded lowering the pool and subsequent grouting. Localized grouting was accomplished to treat the void but did not involve a comprehensive repair of the dam. The 1957 near failure of East Branch Dam represents an excellent case history that provides dam designers and operators today insight into the mechanisms of internal erosion within an embankment dam, and it underscores the need to quickly take all necessary actions to protect the public. Since the 1957 emergency, the project has performed satisfactorily and has been closely monitored with a network of piezometers, weirs, and alignment-settlement pins. Even though evidence of further internal erosion has not reappeared, the fundamental conditions that caused the original problem were not corrected by the 1957 emergency repairs. Recently, the dam was evaluated under the COE Screening Portfolio Risk Assessment (SPRA) program. In light of the 1957 incident, conditions of active seepage, and high phreatic pressures within the embankment, the SPRA program assigned East Branch a Dam Safety Action Classification (DSAC) rating of II, generally indicating that failure could begin during normal operations or be initiated as the consequence of an event. A potential failure mode analysis (PFMA) was conducted in 2008 by the U.S. Bureau of Reclamation (USBR) as requested and participated in by the Pittsburgh District. The PMFA identified the potential for re-initiation of internal erosion at or near the cavity repair as the highest risk failure mode and a primary threat to public safety. Given these findings, the Pittsburgh District implemented a set of non-structural interim risk reduction measures (IRRM) in February 2008, including lowering of the pool to reduce risk of failure by an estimated 60 percent. The interim measures will allow the dam to operate safely until the COE determines the appropriate long-term remedy to address the structural deficiencies of East Branch Dam. In 2009, a joint COE-USBR PFMA was undertaken using procedures from both agencies. Curren…","author":[{"dropping-particle":"","family":"GREENE","given":"B. H.","non-dropping-particle":"","parse-names":false,"suffix":""},{"dropping-particle":"","family":"CROCK","given":"J.","non-dropping-particle":"","parse-names":false,"suffix":""},{"dropping-particle":"","family":"MOSKOVITZ","given":"L.","non-dropping-particle":"","parse-names":false,"suffix":""},{"dropping-particle":"","family":"PREMOZIC","given":"J. W.","non-dropping-particle":"","parse-names":false,"suffix":""}],"container-title":"Environmental and Engineering Geoscience","id":"ITEM-1","issue":"3","issued":{"date-parts":[["2010","8"]]},"page":"229-243","title":"Evaluation of Seepage, Internal Erosion, and Remedial Alternatives for East Branch Dam, Elk County, Pennsylvania","type":"article-journal","volume":"16"},"uris":["http://www.mendeley.com/documents/?uuid=546a44ef-7cc4-4a23-b7aa-eae5e7e5e013","http://www.mendeley.com/documents/?uuid=c51043eb-e9bc-4ee8-81fb-99244ac9cd62","http://www.mendeley.com/documents/?uuid=b11f9063-2540-458e-be19-229203d8ef42"]}],"mendeley":{"formattedCitation":"[229]","plainTextFormattedCitation":"[229]","previouslyFormattedCitation":"[229]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[229]</w:t>
      </w:r>
      <w:r w:rsidRPr="00051297">
        <w:rPr>
          <w:rFonts w:cs="Times New Roman"/>
          <w:szCs w:val="24"/>
        </w:rPr>
        <w:fldChar w:fldCharType="end"/>
      </w:r>
      <w:r w:rsidRPr="00051297">
        <w:rPr>
          <w:rFonts w:cs="Times New Roman"/>
          <w:szCs w:val="24"/>
          <w:lang w:val="en-US"/>
        </w:rPr>
        <w:t>.</w:t>
      </w:r>
    </w:p>
    <w:p w14:paraId="18DEE4A6" w14:textId="4A367707" w:rsidR="00051297" w:rsidRPr="00051297" w:rsidRDefault="00051297" w:rsidP="00051297">
      <w:pPr>
        <w:rPr>
          <w:rFonts w:cs="Times New Roman"/>
          <w:szCs w:val="24"/>
          <w:lang w:val="en-US"/>
        </w:rPr>
      </w:pPr>
      <w:r w:rsidRPr="00051297">
        <w:rPr>
          <w:rFonts w:cs="Times New Roman"/>
          <w:szCs w:val="24"/>
          <w:lang w:val="en-US"/>
        </w:rPr>
        <w:t xml:space="preserve">Based on the fact that the first filling of a reservoir is such a vital stage in a dam's life, dam operators and engineers must have as much control as possible over it, allowing ample time for effective surveillance, including the observation and interpretation of instrumentation data. After the dam and other essential appurtenances (i.e., spillways and outlet works) have been finished, as well as the installation of appropriate instruments, the initial filling should be scheduled </w:t>
      </w:r>
      <w:r w:rsidRPr="00051297">
        <w:rPr>
          <w:rFonts w:cs="Times New Roman"/>
          <w:szCs w:val="24"/>
        </w:rPr>
        <w:fldChar w:fldCharType="begin" w:fldLock="1"/>
      </w:r>
      <w:r w:rsidR="00FA5896">
        <w:rPr>
          <w:rFonts w:cs="Times New Roman"/>
          <w:szCs w:val="24"/>
          <w:lang w:val="en-US"/>
        </w:rPr>
        <w:instrText>ADDIN CSL_CITATION {"citationItems":[{"id":"ITEM-1","itemData":{"DOI":"10.1007/s40515-020-00147-2","ISSN":"2196-7202","abstract":"The performance of large dams is monitored and evaluated using instrumentation. The main goal of monitoring of dam during construction, the first filling of the reservoir and operation is mainly evaluation of the safety in short- and long-term periods during its life of service. The present study investigates the behavior of earth dam for deformation and stress variation under construction and first filling and compares the results with the experimental instrumentation-measured data. Also, the dam safety is investigated for hydraulic fracture in the first filling and utilization. The Sabalan Earth Dam located in Ardabil Province (Northwest of Iran) was chosen as the case study. A numerical analysis was performed using the two-dimensional finite difference method (FDM) in the FLAC software. The hydraulic fracture possibility was evaluated by the Mohr-Coulomb criterion. The instrumentation results indicated that the Sabalan Earth Dam had satisfactory performance during construction and first filling of the reservoir.","author":[{"dropping-particle":"","family":"Tarinejad","given":"Reza","non-dropping-particle":"","parse-names":false,"suffix":""},{"dropping-particle":"","family":"Alizadeh-Arasi","given":"Okhtay","non-dropping-particle":"","parse-names":false,"suffix":""},{"dropping-particle":"","family":"Isari","given":"Mohsen","non-dropping-particle":"","parse-names":false,"suffix":""},{"dropping-particle":"","family":"Sobhkhiz Foumani","given":"Ramtin","non-dropping-particle":"","parse-names":false,"suffix":""}],"container-title":"Transportation Infrastructure Geotechnology","id":"ITEM-1","issued":{"date-parts":[["2021","1"]]},"title":"Investigation of Sabalan Earth Dam Settlement at First Filling by Finite Difference Method","type":"article-journal"},"uris":["http://www.mendeley.com/documents/?uuid=b0de2542-7f33-4c62-824b-77133bf424bb","http://www.mendeley.com/documents/?uuid=07e3a5ed-ade3-4be5-9e4b-fad678270aa3","http://www.mendeley.com/documents/?uuid=898bfc61-43fd-4932-9217-ae5f445773fc"]}],"mendeley":{"formattedCitation":"[230]","plainTextFormattedCitation":"[230]","previouslyFormattedCitation":"[230]"},"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[230]</w:t>
      </w:r>
      <w:r w:rsidRPr="00051297">
        <w:rPr>
          <w:rFonts w:cs="Times New Roman"/>
          <w:szCs w:val="24"/>
        </w:rPr>
        <w:fldChar w:fldCharType="end"/>
      </w:r>
      <w:r w:rsidRPr="00051297">
        <w:rPr>
          <w:rFonts w:cs="Times New Roman"/>
          <w:szCs w:val="24"/>
          <w:lang w:val="en-US"/>
        </w:rPr>
        <w:t xml:space="preserve">. Specifications for reservoir rise rate should be developed so that the dam can respond to the forces it will face as the water level behind it rises. A design memorandum should be used to document these plans, which may also include reservoir regulations during project construction </w:t>
      </w:r>
      <w:r w:rsidRPr="00051297">
        <w:rPr>
          <w:rFonts w:cs="Times New Roman"/>
          <w:szCs w:val="24"/>
        </w:rPr>
        <w:fldChar w:fldCharType="begin" w:fldLock="1"/>
      </w:r>
      <w:r w:rsidR="00FA5896">
        <w:rPr>
          <w:rFonts w:cs="Times New Roman"/>
          <w:szCs w:val="24"/>
          <w:lang w:val="en-US"/>
        </w:rPr>
        <w:instrText>ADDIN CSL_CITATION {"citationItems":[{"id":"ITEM-1","itemData":{"DOI":"10.1061/9780784480717.008","ISBN":"9780784480717","ISSN":"08950563","abstract":"The U.S. Army Corps of Engineers (USACE) has been conducting economic risk analyses for evaluating benefit cost ratios for levee projects since the 1960s. With a new focus on life safety, these same analytical techniques are now being used to evaluate priorities for infrastructure investments and required design reliability to achieve various goals, including both National Economic Development and life safety risk reduction. Using an actual but unidentified levee project, this paper will demonstrate how the USACE is integrating traditional probabilistic levee fragility assessments, as described in the USACE engineering technical letter (ETL) 1110-2-556 (Risk-Based Analysis in Geotechnical Engineering for Support of Planning Studies, 1999), with event-tree based system-response and fragility curve development processes described in the joint publication between the United States Bureau of Reclamation (Reclamation) and USACE entitled Best Practices in Dam and Levee Risk Analysis (2015). Using these methods, risk-informed levee designs for construction of new and remediation of existing levees can be developed and prioritized for action and investment.","author":[{"dropping-particle":"","family":"Sibley","given":"Heather M.","non-dropping-particle":"","parse-names":false,"suffix":""},{"dropping-particle":"","family":"Vroman","given":"Noah D.","non-dropping-particle":"","parse-names":false,"suffix":""},{"dropping-particle":"","family":"Shewbridge","given":"Scott E.","non-dropping-particle":"","parse-names":false,"suffix":""}],"container-title":"Geo-Risk 2017","id":"ITEM-1","issued":{"date-parts":[["2017","6"]]},"page":"76-90","publisher":"American Society of Civil Engineers","publisher-place":"Reston, VA","title":"Quantitative Risk-Informed Design of Levees","type":"paper-conference"},"uris":["http://www.mendeley.com/documents/?uuid=2e0b261b-8a81-458d-8f7c-89f9e3413310","http://www.mendeley.com/documents/?uuid=ef74de6a-b15f-4842-a64c-9d3282f41719","http://www.mendeley.com/documents/?uuid=cb3cfff2-5173-4f1c-b56d-99b2a502f2d3"]}],"mendeley":{"formattedCitation":"[231]","plainTextFormattedCitation":"[231]","previouslyFormattedCitation":"[231]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[231]</w:t>
      </w:r>
      <w:r w:rsidRPr="00051297">
        <w:rPr>
          <w:rFonts w:cs="Times New Roman"/>
          <w:szCs w:val="24"/>
        </w:rPr>
        <w:fldChar w:fldCharType="end"/>
      </w:r>
      <w:r w:rsidRPr="00051297">
        <w:rPr>
          <w:rFonts w:cs="Times New Roman"/>
          <w:szCs w:val="24"/>
          <w:lang w:val="en-US"/>
        </w:rPr>
        <w:t>.</w:t>
      </w:r>
    </w:p>
    <w:p w14:paraId="39F67604" w14:textId="77777777" w:rsidR="00051297" w:rsidRPr="00051297" w:rsidRDefault="00051297" w:rsidP="00051297">
      <w:pPr>
        <w:numPr>
          <w:ilvl w:val="0"/>
          <w:numId w:val="43"/>
        </w:numPr>
        <w:contextualSpacing/>
        <w:rPr>
          <w:rFonts w:cs="Times New Roman"/>
          <w:szCs w:val="24"/>
          <w:lang w:val="en-US"/>
        </w:rPr>
      </w:pPr>
      <w:r w:rsidRPr="00051297">
        <w:rPr>
          <w:rFonts w:cs="Times New Roman"/>
          <w:szCs w:val="24"/>
          <w:lang w:val="en-US"/>
        </w:rPr>
        <w:t xml:space="preserve">A water control plan, </w:t>
      </w:r>
    </w:p>
    <w:p w14:paraId="3F1A5CC2" w14:textId="77777777" w:rsidR="00051297" w:rsidRPr="00051297" w:rsidRDefault="00051297" w:rsidP="00051297">
      <w:pPr>
        <w:numPr>
          <w:ilvl w:val="0"/>
          <w:numId w:val="43"/>
        </w:numPr>
        <w:contextualSpacing/>
        <w:rPr>
          <w:rFonts w:cs="Times New Roman"/>
          <w:szCs w:val="24"/>
          <w:lang w:val="en-US"/>
        </w:rPr>
      </w:pPr>
      <w:r w:rsidRPr="00051297">
        <w:rPr>
          <w:rFonts w:cs="Times New Roman"/>
          <w:szCs w:val="24"/>
          <w:lang w:val="en-US"/>
        </w:rPr>
        <w:t xml:space="preserve">Project surveillance, </w:t>
      </w:r>
    </w:p>
    <w:p w14:paraId="71654821" w14:textId="77777777" w:rsidR="00051297" w:rsidRPr="00051297" w:rsidRDefault="00051297" w:rsidP="00051297">
      <w:pPr>
        <w:numPr>
          <w:ilvl w:val="0"/>
          <w:numId w:val="43"/>
        </w:numPr>
        <w:contextualSpacing/>
        <w:rPr>
          <w:rFonts w:cs="Times New Roman"/>
          <w:szCs w:val="24"/>
          <w:lang w:val="en-US"/>
        </w:rPr>
      </w:pPr>
      <w:r w:rsidRPr="00051297">
        <w:rPr>
          <w:rFonts w:cs="Times New Roman"/>
          <w:szCs w:val="24"/>
          <w:lang w:val="en-US"/>
        </w:rPr>
        <w:t xml:space="preserve">Cultural site surveillance, </w:t>
      </w:r>
    </w:p>
    <w:p w14:paraId="558D0908" w14:textId="77777777" w:rsidR="00051297" w:rsidRPr="00051297" w:rsidRDefault="00051297" w:rsidP="00051297">
      <w:pPr>
        <w:numPr>
          <w:ilvl w:val="0"/>
          <w:numId w:val="43"/>
        </w:numPr>
        <w:contextualSpacing/>
        <w:rPr>
          <w:rFonts w:cs="Times New Roman"/>
          <w:szCs w:val="24"/>
          <w:lang w:val="en-US"/>
        </w:rPr>
      </w:pPr>
      <w:r w:rsidRPr="00051297">
        <w:rPr>
          <w:rFonts w:cs="Times New Roman"/>
          <w:szCs w:val="24"/>
          <w:lang w:val="en-US"/>
        </w:rPr>
        <w:t xml:space="preserve">Flood emergency planning, </w:t>
      </w:r>
    </w:p>
    <w:p w14:paraId="1EA0593E" w14:textId="77777777" w:rsidR="00051297" w:rsidRPr="00051297" w:rsidRDefault="00051297" w:rsidP="00051297">
      <w:pPr>
        <w:numPr>
          <w:ilvl w:val="0"/>
          <w:numId w:val="43"/>
        </w:numPr>
        <w:contextualSpacing/>
        <w:rPr>
          <w:rFonts w:cs="Times New Roman"/>
          <w:szCs w:val="24"/>
          <w:lang w:val="en-US"/>
        </w:rPr>
      </w:pPr>
      <w:r w:rsidRPr="00051297">
        <w:rPr>
          <w:rFonts w:cs="Times New Roman"/>
          <w:szCs w:val="24"/>
          <w:lang w:val="en-US"/>
        </w:rPr>
        <w:t xml:space="preserve">Public affairs, </w:t>
      </w:r>
    </w:p>
    <w:p w14:paraId="088C5121" w14:textId="77777777" w:rsidR="00051297" w:rsidRPr="00051297" w:rsidRDefault="00051297" w:rsidP="00051297">
      <w:pPr>
        <w:numPr>
          <w:ilvl w:val="0"/>
          <w:numId w:val="43"/>
        </w:numPr>
        <w:contextualSpacing/>
        <w:rPr>
          <w:rFonts w:cs="Times New Roman"/>
          <w:szCs w:val="24"/>
          <w:lang w:val="en-US"/>
        </w:rPr>
      </w:pPr>
      <w:r w:rsidRPr="00051297">
        <w:rPr>
          <w:rFonts w:cs="Times New Roman"/>
          <w:szCs w:val="24"/>
          <w:lang w:val="en-US"/>
        </w:rPr>
        <w:t>Safety planning and transportation</w:t>
      </w:r>
    </w:p>
    <w:p w14:paraId="0A111BE9" w14:textId="77777777" w:rsidR="00051297" w:rsidRPr="00051297" w:rsidRDefault="00051297" w:rsidP="00051297">
      <w:pPr>
        <w:numPr>
          <w:ilvl w:val="0"/>
          <w:numId w:val="43"/>
        </w:numPr>
        <w:contextualSpacing/>
        <w:rPr>
          <w:rFonts w:cs="Times New Roman"/>
          <w:szCs w:val="24"/>
          <w:lang w:val="en-US"/>
        </w:rPr>
      </w:pPr>
      <w:r w:rsidRPr="00051297">
        <w:rPr>
          <w:rFonts w:cs="Times New Roman"/>
          <w:szCs w:val="24"/>
          <w:lang w:val="en-US"/>
        </w:rPr>
        <w:t>Communications planning</w:t>
      </w:r>
    </w:p>
    <w:p w14:paraId="4D68609B" w14:textId="3D7640E9" w:rsidR="00051297" w:rsidRPr="00051297" w:rsidRDefault="00051297" w:rsidP="00051297">
      <w:pPr>
        <w:rPr>
          <w:rFonts w:cs="Times New Roman"/>
          <w:szCs w:val="24"/>
          <w:lang w:val="en-US"/>
        </w:rPr>
      </w:pPr>
      <w:r w:rsidRPr="00051297">
        <w:rPr>
          <w:rFonts w:cs="Times New Roman"/>
          <w:szCs w:val="24"/>
          <w:lang w:val="en-US"/>
        </w:rPr>
        <w:t xml:space="preserve">In addition to dam failure, design, construction, and/or material flaws in new dams are frequently discovered during the initial filling. Seepage, cracking, and erosion are common when the reservoir is raised to new levels for the first time, for example. It may be essential to suspend </w:t>
      </w:r>
      <w:r w:rsidRPr="00051297">
        <w:rPr>
          <w:rFonts w:cs="Times New Roman"/>
          <w:szCs w:val="24"/>
          <w:lang w:val="en-US"/>
        </w:rPr>
        <w:lastRenderedPageBreak/>
        <w:t xml:space="preserve">filling or, in certain situations, decrease the reservoir before the required operational water level is reached to investigate indicators of seepage, erosion as well as cracking </w:t>
      </w:r>
      <w:r w:rsidRPr="00051297">
        <w:rPr>
          <w:rFonts w:cs="Times New Roman"/>
          <w:szCs w:val="24"/>
        </w:rPr>
        <w:fldChar w:fldCharType="begin" w:fldLock="1"/>
      </w:r>
      <w:r w:rsidR="00FA5896">
        <w:rPr>
          <w:rFonts w:cs="Times New Roman"/>
          <w:szCs w:val="24"/>
          <w:lang w:val="en-US"/>
        </w:rPr>
        <w:instrText>ADDIN CSL_CITATION {"citationItems":[{"id":"ITEM-1","itemData":{"ISBN":"9780000000002","abstract":"The State of Colorado Parks and Wildlife (CPW) owns and operates 110 dams associated with park and wildlife facilities, 32 of which are classified as high or significant hazard. The dams are regulated by a sister agency within the Department of Natural Resources, the Division of Water Resources State Engineer's Office (SEO). In mid-2013, working together with the aide of an outside Consultant (Tetra Tech), CPW and the SEO developed a Screening Level Risk Analysis (SLRA) process to assess the risk profile of the high and significant hazard dams; to assist in prioritizing future capital projects; and to manage and reduce risks for the portfolio. The SLRA generally follows the \"Best Practices in Dam and Levee Safety Risk Analysis\" prepared by the Bureau of Reclamation (Reclamation) and the USACE. CPW recognized the need for an abridged process to quickly assess the current state of its dams and provide a road map for safe dams that could be agreed upon by both CPW and the SEO. This type of analysis was made possible using a team comprised of CPW, Tetra Tech, and SEO Dam Safety Engineers. To facilitate rapid assessment of the risk of each dam, the Consultant developed an SLRA tool that enabled workshop attendees to capture information about the dam and its setting (construction, performance, geologic/seismic/hydrological conditions, geotechnical and seepage information, hydraulics, loss of life potential, etc.) as well as facilitate discussion of potential failure modes (PFM). Dams were screened in a workshop setting, attended by SEO Dam Safety Engineers, CPW and Consultant personnel. The output of each workshop included a semi-quantitative risk assessment and ranking for each dam.","author":[{"dropping-particle":"","family":"Clark","given":"John P.","non-dropping-particle":"","parse-names":false,"suffix":""},{"dropping-particle":"","family":"McCormick","given":"Bill","non-dropping-particle":"","parse-names":false,"suffix":""},{"dropping-particle":"","family":"Scharnhorst","given":"Vicki J.","non-dropping-particle":"","parse-names":false,"suffix":""}],"container-title":"Association of State Dam Safety Officials Annual Conference 2014, Dam Safety 2014","id":"ITEM-1","issued":{"date-parts":[["2014"]]},"title":"Colorado parks and wildlife screening level risk analysis completed by consultant, owner, regulator","type":"paper-conference"},"uris":["http://www.mendeley.com/documents/?uuid=344f13de-16a4-4ca6-a2f9-bfbf7a811861","http://www.mendeley.com/documents/?uuid=e295bdc7-ca45-4f6f-ad96-470e5a6b0cb7","http://www.mendeley.com/documents/?uuid=c76a19c4-3089-4d03-8e20-11922564e903"]}],"mendeley":{"formattedCitation":"[232]","plainTextFormattedCitation":"[232]","previouslyFormattedCitation":"[232]"},"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[232]</w:t>
      </w:r>
      <w:r w:rsidRPr="00051297">
        <w:rPr>
          <w:rFonts w:cs="Times New Roman"/>
          <w:szCs w:val="24"/>
        </w:rPr>
        <w:fldChar w:fldCharType="end"/>
      </w:r>
      <w:r w:rsidRPr="00051297">
        <w:rPr>
          <w:rFonts w:cs="Times New Roman"/>
          <w:szCs w:val="24"/>
          <w:lang w:val="en-US"/>
        </w:rPr>
        <w:t>.</w:t>
      </w:r>
    </w:p>
    <w:p w14:paraId="384F0588" w14:textId="62EC169D" w:rsidR="00051297" w:rsidRPr="00051297" w:rsidRDefault="00051297" w:rsidP="00051297">
      <w:pPr>
        <w:rPr>
          <w:rFonts w:cs="Times New Roman"/>
          <w:szCs w:val="24"/>
          <w:lang w:val="en-US"/>
        </w:rPr>
      </w:pPr>
      <w:r w:rsidRPr="00051297">
        <w:rPr>
          <w:rFonts w:cs="Times New Roman"/>
          <w:szCs w:val="24"/>
          <w:lang w:val="en-US"/>
        </w:rPr>
        <w:t xml:space="preserve">The consideration of collapse settlement of vulnerable rockfills and earth fills on wetness is an important part of embankment dam modeling. The initial impounding for the upstream dam abutment is more affected by collapse settlement, although the collapse settlement has always been documented in the downstream dam abutment after soaking due to rainfall, leakage, or tail-water impoundment </w:t>
      </w:r>
      <w:r w:rsidRPr="00051297">
        <w:rPr>
          <w:rFonts w:cs="Times New Roman"/>
          <w:szCs w:val="24"/>
        </w:rPr>
        <w:fldChar w:fldCharType="begin" w:fldLock="1"/>
      </w:r>
      <w:r w:rsidR="00FA5896">
        <w:rPr>
          <w:rFonts w:cs="Times New Roman"/>
          <w:szCs w:val="24"/>
          <w:lang w:val="en-US"/>
        </w:rPr>
        <w:instrText>ADDIN CSL_CITATION {"citationItems":[{"id":"ITEM-1","itemData":{"DOI":"10.1007/978-981-13-2405-5_20","ISBN":"9789811324048","ISSN":"23662565","abstract":"To understand the performance of the dam during the first filling, it is crucial to predict in real time the displacement and the stresses due to the water reservoir level and environmental conditions. Particular attention must be given to environmental actions which have a significant effect on arch dams. Hence, a correct simulation of the first filling should entail, amongst other, a proper transient heat transfer analysis to determine the temperature distribution in the dam. The purpose of this paper is to describe the main issues concerning the structural and geotechnical modelling as well as the heat transfer and boundary conditions simulation necessary to obtain a representative behavior of the dam during the first filling. An example of numerical simulation of the behavior of an arch concrete dam during the first filling of the reservoir is also given. The temperature distribution inside the dam was estimated using a finite element model which considered the effects associated with air temperature, water temperature and solar radiation. The structural response of the dam was assessed using the same finite element model. In this case, the contraction joints and the contact surface rock/concrete were included in the model and represented by zero thickness interface elements. The validation of the computed temperatures and the induced displacements was performed by comparison with the values measured with the monitoring system installed in the dam.","author":[{"dropping-particle":"","family":"Leitão","given":"Noemi Schclar","non-dropping-particle":"","parse-names":false,"suffix":""},{"dropping-particle":"","family":"Castilho","given":"Eloísa","non-dropping-particle":"","parse-names":false,"suffix":""}],"id":"ITEM-1","issued":{"date-parts":[["2019"]]},"page":"238-253","title":"Numerical Modelling of the Thermo-Mechanical Behavior of Concrete Arch Dams During the First Filling of the Reservoir","type":"chapter"},"uris":["http://www.mendeley.com/documents/?uuid=afe2d6fd-c905-4f10-8afd-e924e90467d3","http://www.mendeley.com/documents/?uuid=009a2f40-69a1-456c-92ec-b6d97eb1845e","http://www.mendeley.com/documents/?uuid=f89a4594-5ccd-4636-995c-82c93b5ce37a"]}],"mendeley":{"formattedCitation":"[233]","plainTextFormattedCitation":"[233]","previouslyFormattedCitation":"[233]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[233]</w:t>
      </w:r>
      <w:r w:rsidRPr="00051297">
        <w:rPr>
          <w:rFonts w:cs="Times New Roman"/>
          <w:szCs w:val="24"/>
        </w:rPr>
        <w:fldChar w:fldCharType="end"/>
      </w:r>
      <w:r w:rsidRPr="00051297">
        <w:rPr>
          <w:rFonts w:cs="Times New Roman"/>
          <w:szCs w:val="24"/>
          <w:lang w:val="en-US"/>
        </w:rPr>
        <w:t xml:space="preserve">. Due to the dependence of collapse settlement on compacted water content, compacted density applied stress, and material properties, incorporating collapse settlement into constitutive models add additional complexity and uncertainty to the estimation of material parameters in laboratory and field conditions. Research works have presented strategies for including rockfill collapse settlement in constitutive models. According to Naylor </w:t>
      </w:r>
      <w:r w:rsidRPr="00051297">
        <w:rPr>
          <w:rFonts w:cs="Times New Roman"/>
          <w:szCs w:val="24"/>
        </w:rPr>
        <w:fldChar w:fldCharType="begin" w:fldLock="1"/>
      </w:r>
      <w:r w:rsidR="00FA5896">
        <w:rPr>
          <w:rFonts w:cs="Times New Roman"/>
          <w:szCs w:val="24"/>
          <w:lang w:val="en-US"/>
        </w:rPr>
        <w:instrText>ADDIN CSL_CITATION {"citationItems":[{"id":"ITEM-1","itemData":{"DOI":"10.1007/978-94-011-3206-0_12","author":[{"dropping-particle":"","family":"Naylor","given":"D. J.","non-dropping-particle":"","parse-names":false,"suffix":""}],"container-title":"Advances in Rockfill Structures","id":"ITEM-1","issued":{"date-parts":[["1991"]]},"page":"291-340","publisher":"Springer Netherlands","publisher-place":"Dordrecht","title":"Finite Element Methods for Fills and Embankment Dams","type":"chapter"},"uris":["http://www.mendeley.com/documents/?uuid=93bf09af-8986-46a2-b16b-1549af5653b8","http://www.mendeley.com/documents/?uuid=4028ee8f-f76d-4847-9653-e61d45e80ea5","http://www.mendeley.com/documents/?uuid=a8075bff-0921-4646-b4ae-d3c5288a9259"]}],"mendeley":{"formattedCitation":"[234]","plainTextFormattedCitation":"[234]","previouslyFormattedCitation":"[234]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[234]</w:t>
      </w:r>
      <w:r w:rsidRPr="00051297">
        <w:rPr>
          <w:rFonts w:cs="Times New Roman"/>
          <w:szCs w:val="24"/>
        </w:rPr>
        <w:fldChar w:fldCharType="end"/>
      </w:r>
      <w:r w:rsidRPr="00051297">
        <w:rPr>
          <w:rFonts w:cs="Times New Roman"/>
          <w:szCs w:val="24"/>
          <w:lang w:val="en-US"/>
        </w:rPr>
        <w:t>, used finite element analysis to simulate the Beliche dam, central core earth, and rockfill dam, taking into account the upstream rockfill collapse settlement.</w:t>
      </w:r>
    </w:p>
    <w:p w14:paraId="4A940979" w14:textId="30A9FA2F" w:rsidR="00051297" w:rsidRPr="00051297" w:rsidRDefault="00051297" w:rsidP="00051297">
      <w:pPr>
        <w:rPr>
          <w:rFonts w:cs="Times New Roman"/>
          <w:szCs w:val="24"/>
          <w:lang w:val="en-US"/>
        </w:rPr>
      </w:pPr>
      <w:r w:rsidRPr="00051297">
        <w:rPr>
          <w:rFonts w:cs="Times New Roman"/>
          <w:szCs w:val="24"/>
          <w:lang w:val="en-US"/>
        </w:rPr>
        <w:t xml:space="preserve">Some research works have tried to figure out how dams behave when they are first filled; among them is the collapse settlement of the first filling in a high rockfill dam researched by Mahinroosta et al., </w:t>
      </w:r>
      <w:r w:rsidRPr="00051297">
        <w:rPr>
          <w:rFonts w:cs="Times New Roman"/>
          <w:szCs w:val="24"/>
        </w:rPr>
        <w:fldChar w:fldCharType="begin" w:fldLock="1"/>
      </w:r>
      <w:r w:rsidR="00FA5896">
        <w:rPr>
          <w:rFonts w:cs="Times New Roman"/>
          <w:szCs w:val="24"/>
          <w:lang w:val="en-US"/>
        </w:rPr>
        <w:instrText>ADDIN CSL_CITATION {"citationItems":[{"id":"ITEM-1","itemData":{"DOI":"10.1016/j.enggeo.2014.12.013","ISSN":"00137952","abstract":"In this paper, a new collapse prediction framework is proposed, involving an introduction of a stress dependent collapse coefficient which is directly obtained from results of triaxial tests. Within the proposed framework, the collapse settlement of rockfill dams can be simulated for first impoundment analysis. To make an appropriate choice of the model parameters, some large-scale triaxial collapse tests are numerically modeled employing the proposed framework and the parameters are used for simulation of collapse settlement of Gotvand, 178. m high rockfill dam, and verified by field measurements and monitoring data. The influence of first filling rate on the deformation field of the dam body is discovered using a different number of stages for the impoundment. A parametric study has been undertaken with regard to the newly introduced collapse coefficient which contributes to the better understanding of collapse phenomenon.","author":[{"dropping-particle":"","family":"Mahinroosta","given":"Reza","non-dropping-particle":"","parse-names":false,"suffix":""},{"dropping-particle":"","family":"Alizadeh","given":"Ali","non-dropping-particle":"","parse-names":false,"suffix":""},{"dropping-particle":"","family":"Gatmiri","given":"Behrouz","non-dropping-particle":"","parse-names":false,"suffix":""}],"container-title":"Engineering Geology","id":"ITEM-1","issued":{"date-parts":[["2015","3"]]},"page":"32-44","title":"Simulation of collapse settlement of first filling in a high rockfill dam","type":"article-journal","volume":"187"},"uris":["http://www.mendeley.com/documents/?uuid=1f1d051f-8642-4185-ac61-d0d34f0e14d7","http://www.mendeley.com/documents/?uuid=41bc729e-d85d-4637-aedf-a404ddb0d4fb","http://www.mendeley.com/documents/?uuid=219c39bd-6f41-42f5-a273-d30e72c0daf4"]}],"mendeley":{"formattedCitation":"[235]","plainTextFormattedCitation":"[235]","previouslyFormattedCitation":"[235]"},"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[235]</w:t>
      </w:r>
      <w:r w:rsidRPr="00051297">
        <w:rPr>
          <w:rFonts w:cs="Times New Roman"/>
          <w:szCs w:val="24"/>
        </w:rPr>
        <w:fldChar w:fldCharType="end"/>
      </w:r>
      <w:r w:rsidRPr="00051297">
        <w:rPr>
          <w:rFonts w:cs="Times New Roman"/>
          <w:szCs w:val="24"/>
          <w:lang w:val="en-US"/>
        </w:rPr>
        <w:t xml:space="preserve">. The strain hardening–softening (SS) model was used in FLAC with certain modifications for mechanical constitutive modeling, taking into account characteristics such as cohesion, friction angle, dilation angle, and tensile strength, which may harden or soften following the commencement of plastic yield. The Mohr-Coulomb yield function (Equations </w:t>
      </w:r>
      <w:r w:rsidRPr="00051297">
        <w:rPr>
          <w:rFonts w:cs="Times New Roman"/>
          <w:szCs w:val="24"/>
          <w:lang w:val="en-US"/>
        </w:rPr>
        <w:fldChar w:fldCharType="begin"/>
      </w:r>
      <w:r w:rsidRPr="00051297">
        <w:rPr>
          <w:rFonts w:cs="Times New Roman"/>
          <w:szCs w:val="24"/>
          <w:lang w:val="en-US"/>
        </w:rPr>
        <w:instrText xml:space="preserve"> REF _Ref103554844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rPr>
        <w:t>(</w:t>
      </w:r>
      <w:r w:rsidR="004870F1">
        <w:rPr>
          <w:rFonts w:cs="Times New Roman"/>
          <w:noProof/>
          <w:szCs w:val="24"/>
          <w:lang w:val="en-US"/>
        </w:rPr>
        <w:t>1</w:t>
      </w:r>
      <w:r w:rsidR="004870F1" w:rsidRPr="00051297">
        <w:rPr>
          <w:rFonts w:cs="Times New Roman"/>
          <w:szCs w:val="24"/>
          <w:lang w:val="en-US"/>
        </w:rPr>
        <w:t>.</w:t>
      </w:r>
      <w:r w:rsidR="004870F1">
        <w:rPr>
          <w:rFonts w:cs="Times New Roman"/>
          <w:noProof/>
          <w:szCs w:val="24"/>
          <w:lang w:val="en-US"/>
        </w:rPr>
        <w:t>80</w:t>
      </w:r>
      <w:r w:rsidR="004870F1" w:rsidRPr="00051297">
        <w:rPr>
          <w:rFonts w:cs="Times New Roman"/>
          <w:szCs w:val="24"/>
          <w:lang w:val="en-US"/>
        </w:rPr>
        <w:t>)</w:t>
      </w:r>
      <w:r w:rsidRPr="00051297">
        <w:rPr>
          <w:rFonts w:cs="Times New Roman"/>
          <w:szCs w:val="24"/>
          <w:lang w:val="en-US"/>
        </w:rPr>
        <w:fldChar w:fldCharType="end"/>
      </w:r>
      <w:r w:rsidRPr="00051297">
        <w:rPr>
          <w:rFonts w:cs="Times New Roman"/>
          <w:szCs w:val="24"/>
          <w:lang w:val="en-US"/>
        </w:rPr>
        <w:t xml:space="preserve"> and </w:t>
      </w:r>
      <w:r w:rsidRPr="00051297">
        <w:rPr>
          <w:rFonts w:cs="Times New Roman"/>
          <w:szCs w:val="24"/>
          <w:lang w:val="en-US"/>
        </w:rPr>
        <w:fldChar w:fldCharType="begin"/>
      </w:r>
      <w:r w:rsidRPr="00051297">
        <w:rPr>
          <w:rFonts w:cs="Times New Roman"/>
          <w:szCs w:val="24"/>
          <w:lang w:val="en-US"/>
        </w:rPr>
        <w:instrText xml:space="preserve"> REF _Ref103554861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rPr>
        <w:t>(</w:t>
      </w:r>
      <w:r w:rsidR="004870F1">
        <w:rPr>
          <w:rFonts w:cs="Times New Roman"/>
          <w:noProof/>
          <w:szCs w:val="24"/>
          <w:lang w:val="en-US"/>
        </w:rPr>
        <w:t>1</w:t>
      </w:r>
      <w:r w:rsidR="004870F1" w:rsidRPr="00051297">
        <w:rPr>
          <w:rFonts w:cs="Times New Roman"/>
          <w:szCs w:val="24"/>
          <w:lang w:val="en-US"/>
        </w:rPr>
        <w:t>.</w:t>
      </w:r>
      <w:r w:rsidR="004870F1">
        <w:rPr>
          <w:rFonts w:cs="Times New Roman"/>
          <w:noProof/>
          <w:szCs w:val="24"/>
          <w:lang w:val="en-US"/>
        </w:rPr>
        <w:t>81</w:t>
      </w:r>
      <w:r w:rsidR="004870F1" w:rsidRPr="00051297">
        <w:rPr>
          <w:rFonts w:cs="Times New Roman"/>
          <w:szCs w:val="24"/>
          <w:lang w:val="en-US"/>
        </w:rPr>
        <w:t>)</w:t>
      </w:r>
      <w:r w:rsidRPr="00051297">
        <w:rPr>
          <w:rFonts w:cs="Times New Roman"/>
          <w:szCs w:val="24"/>
          <w:lang w:val="en-US"/>
        </w:rPr>
        <w:fldChar w:fldCharType="end"/>
      </w:r>
      <w:r w:rsidRPr="00051297">
        <w:rPr>
          <w:rFonts w:cs="Times New Roman"/>
          <w:szCs w:val="24"/>
          <w:lang w:val="en-US"/>
        </w:rPr>
        <w:t>) specified the failure envelopes of the model, which had constant elastic parameters:</w:t>
      </w:r>
    </w:p>
    <w:tbl>
      <w:tblPr>
        <w:tblW w:w="0" w:type="auto"/>
        <w:tblLook w:val="04A0" w:firstRow="1" w:lastRow="0" w:firstColumn="1" w:lastColumn="0" w:noHBand="0" w:noVBand="1"/>
      </w:tblPr>
      <w:tblGrid>
        <w:gridCol w:w="257"/>
        <w:gridCol w:w="7592"/>
        <w:gridCol w:w="1505"/>
      </w:tblGrid>
      <w:tr w:rsidR="00051297" w:rsidRPr="00051297" w14:paraId="2E40867B" w14:textId="77777777" w:rsidTr="00D20B01">
        <w:tc>
          <w:tcPr>
            <w:tcW w:w="265" w:type="dxa"/>
          </w:tcPr>
          <w:p w14:paraId="2C3C4358" w14:textId="77777777" w:rsidR="00051297" w:rsidRPr="00051297" w:rsidRDefault="00051297" w:rsidP="00051297">
            <w:pPr>
              <w:rPr>
                <w:rFonts w:cs="Times New Roman"/>
                <w:szCs w:val="24"/>
                <w:lang w:val="en-US"/>
              </w:rPr>
            </w:pPr>
          </w:p>
        </w:tc>
        <w:tc>
          <w:tcPr>
            <w:tcW w:w="8820" w:type="dxa"/>
          </w:tcPr>
          <w:p w14:paraId="1EF05F63" w14:textId="77777777" w:rsidR="00051297" w:rsidRPr="00051297" w:rsidRDefault="00536556" w:rsidP="00051297">
            <w:pPr>
              <w:rPr>
                <w:rFonts w:cs="Times New Roman"/>
                <w:szCs w:val="24"/>
              </w:rPr>
            </w:pPr>
            <m:oMathPara>
              <m:oMath>
                <m:sSup>
                  <m:sSupPr>
                    <m:ctrlPr>
                      <w:rPr>
                        <w:rFonts w:ascii="Cambria Math" w:hAnsi="Cambria Math" w:cs="Times New Roman"/>
                        <w:i/>
                        <w:szCs w:val="24"/>
                      </w:rPr>
                    </m:ctrlPr>
                  </m:sSupPr>
                  <m:e>
                    <m:r>
                      <w:rPr>
                        <w:rFonts w:ascii="Cambria Math" w:hAnsi="Cambria Math" w:cs="Times New Roman"/>
                        <w:szCs w:val="24"/>
                      </w:rPr>
                      <m:t>f</m:t>
                    </m:r>
                  </m:e>
                  <m:sup>
                    <m:r>
                      <w:rPr>
                        <w:rFonts w:ascii="Cambria Math" w:hAnsi="Cambria Math" w:cs="Times New Roman"/>
                        <w:szCs w:val="24"/>
                      </w:rPr>
                      <m:t>s</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σ</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σ</m:t>
                    </m:r>
                  </m:e>
                  <m:sub>
                    <m:r>
                      <w:rPr>
                        <w:rFonts w:ascii="Cambria Math" w:hAnsi="Cambria Math" w:cs="Times New Roman"/>
                        <w:szCs w:val="24"/>
                      </w:rPr>
                      <m:t>3</m:t>
                    </m:r>
                  </m:sub>
                </m:sSub>
                <m:f>
                  <m:fPr>
                    <m:ctrlPr>
                      <w:rPr>
                        <w:rFonts w:ascii="Cambria Math" w:hAnsi="Cambria Math" w:cs="Times New Roman"/>
                        <w:i/>
                        <w:szCs w:val="24"/>
                      </w:rPr>
                    </m:ctrlPr>
                  </m:fPr>
                  <m:num>
                    <m:r>
                      <w:rPr>
                        <w:rFonts w:ascii="Cambria Math" w:hAnsi="Cambria Math" w:cs="Times New Roman"/>
                        <w:szCs w:val="24"/>
                      </w:rPr>
                      <m:t>(1+sin</m:t>
                    </m:r>
                    <m:sSub>
                      <m:sSubPr>
                        <m:ctrlPr>
                          <w:rPr>
                            <w:rFonts w:ascii="Cambria Math" w:hAnsi="Cambria Math" w:cs="Times New Roman"/>
                            <w:i/>
                            <w:szCs w:val="24"/>
                          </w:rPr>
                        </m:ctrlPr>
                      </m:sSubPr>
                      <m:e>
                        <m:r>
                          <w:rPr>
                            <w:rFonts w:ascii="Cambria Math" w:hAnsi="Cambria Math" w:cs="Times New Roman"/>
                            <w:szCs w:val="24"/>
                          </w:rPr>
                          <m:t>φ</m:t>
                        </m:r>
                      </m:e>
                      <m:sub>
                        <m:r>
                          <w:rPr>
                            <w:rFonts w:ascii="Cambria Math" w:hAnsi="Cambria Math" w:cs="Times New Roman"/>
                            <w:szCs w:val="24"/>
                          </w:rPr>
                          <m:t>m</m:t>
                        </m:r>
                      </m:sub>
                    </m:sSub>
                    <m:r>
                      <w:rPr>
                        <w:rFonts w:ascii="Cambria Math" w:hAnsi="Cambria Math" w:cs="Times New Roman"/>
                        <w:szCs w:val="24"/>
                      </w:rPr>
                      <m:t>)</m:t>
                    </m:r>
                  </m:num>
                  <m:den>
                    <m:r>
                      <w:rPr>
                        <w:rFonts w:ascii="Cambria Math" w:hAnsi="Cambria Math" w:cs="Times New Roman"/>
                        <w:szCs w:val="24"/>
                      </w:rPr>
                      <m:t>1-sin</m:t>
                    </m:r>
                    <m:sSub>
                      <m:sSubPr>
                        <m:ctrlPr>
                          <w:rPr>
                            <w:rFonts w:ascii="Cambria Math" w:hAnsi="Cambria Math" w:cs="Times New Roman"/>
                            <w:i/>
                            <w:szCs w:val="24"/>
                          </w:rPr>
                        </m:ctrlPr>
                      </m:sSubPr>
                      <m:e>
                        <m:r>
                          <w:rPr>
                            <w:rFonts w:ascii="Cambria Math" w:hAnsi="Cambria Math" w:cs="Times New Roman"/>
                            <w:szCs w:val="24"/>
                          </w:rPr>
                          <m:t>φ</m:t>
                        </m:r>
                      </m:e>
                      <m:sub>
                        <m:r>
                          <w:rPr>
                            <w:rFonts w:ascii="Cambria Math" w:hAnsi="Cambria Math" w:cs="Times New Roman"/>
                            <w:szCs w:val="24"/>
                          </w:rPr>
                          <m:t>m</m:t>
                        </m:r>
                      </m:sub>
                    </m:sSub>
                  </m:den>
                </m:f>
                <m:r>
                  <w:rPr>
                    <w:rFonts w:ascii="Cambria Math" w:hAnsi="Cambria Math" w:cs="Times New Roman"/>
                    <w:szCs w:val="24"/>
                  </w:rPr>
                  <m:t>+2c</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r>
                          <w:rPr>
                            <w:rFonts w:ascii="Cambria Math" w:hAnsi="Cambria Math" w:cs="Times New Roman"/>
                            <w:szCs w:val="24"/>
                          </w:rPr>
                          <m:t>1+sin</m:t>
                        </m:r>
                        <m:sSub>
                          <m:sSubPr>
                            <m:ctrlPr>
                              <w:rPr>
                                <w:rFonts w:ascii="Cambria Math" w:hAnsi="Cambria Math" w:cs="Times New Roman"/>
                                <w:i/>
                                <w:szCs w:val="24"/>
                              </w:rPr>
                            </m:ctrlPr>
                          </m:sSubPr>
                          <m:e>
                            <m:r>
                              <w:rPr>
                                <w:rFonts w:ascii="Cambria Math" w:hAnsi="Cambria Math" w:cs="Times New Roman"/>
                                <w:szCs w:val="24"/>
                              </w:rPr>
                              <m:t>φ</m:t>
                            </m:r>
                          </m:e>
                          <m:sub>
                            <m:r>
                              <w:rPr>
                                <w:rFonts w:ascii="Cambria Math" w:hAnsi="Cambria Math" w:cs="Times New Roman"/>
                                <w:szCs w:val="24"/>
                              </w:rPr>
                              <m:t>m</m:t>
                            </m:r>
                          </m:sub>
                        </m:sSub>
                      </m:num>
                      <m:den>
                        <m:r>
                          <w:rPr>
                            <w:rFonts w:ascii="Cambria Math" w:hAnsi="Cambria Math" w:cs="Times New Roman"/>
                            <w:szCs w:val="24"/>
                          </w:rPr>
                          <m:t>1-sin</m:t>
                        </m:r>
                        <m:sSub>
                          <m:sSubPr>
                            <m:ctrlPr>
                              <w:rPr>
                                <w:rFonts w:ascii="Cambria Math" w:hAnsi="Cambria Math" w:cs="Times New Roman"/>
                                <w:i/>
                                <w:szCs w:val="24"/>
                              </w:rPr>
                            </m:ctrlPr>
                          </m:sSubPr>
                          <m:e>
                            <m:r>
                              <w:rPr>
                                <w:rFonts w:ascii="Cambria Math" w:hAnsi="Cambria Math" w:cs="Times New Roman"/>
                                <w:szCs w:val="24"/>
                              </w:rPr>
                              <m:t>φ</m:t>
                            </m:r>
                          </m:e>
                          <m:sub>
                            <m:r>
                              <w:rPr>
                                <w:rFonts w:ascii="Cambria Math" w:hAnsi="Cambria Math" w:cs="Times New Roman"/>
                                <w:szCs w:val="24"/>
                              </w:rPr>
                              <m:t>m</m:t>
                            </m:r>
                          </m:sub>
                        </m:sSub>
                      </m:den>
                    </m:f>
                  </m:e>
                </m:rad>
              </m:oMath>
            </m:oMathPara>
          </w:p>
        </w:tc>
        <w:tc>
          <w:tcPr>
            <w:tcW w:w="265" w:type="dxa"/>
          </w:tcPr>
          <w:p w14:paraId="06881955" w14:textId="62DD5FCA" w:rsidR="00051297" w:rsidRPr="00051297" w:rsidRDefault="00051297" w:rsidP="00051297">
            <w:bookmarkStart w:id="423" w:name="_Ref103554844"/>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80</w:t>
            </w:r>
            <w:r w:rsidRPr="00051297">
              <w:rPr>
                <w:rFonts w:cs="Times New Roman"/>
                <w:szCs w:val="24"/>
                <w:lang w:val="en-US"/>
              </w:rPr>
              <w:fldChar w:fldCharType="end"/>
            </w:r>
            <w:r w:rsidRPr="00051297">
              <w:rPr>
                <w:rFonts w:cs="Times New Roman"/>
                <w:szCs w:val="24"/>
                <w:lang w:val="en-US"/>
              </w:rPr>
              <w:t>)</w:t>
            </w:r>
            <w:bookmarkEnd w:id="423"/>
          </w:p>
        </w:tc>
      </w:tr>
    </w:tbl>
    <w:p w14:paraId="7C73E3CA" w14:textId="77777777" w:rsidR="00051297" w:rsidRPr="00051297" w:rsidRDefault="00051297" w:rsidP="00051297">
      <w:pPr>
        <w:rPr>
          <w:rFonts w:cs="Times New Roman"/>
          <w:szCs w:val="24"/>
        </w:rPr>
      </w:pPr>
    </w:p>
    <w:tbl>
      <w:tblPr>
        <w:tblW w:w="0" w:type="auto"/>
        <w:tblLook w:val="04A0" w:firstRow="1" w:lastRow="0" w:firstColumn="1" w:lastColumn="0" w:noHBand="0" w:noVBand="1"/>
      </w:tblPr>
      <w:tblGrid>
        <w:gridCol w:w="258"/>
        <w:gridCol w:w="7591"/>
        <w:gridCol w:w="1505"/>
      </w:tblGrid>
      <w:tr w:rsidR="00051297" w:rsidRPr="00051297" w14:paraId="1EF84074" w14:textId="77777777" w:rsidTr="00D20B01">
        <w:tc>
          <w:tcPr>
            <w:tcW w:w="265" w:type="dxa"/>
          </w:tcPr>
          <w:p w14:paraId="04F6A4B0" w14:textId="77777777" w:rsidR="00051297" w:rsidRPr="00051297" w:rsidRDefault="00051297" w:rsidP="00051297">
            <w:pPr>
              <w:rPr>
                <w:rFonts w:cs="Times New Roman"/>
                <w:szCs w:val="24"/>
              </w:rPr>
            </w:pPr>
          </w:p>
        </w:tc>
        <w:tc>
          <w:tcPr>
            <w:tcW w:w="8820" w:type="dxa"/>
          </w:tcPr>
          <w:p w14:paraId="0518A16C" w14:textId="77777777" w:rsidR="00051297" w:rsidRPr="00051297" w:rsidRDefault="00051297" w:rsidP="00051297">
            <w:pPr>
              <w:rPr>
                <w:rFonts w:cs="Times New Roman"/>
                <w:szCs w:val="24"/>
              </w:rPr>
            </w:pPr>
          </w:p>
          <w:p w14:paraId="1CF56987" w14:textId="77777777" w:rsidR="00051297" w:rsidRPr="00051297" w:rsidRDefault="00536556" w:rsidP="00051297">
            <w:pPr>
              <w:rPr>
                <w:rFonts w:cs="Times New Roman"/>
                <w:szCs w:val="24"/>
              </w:rPr>
            </w:pPr>
            <m:oMathPara>
              <m:oMath>
                <m:sSup>
                  <m:sSupPr>
                    <m:ctrlPr>
                      <w:rPr>
                        <w:rFonts w:ascii="Cambria Math" w:hAnsi="Cambria Math" w:cs="Times New Roman"/>
                        <w:i/>
                        <w:szCs w:val="24"/>
                      </w:rPr>
                    </m:ctrlPr>
                  </m:sSupPr>
                  <m:e>
                    <m:r>
                      <w:rPr>
                        <w:rFonts w:ascii="Cambria Math" w:hAnsi="Cambria Math" w:cs="Times New Roman"/>
                        <w:szCs w:val="24"/>
                      </w:rPr>
                      <m:t>f</m:t>
                    </m:r>
                  </m:e>
                  <m:sup>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σ</m:t>
                    </m:r>
                  </m:e>
                  <m:sup>
                    <m:r>
                      <w:rPr>
                        <w:rFonts w:ascii="Cambria Math" w:hAnsi="Cambria Math" w:cs="Times New Roman"/>
                        <w:szCs w:val="24"/>
                      </w:rPr>
                      <m:t>t</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σ</m:t>
                    </m:r>
                  </m:e>
                  <m:sub>
                    <m:r>
                      <w:rPr>
                        <w:rFonts w:ascii="Cambria Math" w:hAnsi="Cambria Math" w:cs="Times New Roman"/>
                        <w:szCs w:val="24"/>
                      </w:rPr>
                      <m:t>3</m:t>
                    </m:r>
                  </m:sub>
                </m:sSub>
              </m:oMath>
            </m:oMathPara>
          </w:p>
        </w:tc>
        <w:tc>
          <w:tcPr>
            <w:tcW w:w="265" w:type="dxa"/>
          </w:tcPr>
          <w:p w14:paraId="0DDE29DA" w14:textId="69364991" w:rsidR="00051297" w:rsidRPr="00051297" w:rsidRDefault="00051297" w:rsidP="00051297">
            <w:bookmarkStart w:id="424" w:name="_Ref103554861"/>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1</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Equation \* ARABIC \s 1 </w:instrText>
            </w:r>
            <w:r w:rsidRPr="00051297">
              <w:rPr>
                <w:rFonts w:cs="Times New Roman"/>
                <w:szCs w:val="24"/>
                <w:lang w:val="en-US"/>
              </w:rPr>
              <w:fldChar w:fldCharType="separate"/>
            </w:r>
            <w:r w:rsidR="004870F1">
              <w:rPr>
                <w:rFonts w:cs="Times New Roman"/>
                <w:noProof/>
                <w:szCs w:val="24"/>
                <w:lang w:val="en-US"/>
              </w:rPr>
              <w:t>81</w:t>
            </w:r>
            <w:r w:rsidRPr="00051297">
              <w:rPr>
                <w:rFonts w:cs="Times New Roman"/>
                <w:szCs w:val="24"/>
                <w:lang w:val="en-US"/>
              </w:rPr>
              <w:fldChar w:fldCharType="end"/>
            </w:r>
            <w:r w:rsidRPr="00051297">
              <w:rPr>
                <w:rFonts w:cs="Times New Roman"/>
                <w:szCs w:val="24"/>
                <w:lang w:val="en-US"/>
              </w:rPr>
              <w:t>)</w:t>
            </w:r>
            <w:bookmarkEnd w:id="424"/>
          </w:p>
        </w:tc>
      </w:tr>
    </w:tbl>
    <w:p w14:paraId="34CD54B8" w14:textId="77777777" w:rsidR="00051297" w:rsidRPr="00051297" w:rsidRDefault="00051297" w:rsidP="00051297">
      <w:pPr>
        <w:rPr>
          <w:rFonts w:cs="Times New Roman"/>
          <w:szCs w:val="24"/>
          <w:lang w:val="en-US"/>
        </w:rPr>
      </w:pPr>
      <w:r w:rsidRPr="00051297">
        <w:rPr>
          <w:rFonts w:cs="Times New Roman"/>
          <w:szCs w:val="24"/>
          <w:lang w:val="en-US"/>
        </w:rPr>
        <w:t>Whereby:</w:t>
      </w:r>
    </w:p>
    <w:p w14:paraId="4437E19F" w14:textId="77777777" w:rsidR="00051297" w:rsidRPr="00051297" w:rsidRDefault="00051297" w:rsidP="00051297">
      <w:pPr>
        <w:rPr>
          <w:rFonts w:cs="Times New Roman"/>
          <w:szCs w:val="24"/>
          <w:lang w:val="en-US"/>
        </w:rPr>
      </w:pPr>
      <w:r w:rsidRPr="00051297">
        <w:rPr>
          <w:rFonts w:cs="Times New Roman"/>
          <w:szCs w:val="24"/>
          <w:lang w:val="en-US"/>
        </w:rPr>
        <w:t xml:space="preserve"> </w:t>
      </w:r>
      <m:oMath>
        <m:sSup>
          <m:sSupPr>
            <m:ctrlPr>
              <w:rPr>
                <w:rFonts w:ascii="Cambria Math" w:hAnsi="Cambria Math" w:cs="Times New Roman"/>
                <w:i/>
                <w:szCs w:val="24"/>
              </w:rPr>
            </m:ctrlPr>
          </m:sSupPr>
          <m:e>
            <m:r>
              <w:rPr>
                <w:rFonts w:ascii="Cambria Math" w:hAnsi="Cambria Math" w:cs="Times New Roman"/>
                <w:szCs w:val="24"/>
              </w:rPr>
              <m:t>f</m:t>
            </m:r>
          </m:e>
          <m:sup>
            <m:r>
              <w:rPr>
                <w:rFonts w:ascii="Cambria Math" w:hAnsi="Cambria Math" w:cs="Times New Roman"/>
                <w:szCs w:val="24"/>
              </w:rPr>
              <m:t>s</m:t>
            </m:r>
          </m:sup>
        </m:sSup>
      </m:oMath>
      <w:r w:rsidRPr="00051297">
        <w:rPr>
          <w:rFonts w:cs="Times New Roman"/>
          <w:szCs w:val="24"/>
          <w:lang w:val="en-US"/>
        </w:rPr>
        <w:t xml:space="preserve"> and </w:t>
      </w:r>
      <m:oMath>
        <m:sSup>
          <m:sSupPr>
            <m:ctrlPr>
              <w:rPr>
                <w:rFonts w:ascii="Cambria Math" w:hAnsi="Cambria Math" w:cs="Times New Roman"/>
                <w:i/>
                <w:szCs w:val="24"/>
              </w:rPr>
            </m:ctrlPr>
          </m:sSupPr>
          <m:e>
            <m:r>
              <w:rPr>
                <w:rFonts w:ascii="Cambria Math" w:hAnsi="Cambria Math" w:cs="Times New Roman"/>
                <w:szCs w:val="24"/>
              </w:rPr>
              <m:t>f</m:t>
            </m:r>
          </m:e>
          <m:sup>
            <m:r>
              <w:rPr>
                <w:rFonts w:ascii="Cambria Math" w:hAnsi="Cambria Math" w:cs="Times New Roman"/>
                <w:szCs w:val="24"/>
              </w:rPr>
              <m:t>t</m:t>
            </m:r>
          </m:sup>
        </m:sSup>
      </m:oMath>
      <w:r w:rsidRPr="00051297">
        <w:rPr>
          <w:rFonts w:cs="Times New Roman"/>
          <w:szCs w:val="24"/>
          <w:lang w:val="en-US"/>
        </w:rPr>
        <w:t xml:space="preserve"> – are shear and tensile failures, respectively; </w:t>
      </w:r>
      <w:r w:rsidRPr="00051297">
        <w:rPr>
          <w:rFonts w:cs="Times New Roman"/>
          <w:szCs w:val="24"/>
        </w:rPr>
        <w:t>σ</w:t>
      </w:r>
      <w:r w:rsidRPr="00051297">
        <w:rPr>
          <w:rFonts w:cs="Times New Roman"/>
          <w:szCs w:val="24"/>
          <w:vertAlign w:val="subscript"/>
          <w:lang w:val="en-US"/>
        </w:rPr>
        <w:t>1</w:t>
      </w:r>
      <w:r w:rsidRPr="00051297">
        <w:rPr>
          <w:rFonts w:cs="Times New Roman"/>
          <w:szCs w:val="24"/>
          <w:lang w:val="en-US"/>
        </w:rPr>
        <w:t xml:space="preserve"> and </w:t>
      </w:r>
      <w:r w:rsidRPr="00051297">
        <w:rPr>
          <w:rFonts w:cs="Times New Roman"/>
          <w:szCs w:val="24"/>
        </w:rPr>
        <w:t>σ</w:t>
      </w:r>
      <w:r w:rsidRPr="00051297">
        <w:rPr>
          <w:rFonts w:cs="Times New Roman"/>
          <w:szCs w:val="24"/>
          <w:vertAlign w:val="subscript"/>
          <w:lang w:val="en-US"/>
        </w:rPr>
        <w:t>3</w:t>
      </w:r>
      <w:r w:rsidRPr="00051297">
        <w:rPr>
          <w:rFonts w:cs="Times New Roman"/>
          <w:szCs w:val="24"/>
          <w:lang w:val="en-US"/>
        </w:rPr>
        <w:t xml:space="preserve"> – are major and minor principal stresses, and </w:t>
      </w:r>
      <m:oMath>
        <m:r>
          <w:rPr>
            <w:rFonts w:ascii="Cambria Math" w:hAnsi="Cambria Math" w:cs="Times New Roman"/>
            <w:szCs w:val="24"/>
          </w:rPr>
          <m:t>c</m:t>
        </m:r>
      </m:oMath>
      <w:r w:rsidRPr="00051297">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φ</m:t>
            </m:r>
          </m:e>
          <m:sub>
            <m:r>
              <w:rPr>
                <w:rFonts w:ascii="Cambria Math" w:hAnsi="Cambria Math" w:cs="Times New Roman"/>
                <w:szCs w:val="24"/>
              </w:rPr>
              <m:t>m</m:t>
            </m:r>
          </m:sub>
        </m:sSub>
      </m:oMath>
      <w:r w:rsidRPr="00051297">
        <w:rPr>
          <w:rFonts w:cs="Times New Roman"/>
          <w:szCs w:val="24"/>
          <w:lang w:val="en-US"/>
        </w:rPr>
        <w:t xml:space="preserve"> and </w:t>
      </w:r>
      <m:oMath>
        <m:sSup>
          <m:sSupPr>
            <m:ctrlPr>
              <w:rPr>
                <w:rFonts w:ascii="Cambria Math" w:hAnsi="Cambria Math" w:cs="Times New Roman"/>
                <w:i/>
                <w:szCs w:val="24"/>
              </w:rPr>
            </m:ctrlPr>
          </m:sSupPr>
          <m:e>
            <m:r>
              <w:rPr>
                <w:rFonts w:ascii="Cambria Math" w:hAnsi="Cambria Math" w:cs="Times New Roman"/>
                <w:szCs w:val="24"/>
              </w:rPr>
              <m:t>σ</m:t>
            </m:r>
          </m:e>
          <m:sup>
            <m:r>
              <w:rPr>
                <w:rFonts w:ascii="Cambria Math" w:hAnsi="Cambria Math" w:cs="Times New Roman"/>
                <w:szCs w:val="24"/>
              </w:rPr>
              <m:t>t</m:t>
            </m:r>
          </m:sup>
        </m:sSup>
      </m:oMath>
      <w:r w:rsidRPr="00051297">
        <w:rPr>
          <w:rFonts w:cs="Times New Roman"/>
          <w:szCs w:val="24"/>
          <w:lang w:val="en-US"/>
        </w:rPr>
        <w:t xml:space="preserve"> – are cohesion, mobilized friction angle, and tensile strength, respectively.</w:t>
      </w:r>
    </w:p>
    <w:p w14:paraId="2ED7753E" w14:textId="0FD37366" w:rsidR="00051297" w:rsidRPr="00051297" w:rsidRDefault="00051297" w:rsidP="00EE7BED">
      <w:pPr>
        <w:pStyle w:val="5"/>
      </w:pPr>
      <w:r w:rsidRPr="00051297">
        <w:rPr>
          <w:lang w:val="en-US"/>
        </w:rPr>
        <w:t xml:space="preserve"> </w:t>
      </w:r>
      <w:bookmarkStart w:id="425" w:name="_Toc79511129"/>
      <w:bookmarkStart w:id="426" w:name="_Toc97504764"/>
      <w:bookmarkStart w:id="427" w:name="_Toc103543898"/>
      <w:bookmarkStart w:id="428" w:name="_Toc104985222"/>
      <w:r w:rsidRPr="00051297">
        <w:t>Dam modeling during operation</w:t>
      </w:r>
      <w:bookmarkEnd w:id="425"/>
      <w:bookmarkEnd w:id="426"/>
      <w:bookmarkEnd w:id="427"/>
      <w:bookmarkEnd w:id="428"/>
    </w:p>
    <w:p w14:paraId="1AB99541" w14:textId="0730325A" w:rsidR="00051297" w:rsidRPr="00051297" w:rsidRDefault="00051297" w:rsidP="00051297">
      <w:pPr>
        <w:rPr>
          <w:rFonts w:cs="Times New Roman"/>
          <w:szCs w:val="24"/>
          <w:lang w:val="en-US"/>
        </w:rPr>
      </w:pPr>
      <w:r w:rsidRPr="00051297">
        <w:rPr>
          <w:rFonts w:cs="Times New Roman"/>
          <w:szCs w:val="24"/>
          <w:lang w:val="en-US"/>
        </w:rPr>
        <w:t xml:space="preserve">The most frequent type of dam is an earth-fill (embankment) dam. Furthermore, when using locally accessible resources, they are regarded as the most cost-effective option. Furthermore, they have long been a common method for storing and controlling river water. Dams </w:t>
      </w:r>
      <w:r w:rsidRPr="00051297">
        <w:rPr>
          <w:rFonts w:cs="Times New Roman"/>
          <w:szCs w:val="24"/>
          <w:lang w:val="en-US"/>
        </w:rPr>
        <w:lastRenderedPageBreak/>
        <w:t xml:space="preserve">of this type are often constructed by placing and compacting a semi-plastic mound of varied soil, rock, sand, or clay compositions. In an earth dam, stability and seepage are critical because they have been identified as the primary causes of dam failure. Earth-fill dams lose water from the reservoir and the dam body through evaporation and seepage </w:t>
      </w:r>
      <w:r w:rsidRPr="00051297">
        <w:rPr>
          <w:rFonts w:cs="Times New Roman"/>
          <w:szCs w:val="24"/>
        </w:rPr>
        <w:fldChar w:fldCharType="begin" w:fldLock="1"/>
      </w:r>
      <w:r w:rsidR="00FA5896">
        <w:rPr>
          <w:rFonts w:cs="Times New Roman"/>
          <w:szCs w:val="24"/>
          <w:lang w:val="en-US"/>
        </w:rPr>
        <w:instrText>ADDIN CSL_CITATION {"citationItems":[{"id":"ITEM-1","itemData":{"DOI":"10.1007/s40808-020-01006-2","ISSN":"2363-6203","abstract":"This research work was carried out using Geo-Slope software programmes, i.e., to compute the infiltration and slope stability analysis of the Grindeho dam using SEEP/W and SLOPE/W. Embankment dam failure may occur due to different reasons, such as structural instability, hydraulic conditions, seepage through the dam body and foundation. The determination of the factor of safety for the dam slope stability and quantify the amount of seepage through the dam, under different cases of operations, is vital to ascertain the dam overall safety. In this research, Finite Element modelling is used through Geo-Studio software to simulate slope stability and seepage analysis of the embankment dam. Three distinct operational cases are considered for the dam analysis: end of construction before filling the reservoir, after/full reservoir condition, and rapid reservoir condition drawdown. Four separate methods of analysis were used to verify the stability of the slope embankment: Morgenstern-Price, Bishop, Janbu, and Spencer. The requirements of the Benchmark Safety Legislation (US Army of Corps Engineers and British Dam Society) are observed. The simulation results of the upstream and downstream side of the dam section have a direct effect on the factor of safety, the outcome of the stability analysis performed showed that all sections of the dam are safe within the specified range of factors of safety for the potential all loading and operation cases. But all the slip surfaces move through the section of the dam shell, which shows that this zone is the weaker zone and requires spatial attention. The simulation results obtained from the SEEP/W program revealed that 15,291.5 m3/year and 22,818.56 m3/year amount of seepage loss is present in the Grindeho dam during the drawdown case and full reservoir case, respectively.","author":[{"dropping-particle":"","family":"Hailu","given":"Melese Baye","non-dropping-particle":"","parse-names":false,"suffix":""}],"container-title":"Modeling Earth Systems and Environment","id":"ITEM-1","issued":{"date-parts":[["2020","10"]]},"title":"Modeling assessment of seepage and slope stability of dam under static and dynamic conditions of Grindeho Dam in Ethiopia","type":"article-journal"},"uris":["http://www.mendeley.com/documents/?uuid=89d6fc63-085e-4ff8-9e00-9f904ff1faaf","http://www.mendeley.com/documents/?uuid=80c2b5f4-a73b-4cc8-b9bd-bcac56a736a8"]}],"mendeley":{"formattedCitation":"[236]","plainTextFormattedCitation":"[236]","previouslyFormattedCitation":"[236]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[236]</w:t>
      </w:r>
      <w:r w:rsidRPr="00051297">
        <w:rPr>
          <w:rFonts w:cs="Times New Roman"/>
          <w:szCs w:val="24"/>
        </w:rPr>
        <w:fldChar w:fldCharType="end"/>
      </w:r>
      <w:r w:rsidRPr="00051297">
        <w:rPr>
          <w:rFonts w:cs="Times New Roman"/>
          <w:szCs w:val="24"/>
          <w:lang w:val="en-US"/>
        </w:rPr>
        <w:t xml:space="preserve">. </w:t>
      </w:r>
    </w:p>
    <w:p w14:paraId="5C9FAE43" w14:textId="75FD4EE0" w:rsidR="00051297" w:rsidRPr="00051297" w:rsidRDefault="00051297" w:rsidP="00051297">
      <w:pPr>
        <w:rPr>
          <w:rFonts w:cs="Times New Roman"/>
          <w:szCs w:val="24"/>
          <w:lang w:val="en-US"/>
        </w:rPr>
      </w:pPr>
      <w:r w:rsidRPr="00051297">
        <w:rPr>
          <w:rFonts w:cs="Times New Roman"/>
          <w:szCs w:val="24"/>
          <w:lang w:val="en-US"/>
        </w:rPr>
        <w:t xml:space="preserve">Evaporation losses are uncontrollable; however, seepage losses can be reduced with proper construction practices. Seepage is caused by the difference in water height upstream and downstream. The rate of seepage is determined by a number of elements, including the soil medium, the type of fluid, and the geometric parameters of the dams. A mixture of elements operating on the water can affect soil seepage; it is made up of the soil's hydraulic conductivity and the pressure gradient. The gradual percolation of water on the dam and its base causes seepage in both homogeneous and non-homogeneous earth-fill dams </w:t>
      </w:r>
      <w:r w:rsidRPr="00051297">
        <w:rPr>
          <w:rFonts w:cs="Times New Roman"/>
          <w:szCs w:val="24"/>
        </w:rPr>
        <w:fldChar w:fldCharType="begin" w:fldLock="1"/>
      </w:r>
      <w:r w:rsidR="00FA5896">
        <w:rPr>
          <w:rFonts w:cs="Times New Roman"/>
          <w:szCs w:val="24"/>
          <w:lang w:val="en-US"/>
        </w:rPr>
        <w:instrText>ADDIN CSL_CITATION {"citationItems":[{"id":"ITEM-1","itemData":{"DOI":"10.1007/s11356-018-1867-8","ISSN":"16147499","PMID":"29616480","abstract":"Efficacious operation for dam and reservoir system could guarantee not only a defenselessness policy against natural hazard but also identify rule to meet the water demand. Successful operation of dam and reservoir systems to ensure optimal use of water resources could be unattainable without accurate and reliable simulation models. According to the highly stochastic nature of hydrologic parameters, developing accurate predictive model that efficiently mimic such a complex pattern is an increasing domain of research. During the last two decades, artificial intelligence (AI) techniques have been significantly utilized for attaining a robust modeling to handle different stochastic hydrological parameters. AI techniques have also shown considerable progress in finding optimal rules for reservoir operation. This review research explores the history of developing AI in reservoir inflow forecasting and prediction of evaporation from a reservoir as the major components of the reservoir simulation. In addition, critical assessment of the advantages and disadvantages of integrated AI simulation methods with optimization methods has been reported. Future research on the potential of utilizing new innovative methods based AI techniques for reservoir simulation and optimization models have also been discussed. Finally, proposal for the new mathematical procedure to accomplish the realistic evaluation of the whole optimization model performance (reliability, resilience, and vulnerability indices) has been recommended.","author":[{"dropping-particle":"","family":"Allawi","given":"Mohammed Falah","non-dropping-particle":"","parse-names":false,"suffix":""},{"dropping-particle":"","family":"Jaafar","given":"Othman","non-dropping-particle":"","parse-names":false,"suffix":""},{"dropping-particle":"","family":"Mohamad Hamzah","given":"Firdaus","non-dropping-particle":"","parse-names":false,"suffix":""},{"dropping-particle":"","family":"Abdullah","given":"Sharifah Mastura Syed","non-dropping-particle":"","parse-names":false,"suffix":""},{"dropping-particle":"","family":"El-shafie","given":"Ahmed","non-dropping-particle":"","parse-names":false,"suffix":""}],"container-title":"Environmental Science and Pollution Research","id":"ITEM-1","issued":{"date-parts":[["2018"]]},"title":"Review on applications of artificial intelligence methods for dam and reservoir-hydro-environment models","type":"article"},"uris":["http://www.mendeley.com/documents/?uuid=72b833b1-412c-4584-aa16-290ea344cc94","http://www.mendeley.com/documents/?uuid=bb0f02d0-b24c-42b4-a8e7-65b49c2bba7a","http://www.mendeley.com/documents/?uuid=8203f446-b2ae-4d87-87b4-d2bd76205c08"]}],"mendeley":{"formattedCitation":"[237]","plainTextFormattedCitation":"[237]","previouslyFormattedCitation":"[237]"},"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[237]</w:t>
      </w:r>
      <w:r w:rsidRPr="00051297">
        <w:rPr>
          <w:rFonts w:cs="Times New Roman"/>
          <w:szCs w:val="24"/>
        </w:rPr>
        <w:fldChar w:fldCharType="end"/>
      </w:r>
      <w:r w:rsidRPr="00051297">
        <w:rPr>
          <w:rFonts w:cs="Times New Roman"/>
          <w:szCs w:val="24"/>
          <w:lang w:val="en-US"/>
        </w:rPr>
        <w:t xml:space="preserve">. </w:t>
      </w:r>
    </w:p>
    <w:p w14:paraId="74ED1D66" w14:textId="4813F9E9" w:rsidR="00051297" w:rsidRPr="00051297" w:rsidRDefault="00051297" w:rsidP="00051297">
      <w:pPr>
        <w:rPr>
          <w:rFonts w:cs="Times New Roman"/>
          <w:szCs w:val="24"/>
          <w:lang w:val="en-US"/>
        </w:rPr>
      </w:pPr>
      <w:r w:rsidRPr="00051297">
        <w:rPr>
          <w:rFonts w:cs="Times New Roman"/>
          <w:szCs w:val="24"/>
          <w:lang w:val="en-US"/>
        </w:rPr>
        <w:t xml:space="preserve">Inadequate seepage control has resulted in a number of seepage-related problems, including earth-fill dam failures. Seepage causes internal erosion and pipework in earth dams, which necessitates ongoing maintenance. Because internal erosion and leaking due to seepage are the most common causes of collapse in earth-fill dams, seepage management is critical in the dam's design, construction, and safe operation. Although all earth-fill dams have some seepage, the design of such dams should consider adequate seepage control to ensure that seepage does not compromise the dam's safety and long-term viability </w:t>
      </w:r>
      <w:r w:rsidRPr="00051297">
        <w:rPr>
          <w:rFonts w:cs="Times New Roman"/>
          <w:szCs w:val="24"/>
        </w:rPr>
        <w:fldChar w:fldCharType="begin" w:fldLock="1"/>
      </w:r>
      <w:r w:rsidR="00FA5896">
        <w:rPr>
          <w:rFonts w:cs="Times New Roman"/>
          <w:szCs w:val="24"/>
          <w:lang w:val="en-US"/>
        </w:rPr>
        <w:instrText>ADDIN CSL_CITATION {"citationItems":[{"id":"ITEM-1","itemData":{"DOI":"10.1016/j.engstruct.2020.110598","ISSN":"18737323","abstract":"This paper presents an innovative critical threshold estimation approach using unified egg-shaped ellipsoid modelling to study the deformation behavior of ultrahigh arch dams. First, the deformation variation law is regarded as a direct indicator of the overall stability and potential damage of ultrahigh arch dams based on comprehensively comparison with the results of theoretical calculations, experimental tests, numerical simulations and monitoring data. Subsequently, a novel geometric center of an irregular deformation plane constituted by all the deflection curves is proposed according to the measured distribution characteristics of the deformation spatial fields of the Xiaowan and Jinping I arch dams. Furthermore, unified egg-shaped ellipse equations are proposed to systematically identify the deformation critical attributes of Jinping I dam. Eventually, based on the peaks over threshold model, critical indexes are estimated considering the abnormal probabilities. The proposed methods are applied to Xiaowan dam as well. Results demonstrate that unified ellipsoid modelling can uniformly describe the abnormal features of the deformation behaviors of different ultrahigh arch dams, thereby the universal structural evolution characteristics to be understood in a wider range during their long-term operations.","author":[{"dropping-particle":"","family":"Zhao","given":"Erfeng","non-dropping-particle":"","parse-names":false,"suffix":""},{"dropping-particle":"","family":"Wu","given":"Chengqing","non-dropping-particle":"","parse-names":false,"suffix":""}],"container-title":"Engineering Structures","id":"ITEM-1","issued":{"date-parts":[["2020"]]},"title":"Unified egg ellipse critical threshold estimation for the deformation behavior of ultrahigh arch dams","type":"article-journal"},"uris":["http://www.mendeley.com/documents/?uuid=0a80c21e-a306-440e-b163-2f5bb211446a","http://www.mendeley.com/documents/?uuid=c26bea28-623b-4ea9-9333-b09aa16d7a8c","http://www.mendeley.com/documents/?uuid=f2be80b0-08db-4ed2-abbd-bce1575974cb"]}],"mendeley":{"formattedCitation":"[238]","plainTextFormattedCitation":"[238]","previouslyFormattedCitation":"[238]"},"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[238]</w:t>
      </w:r>
      <w:r w:rsidRPr="00051297">
        <w:rPr>
          <w:rFonts w:cs="Times New Roman"/>
          <w:szCs w:val="24"/>
        </w:rPr>
        <w:fldChar w:fldCharType="end"/>
      </w:r>
      <w:r w:rsidRPr="00051297">
        <w:rPr>
          <w:rFonts w:cs="Times New Roman"/>
          <w:szCs w:val="24"/>
          <w:lang w:val="en-US"/>
        </w:rPr>
        <w:t>.</w:t>
      </w:r>
    </w:p>
    <w:p w14:paraId="478DC2D2" w14:textId="7EBB9A6F" w:rsidR="00051297" w:rsidRPr="00051297" w:rsidRDefault="00051297" w:rsidP="00EE7BED">
      <w:pPr>
        <w:pStyle w:val="5"/>
        <w:rPr>
          <w:lang w:val="en-US"/>
        </w:rPr>
      </w:pPr>
      <w:bookmarkStart w:id="429" w:name="_Toc79511130"/>
      <w:bookmarkStart w:id="430" w:name="_Toc97504765"/>
      <w:bookmarkStart w:id="431" w:name="_Toc103543899"/>
      <w:bookmarkStart w:id="432" w:name="_Toc104985223"/>
      <w:r w:rsidRPr="00051297">
        <w:rPr>
          <w:lang w:val="en-US"/>
        </w:rPr>
        <w:t>Dam modeling during rapid drawdown</w:t>
      </w:r>
      <w:bookmarkEnd w:id="429"/>
      <w:bookmarkEnd w:id="430"/>
      <w:bookmarkEnd w:id="431"/>
      <w:bookmarkEnd w:id="432"/>
    </w:p>
    <w:p w14:paraId="2477DA5E" w14:textId="38DD0FAE" w:rsidR="00051297" w:rsidRPr="00051297" w:rsidRDefault="00051297" w:rsidP="00051297">
      <w:pPr>
        <w:rPr>
          <w:rFonts w:cs="Times New Roman"/>
          <w:szCs w:val="24"/>
          <w:lang w:val="en-US"/>
        </w:rPr>
      </w:pPr>
      <w:r w:rsidRPr="00051297">
        <w:rPr>
          <w:rFonts w:cs="Times New Roman"/>
          <w:szCs w:val="24"/>
          <w:lang w:val="en-US"/>
        </w:rPr>
        <w:t xml:space="preserve">Dam failure is considered one of the world's most disastrous calamities. Rapid drawdown scenarios have been identified as one of the contributing elements to embankment dam failure. A rapid drawdown situation occurs when the external water level of a slope submerged in water drops rapidly, resulting in the elimination of upstream water pressure </w:t>
      </w:r>
      <w:r w:rsidRPr="00051297">
        <w:rPr>
          <w:rFonts w:cs="Times New Roman"/>
          <w:szCs w:val="24"/>
        </w:rPr>
        <w:fldChar w:fldCharType="begin" w:fldLock="1"/>
      </w:r>
      <w:r w:rsidR="00FA5896">
        <w:rPr>
          <w:rFonts w:cs="Times New Roman"/>
          <w:szCs w:val="24"/>
          <w:lang w:val="en-US"/>
        </w:rPr>
        <w:instrText>ADDIN CSL_CITATION {"citationItems":[{"id":"ITEM-1","itemData":{"DOI":"10.1016/j.compgeo.2019.103187","ISSN":"18737633","abstract":"The paper focuses on the rapid drawdown of earth dams in the hypothesis that a prompt reservoir lowering is needed soon after a strong earthquake. The interest on such a topic comes from the fact that in Italy and worldwide there are many large dams placed very close to active faults. In this case, the dam may be asked to face the earthquake first and the rapid drawdown later to face an emergency state. The problem has been numerically investigated with reference to a zoned earth dam (Campolattaro Dam) placed in a highly seismic area of Southern Italy. To solve the overall boundary value problem, encompassing several stages of the dam lifetime, a 2D finite difference model has been solved through the FLAC2D code, implementing a coupled transient seepage formulation, which accounts for partial saturation of the soil during the drawdown stage. Unlike past literature studies, in which the drawdown stage was modelled without accounting for the past loading history of the dam, in the performed simulation the drawdown stage was placed at the end of a quite real sequence of events, encompassing the embankment construction, the reservoir impounding, and earthquake scenarios compatible with the dam site seismic hazard. The performed analyses pointed out that a seismic stage previously experienced by the dam could further contribute to decreasing dam stability during the drawdown especially during the first stages of reservoir lowering. In addition, the faster the drawdown, the smaller the dam safety factor against stability (FOS) with more prominent effects of the initial (pre-drawdown) soil conditions.","author":[{"dropping-particle":"","family":"Sica","given":"Stefania","non-dropping-particle":"","parse-names":false,"suffix":""},{"dropping-particle":"","family":"Pagano","given":"Luca","non-dropping-particle":"","parse-names":false,"suffix":""},{"dropping-particle":"","family":"Rotili","given":"Federica","non-dropping-particle":"","parse-names":false,"suffix":""}],"container-title":"Computers and Geotechnics","id":"ITEM-1","issued":{"date-parts":[["2019"]]},"title":"Rapid drawdown on earth dam stability after a strong earthquake","type":"article-journal"},"uris":["http://www.mendeley.com/documents/?uuid=a864eb79-4e2f-4171-b866-b09a38428f10","http://www.mendeley.com/documents/?uuid=d7844e5a-8fa8-4acd-8fd7-4c6a29024a38","http://www.mendeley.com/documents/?uuid=d329e968-fd76-4b4d-aa5c-bbdc221deb8b"]}],"mendeley":{"formattedCitation":"[239]","plainTextFormattedCitation":"[239]","previouslyFormattedCitation":"[239]"},"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[239]</w:t>
      </w:r>
      <w:r w:rsidRPr="00051297">
        <w:rPr>
          <w:rFonts w:cs="Times New Roman"/>
          <w:szCs w:val="24"/>
        </w:rPr>
        <w:fldChar w:fldCharType="end"/>
      </w:r>
      <w:r w:rsidRPr="00051297">
        <w:rPr>
          <w:rFonts w:cs="Times New Roman"/>
          <w:szCs w:val="24"/>
          <w:lang w:val="en-US"/>
        </w:rPr>
        <w:t xml:space="preserve">. </w:t>
      </w:r>
    </w:p>
    <w:p w14:paraId="25010717" w14:textId="09B0C27C" w:rsidR="00051297" w:rsidRPr="00051297" w:rsidRDefault="00051297" w:rsidP="00051297">
      <w:pPr>
        <w:rPr>
          <w:rFonts w:cs="Times New Roman"/>
          <w:szCs w:val="24"/>
          <w:lang w:val="en-US"/>
        </w:rPr>
      </w:pPr>
      <w:r w:rsidRPr="00051297">
        <w:rPr>
          <w:rFonts w:cs="Times New Roman"/>
          <w:szCs w:val="24"/>
          <w:lang w:val="en-US"/>
        </w:rPr>
        <w:t xml:space="preserve">In that case, the removal of the counterbalancing upstream water pressure has a considerable impact on the upstream slope. Due to rapid decline, the upstream shell usually finds it difficult to bear the hydrodynamic pressure in this situation. As a result of the rapid reduction of water, the internal pore pressures in the slope cannot decrease quickly enough. Furthermore, in the case of rapid drawdown, the soils inside the embankment remain moist, facilitating seepage from the embankment to the upstream slope </w:t>
      </w:r>
      <w:r w:rsidRPr="00051297">
        <w:rPr>
          <w:rFonts w:cs="Times New Roman"/>
          <w:szCs w:val="24"/>
        </w:rPr>
        <w:fldChar w:fldCharType="begin" w:fldLock="1"/>
      </w:r>
      <w:r w:rsidR="00FA5896">
        <w:rPr>
          <w:rFonts w:cs="Times New Roman"/>
          <w:szCs w:val="24"/>
          <w:lang w:val="en-US"/>
        </w:rPr>
        <w:instrText>ADDIN CSL_CITATION {"citationItems":[{"id":"ITEM-1","itemData":{"DOI":"10.1556/1848.2018.0011","ISSN":"2062-0810","abstract":"This work was dedicated to assessing reliability of slope stability in earthen dams following rapid drawdown. Modeling of the problem physics was based on saturated-unsaturated seepage flow through the nonlinear Richards equation, under the assumption of two-dimensional approximation in steady state and transient state. The modeling of seepage taking place inside the earth dam infill materials included soil parameters, the negative pore water pressure-hydraulic conductivity relationship as well as the negative pore water pressure-volumetric water content. Slope stability was analyzed by using safety factor as evaluated by the Bishop's simplified method. Solution of the governing equations in terms of pore water pressure and fluid flow velocity was performed by using the modules SEEP/W and SLOPE/W of the Finite Element based software package GeoStudio. The drawdown phenomenon was then analyzed and its influence on dam stability assessed by using surface response method and Monte Carlo simulation. A design formula was proposed in order to bound the probability of failure associated to slope stability.","author":[{"dropping-particle":"","family":"Kahot","given":"Zakariae","non-dropping-particle":"","parse-names":false,"suffix":""},{"dropping-particle":"","family":"Dkiouak","given":"Rachid","non-dropping-particle":"","parse-names":false,"suffix":""},{"dropping-particle":"","family":"Khamlichi","given":"Abdellatif","non-dropping-particle":"","parse-names":false,"suffix":""}],"container-title":"International Review of Applied Sciences and Engineering","id":"ITEM-1","issue":"1","issued":{"date-parts":[["2019","6"]]},"page":"101-112","title":"Reliability analysis of slope stability in earthen dams following rapid drawdown","type":"article-journal","volume":"10"},"uris":["http://www.mendeley.com/documents/?uuid=62892ae4-de9b-45bb-b21e-3841e51509b8","http://www.mendeley.com/documents/?uuid=a88a21c3-7a8f-498e-9bd0-1ed15d4539ae"]}],"mendeley":{"formattedCitation":"[240]","plainTextFormattedCitation":"[240]","previouslyFormattedCitation":"[240]"},"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[240]</w:t>
      </w:r>
      <w:r w:rsidRPr="00051297">
        <w:rPr>
          <w:rFonts w:cs="Times New Roman"/>
          <w:szCs w:val="24"/>
        </w:rPr>
        <w:fldChar w:fldCharType="end"/>
      </w:r>
      <w:r w:rsidRPr="00051297">
        <w:rPr>
          <w:rFonts w:cs="Times New Roman"/>
          <w:szCs w:val="24"/>
          <w:lang w:val="en-US"/>
        </w:rPr>
        <w:t xml:space="preserve">. </w:t>
      </w:r>
    </w:p>
    <w:p w14:paraId="3379C703" w14:textId="23F48CB1" w:rsidR="00051297" w:rsidRPr="00051297" w:rsidRDefault="00051297" w:rsidP="00051297">
      <w:pPr>
        <w:rPr>
          <w:rFonts w:cs="Times New Roman"/>
          <w:szCs w:val="24"/>
          <w:lang w:val="en-US"/>
        </w:rPr>
      </w:pPr>
      <w:r w:rsidRPr="00051297">
        <w:rPr>
          <w:rFonts w:cs="Times New Roman"/>
          <w:szCs w:val="24"/>
          <w:lang w:val="en-US"/>
        </w:rPr>
        <w:t xml:space="preserve">The combination of hydrodynamic pressures and seepage from the embankment towards the upstream slope causes downward forces that destabilize the embankment, particularly on the upstream face  </w:t>
      </w:r>
      <w:r w:rsidRPr="00051297">
        <w:rPr>
          <w:rFonts w:cs="Times New Roman"/>
          <w:szCs w:val="24"/>
        </w:rPr>
        <w:fldChar w:fldCharType="begin" w:fldLock="1"/>
      </w:r>
      <w:r w:rsidR="00FA5896">
        <w:rPr>
          <w:rFonts w:cs="Times New Roman"/>
          <w:szCs w:val="24"/>
          <w:lang w:val="en-US"/>
        </w:rPr>
        <w:instrText>ADDIN CSL_CITATION {"citationItems":[{"id":"ITEM-1","itemData":{"DOI":"10.5194/nhess-11-3383-2011","ISSN":"15618633","abstract":"The risk of failure of transportation embankments due to seepage induced by temporary and occasional impoundments taking place on the upstream side as a consequence of exceptional rainfalls is frequently underestimated. These failure events result from a combination of three main factors, i.e. the flooding event, the hydraulic weakness and the geotechnical weakness of the embankment. Based on the case study of a railway embankment in Southern Italy that collapsed in 2005 due to an upstream impoundment that occurred after few hours of a very intense rainfall, the paper describes a methodological approach aimed at assessing hazard of failure of transportation embankments induced by flooding and seepage. In particular, according to hydrological, hydraulic and geotechnical studies performed to define the factors affecting the process of the embankment failure, three subsequent activities are proposed: the historical analysis of flood damages at the watershed scale; and the assessment of the upstream peak impoundment based on hydrological analysis and the embankment stability analysis, these latter to be carried out at the site specific scale. The approach here proposed is planned to be further validated and improved by means of the application to other case studies, characterised by different contexts and embankment structures. © Author(s) 2011. CC Attribution 3.0 License.","author":[{"dropping-particle":"","family":"Polemio","given":"M.","non-dropping-particle":"","parse-names":false,"suffix":""},{"dropping-particle":"","family":"Lollino","given":"P.","non-dropping-particle":"","parse-names":false,"suffix":""}],"container-title":"Natural Hazards and Earth System Science","id":"ITEM-1","issued":{"date-parts":[["2011"]]},"title":"Failure of infrastructure embankments induced by flooding and seepage: A neglected source of hazard","type":"article-journal"},"uris":["http://www.mendeley.com/documents/?uuid=e1660dfc-7306-4ca3-9a93-6595c5cc55c9","http://www.mendeley.com/documents/?uuid=1ae3a7d1-c7c0-440f-a5e7-58b39791e754","http://www.mendeley.com/documents/?uuid=7043e303-f653-493c-a402-1e549a4f141f"]}],"mendeley":{"formattedCitation":"[241]","plainTextFormattedCitation":"[241]","previouslyFormattedCitation":"[241]"},"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[241]</w:t>
      </w:r>
      <w:r w:rsidRPr="00051297">
        <w:rPr>
          <w:rFonts w:cs="Times New Roman"/>
          <w:szCs w:val="24"/>
        </w:rPr>
        <w:fldChar w:fldCharType="end"/>
      </w:r>
      <w:r w:rsidRPr="00051297">
        <w:rPr>
          <w:rFonts w:cs="Times New Roman"/>
          <w:szCs w:val="24"/>
          <w:lang w:val="en-US"/>
        </w:rPr>
        <w:t xml:space="preserve">. The forces created are incompatible with stability and cause a catastrophic condition on the upstream slope </w:t>
      </w:r>
      <w:r w:rsidRPr="00051297">
        <w:rPr>
          <w:rFonts w:cs="Times New Roman"/>
          <w:szCs w:val="24"/>
        </w:rPr>
        <w:fldChar w:fldCharType="begin" w:fldLock="1"/>
      </w:r>
      <w:r w:rsidR="00FA5896">
        <w:rPr>
          <w:rFonts w:cs="Times New Roman"/>
          <w:szCs w:val="24"/>
          <w:lang w:val="en-US"/>
        </w:rPr>
        <w:instrText>ADDIN CSL_CITATION {"citationItems":[{"id":"ITEM-1","itemData":{"DOI":"10.1007/s41062-019-0229-9","ISSN":"23644184","abstract":"The problem of dam failures is of great importance as it has devastating impact upon humankind and the environment. This review highlights the hydraulic failure of earthen dams and embankments, emphasizing on the piping and overtopping phenomena. Piping failures are mostly attributed to the uncontrolled seepage or the absence of suitable zonation of materials and filters in earthen dams. The overtopping process is a complex unsteady, nonhomogeneous, nonlinear three-dimensional problem, which has not yet been methodically studied from a theoretical perspective. With the advancement of time and technology, different mathematical, analytical and numerical models, aptly supported by physical modeling, has led to the better understanding of these phenomena. Although these approaches have facilitated the evaluation of seepage and deformation in the earthen dams and embankments, still several critical issues need to be addressed. This review highlights the gap areas and possible future scopes related to the hydraulic failures of dams.","author":[{"dropping-particle":"","family":"Talukdar","given":"Priyanka","non-dropping-particle":"","parse-names":false,"suffix":""},{"dropping-particle":"","family":"Dey","given":"Arindam","non-dropping-particle":"","parse-names":false,"suffix":""}],"container-title":"Innovative Infrastructure Solutions","id":"ITEM-1","issued":{"date-parts":[["2019"]]},"title":"Hydraulic failures of earthen dams and embankments","type":"article-journal"},"uris":["http://www.mendeley.com/documents/?uuid=e45bec98-f66e-4a37-84ba-a82f17b32095","http://www.mendeley.com/documents/?uuid=ad48bade-f205-4828-a40c-bd2beb6d4e4c","http://www.mendeley.com/documents/?uuid=143f2232-9897-44f5-b868-8a28b4833536"]}],"mendeley":{"formattedCitation":"[216]","plainTextFormattedCitation":"[216]","previouslyFormattedCitation":"[216]"},"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[216]</w:t>
      </w:r>
      <w:r w:rsidRPr="00051297">
        <w:rPr>
          <w:rFonts w:cs="Times New Roman"/>
          <w:szCs w:val="24"/>
        </w:rPr>
        <w:fldChar w:fldCharType="end"/>
      </w:r>
      <w:r w:rsidRPr="00051297">
        <w:rPr>
          <w:rFonts w:cs="Times New Roman"/>
          <w:szCs w:val="24"/>
          <w:lang w:val="en-US"/>
        </w:rPr>
        <w:t xml:space="preserve">. </w:t>
      </w:r>
    </w:p>
    <w:p w14:paraId="61D486C5" w14:textId="10C66EA3" w:rsidR="00051297" w:rsidRPr="00051297" w:rsidRDefault="00051297" w:rsidP="00051297">
      <w:pPr>
        <w:rPr>
          <w:rFonts w:cs="Times New Roman"/>
          <w:szCs w:val="24"/>
          <w:lang w:val="en-US"/>
        </w:rPr>
      </w:pPr>
      <w:r w:rsidRPr="00051297">
        <w:rPr>
          <w:rFonts w:cs="Times New Roman"/>
          <w:szCs w:val="24"/>
          <w:lang w:val="en-US"/>
        </w:rPr>
        <w:t xml:space="preserve">Extreme flooding events, among many other factors, contribute significantly to rapid drawdown cases because river levels reach peak values, and when the extreme event subsides, the </w:t>
      </w:r>
      <w:r w:rsidRPr="00051297">
        <w:rPr>
          <w:rFonts w:cs="Times New Roman"/>
          <w:szCs w:val="24"/>
          <w:lang w:val="en-US"/>
        </w:rPr>
        <w:lastRenderedPageBreak/>
        <w:t xml:space="preserve">velocity of decreasing water levels tends to reach maximum values as well, resulting in dramatic reductions in water levels </w:t>
      </w:r>
      <w:r w:rsidRPr="00051297">
        <w:rPr>
          <w:rFonts w:cs="Times New Roman"/>
          <w:szCs w:val="24"/>
        </w:rPr>
        <w:fldChar w:fldCharType="begin" w:fldLock="1"/>
      </w:r>
      <w:r w:rsidR="00FA5896">
        <w:rPr>
          <w:rFonts w:cs="Times New Roman"/>
          <w:szCs w:val="24"/>
          <w:lang w:val="en-US"/>
        </w:rPr>
        <w:instrText>ADDIN CSL_CITATION {"citationItems":[{"id":"ITEM-1","itemData":{"DOI":"10.1016/j.earscirev.2021.103553","ISSN":"00128252","abstract":"Infrastructure embankment failures due to flooding have been recorded in many countries. The consequences of flood-induced embankment failures have mainly been limited to infrastructure downtime; however, failures have caused fatalities and include multiple near-miss events. Here we review the types of flood which cause transportation embankment failure and the associated types of failure, processes which cause failure, and the potential for lasting slope weakening after flooding. Four types of flood which cause transport embankment failure are identified; offset head, overtopping, basal floods at slope toes and floods above slopes. Failure is caused by flood-specific processes including rapid drawdown, sliding, scour and internal erosion in addition to the development of destabilisation from effective normal stress decrease and saturation loading. Existing destabilisation modelling tends to focus on single flood events which cause failure, with limited consideration of repeat flooding and the long-term degradation of embankment strength which may occur following rainfall and flooding. Although there is a well-developed understanding of generic landslide development, we suggest that that there has been limited consideration of the destabilising effects caused by dynamic conditions which develop during repeat flooding. Furthermore, while the effects of live traffic loading from high speed trains during flooding have previously been considered and shown to cause destabilisation, such previous work is found to be limited to specific embankment structures which are not representative of the wider rail network and considerable uncertainty exists for older earthworks. We conclude this review by identifying future research priorities to help improve prediction and mitigation of flood-induced embankment instability.","author":[{"dropping-particle":"","family":"Johnston","given":"I.","non-dropping-particle":"","parse-names":false,"suffix":""},{"dropping-particle":"","family":"Murphy","given":"W.","non-dropping-particle":"","parse-names":false,"suffix":""},{"dropping-particle":"","family":"Holden","given":"J.","non-dropping-particle":"","parse-names":false,"suffix":""}],"container-title":"Earth-Science Reviews","id":"ITEM-1","issued":{"date-parts":[["2021","4"]]},"page":"103553","title":"A review of floodwater impacts on the stability of transportation embankments","type":"article-journal","volume":"215"},"uris":["http://www.mendeley.com/documents/?uuid=52ad7c58-a2a3-493d-91d0-a5ffafe8b819","http://www.mendeley.com/documents/?uuid=eac35a40-23c3-4e3b-bae5-7df22d10bcde","http://www.mendeley.com/documents/?uuid=558ac258-f294-4999-aacf-b34b49d6eda6"]},{"id":"ITEM-2","itemData":{"DOI":"10.1016/j.enggeo.2019.105458","ISSN":"00137952","abstract":"The Princeville levee, and flooding associated with Hurricanes Floyd and Matthew, is used as a case study in which the analyses are focused on the effect of repeated rise and fall of water levels (representing severe storm cycles) on the stability of the levee and the risk of failure. The analyses included strain-based and strength reduction approaches and are conducted using the finite element program Plaxis 2D. The limit equilibrium stability software “Slope/W” was also used for comparative study. The strain-based limit state approach considers the uncertainty of soil properties and is used to characterize the levee performance under repeated storm loading in terms of damage levels (or limit states). The strain-based analyses results show a progressive development of plastic shear strain zone within the levee as the number of storm cycles is increased. The accumulation of such shear strain leads to increasing the probability of exceeding a given performance limit state. As more flooding cycles are introduced, the shear strain values increase by a factor of 3.5 from cycle 1 to 6, and therefore reflect the increasing level of failure risk. In parallel, the deterministic stability factor of safety obtained from limit equilibrium method remains unchanged and slightly changes for strength reduction method with an increased number of rises and falls of the water level. The consideration of “rapid” drawdown conventionally used in limit equilibrium stability analyses (where no consideration for time is included), instead of more realistic rate based on drawdown hydrograph leads to conservative estimate of factor of safety. The analyses results demonstrate the increase in risk with repeated hydraulic loading.","author":[{"dropping-particle":"","family":"Jadid","given":"Rowshon","non-dropping-particle":"","parse-names":false,"suffix":""},{"dropping-particle":"","family":"Montoya","given":"Brina M.","non-dropping-particle":"","parse-names":false,"suffix":""},{"dropping-particle":"","family":"Bennett","given":"Victoria","non-dropping-particle":"","parse-names":false,"suffix":""},{"dropping-particle":"","family":"Gabr","given":"Mohammed A.","non-dropping-particle":"","parse-names":false,"suffix":""}],"container-title":"Engineering Geology","id":"ITEM-2","issued":{"date-parts":[["2020","3"]]},"page":"105458","title":"Effect of repeated rise and fall of water level on seepage-induced deformation and related stability analysis of Princeville levee","type":"article-journal","volume":"266"},"uris":["http://www.mendeley.com/documents/?uuid=7514a5b7-8c80-4179-b581-bd2f800b80d2"]}],"mendeley":{"formattedCitation":"[242,243]","plainTextFormattedCitation":"[242,243]","previouslyFormattedCitation":"[242,243]"},"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[242,243]</w:t>
      </w:r>
      <w:r w:rsidRPr="00051297">
        <w:rPr>
          <w:rFonts w:cs="Times New Roman"/>
          <w:szCs w:val="24"/>
        </w:rPr>
        <w:fldChar w:fldCharType="end"/>
      </w:r>
      <w:r w:rsidRPr="00051297">
        <w:rPr>
          <w:rFonts w:cs="Times New Roman"/>
          <w:szCs w:val="24"/>
          <w:lang w:val="en-US"/>
        </w:rPr>
        <w:t xml:space="preserve">. </w:t>
      </w:r>
    </w:p>
    <w:p w14:paraId="314314C0" w14:textId="693AFDB0" w:rsidR="00051297" w:rsidRDefault="00051297" w:rsidP="00051297">
      <w:pPr>
        <w:rPr>
          <w:rFonts w:cs="Times New Roman"/>
          <w:szCs w:val="24"/>
          <w:lang w:val="en-US"/>
        </w:rPr>
      </w:pPr>
      <w:r w:rsidRPr="00051297">
        <w:rPr>
          <w:rFonts w:cs="Times New Roman"/>
          <w:szCs w:val="24"/>
          <w:lang w:val="en-US"/>
        </w:rPr>
        <w:t xml:space="preserve">The permeability coefficient of the dam fills, the rate of drawdown, pore active volume, and upstream slope gradient can all affect the lag of the phreatic line or the rate of drawdown. The need to determine the maximum drawdown rate that may be safely carried out is critical, especially for dams located in extreme event zones, as various studies [11,12] have emphasized the possible impact of rapid drawdown in the case of upstream slope failures </w:t>
      </w:r>
      <w:r w:rsidRPr="00051297">
        <w:rPr>
          <w:rFonts w:cs="Times New Roman"/>
          <w:szCs w:val="24"/>
        </w:rPr>
        <w:fldChar w:fldCharType="begin" w:fldLock="1"/>
      </w:r>
      <w:r w:rsidR="00FA5896">
        <w:rPr>
          <w:rFonts w:cs="Times New Roman"/>
          <w:szCs w:val="24"/>
          <w:lang w:val="en-US"/>
        </w:rPr>
        <w:instrText>ADDIN CSL_CITATION {"citationItems":[{"id":"ITEM-1","itemData":{"DOI":"10.1007/s11709-014-0249-7","ISSN":"2095-2430","abstract":"Rapid drawdown is a critical design condition for the upstream or riverside slope of earth dams and levees. A new total stress rapid drawdown method based on finite element analysis is used to analyze the rapid drawdown failure that occurred at Pilarcitos Dam in 1969. Effective consolidation stresses in the slope prior to drawdown are determined using linear elastic finite element analysis. Undrained strengths from isotropically consolidated undrained (ICU) triaxial compression tests are related directly to the calculated consolidation stresses and assigned to the elements in the model by interpolation. Two different interpretations of the undrained strength envelope are examined. Strength reduction finite element analyses are used to evaluate stability of the dam. Back analysis suggests that undrained strengths from ICU tests must be reduced by 30% for use with this rapid drawdown method. The failure mechanism predicted for Pilarcitos Dam is sensitive to the relationship between undrained strength and consolidation stress. © 2014 Higher Education Press and Springer-Verlag Berlin Heidelberg.","author":[{"dropping-particle":"","family":"Vandenberge","given":"Daniel R.","non-dropping-particle":"","parse-names":false,"suffix":""}],"container-title":"Frontiers of Structural and Civil Engineering","id":"ITEM-1","issue":"2","issued":{"date-parts":[["2014","6"]]},"page":"115-123","title":"Total stress rapid drawdown analysis of the Pilarcitos Dam failure using the finite element method","type":"article-journal","volume":"8"},"uris":["http://www.mendeley.com/documents/?uuid=b7742c5e-064d-4110-a7b6-50f29e62a211","http://www.mendeley.com/documents/?uuid=98408d2f-e328-4f8b-9a91-80b6bb042c07","http://www.mendeley.com/documents/?uuid=f2487274-9aca-484f-aabe-0201d0da3132"]},{"id":"ITEM-2","itemData":{"DOI":"10.1007/s40808-020-01006-2","ISSN":"2363-6203","abstract":"This research work was carried out using Geo-Slope software programmes, i.e., to compute the infiltration and slope stability analysis of the Grindeho dam using SEEP/W and SLOPE/W. Embankment dam failure may occur due to different reasons, such as structural instability, hydraulic conditions, seepage through the dam body and foundation. The determination of the factor of safety for the dam slope stability and quantify the amount of seepage through the dam, under different cases of operations, is vital to ascertain the dam overall safety. In this research, Finite Element modelling is used through Geo-Studio software to simulate slope stability and seepage analysis of the embankment dam. Three distinct operational cases are considered for the dam analysis: end of construction before filling the reservoir, after/full reservoir condition, and rapid reservoir condition drawdown. Four separate methods of analysis were used to verify the stability of the slope embankment: Morgenstern-Price, Bishop, Janbu, and Spencer. The requirements of the Benchmark Safety Legislation (US Army of Corps Engineers and British Dam Society) are observed. The simulation results of the upstream and downstream side of the dam section have a direct effect on the factor of safety, the outcome of the stability analysis performed showed that all sections of the dam are safe within the specified range of factors of safety for the potential all loading and operation cases. But all the slip surfaces move through the section of the dam shell, which shows that this zone is the weaker zone and requires spatial attention. The simulation results obtained from the SEEP/W program revealed that 15,291.5 m3/year and 22,818.56 m3/year amount of seepage loss is present in the Grindeho dam during the drawdown case and full reservoir case, respectively.","author":[{"dropping-particle":"","family":"Hailu","given":"Melese Baye","non-dropping-particle":"","parse-names":false,"suffix":""}],"container-title":"Modeling Earth Systems and Environment","id":"ITEM-2","issued":{"date-parts":[["2020","10"]]},"title":"Modeling assessment of seepage and slope stability of dam under static and dynamic conditions of Grindeho Dam in Ethiopia","type":"article-journal"},"uris":["http://www.mendeley.com/documents/?uuid=80c2b5f4-a73b-4cc8-b9bd-bcac56a736a8","http://www.mendeley.com/documents/?uuid=cd348589-4aae-46c0-b381-4c5da805dc6a","http://www.mendeley.com/documents/?uuid=89d6fc63-085e-4ff8-9e00-9f904ff1faaf"]}],"mendeley":{"formattedCitation":"[236,244]","plainTextFormattedCitation":"[236,244]","previouslyFormattedCitation":"[236,244]"},"properties":{"noteIndex":0},"schema":"https://github.com/citation-style-language/schema/raw/master/csl-citation.json"}</w:instrText>
      </w:r>
      <w:r w:rsidRPr="00051297">
        <w:rPr>
          <w:rFonts w:cs="Times New Roman"/>
          <w:szCs w:val="24"/>
        </w:rPr>
        <w:fldChar w:fldCharType="separate"/>
      </w:r>
      <w:r w:rsidR="0032684D" w:rsidRPr="0032684D">
        <w:rPr>
          <w:rFonts w:cs="Times New Roman"/>
          <w:noProof/>
          <w:szCs w:val="24"/>
          <w:lang w:val="en-US"/>
        </w:rPr>
        <w:t>[236,244]</w:t>
      </w:r>
      <w:r w:rsidRPr="00051297">
        <w:rPr>
          <w:rFonts w:cs="Times New Roman"/>
          <w:szCs w:val="24"/>
        </w:rPr>
        <w:fldChar w:fldCharType="end"/>
      </w:r>
      <w:r w:rsidRPr="00051297">
        <w:rPr>
          <w:rFonts w:cs="Times New Roman"/>
          <w:szCs w:val="24"/>
          <w:lang w:val="en-US"/>
        </w:rPr>
        <w:t>.</w:t>
      </w:r>
      <w:bookmarkStart w:id="433" w:name="_Toc79511131"/>
      <w:bookmarkStart w:id="434" w:name="_Toc97504766"/>
    </w:p>
    <w:p w14:paraId="11C383B8" w14:textId="012E0096" w:rsidR="00D16E25" w:rsidRDefault="00D16E25" w:rsidP="00051297">
      <w:pPr>
        <w:rPr>
          <w:rFonts w:cs="Times New Roman"/>
          <w:szCs w:val="24"/>
          <w:lang w:val="en-US"/>
        </w:rPr>
      </w:pPr>
    </w:p>
    <w:p w14:paraId="5CD93216" w14:textId="0CD9E8D0" w:rsidR="00D16E25" w:rsidRDefault="00D16E25" w:rsidP="00051297">
      <w:pPr>
        <w:rPr>
          <w:rFonts w:cs="Times New Roman"/>
          <w:szCs w:val="24"/>
          <w:lang w:val="en-US"/>
        </w:rPr>
      </w:pPr>
    </w:p>
    <w:p w14:paraId="1EC52CBC" w14:textId="166C9E35" w:rsidR="00D16E25" w:rsidRDefault="00D16E25" w:rsidP="00051297">
      <w:pPr>
        <w:rPr>
          <w:rFonts w:cs="Times New Roman"/>
          <w:szCs w:val="24"/>
          <w:lang w:val="en-US"/>
        </w:rPr>
      </w:pPr>
    </w:p>
    <w:p w14:paraId="5FFE23E7" w14:textId="77777777" w:rsidR="00D16E25" w:rsidRPr="00051297" w:rsidRDefault="00D16E25" w:rsidP="00051297">
      <w:pPr>
        <w:rPr>
          <w:rFonts w:cs="Times New Roman"/>
          <w:szCs w:val="24"/>
          <w:lang w:val="en-US"/>
        </w:rPr>
      </w:pPr>
    </w:p>
    <w:p w14:paraId="757FD3C7" w14:textId="443CFEB6" w:rsidR="00051297" w:rsidRPr="00051297" w:rsidRDefault="00051297" w:rsidP="00767F75">
      <w:pPr>
        <w:keepNext/>
        <w:keepLines/>
        <w:pageBreakBefore/>
        <w:ind w:firstLine="0"/>
        <w:jc w:val="center"/>
        <w:outlineLvl w:val="5"/>
        <w:rPr>
          <w:rFonts w:eastAsiaTheme="majorEastAsia" w:cstheme="majorBidi"/>
          <w:b/>
          <w:lang w:val="en-US"/>
        </w:rPr>
      </w:pPr>
      <w:bookmarkStart w:id="435" w:name="_Toc103543900"/>
      <w:bookmarkStart w:id="436" w:name="_Toc104985224"/>
      <w:r w:rsidRPr="00051297">
        <w:rPr>
          <w:rFonts w:eastAsiaTheme="majorEastAsia" w:cstheme="majorBidi"/>
          <w:b/>
          <w:lang w:val="en-US"/>
        </w:rPr>
        <w:lastRenderedPageBreak/>
        <w:t>Summary</w:t>
      </w:r>
      <w:bookmarkEnd w:id="433"/>
      <w:bookmarkEnd w:id="434"/>
      <w:r w:rsidRPr="00051297">
        <w:rPr>
          <w:rFonts w:eastAsiaTheme="majorEastAsia" w:cstheme="majorBidi"/>
          <w:b/>
          <w:lang w:val="en-US"/>
        </w:rPr>
        <w:t xml:space="preserve"> of chapter </w:t>
      </w:r>
      <w:bookmarkEnd w:id="435"/>
      <w:r w:rsidR="0015493A">
        <w:rPr>
          <w:rFonts w:eastAsiaTheme="majorEastAsia" w:cstheme="majorBidi"/>
          <w:b/>
          <w:lang w:val="en-US"/>
        </w:rPr>
        <w:t>one</w:t>
      </w:r>
      <w:bookmarkEnd w:id="436"/>
    </w:p>
    <w:p w14:paraId="43EC64D1" w14:textId="77777777" w:rsidR="00051297" w:rsidRPr="00051297" w:rsidRDefault="00051297" w:rsidP="00051297">
      <w:pPr>
        <w:rPr>
          <w:rFonts w:cs="Times New Roman"/>
          <w:szCs w:val="24"/>
          <w:lang w:val="en-US"/>
        </w:rPr>
      </w:pPr>
      <w:r w:rsidRPr="00051297">
        <w:rPr>
          <w:rFonts w:cs="Times New Roman"/>
          <w:szCs w:val="24"/>
          <w:lang w:val="en-US"/>
        </w:rPr>
        <w:t>The growing need for dams, as well as the need to build them in a variety of sites with varying geomechanical and hydrological circumstances, some of which are potentially unfavorable, has resulted in the building of each of these dams containing a unique experience. The value of behavioral analysis and long-term dam monitoring cannot be overstated.</w:t>
      </w:r>
    </w:p>
    <w:p w14:paraId="5EE47293" w14:textId="77777777" w:rsidR="00051297" w:rsidRPr="00051297" w:rsidRDefault="00051297" w:rsidP="00051297">
      <w:pPr>
        <w:rPr>
          <w:rFonts w:cs="Times New Roman"/>
          <w:szCs w:val="24"/>
          <w:lang w:val="en-US"/>
        </w:rPr>
      </w:pPr>
      <w:r w:rsidRPr="00051297">
        <w:rPr>
          <w:rFonts w:cs="Times New Roman"/>
          <w:szCs w:val="24"/>
          <w:lang w:val="en-US"/>
        </w:rPr>
        <w:t>Many dams are built in the upper reaches of communities or heavily inhabited cities, where their inadequacy may result in irreversible dangers and losses. Otherwise, because society and industry are so reliant on water, it is critical to ensure the ability to exploit the land on a regular and long-term basis, and any action to ensure their sustainability and efficiency is unavoidable because the failure of a dam not only destroys the capital invested in its construction but also abandons a large amount of water with no financial losses or casualties.</w:t>
      </w:r>
    </w:p>
    <w:p w14:paraId="7D0C6AA2" w14:textId="77777777" w:rsidR="00051297" w:rsidRPr="00051297" w:rsidRDefault="00051297" w:rsidP="00051297">
      <w:pPr>
        <w:rPr>
          <w:rFonts w:cs="Times New Roman"/>
          <w:szCs w:val="24"/>
          <w:lang w:val="en-US"/>
        </w:rPr>
      </w:pPr>
      <w:r w:rsidRPr="00051297">
        <w:rPr>
          <w:rFonts w:cs="Times New Roman"/>
          <w:szCs w:val="24"/>
          <w:lang w:val="en-US"/>
        </w:rPr>
        <w:t>As a result, if dam behavior prediction can identify some of the possible occurrences before they occur, it can play a critical role in preventing dam failure and its repercussions. Given the gravity of the situation, a more thorough investigation and prediction of earth dam behavior is required.</w:t>
      </w:r>
    </w:p>
    <w:p w14:paraId="6063C502" w14:textId="3C937977" w:rsidR="00051297" w:rsidRPr="00051297" w:rsidRDefault="00051297" w:rsidP="00EE7BED">
      <w:pPr>
        <w:pStyle w:val="1"/>
        <w:rPr>
          <w:lang w:val="en-US"/>
        </w:rPr>
      </w:pPr>
      <w:bookmarkStart w:id="437" w:name="_Toc103543901"/>
      <w:bookmarkStart w:id="438" w:name="_Toc104985225"/>
      <w:r w:rsidRPr="00051297">
        <w:rPr>
          <w:lang w:val="en-US"/>
        </w:rPr>
        <w:lastRenderedPageBreak/>
        <w:t>Urbanization in catchments</w:t>
      </w:r>
      <w:bookmarkEnd w:id="437"/>
      <w:bookmarkEnd w:id="438"/>
    </w:p>
    <w:p w14:paraId="6E89B6D0" w14:textId="1AD36FCE" w:rsidR="00051297" w:rsidRPr="00051297" w:rsidRDefault="00051297" w:rsidP="00EE7BED">
      <w:pPr>
        <w:pStyle w:val="2"/>
        <w:rPr>
          <w:lang w:val="en-US"/>
        </w:rPr>
      </w:pPr>
      <w:bookmarkStart w:id="439" w:name="_Toc97504769"/>
      <w:bookmarkStart w:id="440" w:name="_Toc103543902"/>
      <w:bookmarkStart w:id="441" w:name="_Toc104985226"/>
      <w:r w:rsidRPr="00051297">
        <w:rPr>
          <w:lang w:val="en-US"/>
        </w:rPr>
        <w:t>Development of a geoprocessing tool</w:t>
      </w:r>
      <w:bookmarkEnd w:id="439"/>
      <w:bookmarkEnd w:id="440"/>
      <w:bookmarkEnd w:id="441"/>
    </w:p>
    <w:p w14:paraId="343748A4" w14:textId="507250F2" w:rsidR="00051297" w:rsidRPr="00051297" w:rsidRDefault="00051297" w:rsidP="00EE7BED">
      <w:pPr>
        <w:pStyle w:val="3"/>
      </w:pPr>
      <w:bookmarkStart w:id="442" w:name="_Toc103543903"/>
      <w:bookmarkStart w:id="443" w:name="_Toc104985227"/>
      <w:r w:rsidRPr="00051297">
        <w:t>Overview</w:t>
      </w:r>
      <w:bookmarkEnd w:id="442"/>
      <w:bookmarkEnd w:id="443"/>
    </w:p>
    <w:p w14:paraId="47EA97D1" w14:textId="77777777" w:rsidR="00051297" w:rsidRPr="00051297" w:rsidRDefault="00051297" w:rsidP="00051297">
      <w:pPr>
        <w:rPr>
          <w:lang w:val="en-US"/>
        </w:rPr>
      </w:pPr>
      <w:r w:rsidRPr="00051297">
        <w:rPr>
          <w:lang w:val="en-US"/>
        </w:rPr>
        <w:t>This part of the study used ArcGIS ModelBuilder as one of the promising programming languages that allowed the creation of geoprocessing workflows visually. The geographical analysis and data management procedures were automated and documented using geoprocessing models. The model is a diagram that connects process sequences and geoprocessing tools, using one process' result as the input to another.</w:t>
      </w:r>
    </w:p>
    <w:p w14:paraId="0DCEF768" w14:textId="383633BE" w:rsidR="00051297" w:rsidRPr="00051297" w:rsidRDefault="00051297" w:rsidP="00EE7BED">
      <w:pPr>
        <w:pStyle w:val="3"/>
      </w:pPr>
      <w:bookmarkStart w:id="444" w:name="_Toc103543904"/>
      <w:bookmarkStart w:id="445" w:name="_Toc104985228"/>
      <w:r w:rsidRPr="00051297">
        <w:t>Integration of tools</w:t>
      </w:r>
      <w:bookmarkEnd w:id="444"/>
      <w:bookmarkEnd w:id="445"/>
    </w:p>
    <w:p w14:paraId="57F61963" w14:textId="77777777" w:rsidR="00051297" w:rsidRPr="00051297" w:rsidRDefault="00051297" w:rsidP="00051297">
      <w:pPr>
        <w:rPr>
          <w:rFonts w:cs="Times New Roman"/>
          <w:szCs w:val="24"/>
          <w:lang w:val="en-US"/>
        </w:rPr>
      </w:pPr>
      <w:r w:rsidRPr="00051297">
        <w:rPr>
          <w:rFonts w:cs="Times New Roman"/>
          <w:szCs w:val="24"/>
          <w:lang w:val="en-US"/>
        </w:rPr>
        <w:t>The geoprocessing tool proposed and designed in this study is a set of tools and a framework for working with geographic and related data. The extensive set of geoprocessing tools can be used to automate spatial analysis and Geographical Information Systems data management. The designed geoprocessing tool can delineate catchment and generate Curve Number Grid simultaneously based on Digital Elevation Model (DEM), clipped shapefile combining land use/land cover and soil data polygons as well as CNLookup table. The geoprocessing has been designed based on Python programming language to integrate different procedures in one unit.</w:t>
      </w:r>
    </w:p>
    <w:p w14:paraId="1738C52E" w14:textId="77777777" w:rsidR="00051297" w:rsidRPr="00051297" w:rsidRDefault="00051297" w:rsidP="00051297">
      <w:pPr>
        <w:rPr>
          <w:rFonts w:cs="Times New Roman"/>
          <w:szCs w:val="24"/>
          <w:lang w:val="en-US"/>
        </w:rPr>
      </w:pPr>
      <w:r w:rsidRPr="00051297">
        <w:rPr>
          <w:rFonts w:cs="Times New Roman"/>
          <w:szCs w:val="24"/>
          <w:lang w:val="en-US"/>
        </w:rPr>
        <w:t xml:space="preserve">When planning and implementing water quality and quantity-related protection and mitigation actions, watershed delineation assists users in identifying surface water features within a watershed and understanding downstream implications. </w:t>
      </w:r>
    </w:p>
    <w:p w14:paraId="77F143DC" w14:textId="77777777" w:rsidR="00051297" w:rsidRPr="00051297" w:rsidRDefault="00051297" w:rsidP="00051297">
      <w:pPr>
        <w:rPr>
          <w:rFonts w:cs="Times New Roman"/>
          <w:szCs w:val="24"/>
          <w:lang w:val="en-US"/>
        </w:rPr>
      </w:pPr>
      <w:r w:rsidRPr="00051297">
        <w:rPr>
          <w:rFonts w:cs="Times New Roman"/>
          <w:szCs w:val="24"/>
          <w:lang w:val="en-US"/>
        </w:rPr>
        <w:t>Many dams around the world may be accurately represented using a single basin. Many will, however, need to be separated into many sub-basins. The rainfall-runoff mechanism utilized, as well as numerous hydrologic parameters, influence the size and definition of the subbasins. Subdivision should also be considered if there are portions of the drainage basin that: have hydrologic characteristics that differ from the average hydrologic characteristics of the total basin and may contribute to flooding passage delays.</w:t>
      </w:r>
    </w:p>
    <w:p w14:paraId="7DC53A11" w14:textId="77777777" w:rsidR="00051297" w:rsidRPr="00051297" w:rsidRDefault="00051297" w:rsidP="00051297">
      <w:pPr>
        <w:rPr>
          <w:rFonts w:cs="Times New Roman"/>
          <w:szCs w:val="24"/>
          <w:lang w:val="en-US"/>
        </w:rPr>
      </w:pPr>
      <w:r w:rsidRPr="00051297">
        <w:rPr>
          <w:rFonts w:cs="Times New Roman"/>
          <w:szCs w:val="24"/>
          <w:lang w:val="en-US"/>
        </w:rPr>
        <w:t>Any hydrological modeling, such as the rainfall-runoff model for predicting runoff volume and peak discharges, relies heavily on these Curve Numbers. Curve Numbers are calculated based on the ground cover and soil type and are used to approximate the infiltration, interception, and storage capacity of various land coverings.</w:t>
      </w:r>
    </w:p>
    <w:p w14:paraId="125194CA" w14:textId="3EBD0BCB" w:rsidR="00051297" w:rsidRPr="00051297" w:rsidRDefault="00051297" w:rsidP="00051297">
      <w:pPr>
        <w:rPr>
          <w:rFonts w:cs="Times New Roman"/>
          <w:szCs w:val="24"/>
          <w:lang w:val="en-US"/>
        </w:rPr>
      </w:pPr>
      <w:r w:rsidRPr="00051297">
        <w:rPr>
          <w:rFonts w:cs="Times New Roman"/>
          <w:szCs w:val="24"/>
          <w:lang w:val="en-US"/>
        </w:rPr>
        <w:t>Unfortunately, the available methods for catchment delineation and Curve Number generation are complex and time-consuming. The designed geoprocessing tool provides a more simplified approach for the computation of both catchment boundaries and the Curve Number grid (</w:t>
      </w:r>
      <w:r w:rsidRPr="00051297">
        <w:rPr>
          <w:rFonts w:cs="Times New Roman"/>
          <w:szCs w:val="24"/>
          <w:lang w:val="en-US"/>
        </w:rPr>
        <w:fldChar w:fldCharType="begin"/>
      </w:r>
      <w:r w:rsidRPr="00051297">
        <w:rPr>
          <w:rFonts w:cs="Times New Roman"/>
          <w:szCs w:val="24"/>
          <w:lang w:val="en-US"/>
        </w:rPr>
        <w:instrText xml:space="preserve"> REF _Ref98103338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1</w:t>
      </w:r>
      <w:r w:rsidRPr="00051297">
        <w:rPr>
          <w:rFonts w:cs="Times New Roman"/>
          <w:szCs w:val="24"/>
          <w:lang w:val="en-US"/>
        </w:rPr>
        <w:fldChar w:fldCharType="end"/>
      </w:r>
      <w:r w:rsidRPr="00051297">
        <w:rPr>
          <w:rFonts w:cs="Times New Roman"/>
          <w:szCs w:val="24"/>
          <w:lang w:val="en-US"/>
        </w:rPr>
        <w:t>).</w:t>
      </w:r>
    </w:p>
    <w:p w14:paraId="5EC5D18A" w14:textId="27B0AE8D" w:rsidR="00051297" w:rsidRPr="00051297" w:rsidRDefault="00AD4CDA" w:rsidP="00051297">
      <w:pPr>
        <w:keepNext/>
        <w:ind w:firstLine="0"/>
        <w:jc w:val="center"/>
        <w:rPr>
          <w:rFonts w:cs="Times New Roman"/>
          <w:szCs w:val="24"/>
        </w:rPr>
      </w:pPr>
      <w:r w:rsidRPr="00406989">
        <w:rPr>
          <w:rFonts w:cs="Times New Roman"/>
          <w:noProof/>
          <w:szCs w:val="24"/>
        </w:rPr>
        <w:lastRenderedPageBreak/>
        <mc:AlternateContent>
          <mc:Choice Requires="wps">
            <w:drawing>
              <wp:anchor distT="45720" distB="45720" distL="114300" distR="114300" simplePos="0" relativeHeight="251719680" behindDoc="0" locked="0" layoutInCell="1" allowOverlap="1" wp14:anchorId="4025144A" wp14:editId="3FBF1FED">
                <wp:simplePos x="0" y="0"/>
                <wp:positionH relativeFrom="column">
                  <wp:posOffset>-2395</wp:posOffset>
                </wp:positionH>
                <wp:positionV relativeFrom="paragraph">
                  <wp:posOffset>1501481</wp:posOffset>
                </wp:positionV>
                <wp:extent cx="414567" cy="208754"/>
                <wp:effectExtent l="0" t="0" r="0" b="1270"/>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567" cy="208754"/>
                        </a:xfrm>
                        <a:prstGeom prst="rect">
                          <a:avLst/>
                        </a:prstGeom>
                        <a:noFill/>
                        <a:ln w="9525">
                          <a:noFill/>
                          <a:miter lim="800000"/>
                          <a:headEnd/>
                          <a:tailEnd/>
                        </a:ln>
                      </wps:spPr>
                      <wps:txbx>
                        <w:txbxContent>
                          <w:p w14:paraId="359BDC01" w14:textId="77777777" w:rsidR="00AD4CDA" w:rsidRPr="00AD4CDA" w:rsidRDefault="00AD4CDA" w:rsidP="00406989">
                            <w:pPr>
                              <w:ind w:firstLine="0"/>
                              <w:rPr>
                                <w:color w:val="FFFFFF" w:themeColor="background1"/>
                                <w:sz w:val="14"/>
                                <w:szCs w:val="14"/>
                                <w:lang w:val="en-US"/>
                              </w:rPr>
                            </w:pPr>
                            <w:r w:rsidRPr="00AD4CDA">
                              <w:rPr>
                                <w:color w:val="FFFFFF" w:themeColor="background1"/>
                                <w:sz w:val="14"/>
                                <w:szCs w:val="14"/>
                                <w:lang w:val="en-US"/>
                              </w:rPr>
                              <w:t>Input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25144A" id="_x0000_t202" coordsize="21600,21600" o:spt="202" path="m,l,21600r21600,l21600,xe">
                <v:stroke joinstyle="miter"/>
                <v:path gradientshapeok="t" o:connecttype="rect"/>
              </v:shapetype>
              <v:shape id="Text Box 2" o:spid="_x0000_s1026" type="#_x0000_t202" style="position:absolute;left:0;text-align:left;margin-left:-.2pt;margin-top:118.25pt;width:32.65pt;height:16.4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" filled="f" stroked="f">
                <v:textbox>
                  <w:txbxContent>
                    <w:p w14:paraId="359BDC01" w14:textId="77777777" w:rsidR="00AD4CDA" w:rsidRPr="00AD4CDA" w:rsidRDefault="00AD4CDA" w:rsidP="00406989">
                      <w:pPr>
                        <w:ind w:firstLine="0"/>
                        <w:rPr>
                          <w:color w:val="FFFFFF" w:themeColor="background1"/>
                          <w:sz w:val="14"/>
                          <w:szCs w:val="14"/>
                          <w:lang w:val="en-US"/>
                        </w:rPr>
                      </w:pPr>
                      <w:r w:rsidRPr="00AD4CDA">
                        <w:rPr>
                          <w:color w:val="FFFFFF" w:themeColor="background1"/>
                          <w:sz w:val="14"/>
                          <w:szCs w:val="14"/>
                          <w:lang w:val="en-US"/>
                        </w:rPr>
                        <w:t>Input</w:t>
                      </w:r>
                    </w:p>
                  </w:txbxContent>
                </v:textbox>
              </v:shape>
            </w:pict>
          </mc:Fallback>
        </mc:AlternateContent>
      </w:r>
      <w:r w:rsidRPr="00406989">
        <w:rPr>
          <w:rFonts w:cs="Times New Roman"/>
          <w:noProof/>
          <w:szCs w:val="24"/>
        </w:rPr>
        <mc:AlternateContent>
          <mc:Choice Requires="wps">
            <w:drawing>
              <wp:anchor distT="45720" distB="45720" distL="114300" distR="114300" simplePos="0" relativeHeight="251717632" behindDoc="0" locked="0" layoutInCell="1" allowOverlap="1" wp14:anchorId="604149D0" wp14:editId="2238AF8D">
                <wp:simplePos x="0" y="0"/>
                <wp:positionH relativeFrom="column">
                  <wp:posOffset>-1905</wp:posOffset>
                </wp:positionH>
                <wp:positionV relativeFrom="paragraph">
                  <wp:posOffset>1252855</wp:posOffset>
                </wp:positionV>
                <wp:extent cx="414567" cy="208754"/>
                <wp:effectExtent l="0" t="0" r="0" b="1270"/>
                <wp:wrapNone/>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567" cy="208754"/>
                        </a:xfrm>
                        <a:prstGeom prst="rect">
                          <a:avLst/>
                        </a:prstGeom>
                        <a:noFill/>
                        <a:ln w="9525">
                          <a:noFill/>
                          <a:miter lim="800000"/>
                          <a:headEnd/>
                          <a:tailEnd/>
                        </a:ln>
                      </wps:spPr>
                      <wps:txbx>
                        <w:txbxContent>
                          <w:p w14:paraId="0846B210" w14:textId="77777777" w:rsidR="00AD4CDA" w:rsidRPr="00AD4CDA" w:rsidRDefault="00AD4CDA" w:rsidP="00406989">
                            <w:pPr>
                              <w:ind w:firstLine="0"/>
                              <w:rPr>
                                <w:color w:val="FFFFFF" w:themeColor="background1"/>
                                <w:sz w:val="14"/>
                                <w:szCs w:val="14"/>
                                <w:lang w:val="en-US"/>
                              </w:rPr>
                            </w:pPr>
                            <w:r w:rsidRPr="00AD4CDA">
                              <w:rPr>
                                <w:color w:val="FFFFFF" w:themeColor="background1"/>
                                <w:sz w:val="14"/>
                                <w:szCs w:val="14"/>
                                <w:lang w:val="en-US"/>
                              </w:rPr>
                              <w:t>Input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4149D0" id="_x0000_s1027" type="#_x0000_t202" style="position:absolute;left:0;text-align:left;margin-left:-.15pt;margin-top:98.65pt;width:32.65pt;height:16.4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" filled="f" stroked="f">
                <v:textbox>
                  <w:txbxContent>
                    <w:p w14:paraId="0846B210" w14:textId="77777777" w:rsidR="00AD4CDA" w:rsidRPr="00AD4CDA" w:rsidRDefault="00AD4CDA" w:rsidP="00406989">
                      <w:pPr>
                        <w:ind w:firstLine="0"/>
                        <w:rPr>
                          <w:color w:val="FFFFFF" w:themeColor="background1"/>
                          <w:sz w:val="14"/>
                          <w:szCs w:val="14"/>
                          <w:lang w:val="en-US"/>
                        </w:rPr>
                      </w:pPr>
                      <w:r w:rsidRPr="00AD4CDA">
                        <w:rPr>
                          <w:color w:val="FFFFFF" w:themeColor="background1"/>
                          <w:sz w:val="14"/>
                          <w:szCs w:val="14"/>
                          <w:lang w:val="en-US"/>
                        </w:rPr>
                        <w:t>Input</w:t>
                      </w:r>
                    </w:p>
                  </w:txbxContent>
                </v:textbox>
              </v:shape>
            </w:pict>
          </mc:Fallback>
        </mc:AlternateContent>
      </w:r>
      <w:r w:rsidRPr="00406989">
        <w:rPr>
          <w:rFonts w:cs="Times New Roman"/>
          <w:noProof/>
          <w:szCs w:val="24"/>
        </w:rPr>
        <mc:AlternateContent>
          <mc:Choice Requires="wps">
            <w:drawing>
              <wp:anchor distT="45720" distB="45720" distL="114300" distR="114300" simplePos="0" relativeHeight="251715584" behindDoc="0" locked="0" layoutInCell="1" allowOverlap="1" wp14:anchorId="008FC54E" wp14:editId="73B386A4">
                <wp:simplePos x="0" y="0"/>
                <wp:positionH relativeFrom="column">
                  <wp:posOffset>-2209</wp:posOffset>
                </wp:positionH>
                <wp:positionV relativeFrom="paragraph">
                  <wp:posOffset>1009985</wp:posOffset>
                </wp:positionV>
                <wp:extent cx="414567" cy="208754"/>
                <wp:effectExtent l="0" t="0" r="0" b="1270"/>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567" cy="208754"/>
                        </a:xfrm>
                        <a:prstGeom prst="rect">
                          <a:avLst/>
                        </a:prstGeom>
                        <a:noFill/>
                        <a:ln w="9525">
                          <a:noFill/>
                          <a:miter lim="800000"/>
                          <a:headEnd/>
                          <a:tailEnd/>
                        </a:ln>
                      </wps:spPr>
                      <wps:txbx>
                        <w:txbxContent>
                          <w:p w14:paraId="76C85CF3" w14:textId="77777777" w:rsidR="00AD4CDA" w:rsidRPr="00AD4CDA" w:rsidRDefault="00AD4CDA" w:rsidP="00406989">
                            <w:pPr>
                              <w:ind w:firstLine="0"/>
                              <w:rPr>
                                <w:color w:val="FFFFFF" w:themeColor="background1"/>
                                <w:sz w:val="14"/>
                                <w:szCs w:val="14"/>
                                <w:lang w:val="en-US"/>
                              </w:rPr>
                            </w:pPr>
                            <w:r w:rsidRPr="00AD4CDA">
                              <w:rPr>
                                <w:color w:val="FFFFFF" w:themeColor="background1"/>
                                <w:sz w:val="14"/>
                                <w:szCs w:val="14"/>
                                <w:lang w:val="en-US"/>
                              </w:rPr>
                              <w:t>Input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FC54E" id="_x0000_s1028" type="#_x0000_t202" style="position:absolute;left:0;text-align:left;margin-left:-.15pt;margin-top:79.55pt;width:32.65pt;height:16.4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" filled="f" stroked="f">
                <v:textbox>
                  <w:txbxContent>
                    <w:p w14:paraId="76C85CF3" w14:textId="77777777" w:rsidR="00AD4CDA" w:rsidRPr="00AD4CDA" w:rsidRDefault="00AD4CDA" w:rsidP="00406989">
                      <w:pPr>
                        <w:ind w:firstLine="0"/>
                        <w:rPr>
                          <w:color w:val="FFFFFF" w:themeColor="background1"/>
                          <w:sz w:val="14"/>
                          <w:szCs w:val="14"/>
                          <w:lang w:val="en-US"/>
                        </w:rPr>
                      </w:pPr>
                      <w:r w:rsidRPr="00AD4CDA">
                        <w:rPr>
                          <w:color w:val="FFFFFF" w:themeColor="background1"/>
                          <w:sz w:val="14"/>
                          <w:szCs w:val="14"/>
                          <w:lang w:val="en-US"/>
                        </w:rPr>
                        <w:t>Input</w:t>
                      </w:r>
                    </w:p>
                  </w:txbxContent>
                </v:textbox>
              </v:shape>
            </w:pict>
          </mc:Fallback>
        </mc:AlternateContent>
      </w:r>
      <w:r w:rsidRPr="00406989">
        <w:rPr>
          <w:rFonts w:cs="Times New Roman"/>
          <w:noProof/>
          <w:szCs w:val="24"/>
        </w:rPr>
        <mc:AlternateContent>
          <mc:Choice Requires="wps">
            <w:drawing>
              <wp:anchor distT="45720" distB="45720" distL="114300" distR="114300" simplePos="0" relativeHeight="251713536" behindDoc="0" locked="0" layoutInCell="1" allowOverlap="1" wp14:anchorId="7869C1DA" wp14:editId="49413A4A">
                <wp:simplePos x="0" y="0"/>
                <wp:positionH relativeFrom="column">
                  <wp:posOffset>-13970</wp:posOffset>
                </wp:positionH>
                <wp:positionV relativeFrom="paragraph">
                  <wp:posOffset>760456</wp:posOffset>
                </wp:positionV>
                <wp:extent cx="414567" cy="208754"/>
                <wp:effectExtent l="0" t="0" r="0" b="1270"/>
                <wp:wrapNone/>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567" cy="208754"/>
                        </a:xfrm>
                        <a:prstGeom prst="rect">
                          <a:avLst/>
                        </a:prstGeom>
                        <a:noFill/>
                        <a:ln w="9525">
                          <a:noFill/>
                          <a:miter lim="800000"/>
                          <a:headEnd/>
                          <a:tailEnd/>
                        </a:ln>
                      </wps:spPr>
                      <wps:txbx>
                        <w:txbxContent>
                          <w:p w14:paraId="53766B1F" w14:textId="77777777" w:rsidR="00AD4CDA" w:rsidRPr="00AD4CDA" w:rsidRDefault="00AD4CDA" w:rsidP="00406989">
                            <w:pPr>
                              <w:ind w:firstLine="0"/>
                              <w:rPr>
                                <w:color w:val="FFFFFF" w:themeColor="background1"/>
                                <w:sz w:val="14"/>
                                <w:szCs w:val="14"/>
                                <w:lang w:val="en-US"/>
                              </w:rPr>
                            </w:pPr>
                            <w:r w:rsidRPr="00AD4CDA">
                              <w:rPr>
                                <w:color w:val="FFFFFF" w:themeColor="background1"/>
                                <w:sz w:val="14"/>
                                <w:szCs w:val="14"/>
                                <w:lang w:val="en-US"/>
                              </w:rPr>
                              <w:t>Input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9C1DA" id="_x0000_s1029" type="#_x0000_t202" style="position:absolute;left:0;text-align:left;margin-left:-1.1pt;margin-top:59.9pt;width:32.65pt;height:16.4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" filled="f" stroked="f">
                <v:textbox>
                  <w:txbxContent>
                    <w:p w14:paraId="53766B1F" w14:textId="77777777" w:rsidR="00AD4CDA" w:rsidRPr="00AD4CDA" w:rsidRDefault="00AD4CDA" w:rsidP="00406989">
                      <w:pPr>
                        <w:ind w:firstLine="0"/>
                        <w:rPr>
                          <w:color w:val="FFFFFF" w:themeColor="background1"/>
                          <w:sz w:val="14"/>
                          <w:szCs w:val="14"/>
                          <w:lang w:val="en-US"/>
                        </w:rPr>
                      </w:pPr>
                      <w:r w:rsidRPr="00AD4CDA">
                        <w:rPr>
                          <w:color w:val="FFFFFF" w:themeColor="background1"/>
                          <w:sz w:val="14"/>
                          <w:szCs w:val="14"/>
                          <w:lang w:val="en-US"/>
                        </w:rPr>
                        <w:t>Input</w:t>
                      </w:r>
                    </w:p>
                  </w:txbxContent>
                </v:textbox>
              </v:shape>
            </w:pict>
          </mc:Fallback>
        </mc:AlternateContent>
      </w:r>
      <w:r w:rsidRPr="00406989">
        <w:rPr>
          <w:rFonts w:cs="Times New Roman"/>
          <w:noProof/>
          <w:szCs w:val="24"/>
        </w:rPr>
        <mc:AlternateContent>
          <mc:Choice Requires="wps">
            <w:drawing>
              <wp:anchor distT="45720" distB="45720" distL="114300" distR="114300" simplePos="0" relativeHeight="251711488" behindDoc="0" locked="0" layoutInCell="1" allowOverlap="1" wp14:anchorId="7DC5776B" wp14:editId="6665F455">
                <wp:simplePos x="0" y="0"/>
                <wp:positionH relativeFrom="column">
                  <wp:posOffset>-1817</wp:posOffset>
                </wp:positionH>
                <wp:positionV relativeFrom="paragraph">
                  <wp:posOffset>510587</wp:posOffset>
                </wp:positionV>
                <wp:extent cx="414567" cy="208754"/>
                <wp:effectExtent l="0" t="0" r="0" b="127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567" cy="208754"/>
                        </a:xfrm>
                        <a:prstGeom prst="rect">
                          <a:avLst/>
                        </a:prstGeom>
                        <a:noFill/>
                        <a:ln w="9525">
                          <a:noFill/>
                          <a:miter lim="800000"/>
                          <a:headEnd/>
                          <a:tailEnd/>
                        </a:ln>
                      </wps:spPr>
                      <wps:txbx>
                        <w:txbxContent>
                          <w:p w14:paraId="4628CC52" w14:textId="77777777" w:rsidR="00AD4CDA" w:rsidRPr="00AD4CDA" w:rsidRDefault="00AD4CDA" w:rsidP="00406989">
                            <w:pPr>
                              <w:ind w:firstLine="0"/>
                              <w:rPr>
                                <w:color w:val="FFFFFF" w:themeColor="background1"/>
                                <w:sz w:val="14"/>
                                <w:szCs w:val="14"/>
                                <w:lang w:val="en-US"/>
                              </w:rPr>
                            </w:pPr>
                            <w:r w:rsidRPr="00AD4CDA">
                              <w:rPr>
                                <w:color w:val="FFFFFF" w:themeColor="background1"/>
                                <w:sz w:val="14"/>
                                <w:szCs w:val="14"/>
                                <w:lang w:val="en-US"/>
                              </w:rPr>
                              <w:t>Input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5776B" id="_x0000_s1030" type="#_x0000_t202" style="position:absolute;left:0;text-align:left;margin-left:-.15pt;margin-top:40.2pt;width:32.65pt;height:16.4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" filled="f" stroked="f">
                <v:textbox>
                  <w:txbxContent>
                    <w:p w14:paraId="4628CC52" w14:textId="77777777" w:rsidR="00AD4CDA" w:rsidRPr="00AD4CDA" w:rsidRDefault="00AD4CDA" w:rsidP="00406989">
                      <w:pPr>
                        <w:ind w:firstLine="0"/>
                        <w:rPr>
                          <w:color w:val="FFFFFF" w:themeColor="background1"/>
                          <w:sz w:val="14"/>
                          <w:szCs w:val="14"/>
                          <w:lang w:val="en-US"/>
                        </w:rPr>
                      </w:pPr>
                      <w:r w:rsidRPr="00AD4CDA">
                        <w:rPr>
                          <w:color w:val="FFFFFF" w:themeColor="background1"/>
                          <w:sz w:val="14"/>
                          <w:szCs w:val="14"/>
                          <w:lang w:val="en-US"/>
                        </w:rPr>
                        <w:t>Input</w:t>
                      </w:r>
                    </w:p>
                  </w:txbxContent>
                </v:textbox>
              </v:shape>
            </w:pict>
          </mc:Fallback>
        </mc:AlternateContent>
      </w:r>
      <w:r w:rsidRPr="00406989">
        <w:rPr>
          <w:rFonts w:cs="Times New Roman"/>
          <w:noProof/>
          <w:szCs w:val="24"/>
        </w:rPr>
        <mc:AlternateContent>
          <mc:Choice Requires="wps">
            <w:drawing>
              <wp:anchor distT="45720" distB="45720" distL="114300" distR="114300" simplePos="0" relativeHeight="251709440" behindDoc="0" locked="0" layoutInCell="1" allowOverlap="1" wp14:anchorId="7AEA3B34" wp14:editId="705B5DB5">
                <wp:simplePos x="0" y="0"/>
                <wp:positionH relativeFrom="column">
                  <wp:posOffset>-1270</wp:posOffset>
                </wp:positionH>
                <wp:positionV relativeFrom="paragraph">
                  <wp:posOffset>255386</wp:posOffset>
                </wp:positionV>
                <wp:extent cx="414567" cy="208754"/>
                <wp:effectExtent l="0" t="0" r="0" b="1270"/>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567" cy="208754"/>
                        </a:xfrm>
                        <a:prstGeom prst="rect">
                          <a:avLst/>
                        </a:prstGeom>
                        <a:noFill/>
                        <a:ln w="9525">
                          <a:noFill/>
                          <a:miter lim="800000"/>
                          <a:headEnd/>
                          <a:tailEnd/>
                        </a:ln>
                      </wps:spPr>
                      <wps:txbx>
                        <w:txbxContent>
                          <w:p w14:paraId="3C5E0A16" w14:textId="77777777" w:rsidR="00AD4CDA" w:rsidRPr="00AD4CDA" w:rsidRDefault="00AD4CDA" w:rsidP="00406989">
                            <w:pPr>
                              <w:ind w:firstLine="0"/>
                              <w:rPr>
                                <w:color w:val="FFFFFF" w:themeColor="background1"/>
                                <w:sz w:val="14"/>
                                <w:szCs w:val="14"/>
                                <w:lang w:val="en-US"/>
                              </w:rPr>
                            </w:pPr>
                            <w:r w:rsidRPr="00AD4CDA">
                              <w:rPr>
                                <w:color w:val="FFFFFF" w:themeColor="background1"/>
                                <w:sz w:val="14"/>
                                <w:szCs w:val="14"/>
                                <w:lang w:val="en-US"/>
                              </w:rPr>
                              <w:t>Input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A3B34" id="_x0000_s1031" type="#_x0000_t202" style="position:absolute;left:0;text-align:left;margin-left:-.1pt;margin-top:20.1pt;width:32.65pt;height:16.4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" filled="f" stroked="f">
                <v:textbox>
                  <w:txbxContent>
                    <w:p w14:paraId="3C5E0A16" w14:textId="77777777" w:rsidR="00AD4CDA" w:rsidRPr="00AD4CDA" w:rsidRDefault="00AD4CDA" w:rsidP="00406989">
                      <w:pPr>
                        <w:ind w:firstLine="0"/>
                        <w:rPr>
                          <w:color w:val="FFFFFF" w:themeColor="background1"/>
                          <w:sz w:val="14"/>
                          <w:szCs w:val="14"/>
                          <w:lang w:val="en-US"/>
                        </w:rPr>
                      </w:pPr>
                      <w:r w:rsidRPr="00AD4CDA">
                        <w:rPr>
                          <w:color w:val="FFFFFF" w:themeColor="background1"/>
                          <w:sz w:val="14"/>
                          <w:szCs w:val="14"/>
                          <w:lang w:val="en-US"/>
                        </w:rPr>
                        <w:t>Input</w:t>
                      </w:r>
                    </w:p>
                  </w:txbxContent>
                </v:textbox>
              </v:shape>
            </w:pict>
          </mc:Fallback>
        </mc:AlternateContent>
      </w:r>
      <w:r w:rsidR="00406989" w:rsidRPr="00406989">
        <w:rPr>
          <w:rFonts w:cs="Times New Roman"/>
          <w:noProof/>
          <w:szCs w:val="24"/>
        </w:rPr>
        <mc:AlternateContent>
          <mc:Choice Requires="wps">
            <w:drawing>
              <wp:anchor distT="45720" distB="45720" distL="114300" distR="114300" simplePos="0" relativeHeight="251707392" behindDoc="0" locked="0" layoutInCell="1" allowOverlap="1" wp14:anchorId="7D931295" wp14:editId="7C26DA1E">
                <wp:simplePos x="0" y="0"/>
                <wp:positionH relativeFrom="column">
                  <wp:posOffset>-1270</wp:posOffset>
                </wp:positionH>
                <wp:positionV relativeFrom="paragraph">
                  <wp:posOffset>234</wp:posOffset>
                </wp:positionV>
                <wp:extent cx="414567" cy="208754"/>
                <wp:effectExtent l="0" t="0" r="0" b="1270"/>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567" cy="208754"/>
                        </a:xfrm>
                        <a:prstGeom prst="rect">
                          <a:avLst/>
                        </a:prstGeom>
                        <a:noFill/>
                        <a:ln w="9525">
                          <a:noFill/>
                          <a:miter lim="800000"/>
                          <a:headEnd/>
                          <a:tailEnd/>
                        </a:ln>
                      </wps:spPr>
                      <wps:txbx>
                        <w:txbxContent>
                          <w:p w14:paraId="62940842" w14:textId="33DBE640" w:rsidR="00406989" w:rsidRPr="00AD4CDA" w:rsidRDefault="00406989" w:rsidP="00406989">
                            <w:pPr>
                              <w:ind w:firstLine="0"/>
                              <w:rPr>
                                <w:color w:val="FFFFFF" w:themeColor="background1"/>
                                <w:sz w:val="14"/>
                                <w:szCs w:val="14"/>
                                <w:lang w:val="en-US"/>
                              </w:rPr>
                            </w:pPr>
                            <w:r w:rsidRPr="00AD4CDA">
                              <w:rPr>
                                <w:color w:val="FFFFFF" w:themeColor="background1"/>
                                <w:sz w:val="14"/>
                                <w:szCs w:val="14"/>
                                <w:lang w:val="en-US"/>
                              </w:rPr>
                              <w:t>Input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31295" id="_x0000_s1032" type="#_x0000_t202" style="position:absolute;left:0;text-align:left;margin-left:-.1pt;margin-top:0;width:32.65pt;height:16.4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" filled="f" stroked="f">
                <v:textbox>
                  <w:txbxContent>
                    <w:p w14:paraId="62940842" w14:textId="33DBE640" w:rsidR="00406989" w:rsidRPr="00AD4CDA" w:rsidRDefault="00406989" w:rsidP="00406989">
                      <w:pPr>
                        <w:ind w:firstLine="0"/>
                        <w:rPr>
                          <w:color w:val="FFFFFF" w:themeColor="background1"/>
                          <w:sz w:val="14"/>
                          <w:szCs w:val="14"/>
                          <w:lang w:val="en-US"/>
                        </w:rPr>
                      </w:pPr>
                      <w:r w:rsidRPr="00AD4CDA">
                        <w:rPr>
                          <w:color w:val="FFFFFF" w:themeColor="background1"/>
                          <w:sz w:val="14"/>
                          <w:szCs w:val="14"/>
                          <w:lang w:val="en-US"/>
                        </w:rPr>
                        <w:t>Input</w:t>
                      </w:r>
                    </w:p>
                  </w:txbxContent>
                </v:textbox>
              </v:shape>
            </w:pict>
          </mc:Fallback>
        </mc:AlternateContent>
      </w:r>
      <w:r w:rsidR="00051297" w:rsidRPr="00051297">
        <w:rPr>
          <w:rFonts w:eastAsia="Calibri" w:cs="Times New Roman"/>
          <w:noProof/>
          <w:szCs w:val="24"/>
        </w:rPr>
        <w:drawing>
          <wp:inline distT="0" distB="0" distL="0" distR="0" wp14:anchorId="4DD10CFF" wp14:editId="798AAA5B">
            <wp:extent cx="5885890" cy="1733550"/>
            <wp:effectExtent l="0" t="0" r="63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93499" cy="1735791"/>
                    </a:xfrm>
                    <a:prstGeom prst="rect">
                      <a:avLst/>
                    </a:prstGeom>
                    <a:noFill/>
                    <a:ln>
                      <a:noFill/>
                    </a:ln>
                  </pic:spPr>
                </pic:pic>
              </a:graphicData>
            </a:graphic>
          </wp:inline>
        </w:drawing>
      </w:r>
    </w:p>
    <w:p w14:paraId="660471E6" w14:textId="6BEBFFA4" w:rsidR="00051297" w:rsidRDefault="00051297" w:rsidP="00051297">
      <w:pPr>
        <w:ind w:firstLine="0"/>
        <w:jc w:val="center"/>
        <w:rPr>
          <w:rFonts w:cs="Times New Roman"/>
          <w:szCs w:val="24"/>
          <w:lang w:val="en-US" w:bidi="en-US"/>
        </w:rPr>
      </w:pPr>
      <w:bookmarkStart w:id="446" w:name="_Ref98103338"/>
      <w:bookmarkStart w:id="447" w:name="_Toc97428215"/>
      <w:bookmarkStart w:id="448" w:name="_Toc98085890"/>
      <w:bookmarkStart w:id="449" w:name="_Toc103544087"/>
      <w:bookmarkStart w:id="450" w:name="_Toc104985410"/>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bookmarkEnd w:id="446"/>
      <w:r w:rsidRPr="00051297">
        <w:rPr>
          <w:lang w:val="en-US"/>
        </w:rPr>
        <w:t xml:space="preserve"> </w:t>
      </w:r>
      <w:r w:rsidRPr="00051297">
        <w:rPr>
          <w:rFonts w:cs="Times New Roman"/>
          <w:szCs w:val="24"/>
          <w:lang w:val="en-US" w:bidi="en-US"/>
        </w:rPr>
        <w:t>– Architecture of the developed geoprocessing tool</w:t>
      </w:r>
      <w:bookmarkEnd w:id="447"/>
      <w:bookmarkEnd w:id="448"/>
      <w:bookmarkEnd w:id="449"/>
      <w:bookmarkEnd w:id="450"/>
    </w:p>
    <w:p w14:paraId="6898ABF8" w14:textId="77777777" w:rsidR="00EE7BED" w:rsidRPr="00051297" w:rsidRDefault="00EE7BED" w:rsidP="00051297">
      <w:pPr>
        <w:ind w:firstLine="0"/>
        <w:jc w:val="center"/>
        <w:rPr>
          <w:rFonts w:cs="Times New Roman"/>
          <w:szCs w:val="24"/>
          <w:lang w:val="en-US" w:bidi="en-US"/>
        </w:rPr>
      </w:pPr>
    </w:p>
    <w:p w14:paraId="53926B6E" w14:textId="774EADDB" w:rsidR="00051297" w:rsidRPr="00051297" w:rsidRDefault="00051297" w:rsidP="00EE7BED">
      <w:pPr>
        <w:pStyle w:val="2"/>
        <w:rPr>
          <w:lang w:val="en-US"/>
        </w:rPr>
      </w:pPr>
      <w:bookmarkStart w:id="451" w:name="_Toc97504770"/>
      <w:bookmarkStart w:id="452" w:name="_Toc103543905"/>
      <w:bookmarkStart w:id="453" w:name="_Toc104985229"/>
      <w:r w:rsidRPr="00051297">
        <w:rPr>
          <w:lang w:val="en-US"/>
        </w:rPr>
        <w:t>Rapid urbanization analysis: A case of Msimbazi catchment in Dar es Salaam, Tanzania</w:t>
      </w:r>
      <w:bookmarkEnd w:id="451"/>
      <w:bookmarkEnd w:id="452"/>
      <w:bookmarkEnd w:id="453"/>
    </w:p>
    <w:p w14:paraId="333043DD" w14:textId="659928DB" w:rsidR="00051297" w:rsidRPr="00051297" w:rsidRDefault="00051297" w:rsidP="00EE7BED">
      <w:pPr>
        <w:pStyle w:val="3"/>
        <w:rPr>
          <w:rFonts w:eastAsia="Calibri"/>
        </w:rPr>
      </w:pPr>
      <w:bookmarkStart w:id="454" w:name="_Toc97504771"/>
      <w:bookmarkStart w:id="455" w:name="_Toc103543906"/>
      <w:bookmarkStart w:id="456" w:name="_Toc104985230"/>
      <w:r w:rsidRPr="00051297">
        <w:rPr>
          <w:rFonts w:eastAsia="Calibri"/>
        </w:rPr>
        <w:t>Study area description</w:t>
      </w:r>
      <w:bookmarkStart w:id="457" w:name="_Hlk30443773"/>
      <w:bookmarkEnd w:id="454"/>
      <w:bookmarkEnd w:id="455"/>
      <w:bookmarkEnd w:id="456"/>
    </w:p>
    <w:p w14:paraId="5DA83426" w14:textId="124DE439" w:rsidR="00051297" w:rsidRPr="00051297" w:rsidRDefault="00051297" w:rsidP="00051297">
      <w:pPr>
        <w:rPr>
          <w:rFonts w:eastAsia="Calibri" w:cs="Times New Roman"/>
          <w:szCs w:val="24"/>
          <w:lang w:val="en-US"/>
        </w:rPr>
      </w:pPr>
      <w:r w:rsidRPr="00051297">
        <w:rPr>
          <w:rFonts w:eastAsia="Calibri" w:cs="Times New Roman"/>
          <w:szCs w:val="24"/>
          <w:lang w:val="en-US"/>
        </w:rPr>
        <w:t>The study represents the Msimbazi catchment in Dar es Salaam city, Tanzania. The Msimbazi catchment, located near Dar es Salaam between latitudes 6°27' and 7°15 South of the Equator and longitudes 39° and 39°33' East of Greenwich, is one of the largest. The Msimbazi river flows across Dar es Salaam City from the higher areas of Kisarawe district (Kisarawe hills) in the Coastal region and discharges into the Indian Ocean. The ungauged catchment is a low-lying area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_Ref98103392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w:t>
      </w:r>
      <w:r w:rsidRPr="00051297">
        <w:rPr>
          <w:rFonts w:eastAsia="Calibri" w:cs="Times New Roman"/>
          <w:szCs w:val="24"/>
          <w:lang w:val="en-US"/>
        </w:rPr>
        <w:fldChar w:fldCharType="end"/>
      </w:r>
      <w:r w:rsidRPr="00051297">
        <w:rPr>
          <w:rFonts w:eastAsia="Calibri" w:cs="Times New Roman"/>
          <w:szCs w:val="24"/>
          <w:lang w:val="en-US"/>
        </w:rPr>
        <w:t xml:space="preserve">) and one of the highly floods-impacted catchments in the city, with massive destruction almost every rainy season. As the catchment passes through the center of the city, it is subjected to significant land-use changes from development activities such as the establishment of settlements. The catchment is characterized by the tropical climate under average daily temperature varying from 17-33 </w:t>
      </w:r>
      <w:r w:rsidRPr="00051297">
        <w:rPr>
          <w:rFonts w:eastAsia="Calibri" w:cs="Times New Roman"/>
          <w:szCs w:val="24"/>
          <w:vertAlign w:val="superscript"/>
          <w:lang w:val="en-US"/>
        </w:rPr>
        <w:t>0</w:t>
      </w:r>
      <w:r w:rsidRPr="00051297">
        <w:rPr>
          <w:rFonts w:eastAsia="Calibri" w:cs="Times New Roman"/>
          <w:szCs w:val="24"/>
          <w:lang w:val="en-US"/>
        </w:rPr>
        <w:t>C and two main rain seasons from November to January and March to May, with annual average precipitation amounting to 1,150 mm.</w:t>
      </w:r>
      <w:bookmarkEnd w:id="457"/>
    </w:p>
    <w:p w14:paraId="18E57EDB" w14:textId="77777777" w:rsidR="00051297" w:rsidRPr="00051297" w:rsidRDefault="00051297" w:rsidP="00051297">
      <w:pPr>
        <w:rPr>
          <w:rFonts w:eastAsia="Calibri" w:cs="Times New Roman"/>
          <w:szCs w:val="24"/>
          <w:lang w:val="en-US"/>
        </w:rPr>
      </w:pPr>
    </w:p>
    <w:p w14:paraId="3740645C" w14:textId="77777777" w:rsidR="00051297" w:rsidRPr="00051297" w:rsidRDefault="00051297" w:rsidP="00051297">
      <w:pPr>
        <w:keepNext/>
        <w:ind w:firstLine="0"/>
        <w:jc w:val="center"/>
        <w:rPr>
          <w:rFonts w:cs="Times New Roman"/>
          <w:szCs w:val="24"/>
        </w:rPr>
      </w:pPr>
      <w:r w:rsidRPr="00051297">
        <w:rPr>
          <w:rFonts w:eastAsia="Calibri" w:cs="Times New Roman"/>
          <w:noProof/>
          <w:szCs w:val="24"/>
        </w:rPr>
        <w:drawing>
          <wp:inline distT="0" distB="0" distL="0" distR="0" wp14:anchorId="749CEF65" wp14:editId="57B64FD5">
            <wp:extent cx="5894705" cy="2307590"/>
            <wp:effectExtent l="38100" t="38100" r="86995" b="927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94705" cy="230759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C56FE3B" w14:textId="73EEBDB5" w:rsidR="00051297" w:rsidRPr="00051297" w:rsidRDefault="00051297" w:rsidP="00051297">
      <w:pPr>
        <w:ind w:firstLine="0"/>
        <w:jc w:val="center"/>
        <w:rPr>
          <w:rFonts w:cs="Times New Roman"/>
          <w:szCs w:val="24"/>
          <w:lang w:val="en-US" w:bidi="en-US"/>
        </w:rPr>
      </w:pPr>
      <w:bookmarkStart w:id="458" w:name="_Ref98103392"/>
      <w:bookmarkStart w:id="459" w:name="_Toc97428216"/>
      <w:bookmarkStart w:id="460" w:name="_Toc98085891"/>
      <w:bookmarkStart w:id="461" w:name="_Toc103544088"/>
      <w:bookmarkStart w:id="462" w:name="_Toc104985411"/>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bookmarkEnd w:id="458"/>
      <w:r w:rsidRPr="00051297">
        <w:rPr>
          <w:rFonts w:cs="Times New Roman"/>
          <w:szCs w:val="24"/>
          <w:lang w:val="en-US" w:bidi="en-US"/>
        </w:rPr>
        <w:t xml:space="preserve">  – Msimbazi catchment study area</w:t>
      </w:r>
      <w:bookmarkStart w:id="463" w:name="_Hlk26195510"/>
      <w:bookmarkEnd w:id="459"/>
      <w:bookmarkEnd w:id="460"/>
      <w:bookmarkEnd w:id="461"/>
      <w:bookmarkEnd w:id="462"/>
    </w:p>
    <w:p w14:paraId="7063EAFB" w14:textId="77777777" w:rsidR="00051297" w:rsidRPr="00051297" w:rsidRDefault="00051297" w:rsidP="00EE7BED">
      <w:pPr>
        <w:pStyle w:val="3"/>
        <w:rPr>
          <w:rFonts w:eastAsia="Calibri"/>
        </w:rPr>
      </w:pPr>
      <w:bookmarkStart w:id="464" w:name="_Toc97504772"/>
      <w:bookmarkStart w:id="465" w:name="_Toc103543907"/>
      <w:bookmarkStart w:id="466" w:name="_Toc104985231"/>
      <w:r w:rsidRPr="00051297">
        <w:rPr>
          <w:rFonts w:eastAsia="Calibri"/>
        </w:rPr>
        <w:lastRenderedPageBreak/>
        <w:t>Datasets</w:t>
      </w:r>
      <w:bookmarkEnd w:id="464"/>
      <w:bookmarkEnd w:id="465"/>
      <w:bookmarkEnd w:id="466"/>
    </w:p>
    <w:p w14:paraId="443A9F50" w14:textId="0AE739C7" w:rsidR="00051297" w:rsidRPr="00051297" w:rsidRDefault="00051297" w:rsidP="00051297">
      <w:pPr>
        <w:spacing w:after="200"/>
        <w:rPr>
          <w:rFonts w:eastAsia="Calibri" w:cs="Times New Roman"/>
          <w:szCs w:val="24"/>
          <w:lang w:val="en-US"/>
        </w:rPr>
      </w:pPr>
      <w:r w:rsidRPr="00051297">
        <w:rPr>
          <w:rFonts w:eastAsia="Calibri" w:cs="Times New Roman"/>
          <w:szCs w:val="24"/>
          <w:lang w:val="en-US"/>
        </w:rPr>
        <w:t xml:space="preserve">The Msimbazi river catchment was delineated based on GIS techniques by running the tools in </w:t>
      </w:r>
      <w:r w:rsidRPr="00051297">
        <w:rPr>
          <w:rFonts w:eastAsia="Calibri" w:cs="Times New Roman"/>
          <w:color w:val="000000"/>
          <w:szCs w:val="24"/>
          <w:lang w:val="en-US"/>
        </w:rPr>
        <w:t>HEC-GeoHMS</w:t>
      </w:r>
      <w:r w:rsidRPr="00051297">
        <w:rPr>
          <w:rFonts w:eastAsia="Calibri" w:cs="Times New Roman"/>
          <w:szCs w:val="24"/>
          <w:lang w:val="en-US"/>
        </w:rPr>
        <w:t xml:space="preserve"> of the ArcGIS 10.5. The HEC-GeoHMS developed by the US Army Corps of Engineers was freely accessed from their official website. Then the DEM was retrieved from the online open-source, under the management of the LP DAAC (NASA Land Processes Distributed Active Archive Center), ASTER GDEM with 30m resolution. The stream shapefile of the catchment developed from the Google maps was used for the DEM-Reconditioning, and the Google Earth-based investigation techniques were used to validate the boundaries and streams of the catchment. The high-resolution (4800 x 2718) Google Earth images were retrieved from the Google Earth Pro desktop version 7.3.2.5776 (64-bit).  Landsat images downloaded from the official website of the United States Geological Survey (USGS) were used for the land use/land cover analysis. </w:t>
      </w:r>
      <w:bookmarkEnd w:id="463"/>
      <w:r w:rsidRPr="00051297">
        <w:rPr>
          <w:rFonts w:eastAsia="Calibri" w:cs="Times New Roman"/>
          <w:szCs w:val="24"/>
          <w:lang w:val="en-US"/>
        </w:rPr>
        <w:t>The Rational Method was used for the estimation of discharge for the individual sub-catchment and the total catchment. The 100-year extreme rainfall event recorded on December 20, 2011, as recorded by the Tanzania Meteorological Agency (TMA) was used as an input for the runoff discharge estimation.</w:t>
      </w:r>
    </w:p>
    <w:p w14:paraId="17FE8AEB" w14:textId="0B55DF5E" w:rsidR="00051297" w:rsidRPr="00051297" w:rsidRDefault="00051297" w:rsidP="00EE7BED">
      <w:pPr>
        <w:pStyle w:val="3"/>
        <w:rPr>
          <w:rFonts w:eastAsia="Calibri"/>
        </w:rPr>
      </w:pPr>
      <w:bookmarkStart w:id="467" w:name="_Toc97504773"/>
      <w:bookmarkStart w:id="468" w:name="_Toc103543908"/>
      <w:bookmarkStart w:id="469" w:name="_Toc104985232"/>
      <w:r w:rsidRPr="00051297">
        <w:rPr>
          <w:rFonts w:eastAsia="Calibri"/>
        </w:rPr>
        <w:t>Methodology</w:t>
      </w:r>
      <w:bookmarkEnd w:id="467"/>
      <w:bookmarkEnd w:id="468"/>
      <w:bookmarkEnd w:id="469"/>
    </w:p>
    <w:p w14:paraId="1B241E75" w14:textId="3C2DFB0F" w:rsidR="00051297" w:rsidRPr="00051297" w:rsidRDefault="00051297" w:rsidP="00EE7BED">
      <w:pPr>
        <w:pStyle w:val="4"/>
        <w:rPr>
          <w:rFonts w:eastAsia="Calibri"/>
        </w:rPr>
      </w:pPr>
      <w:bookmarkStart w:id="470" w:name="_Toc97504774"/>
      <w:bookmarkStart w:id="471" w:name="_Toc103543909"/>
      <w:bookmarkStart w:id="472" w:name="_Toc104985233"/>
      <w:r w:rsidRPr="00051297">
        <w:rPr>
          <w:rFonts w:eastAsia="Calibri"/>
        </w:rPr>
        <w:t>DEM preprocessing</w:t>
      </w:r>
      <w:bookmarkStart w:id="473" w:name="_Hlk30444020"/>
      <w:bookmarkEnd w:id="470"/>
      <w:bookmarkEnd w:id="471"/>
      <w:bookmarkEnd w:id="472"/>
    </w:p>
    <w:p w14:paraId="53B1341D" w14:textId="0C5BE04E" w:rsidR="00051297" w:rsidRPr="00051297" w:rsidRDefault="00051297" w:rsidP="00051297">
      <w:pPr>
        <w:spacing w:after="200"/>
        <w:ind w:firstLine="284"/>
        <w:contextualSpacing/>
        <w:rPr>
          <w:rFonts w:eastAsia="Calibri" w:cs="Times New Roman"/>
          <w:szCs w:val="24"/>
        </w:rPr>
      </w:pPr>
      <w:r w:rsidRPr="00051297">
        <w:rPr>
          <w:rFonts w:eastAsia="Calibri" w:cs="Times New Roman"/>
          <w:szCs w:val="24"/>
          <w:lang w:val="en-US"/>
        </w:rPr>
        <w:t xml:space="preserve">The catchment layout generation and development of natural flow routes (drainage routes) were carried out in ArcGIS 10.5 by extracting the geomorphologic characteristics of the catchment and then the results were validated by overlying the output against some selected georeferenced shapefiles in ArcGIS. </w:t>
      </w:r>
      <w:r w:rsidRPr="00051297">
        <w:rPr>
          <w:rFonts w:eastAsia="Calibri" w:cs="Times New Roman"/>
          <w:szCs w:val="24"/>
        </w:rPr>
        <w:t xml:space="preserve">The complete process is summarized in </w:t>
      </w:r>
      <w:r w:rsidRPr="00051297">
        <w:rPr>
          <w:rFonts w:eastAsia="Calibri" w:cs="Times New Roman"/>
          <w:szCs w:val="24"/>
        </w:rPr>
        <w:fldChar w:fldCharType="begin"/>
      </w:r>
      <w:r w:rsidRPr="00051297">
        <w:rPr>
          <w:rFonts w:eastAsia="Calibri" w:cs="Times New Roman"/>
          <w:szCs w:val="24"/>
        </w:rPr>
        <w:instrText xml:space="preserve"> REF _Ref98103408 \h </w:instrText>
      </w:r>
      <w:r w:rsidRPr="00051297">
        <w:rPr>
          <w:rFonts w:eastAsia="Calibri" w:cs="Times New Roman"/>
          <w:szCs w:val="24"/>
        </w:rPr>
      </w:r>
      <w:r w:rsidRPr="00051297">
        <w:rPr>
          <w:rFonts w:eastAsia="Calibri" w:cs="Times New Roman"/>
          <w:szCs w:val="24"/>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3</w:t>
      </w:r>
      <w:r w:rsidRPr="00051297">
        <w:rPr>
          <w:rFonts w:eastAsia="Calibri" w:cs="Times New Roman"/>
          <w:szCs w:val="24"/>
        </w:rPr>
        <w:fldChar w:fldCharType="end"/>
      </w:r>
      <w:r w:rsidRPr="00051297">
        <w:rPr>
          <w:rFonts w:eastAsia="Calibri" w:cs="Times New Roman"/>
          <w:szCs w:val="24"/>
        </w:rPr>
        <w:t xml:space="preserve"> below.</w:t>
      </w:r>
      <w:bookmarkEnd w:id="473"/>
    </w:p>
    <w:p w14:paraId="50290C8F" w14:textId="77777777" w:rsidR="00051297" w:rsidRPr="00051297" w:rsidRDefault="00051297" w:rsidP="00051297">
      <w:pPr>
        <w:spacing w:after="200"/>
        <w:ind w:firstLine="284"/>
        <w:contextualSpacing/>
        <w:rPr>
          <w:rFonts w:eastAsia="Calibri" w:cs="Times New Roman"/>
          <w:szCs w:val="24"/>
        </w:rPr>
      </w:pPr>
    </w:p>
    <w:p w14:paraId="51D3A37D" w14:textId="77777777" w:rsidR="00051297" w:rsidRPr="00051297" w:rsidRDefault="00051297" w:rsidP="00051297">
      <w:pPr>
        <w:keepNext/>
        <w:spacing w:after="200"/>
        <w:ind w:firstLine="0"/>
        <w:jc w:val="center"/>
        <w:rPr>
          <w:rFonts w:cs="Times New Roman"/>
          <w:szCs w:val="24"/>
        </w:rPr>
      </w:pPr>
      <w:r w:rsidRPr="00051297">
        <w:rPr>
          <w:rFonts w:eastAsia="Calibri" w:cs="Times New Roman"/>
          <w:szCs w:val="24"/>
        </w:rPr>
        <w:object w:dxaOrig="15226" w:dyaOrig="6841" w14:anchorId="781F0E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10pt" o:ole="">
            <v:imagedata r:id="rId35" o:title=""/>
          </v:shape>
          <o:OLEObject Type="Embed" ProgID="Visio.Drawing.15" ShapeID="_x0000_i1025" DrawAspect="Content" ObjectID="_1715623131" r:id="rId36"/>
        </w:object>
      </w:r>
    </w:p>
    <w:p w14:paraId="3F33CE93" w14:textId="64D2781E" w:rsidR="00051297" w:rsidRPr="00051297" w:rsidRDefault="00051297" w:rsidP="00051297">
      <w:pPr>
        <w:ind w:firstLine="0"/>
        <w:jc w:val="center"/>
        <w:rPr>
          <w:rFonts w:cs="Times New Roman"/>
          <w:szCs w:val="24"/>
          <w:lang w:val="en-US" w:bidi="en-US"/>
        </w:rPr>
      </w:pPr>
      <w:bookmarkStart w:id="474" w:name="_Ref98103408"/>
      <w:bookmarkStart w:id="475" w:name="_Toc97428217"/>
      <w:bookmarkStart w:id="476" w:name="_Toc98085892"/>
      <w:bookmarkStart w:id="477" w:name="_Toc103544089"/>
      <w:bookmarkStart w:id="478" w:name="_Toc104985412"/>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3</w:t>
      </w:r>
      <w:r w:rsidR="00527861">
        <w:rPr>
          <w:rFonts w:cs="Times New Roman"/>
          <w:szCs w:val="24"/>
          <w:lang w:val="en-US" w:bidi="en-US"/>
        </w:rPr>
        <w:fldChar w:fldCharType="end"/>
      </w:r>
      <w:bookmarkEnd w:id="474"/>
      <w:r w:rsidRPr="00051297">
        <w:rPr>
          <w:rFonts w:cs="Times New Roman"/>
          <w:szCs w:val="24"/>
          <w:lang w:val="en-US" w:bidi="en-US"/>
        </w:rPr>
        <w:t xml:space="preserve"> – Flow chart</w:t>
      </w:r>
      <w:bookmarkEnd w:id="475"/>
      <w:bookmarkEnd w:id="476"/>
      <w:bookmarkEnd w:id="477"/>
      <w:bookmarkEnd w:id="478"/>
    </w:p>
    <w:p w14:paraId="4188A0EA" w14:textId="4B9C6F63" w:rsidR="00051297" w:rsidRPr="00051297" w:rsidRDefault="00051297" w:rsidP="00051297">
      <w:pPr>
        <w:spacing w:after="200"/>
        <w:ind w:firstLine="284"/>
        <w:contextualSpacing/>
        <w:rPr>
          <w:rFonts w:eastAsia="Calibri" w:cs="Times New Roman"/>
          <w:szCs w:val="24"/>
          <w:lang w:val="en-US"/>
        </w:rPr>
      </w:pPr>
      <w:bookmarkStart w:id="479" w:name="_Hlk30444792"/>
      <w:r w:rsidRPr="00051297">
        <w:rPr>
          <w:rFonts w:eastAsia="Calibri" w:cs="Times New Roman"/>
          <w:szCs w:val="24"/>
          <w:lang w:val="en-US"/>
        </w:rPr>
        <w:lastRenderedPageBreak/>
        <w:t>The first step in the catchment delineation was the DEM-Reconditioning</w:t>
      </w:r>
      <w:bookmarkStart w:id="480" w:name="_Hlk26739576"/>
      <w:r w:rsidRPr="00051297">
        <w:rPr>
          <w:rFonts w:eastAsia="Calibri" w:cs="Times New Roman"/>
          <w:szCs w:val="24"/>
          <w:lang w:val="en-US"/>
        </w:rPr>
        <w:t>.</w:t>
      </w:r>
      <w:bookmarkEnd w:id="480"/>
      <w:r w:rsidRPr="00051297">
        <w:rPr>
          <w:rFonts w:eastAsia="Calibri" w:cs="Times New Roman"/>
          <w:szCs w:val="24"/>
          <w:lang w:val="en-US"/>
        </w:rPr>
        <w:t xml:space="preserve"> Downstream of the Msimbazi catchment is relatively flat with a number of structures (such as bridges) crossing the streams (</w:t>
      </w:r>
      <w:r w:rsidRPr="00051297">
        <w:rPr>
          <w:rFonts w:eastAsia="Calibri" w:cs="Times New Roman"/>
          <w:szCs w:val="24"/>
        </w:rPr>
        <w:fldChar w:fldCharType="begin"/>
      </w:r>
      <w:r w:rsidRPr="00051297">
        <w:rPr>
          <w:rFonts w:eastAsia="Calibri" w:cs="Times New Roman"/>
          <w:szCs w:val="24"/>
          <w:lang w:val="en-US"/>
        </w:rPr>
        <w:instrText xml:space="preserve"> REF _Ref98103526 \h </w:instrText>
      </w:r>
      <w:r w:rsidRPr="00051297">
        <w:rPr>
          <w:rFonts w:eastAsia="Calibri" w:cs="Times New Roman"/>
          <w:szCs w:val="24"/>
        </w:rPr>
      </w:r>
      <w:r w:rsidRPr="00051297">
        <w:rPr>
          <w:rFonts w:eastAsia="Calibri" w:cs="Times New Roman"/>
          <w:szCs w:val="24"/>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4</w:t>
      </w:r>
      <w:r w:rsidRPr="00051297">
        <w:rPr>
          <w:rFonts w:eastAsia="Calibri" w:cs="Times New Roman"/>
          <w:szCs w:val="24"/>
        </w:rPr>
        <w:fldChar w:fldCharType="end"/>
      </w:r>
      <w:r w:rsidRPr="00051297">
        <w:rPr>
          <w:rFonts w:eastAsia="Calibri" w:cs="Times New Roman"/>
          <w:szCs w:val="24"/>
          <w:lang w:val="en-US"/>
        </w:rPr>
        <w:t xml:space="preserve">), therefore the process of creating flow paths may encounter some challenges when it reaches the flat areas </w:t>
      </w:r>
      <w:r w:rsidRPr="00051297">
        <w:rPr>
          <w:rFonts w:eastAsia="Calibri" w:cs="Times New Roman"/>
          <w:szCs w:val="24"/>
        </w:rPr>
        <w:fldChar w:fldCharType="begin" w:fldLock="1"/>
      </w:r>
      <w:r w:rsidR="00FA5896">
        <w:rPr>
          <w:rFonts w:eastAsia="Calibri" w:cs="Times New Roman"/>
          <w:szCs w:val="24"/>
          <w:lang w:val="en-US"/>
        </w:rPr>
        <w:instrText>ADDIN CSL_CITATION {"citationItems":[{"id":"ITEM-1","itemData":{"DOI":"10.1002/9781118938188","ISBN":"9781118938188","abstract":"A digital elevation model (DEM) is a digital representation of ground surface topography or terrain. It is also widely known as a digital terrain model (DTM). A DEM can be represented as a raster (a grid of squares) or as a vector based triangular irregular network (TIN). DEMs are commonly built using remote sensing techniques, but they may also be built from land surveying. DEMs are used often in geographic information systems, and are the most common basis for digitally-produced relief maps. The terrain surface can be described as compromising of two different elements; random and systematic. The random (stochastic) elements are the continuous surfaces with continuously varying relief. It would take an endless number of points to describe exactly the random terrain shapes, but these can be described in practice with a network of point. It is usual to use a network that creates sloping triangles or regular quadrants. This book examines how the methods and data sources used to generate DEMs and calculate land surface parameters have changed over the past 25 years. The primary goal is to describe the state-of-the-art for a typical digital terrain modeling workflow that starts with data capture, continues with data preprocessing and DEM generation, and concludes with the calculation of one or more primary and secondary land surface parameters. Taken as a whole, this book covers the basic theory behind the methods, the instrumentation, analysis and interpretation that are embedded in the modern digital terrain modeling workflow, the strengths and weaknesses of the various methods that the terrain analyst must choose among, typical applications of the results emanating from these terrain modeling workflows, and future directions. This book is intended for researchers and practitioners who wish to use DEMs, land surface parameters, land surface objects and landforms in environmental projects. The book will also be valuable as a reference text for environmental scientists who are specialists in related fields and wish to integrate these kinds of digital terrain workflows and outputs into their own specialized work environments.","author":[{"dropping-particle":"","family":"Wilson","given":"John P.","non-dropping-particle":"","parse-names":false,"suffix":""}],"container-title":"Environmental Applications Of Digital Terrain Modelling","id":"ITEM-1","issued":{"date-parts":[["2016"]]},"title":"Environmental Applications Of Digital Terrain Modelling","type":"book"},"uris":["http://www.mendeley.com/documents/?uuid=73454d77-39c0-4c12-9a7f-4f5536e04a20","http://www.mendeley.com/documents/?uuid=ab31b5d7-acc4-4f80-be94-acba9c8a84eb","http://www.mendeley.com/documents/?uuid=e1526af5-8b90-4e61-8098-10fcf2406302"]}],"mendeley":{"formattedCitation":"[245]","plainTextFormattedCitation":"[245]","previouslyFormattedCitation":"[245]"},"properties":{"noteIndex":0},"schema":"https://github.com/citation-style-language/schema/raw/master/csl-citation.json"}</w:instrText>
      </w:r>
      <w:r w:rsidRPr="00051297">
        <w:rPr>
          <w:rFonts w:eastAsia="Calibri" w:cs="Times New Roman"/>
          <w:szCs w:val="24"/>
        </w:rPr>
        <w:fldChar w:fldCharType="separate"/>
      </w:r>
      <w:r w:rsidR="0032684D" w:rsidRPr="0032684D">
        <w:rPr>
          <w:rFonts w:eastAsia="Calibri" w:cs="Times New Roman"/>
          <w:noProof/>
          <w:szCs w:val="24"/>
          <w:lang w:val="en-US"/>
        </w:rPr>
        <w:t>[245]</w:t>
      </w:r>
      <w:r w:rsidRPr="00051297">
        <w:rPr>
          <w:rFonts w:eastAsia="Calibri" w:cs="Times New Roman"/>
          <w:szCs w:val="24"/>
        </w:rPr>
        <w:fldChar w:fldCharType="end"/>
      </w:r>
      <w:r w:rsidRPr="00051297">
        <w:rPr>
          <w:rFonts w:eastAsia="Calibri" w:cs="Times New Roman"/>
          <w:szCs w:val="24"/>
          <w:lang w:val="en-US"/>
        </w:rPr>
        <w:t xml:space="preserve"> as well as the areas where the streams are covered by structures as it may fail to identify the exact path to follow. Therefore, this study used the DEM-Reconditioning approach along with the available stream shape-file of the catchment to fix the delineated streams into their exact paths. Next, the </w:t>
      </w:r>
      <w:bookmarkStart w:id="481" w:name="_Hlk28609948"/>
      <w:r w:rsidRPr="00051297">
        <w:rPr>
          <w:rFonts w:eastAsia="Calibri" w:cs="Times New Roman"/>
          <w:szCs w:val="24"/>
          <w:lang w:val="en-US"/>
        </w:rPr>
        <w:t xml:space="preserve">Fill Sinks </w:t>
      </w:r>
      <w:bookmarkEnd w:id="481"/>
      <w:r w:rsidRPr="00051297">
        <w:rPr>
          <w:rFonts w:eastAsia="Calibri" w:cs="Times New Roman"/>
          <w:szCs w:val="24"/>
          <w:lang w:val="en-US"/>
        </w:rPr>
        <w:t xml:space="preserve">tool in HEC-GeoHMS tools was used to fill sinks in the DEM. This was done to ensure that if there are cells with higher elevation surrounding a cell with a lower elevation, it hinders the water from flowing and makes it trapped in the lower elevation cell; hence the water cannot flow out of the cell. </w:t>
      </w:r>
    </w:p>
    <w:p w14:paraId="3191FDBC" w14:textId="01C0E735" w:rsidR="00051297" w:rsidRPr="00051297" w:rsidRDefault="00051297" w:rsidP="00051297">
      <w:pPr>
        <w:spacing w:after="200"/>
        <w:ind w:firstLine="284"/>
        <w:contextualSpacing/>
        <w:rPr>
          <w:rFonts w:eastAsia="Calibri" w:cs="Times New Roman"/>
          <w:szCs w:val="24"/>
        </w:rPr>
      </w:pPr>
      <w:r w:rsidRPr="00051297">
        <w:rPr>
          <w:rFonts w:eastAsia="Calibri" w:cs="Times New Roman"/>
          <w:szCs w:val="24"/>
          <w:lang w:val="en-US"/>
        </w:rPr>
        <w:t xml:space="preserve">The other steps included; flow direction, flow accumulation, stream definition (where the stream threshold is defined), stream segmentation, catchment grid delineation, catchment polygon processing, drainage line processing as well as adjoint catchment processing. The sharpest descent from each cell determines the flow direction or the highest drop. Equation </w:t>
      </w:r>
      <w:r w:rsidRPr="00051297">
        <w:rPr>
          <w:rFonts w:eastAsia="Calibri" w:cs="Times New Roman"/>
          <w:szCs w:val="24"/>
          <w:lang w:val="en-US"/>
        </w:rPr>
        <w:fldChar w:fldCharType="begin"/>
      </w:r>
      <w:r w:rsidRPr="00051297">
        <w:rPr>
          <w:rFonts w:eastAsia="Calibri" w:cs="Times New Roman"/>
          <w:szCs w:val="24"/>
          <w:lang w:val="en-US"/>
        </w:rPr>
        <w:instrText xml:space="preserve"> REF _Ref103557357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rPr>
        <w:t>(</w:t>
      </w:r>
      <w:r w:rsidR="004870F1">
        <w:rPr>
          <w:rFonts w:cs="Times New Roman"/>
          <w:noProof/>
          <w:szCs w:val="24"/>
        </w:rPr>
        <w:t>2</w:t>
      </w:r>
      <w:r w:rsidR="004870F1" w:rsidRPr="00051297">
        <w:rPr>
          <w:rFonts w:cs="Times New Roman"/>
          <w:szCs w:val="24"/>
        </w:rPr>
        <w:t>.</w:t>
      </w:r>
      <w:r w:rsidR="004870F1">
        <w:rPr>
          <w:rFonts w:cs="Times New Roman"/>
          <w:noProof/>
          <w:szCs w:val="24"/>
        </w:rPr>
        <w:t>1</w:t>
      </w:r>
      <w:r w:rsidR="004870F1" w:rsidRPr="00051297">
        <w:rPr>
          <w:rFonts w:cs="Times New Roman"/>
          <w:szCs w:val="24"/>
        </w:rPr>
        <w:t>)</w:t>
      </w:r>
      <w:r w:rsidRPr="00051297">
        <w:rPr>
          <w:rFonts w:eastAsia="Calibri" w:cs="Times New Roman"/>
          <w:szCs w:val="24"/>
          <w:lang w:val="en-US"/>
        </w:rPr>
        <w:fldChar w:fldCharType="end"/>
      </w:r>
      <w:r w:rsidRPr="00051297">
        <w:rPr>
          <w:rFonts w:eastAsia="Calibri" w:cs="Times New Roman"/>
          <w:szCs w:val="24"/>
          <w:lang w:val="en-US"/>
        </w:rPr>
        <w:t xml:space="preserve"> shows how to compute the maximum drop</w:t>
      </w:r>
      <w:r w:rsidRPr="00051297">
        <w:rPr>
          <w:rFonts w:eastAsia="Calibri" w:cs="Times New Roman"/>
          <w:szCs w:val="24"/>
        </w:rPr>
        <w:t>.</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0"/>
        <w:gridCol w:w="7309"/>
        <w:gridCol w:w="1385"/>
      </w:tblGrid>
      <w:tr w:rsidR="00051297" w:rsidRPr="00051297" w14:paraId="72993F48" w14:textId="77777777" w:rsidTr="00D20B01">
        <w:trPr>
          <w:trHeight w:val="539"/>
        </w:trPr>
        <w:tc>
          <w:tcPr>
            <w:tcW w:w="675" w:type="dxa"/>
          </w:tcPr>
          <w:p w14:paraId="48BFEF23" w14:textId="77777777" w:rsidR="00051297" w:rsidRPr="00051297" w:rsidRDefault="00051297" w:rsidP="00051297">
            <w:pPr>
              <w:rPr>
                <w:rFonts w:cs="Times New Roman"/>
                <w:szCs w:val="24"/>
              </w:rPr>
            </w:pPr>
            <w:bookmarkStart w:id="482" w:name="_Hlk30444834"/>
            <w:bookmarkEnd w:id="479"/>
          </w:p>
        </w:tc>
        <w:tc>
          <w:tcPr>
            <w:tcW w:w="7474" w:type="dxa"/>
          </w:tcPr>
          <w:p w14:paraId="0645E364" w14:textId="77777777" w:rsidR="00051297" w:rsidRPr="00F44191" w:rsidRDefault="00051297" w:rsidP="00051297">
            <w:pPr>
              <w:jc w:val="center"/>
              <w:rPr>
                <w:rFonts w:ascii="Cambria Math" w:eastAsia="Times New Roman" w:hAnsi="Cambria Math" w:cs="Times New Roman"/>
                <w:szCs w:val="24"/>
              </w:rPr>
            </w:pPr>
            <w:r w:rsidRPr="00F44191">
              <w:rPr>
                <w:rFonts w:ascii="Cambria Math" w:hAnsi="Cambria Math" w:cs="Times New Roman"/>
                <w:i/>
                <w:iCs/>
                <w:szCs w:val="24"/>
              </w:rPr>
              <w:t xml:space="preserve">Maximum_drop </w:t>
            </w:r>
            <w:r w:rsidRPr="00F44191">
              <w:rPr>
                <w:rFonts w:ascii="Cambria Math" w:hAnsi="Cambria Math" w:cs="Times New Roman"/>
                <w:szCs w:val="24"/>
              </w:rPr>
              <w:t xml:space="preserve">= </w:t>
            </w:r>
            <m:oMath>
              <m:f>
                <m:fPr>
                  <m:ctrlPr>
                    <w:rPr>
                      <w:rFonts w:ascii="Cambria Math" w:hAnsi="Cambria Math" w:cs="Times New Roman"/>
                      <w:szCs w:val="24"/>
                    </w:rPr>
                  </m:ctrlPr>
                </m:fPr>
                <m:num>
                  <m:r>
                    <w:rPr>
                      <w:rFonts w:ascii="Cambria Math" w:hAnsi="Cambria Math" w:cs="Times New Roman"/>
                      <w:szCs w:val="24"/>
                    </w:rPr>
                    <m:t xml:space="preserve">change_in_z-value </m:t>
                  </m:r>
                </m:num>
                <m:den>
                  <m:r>
                    <w:rPr>
                      <w:rFonts w:ascii="Cambria Math" w:hAnsi="Cambria Math" w:cs="Times New Roman"/>
                      <w:szCs w:val="24"/>
                    </w:rPr>
                    <m:t>distance * 100</m:t>
                  </m:r>
                </m:den>
              </m:f>
            </m:oMath>
          </w:p>
        </w:tc>
        <w:tc>
          <w:tcPr>
            <w:tcW w:w="1205" w:type="dxa"/>
          </w:tcPr>
          <w:p w14:paraId="4231265B" w14:textId="2C6AFA95" w:rsidR="00051297" w:rsidRPr="00051297" w:rsidRDefault="00051297" w:rsidP="00051297">
            <w:pPr>
              <w:jc w:val="right"/>
            </w:pPr>
            <w:bookmarkStart w:id="483" w:name="_Ref103557357"/>
            <w:r w:rsidRPr="00051297">
              <w:rPr>
                <w:rFonts w:cs="Times New Roman"/>
                <w:szCs w:val="24"/>
              </w:rPr>
              <w:t>(</w:t>
            </w:r>
            <w:r w:rsidRPr="00051297">
              <w:rPr>
                <w:rFonts w:cs="Times New Roman"/>
                <w:szCs w:val="24"/>
              </w:rPr>
              <w:fldChar w:fldCharType="begin"/>
            </w:r>
            <w:r w:rsidRPr="00051297">
              <w:rPr>
                <w:rFonts w:cs="Times New Roman"/>
                <w:szCs w:val="24"/>
              </w:rPr>
              <w:instrText xml:space="preserve"> STYLEREF 1 \s </w:instrText>
            </w:r>
            <w:r w:rsidRPr="00051297">
              <w:rPr>
                <w:rFonts w:cs="Times New Roman"/>
                <w:szCs w:val="24"/>
              </w:rPr>
              <w:fldChar w:fldCharType="separate"/>
            </w:r>
            <w:r w:rsidR="004870F1">
              <w:rPr>
                <w:rFonts w:cs="Times New Roman"/>
                <w:noProof/>
                <w:szCs w:val="24"/>
              </w:rPr>
              <w:t>2</w:t>
            </w:r>
            <w:r w:rsidRPr="00051297">
              <w:rPr>
                <w:rFonts w:cs="Times New Roman"/>
                <w:szCs w:val="24"/>
              </w:rPr>
              <w:fldChar w:fldCharType="end"/>
            </w:r>
            <w:r w:rsidRPr="00051297">
              <w:rPr>
                <w:rFonts w:cs="Times New Roman"/>
                <w:szCs w:val="24"/>
              </w:rPr>
              <w:t>.</w:t>
            </w:r>
            <w:r w:rsidRPr="00051297">
              <w:rPr>
                <w:rFonts w:cs="Times New Roman"/>
                <w:szCs w:val="24"/>
              </w:rPr>
              <w:fldChar w:fldCharType="begin"/>
            </w:r>
            <w:r w:rsidRPr="00051297">
              <w:rPr>
                <w:rFonts w:cs="Times New Roman"/>
                <w:szCs w:val="24"/>
              </w:rPr>
              <w:instrText xml:space="preserve"> SEQ Equation \* ARABIC \s 1 </w:instrText>
            </w:r>
            <w:r w:rsidRPr="00051297">
              <w:rPr>
                <w:rFonts w:cs="Times New Roman"/>
                <w:szCs w:val="24"/>
              </w:rPr>
              <w:fldChar w:fldCharType="separate"/>
            </w:r>
            <w:r w:rsidR="004870F1">
              <w:rPr>
                <w:rFonts w:cs="Times New Roman"/>
                <w:noProof/>
                <w:szCs w:val="24"/>
              </w:rPr>
              <w:t>1</w:t>
            </w:r>
            <w:r w:rsidRPr="00051297">
              <w:rPr>
                <w:rFonts w:cs="Times New Roman"/>
                <w:szCs w:val="24"/>
              </w:rPr>
              <w:fldChar w:fldCharType="end"/>
            </w:r>
            <w:r w:rsidRPr="00051297">
              <w:rPr>
                <w:rFonts w:cs="Times New Roman"/>
                <w:szCs w:val="24"/>
              </w:rPr>
              <w:t>)</w:t>
            </w:r>
            <w:bookmarkEnd w:id="483"/>
          </w:p>
        </w:tc>
      </w:tr>
      <w:bookmarkEnd w:id="482"/>
    </w:tbl>
    <w:p w14:paraId="4F6B8E14" w14:textId="77777777" w:rsidR="00325C73" w:rsidRDefault="00325C73" w:rsidP="00325C73">
      <w:pPr>
        <w:keepNext/>
        <w:ind w:firstLine="0"/>
        <w:jc w:val="center"/>
        <w:rPr>
          <w:rFonts w:cs="Times New Roman"/>
          <w:szCs w:val="24"/>
        </w:rPr>
      </w:pPr>
    </w:p>
    <w:p w14:paraId="7C1D9F45" w14:textId="7A0FE906" w:rsidR="00051297" w:rsidRPr="00051297" w:rsidRDefault="00325C73" w:rsidP="00325C73">
      <w:pPr>
        <w:keepNext/>
        <w:ind w:firstLine="0"/>
        <w:jc w:val="center"/>
        <w:rPr>
          <w:rFonts w:cs="Times New Roman"/>
          <w:szCs w:val="24"/>
        </w:rPr>
      </w:pPr>
      <w:r>
        <w:rPr>
          <w:rFonts w:cs="Times New Roman"/>
          <w:noProof/>
          <w:szCs w:val="24"/>
        </w:rPr>
        <w:drawing>
          <wp:inline distT="0" distB="0" distL="0" distR="0" wp14:anchorId="33D39E56" wp14:editId="08217214">
            <wp:extent cx="5944235" cy="4072255"/>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4235" cy="4072255"/>
                    </a:xfrm>
                    <a:prstGeom prst="rect">
                      <a:avLst/>
                    </a:prstGeom>
                    <a:noFill/>
                  </pic:spPr>
                </pic:pic>
              </a:graphicData>
            </a:graphic>
          </wp:inline>
        </w:drawing>
      </w:r>
    </w:p>
    <w:p w14:paraId="17740C7C" w14:textId="1F832D35" w:rsidR="00051297" w:rsidRPr="00051297" w:rsidRDefault="00051297" w:rsidP="00051297">
      <w:pPr>
        <w:ind w:firstLine="0"/>
        <w:jc w:val="center"/>
        <w:rPr>
          <w:rFonts w:cs="Times New Roman"/>
          <w:szCs w:val="24"/>
          <w:lang w:val="en-US" w:bidi="en-US"/>
        </w:rPr>
      </w:pPr>
      <w:bookmarkStart w:id="484" w:name="_Ref98103526"/>
      <w:bookmarkStart w:id="485" w:name="_Toc97428218"/>
      <w:bookmarkStart w:id="486" w:name="_Toc98085893"/>
      <w:bookmarkStart w:id="487" w:name="_Toc103544090"/>
      <w:bookmarkStart w:id="488" w:name="_Toc104985413"/>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bookmarkEnd w:id="484"/>
      <w:r w:rsidRPr="00051297">
        <w:rPr>
          <w:lang w:val="en-US"/>
        </w:rPr>
        <w:t xml:space="preserve"> </w:t>
      </w:r>
      <w:r w:rsidRPr="00051297">
        <w:rPr>
          <w:rFonts w:cs="Times New Roman"/>
          <w:szCs w:val="24"/>
          <w:lang w:val="en-US" w:bidi="en-US"/>
        </w:rPr>
        <w:t>– Real scenarios of catchment delineation challenges</w:t>
      </w:r>
      <w:bookmarkEnd w:id="485"/>
      <w:bookmarkEnd w:id="486"/>
      <w:bookmarkEnd w:id="487"/>
      <w:bookmarkEnd w:id="488"/>
    </w:p>
    <w:p w14:paraId="5A0FB29C" w14:textId="7DFE067D" w:rsidR="00051297" w:rsidRPr="00051297" w:rsidRDefault="00051297" w:rsidP="00090C07">
      <w:pPr>
        <w:pStyle w:val="4"/>
        <w:rPr>
          <w:rFonts w:eastAsia="Calibri"/>
        </w:rPr>
      </w:pPr>
      <w:bookmarkStart w:id="489" w:name="_Toc97504775"/>
      <w:bookmarkStart w:id="490" w:name="_Toc103543910"/>
      <w:bookmarkStart w:id="491" w:name="_Toc104985234"/>
      <w:r w:rsidRPr="00051297">
        <w:rPr>
          <w:rFonts w:eastAsia="Calibri"/>
        </w:rPr>
        <w:lastRenderedPageBreak/>
        <w:t>Project development</w:t>
      </w:r>
      <w:bookmarkStart w:id="492" w:name="_Hlk30444869"/>
      <w:bookmarkEnd w:id="489"/>
      <w:bookmarkEnd w:id="490"/>
      <w:bookmarkEnd w:id="491"/>
    </w:p>
    <w:p w14:paraId="270216E8" w14:textId="77777777" w:rsidR="00090C07" w:rsidRDefault="00051297" w:rsidP="00090C07">
      <w:pPr>
        <w:rPr>
          <w:lang w:val="en-US"/>
        </w:rPr>
      </w:pPr>
      <w:r w:rsidRPr="00051297">
        <w:rPr>
          <w:lang w:val="en-US"/>
        </w:rPr>
        <w:t>HEC-GeoHMS is designed with more advanced features for the generation of catchment boundaries and streams. After the DEM preprocessing, the Project Setup menus were used to develop the projects for the entire catchment and each of the individual sub-basins. The workflow included setting data using the Data Management tool, starting a project using the Start New Project tool as well as generating a project using the Generate Project tool.</w:t>
      </w:r>
      <w:bookmarkStart w:id="493" w:name="_Toc97504776"/>
      <w:bookmarkStart w:id="494" w:name="_Toc103543911"/>
      <w:bookmarkEnd w:id="492"/>
    </w:p>
    <w:p w14:paraId="72436B87" w14:textId="3205E3D4" w:rsidR="00051297" w:rsidRPr="00051297" w:rsidRDefault="00051297" w:rsidP="00090C07">
      <w:pPr>
        <w:pStyle w:val="4"/>
        <w:rPr>
          <w:rFonts w:eastAsia="Calibri"/>
        </w:rPr>
      </w:pPr>
      <w:bookmarkStart w:id="495" w:name="_Toc104985235"/>
      <w:r w:rsidRPr="00051297">
        <w:rPr>
          <w:rFonts w:eastAsia="Calibri"/>
        </w:rPr>
        <w:t>Estimation of discharge</w:t>
      </w:r>
      <w:bookmarkEnd w:id="493"/>
      <w:bookmarkEnd w:id="494"/>
      <w:bookmarkEnd w:id="495"/>
    </w:p>
    <w:p w14:paraId="1F810857" w14:textId="33D89637" w:rsidR="00051297" w:rsidRPr="00051297" w:rsidRDefault="00051297" w:rsidP="00051297">
      <w:pPr>
        <w:spacing w:after="200"/>
        <w:ind w:firstLine="284"/>
        <w:contextualSpacing/>
        <w:rPr>
          <w:rFonts w:eastAsia="Calibri" w:cs="Times New Roman"/>
          <w:szCs w:val="24"/>
          <w:lang w:val="en-US"/>
        </w:rPr>
      </w:pPr>
      <w:r w:rsidRPr="00051297">
        <w:rPr>
          <w:rFonts w:eastAsia="Calibri" w:cs="Times New Roman"/>
          <w:szCs w:val="24"/>
          <w:lang w:val="en-US"/>
        </w:rPr>
        <w:t xml:space="preserve">Finally, the discharge for each sub-catchment contributing to a potential dam site and the total catchment discharge for the whole catchment were computed using the Rational Method as described in Equation </w:t>
      </w:r>
      <w:r w:rsidRPr="00051297">
        <w:rPr>
          <w:rFonts w:eastAsia="Calibri" w:cs="Times New Roman"/>
          <w:szCs w:val="24"/>
          <w:lang w:val="en-US"/>
        </w:rPr>
        <w:fldChar w:fldCharType="begin"/>
      </w:r>
      <w:r w:rsidRPr="00051297">
        <w:rPr>
          <w:rFonts w:eastAsia="Calibri" w:cs="Times New Roman"/>
          <w:szCs w:val="24"/>
          <w:lang w:val="en-US"/>
        </w:rPr>
        <w:instrText xml:space="preserve"> REF _Ref103557367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CF2B2B">
        <w:rPr>
          <w:rFonts w:cs="Times New Roman"/>
          <w:szCs w:val="24"/>
          <w:lang w:val="en-US"/>
        </w:rPr>
        <w:t>(</w:t>
      </w:r>
      <w:r w:rsidR="004870F1" w:rsidRPr="00CF2B2B">
        <w:rPr>
          <w:rFonts w:cs="Times New Roman"/>
          <w:noProof/>
          <w:szCs w:val="24"/>
          <w:lang w:val="en-US"/>
        </w:rPr>
        <w:t>2</w:t>
      </w:r>
      <w:r w:rsidR="004870F1" w:rsidRPr="00CF2B2B">
        <w:rPr>
          <w:rFonts w:cs="Times New Roman"/>
          <w:szCs w:val="24"/>
          <w:lang w:val="en-US"/>
        </w:rPr>
        <w:t>.</w:t>
      </w:r>
      <w:r w:rsidR="004870F1" w:rsidRPr="00CF2B2B">
        <w:rPr>
          <w:rFonts w:cs="Times New Roman"/>
          <w:noProof/>
          <w:szCs w:val="24"/>
          <w:lang w:val="en-US"/>
        </w:rPr>
        <w:t>2</w:t>
      </w:r>
      <w:r w:rsidR="004870F1" w:rsidRPr="00CF2B2B">
        <w:rPr>
          <w:rFonts w:cs="Times New Roman"/>
          <w:szCs w:val="24"/>
          <w:lang w:val="en-US"/>
        </w:rPr>
        <w:t>)</w:t>
      </w:r>
      <w:r w:rsidRPr="00051297">
        <w:rPr>
          <w:rFonts w:eastAsia="Calibri" w:cs="Times New Roman"/>
          <w:szCs w:val="24"/>
          <w:lang w:val="en-US"/>
        </w:rPr>
        <w:fldChar w:fldCharType="end"/>
      </w:r>
      <w:r w:rsidRPr="00051297">
        <w:rPr>
          <w:rFonts w:eastAsia="Calibri" w:cs="Times New Roman"/>
          <w:szCs w:val="24"/>
          <w:lang w:val="en-US"/>
        </w:rPr>
        <w:t xml:space="preserve"> below. </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
        <w:gridCol w:w="7728"/>
        <w:gridCol w:w="925"/>
      </w:tblGrid>
      <w:tr w:rsidR="00051297" w:rsidRPr="00051297" w14:paraId="698103F0" w14:textId="77777777" w:rsidTr="00D20B01">
        <w:tc>
          <w:tcPr>
            <w:tcW w:w="715" w:type="dxa"/>
            <w:vAlign w:val="center"/>
          </w:tcPr>
          <w:p w14:paraId="3429B378" w14:textId="77777777" w:rsidR="00051297" w:rsidRPr="00051297" w:rsidRDefault="00051297" w:rsidP="00051297">
            <w:pPr>
              <w:jc w:val="center"/>
              <w:rPr>
                <w:rFonts w:cs="Times New Roman"/>
                <w:szCs w:val="24"/>
              </w:rPr>
            </w:pPr>
          </w:p>
        </w:tc>
        <w:tc>
          <w:tcPr>
            <w:tcW w:w="7920" w:type="dxa"/>
            <w:vAlign w:val="center"/>
          </w:tcPr>
          <w:p w14:paraId="3ED6CF78" w14:textId="77777777" w:rsidR="00051297" w:rsidRPr="00051297" w:rsidRDefault="00051297" w:rsidP="00051297">
            <w:pPr>
              <w:jc w:val="center"/>
              <w:rPr>
                <w:rFonts w:cs="Times New Roman"/>
                <w:szCs w:val="24"/>
              </w:rPr>
            </w:pPr>
            <m:oMathPara>
              <m:oMath>
                <m:r>
                  <w:rPr>
                    <w:rFonts w:ascii="Cambria Math" w:hAnsi="Cambria Math" w:cs="Times New Roman"/>
                    <w:szCs w:val="24"/>
                  </w:rPr>
                  <m:t>Q = CIA</m:t>
                </m:r>
              </m:oMath>
            </m:oMathPara>
          </w:p>
        </w:tc>
        <w:tc>
          <w:tcPr>
            <w:tcW w:w="715" w:type="dxa"/>
            <w:vAlign w:val="center"/>
          </w:tcPr>
          <w:p w14:paraId="51E2165E" w14:textId="23985933" w:rsidR="00051297" w:rsidRPr="00051297" w:rsidRDefault="00051297" w:rsidP="00051297">
            <w:pPr>
              <w:jc w:val="right"/>
            </w:pPr>
            <w:r w:rsidRPr="00051297">
              <w:rPr>
                <w:rFonts w:cs="Times New Roman"/>
                <w:szCs w:val="24"/>
              </w:rPr>
              <w:t xml:space="preserve"> </w:t>
            </w:r>
            <w:bookmarkStart w:id="496" w:name="_Ref103557367"/>
            <w:r w:rsidRPr="00051297">
              <w:rPr>
                <w:rFonts w:cs="Times New Roman"/>
                <w:szCs w:val="24"/>
              </w:rPr>
              <w:t>(</w:t>
            </w:r>
            <w:r w:rsidRPr="00051297">
              <w:rPr>
                <w:rFonts w:cs="Times New Roman"/>
                <w:szCs w:val="24"/>
              </w:rPr>
              <w:fldChar w:fldCharType="begin"/>
            </w:r>
            <w:r w:rsidRPr="00051297">
              <w:rPr>
                <w:rFonts w:cs="Times New Roman"/>
                <w:szCs w:val="24"/>
              </w:rPr>
              <w:instrText xml:space="preserve"> STYLEREF 1 \s </w:instrText>
            </w:r>
            <w:r w:rsidRPr="00051297">
              <w:rPr>
                <w:rFonts w:cs="Times New Roman"/>
                <w:szCs w:val="24"/>
              </w:rPr>
              <w:fldChar w:fldCharType="separate"/>
            </w:r>
            <w:r w:rsidR="004870F1">
              <w:rPr>
                <w:rFonts w:cs="Times New Roman"/>
                <w:noProof/>
                <w:szCs w:val="24"/>
              </w:rPr>
              <w:t>2</w:t>
            </w:r>
            <w:r w:rsidRPr="00051297">
              <w:rPr>
                <w:rFonts w:cs="Times New Roman"/>
                <w:szCs w:val="24"/>
              </w:rPr>
              <w:fldChar w:fldCharType="end"/>
            </w:r>
            <w:r w:rsidRPr="00051297">
              <w:rPr>
                <w:rFonts w:cs="Times New Roman"/>
                <w:szCs w:val="24"/>
              </w:rPr>
              <w:t>.</w:t>
            </w:r>
            <w:r w:rsidRPr="00051297">
              <w:rPr>
                <w:rFonts w:cs="Times New Roman"/>
                <w:szCs w:val="24"/>
              </w:rPr>
              <w:fldChar w:fldCharType="begin"/>
            </w:r>
            <w:r w:rsidRPr="00051297">
              <w:rPr>
                <w:rFonts w:cs="Times New Roman"/>
                <w:szCs w:val="24"/>
              </w:rPr>
              <w:instrText xml:space="preserve"> SEQ Equation \* ARABIC \s 1 </w:instrText>
            </w:r>
            <w:r w:rsidRPr="00051297">
              <w:rPr>
                <w:rFonts w:cs="Times New Roman"/>
                <w:szCs w:val="24"/>
              </w:rPr>
              <w:fldChar w:fldCharType="separate"/>
            </w:r>
            <w:r w:rsidR="004870F1">
              <w:rPr>
                <w:rFonts w:cs="Times New Roman"/>
                <w:noProof/>
                <w:szCs w:val="24"/>
              </w:rPr>
              <w:t>2</w:t>
            </w:r>
            <w:r w:rsidRPr="00051297">
              <w:rPr>
                <w:rFonts w:cs="Times New Roman"/>
                <w:szCs w:val="24"/>
              </w:rPr>
              <w:fldChar w:fldCharType="end"/>
            </w:r>
            <w:r w:rsidRPr="00051297">
              <w:rPr>
                <w:rFonts w:cs="Times New Roman"/>
                <w:szCs w:val="24"/>
              </w:rPr>
              <w:t>)</w:t>
            </w:r>
            <w:bookmarkEnd w:id="496"/>
          </w:p>
        </w:tc>
      </w:tr>
    </w:tbl>
    <w:p w14:paraId="15810EB1" w14:textId="77777777" w:rsidR="00051297" w:rsidRPr="00051297" w:rsidRDefault="00051297" w:rsidP="00051297">
      <w:pPr>
        <w:rPr>
          <w:rFonts w:eastAsia="Calibri" w:cs="Times New Roman"/>
          <w:szCs w:val="24"/>
          <w:lang w:val="en-US"/>
        </w:rPr>
      </w:pPr>
      <w:r w:rsidRPr="00222B19">
        <w:rPr>
          <w:rFonts w:eastAsia="Calibri" w:cs="Times New Roman"/>
          <w:szCs w:val="24"/>
          <w:lang w:val="en-US"/>
        </w:rPr>
        <w:t>Whereby</w:t>
      </w:r>
      <w:r w:rsidRPr="00051297">
        <w:rPr>
          <w:rFonts w:eastAsia="Calibri" w:cs="Times New Roman"/>
          <w:szCs w:val="24"/>
          <w:lang w:val="en-US"/>
        </w:rPr>
        <w:t>:</w:t>
      </w:r>
    </w:p>
    <w:p w14:paraId="131D637C" w14:textId="77777777" w:rsidR="00051297" w:rsidRPr="00051297" w:rsidRDefault="00051297" w:rsidP="00051297">
      <w:pPr>
        <w:rPr>
          <w:rFonts w:eastAsia="Calibri" w:cs="Times New Roman"/>
          <w:szCs w:val="24"/>
          <w:lang w:val="en-US"/>
        </w:rPr>
      </w:pPr>
      <w:r w:rsidRPr="00051297">
        <w:rPr>
          <w:rFonts w:eastAsia="Calibri" w:cs="Times New Roman"/>
          <w:szCs w:val="24"/>
          <w:lang w:val="en-US"/>
        </w:rPr>
        <w:t xml:space="preserve">Q – the total discharge in cusec; I – rainfall intensity; A – catchment area; C – runoff coefficient. </w:t>
      </w:r>
    </w:p>
    <w:p w14:paraId="697E54F3" w14:textId="77777777" w:rsidR="00051297" w:rsidRPr="00051297" w:rsidRDefault="00051297" w:rsidP="00051297">
      <w:pPr>
        <w:spacing w:after="200"/>
        <w:rPr>
          <w:rFonts w:eastAsia="Calibri" w:cs="Times New Roman"/>
          <w:szCs w:val="24"/>
          <w:lang w:val="en-US"/>
        </w:rPr>
      </w:pPr>
      <w:r w:rsidRPr="00051297">
        <w:rPr>
          <w:rFonts w:eastAsia="Calibri" w:cs="Times New Roman"/>
          <w:szCs w:val="24"/>
          <w:lang w:val="en-US"/>
        </w:rPr>
        <w:t xml:space="preserve">The coefficient of rainfall is an important indicator of the soil type of the watershed. </w:t>
      </w:r>
    </w:p>
    <w:p w14:paraId="2E8DE45E" w14:textId="51914A9F" w:rsidR="00051297" w:rsidRPr="00051297" w:rsidRDefault="00051297" w:rsidP="00051297">
      <w:pPr>
        <w:rPr>
          <w:lang w:val="en-US"/>
        </w:rPr>
      </w:pPr>
      <w:r w:rsidRPr="00051297">
        <w:rPr>
          <w:lang w:val="en-US"/>
        </w:rPr>
        <w:t xml:space="preserve">The value of C ranges between 0 and 1; the value of C approaches 0 for sandy soil type and toward 1 for clayish soil type </w:t>
      </w:r>
      <w:r w:rsidRPr="00051297">
        <w:fldChar w:fldCharType="begin" w:fldLock="1"/>
      </w:r>
      <w:r w:rsidR="00FA5896">
        <w:rPr>
          <w:lang w:val="en-US"/>
        </w:rPr>
        <w:instrText>ADDIN CSL_CITATION {"citationItems":[{"id":"ITEM-1","itemData":{"author":[{"dropping-particle":"","family":"Transportation","given":"North Carolina Department of","non-dropping-particle":"","parse-names":false,"suffix":""}],"id":"ITEM-1","issued":{"date-parts":[["2018"]]},"title":"Level III Design of Erosion &amp; Sediment Control Plans","type":"article"},"uris":["http://www.mendeley.com/documents/?uuid=918060ee-3c23-4566-b305-651eab4128f2","http://www.mendeley.com/documents/?uuid=b6f7a32a-3d32-40f8-89eb-50d7d3c884f1"]}],"mendeley":{"formattedCitation":"[246]","manualFormatting":"(NCDT, 2018)","plainTextFormattedCitation":"[246]","previouslyFormattedCitation":"[246]"},"properties":{"noteIndex":0},"schema":"https://github.com/citation-style-language/schema/raw/master/csl-citation.json"}</w:instrText>
      </w:r>
      <w:r w:rsidRPr="00051297">
        <w:fldChar w:fldCharType="separate"/>
      </w:r>
      <w:r w:rsidRPr="00051297">
        <w:rPr>
          <w:noProof/>
          <w:lang w:val="en-US"/>
        </w:rPr>
        <w:t>(NCDT, 2018)</w:t>
      </w:r>
      <w:r w:rsidRPr="00051297">
        <w:fldChar w:fldCharType="end"/>
      </w:r>
      <w:r w:rsidRPr="00051297">
        <w:rPr>
          <w:lang w:val="en-US"/>
        </w:rPr>
        <w:t xml:space="preserve">. The runoff coefficients were assigned to each land-use class in the attributes table in ArcGIS. A number of parameters can be used to determine the Runoff coefficient, although the main ones are slope (e.g., steep and gentle slope), the type of the soil (such as sand, clay, and silty), and land surface cover (pervious and impervious surfaces). The spatial analysis for the surface land use/ land cover was accomplished using the Landsat images. In this study, land surface cover (degree of impervious surface) was taken as the main factor for runoff generation as the catchment is characterized by many flat surfaces. The rainfall intensity was extracted from the 100-year extreme rainfall event of December 20, 2011, as </w:t>
      </w:r>
      <w:bookmarkStart w:id="497" w:name="_Hlk30371690"/>
      <w:r w:rsidRPr="00051297">
        <w:rPr>
          <w:lang w:val="en-US"/>
        </w:rPr>
        <w:t>recorded by the Tanzania Meteorological Agency (TMA)</w:t>
      </w:r>
      <w:bookmarkEnd w:id="497"/>
      <w:r w:rsidRPr="00051297">
        <w:rPr>
          <w:lang w:val="en-US"/>
        </w:rPr>
        <w:t>.</w:t>
      </w:r>
    </w:p>
    <w:p w14:paraId="147EA7D1" w14:textId="37CC09FB" w:rsidR="00051297" w:rsidRPr="00051297" w:rsidRDefault="00051297" w:rsidP="00090C07">
      <w:pPr>
        <w:pStyle w:val="4"/>
        <w:rPr>
          <w:rFonts w:eastAsia="Calibri"/>
          <w:lang w:val="en-US"/>
        </w:rPr>
      </w:pPr>
      <w:bookmarkStart w:id="498" w:name="_Toc97504777"/>
      <w:bookmarkStart w:id="499" w:name="_Toc103543912"/>
      <w:bookmarkStart w:id="500" w:name="_Toc104985236"/>
      <w:r w:rsidRPr="00051297">
        <w:rPr>
          <w:rFonts w:eastAsia="Calibri"/>
          <w:lang w:val="en-US"/>
        </w:rPr>
        <w:t>Land use/ land cover analysis</w:t>
      </w:r>
      <w:bookmarkStart w:id="501" w:name="_Hlk30445367"/>
      <w:bookmarkEnd w:id="498"/>
      <w:bookmarkEnd w:id="499"/>
      <w:bookmarkEnd w:id="500"/>
    </w:p>
    <w:p w14:paraId="59F8C335" w14:textId="3D49304C" w:rsidR="00051297" w:rsidRPr="00051297" w:rsidRDefault="00051297" w:rsidP="00051297">
      <w:pPr>
        <w:spacing w:after="200"/>
        <w:rPr>
          <w:rFonts w:eastAsia="Calibri" w:cs="Times New Roman"/>
          <w:szCs w:val="24"/>
          <w:lang w:val="en-US"/>
        </w:rPr>
      </w:pPr>
      <w:r w:rsidRPr="00051297">
        <w:rPr>
          <w:rFonts w:eastAsia="Calibri" w:cs="Times New Roman"/>
          <w:szCs w:val="24"/>
          <w:lang w:val="en-US"/>
        </w:rPr>
        <w:t>The land use/ land cover analysis was useful during the selection of the Runoff coefficient. With the help of having good knowledge of the study catchment, the Google Earth high-resolution images and the Interactive Supervised Classification approach in ArcGIS were used to analyze the land surface cover, which is defined from the current use of the land. The main five land use/land cover classes (</w:t>
      </w:r>
      <w:r w:rsidRPr="00051297">
        <w:rPr>
          <w:rFonts w:eastAsia="Calibri" w:cs="Times New Roman"/>
          <w:szCs w:val="24"/>
        </w:rPr>
        <w:fldChar w:fldCharType="begin"/>
      </w:r>
      <w:r w:rsidRPr="00051297">
        <w:rPr>
          <w:rFonts w:eastAsia="Calibri" w:cs="Times New Roman"/>
          <w:szCs w:val="24"/>
          <w:lang w:val="en-US"/>
        </w:rPr>
        <w:instrText xml:space="preserve"> REF _Ref98103577 \h </w:instrText>
      </w:r>
      <w:r w:rsidRPr="00051297">
        <w:rPr>
          <w:rFonts w:eastAsia="Calibri" w:cs="Times New Roman"/>
          <w:szCs w:val="24"/>
        </w:rPr>
      </w:r>
      <w:r w:rsidRPr="00051297">
        <w:rPr>
          <w:rFonts w:eastAsia="Calibri" w:cs="Times New Roman"/>
          <w:szCs w:val="24"/>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2</w:t>
      </w:r>
      <w:r w:rsidR="004870F1" w:rsidRPr="00051297">
        <w:rPr>
          <w:rFonts w:cs="Times New Roman"/>
          <w:szCs w:val="24"/>
          <w:lang w:val="en-US" w:bidi="en-US"/>
        </w:rPr>
        <w:t>.</w:t>
      </w:r>
      <w:r w:rsidR="004870F1">
        <w:rPr>
          <w:rFonts w:cs="Times New Roman"/>
          <w:noProof/>
          <w:szCs w:val="24"/>
          <w:lang w:val="en-US" w:bidi="en-US"/>
        </w:rPr>
        <w:t>1</w:t>
      </w:r>
      <w:r w:rsidRPr="00051297">
        <w:rPr>
          <w:rFonts w:eastAsia="Calibri" w:cs="Times New Roman"/>
          <w:szCs w:val="24"/>
        </w:rPr>
        <w:fldChar w:fldCharType="end"/>
      </w:r>
      <w:r w:rsidRPr="00051297">
        <w:rPr>
          <w:rFonts w:eastAsia="Calibri" w:cs="Times New Roman"/>
          <w:szCs w:val="24"/>
          <w:lang w:val="en-US"/>
        </w:rPr>
        <w:t xml:space="preserve">) were selected during the analysis, and the impervious coefficients were assigned according to the National Land Cover Database 2011 (NLCD2011) Legend </w:t>
      </w:r>
      <w:r w:rsidRPr="00051297">
        <w:rPr>
          <w:rFonts w:eastAsia="Calibri" w:cs="Times New Roman"/>
          <w:szCs w:val="24"/>
        </w:rPr>
        <w:fldChar w:fldCharType="begin" w:fldLock="1"/>
      </w:r>
      <w:r w:rsidR="00FA5896">
        <w:rPr>
          <w:rFonts w:eastAsia="Calibri" w:cs="Times New Roman"/>
          <w:szCs w:val="24"/>
          <w:lang w:val="en-US"/>
        </w:rPr>
        <w:instrText>ADDIN CSL_CITATION {"citationItems":[{"id":"ITEM-1","itemData":{"abstract":"The National Land Cover Database (NLCD) serves as the definitive Landsat-based, 30-meter resolution, land cover database for the Nation. NLCD provides spatial reference and descriptive data for characteristics of the land surface such as thematic class (for example, urban, agriculture, and forest), percent impervious surface, and percent tree canopy cover. NLCD supports a wide variety of Federal, State, local, and nongovernmental applications that seek to assess ecosystem status and health, understand the spatial patterns of biodiversity, predict effects of climate change, and develop land management policy. NLCD products are created by the Multi-Resolution Land Characteristics (MRLC) Consortium, a partnership of Federal agencies led by the U.S. Geological Survey. All NLCD data products are available for download at no charge to the public from the MRLC Web site: http://www.mrlc.gov.","author":[{"dropping-particle":"","family":"Homer","given":"Collin","non-dropping-particle":"","parse-names":false,"suffix":""},{"dropping-particle":"","family":"Fry","given":"Joyce","non-dropping-particle":"","parse-names":false,"suffix":""}],"container-title":"US Geological Survey Fact Sheet","id":"ITEM-1","issued":{"date-parts":[["2012"]]},"title":"The National Land Cover Database","type":"article-journal"},"uris":["http://www.mendeley.com/documents/?uuid=12cc6d7b-8fd9-47d7-84d0-c8224c987af1","http://www.mendeley.com/documents/?uuid=99e0d613-758e-48b8-92ba-d6bba985f978"]}],"mendeley":{"formattedCitation":"[247]","plainTextFormattedCitation":"[247]","previouslyFormattedCitation":"[247]"},"properties":{"noteIndex":0},"schema":"https://github.com/citation-style-language/schema/raw/master/csl-citation.json"}</w:instrText>
      </w:r>
      <w:r w:rsidRPr="00051297">
        <w:rPr>
          <w:rFonts w:eastAsia="Calibri" w:cs="Times New Roman"/>
          <w:szCs w:val="24"/>
        </w:rPr>
        <w:fldChar w:fldCharType="separate"/>
      </w:r>
      <w:r w:rsidR="0032684D" w:rsidRPr="0032684D">
        <w:rPr>
          <w:rFonts w:eastAsia="Calibri" w:cs="Times New Roman"/>
          <w:noProof/>
          <w:szCs w:val="24"/>
          <w:lang w:val="en-US"/>
        </w:rPr>
        <w:t>[247]</w:t>
      </w:r>
      <w:r w:rsidRPr="00051297">
        <w:rPr>
          <w:rFonts w:eastAsia="Calibri" w:cs="Times New Roman"/>
          <w:szCs w:val="24"/>
        </w:rPr>
        <w:fldChar w:fldCharType="end"/>
      </w:r>
      <w:r w:rsidRPr="00051297">
        <w:rPr>
          <w:rFonts w:eastAsia="Calibri" w:cs="Times New Roman"/>
          <w:szCs w:val="24"/>
          <w:lang w:val="en-US"/>
        </w:rPr>
        <w:t xml:space="preserve">. The </w:t>
      </w:r>
      <w:r w:rsidRPr="00051297">
        <w:rPr>
          <w:rFonts w:eastAsia="Calibri" w:cs="Times New Roman"/>
          <w:szCs w:val="24"/>
          <w:lang w:val="en-US"/>
        </w:rPr>
        <w:lastRenderedPageBreak/>
        <w:t>results from the land use/land cover were then combined with the catchment delineation results for the dam site assessment and selection.</w:t>
      </w:r>
    </w:p>
    <w:p w14:paraId="3765B0A1" w14:textId="3A34EC45" w:rsidR="00051297" w:rsidRPr="00051297" w:rsidRDefault="00051297" w:rsidP="00051297">
      <w:pPr>
        <w:rPr>
          <w:rFonts w:cs="Times New Roman"/>
          <w:szCs w:val="24"/>
          <w:lang w:val="en-US" w:bidi="en-US"/>
        </w:rPr>
      </w:pPr>
      <w:bookmarkStart w:id="502" w:name="_Ref98103577"/>
      <w:bookmarkStart w:id="503" w:name="_Toc97077191"/>
      <w:bookmarkStart w:id="504" w:name="_Toc103544241"/>
      <w:bookmarkStart w:id="505" w:name="_Toc104985567"/>
      <w:bookmarkStart w:id="506" w:name="_Hlk30454482"/>
      <w:bookmarkEnd w:id="501"/>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2</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1</w:t>
      </w:r>
      <w:r w:rsidRPr="00051297">
        <w:rPr>
          <w:rFonts w:cs="Times New Roman"/>
          <w:szCs w:val="24"/>
          <w:lang w:val="en-US" w:bidi="en-US"/>
        </w:rPr>
        <w:fldChar w:fldCharType="end"/>
      </w:r>
      <w:bookmarkStart w:id="507" w:name="_Ref29435721"/>
      <w:bookmarkEnd w:id="502"/>
      <w:r w:rsidRPr="00051297">
        <w:rPr>
          <w:rFonts w:cs="Times New Roman"/>
          <w:szCs w:val="24"/>
          <w:lang w:val="en-US" w:bidi="en-US"/>
        </w:rPr>
        <w:t xml:space="preserve"> </w:t>
      </w:r>
      <w:bookmarkEnd w:id="507"/>
      <w:r w:rsidRPr="00051297">
        <w:rPr>
          <w:rFonts w:cs="Times New Roman"/>
          <w:szCs w:val="24"/>
          <w:lang w:val="en-US" w:bidi="en-US"/>
        </w:rPr>
        <w:t>– Land use/land cover classification</w:t>
      </w:r>
      <w:bookmarkEnd w:id="503"/>
      <w:bookmarkEnd w:id="504"/>
      <w:bookmarkEnd w:id="505"/>
    </w:p>
    <w:tbl>
      <w:tblPr>
        <w:tblStyle w:val="TableGrid6"/>
        <w:tblW w:w="0" w:type="auto"/>
        <w:jc w:val="center"/>
        <w:tblLook w:val="04A0" w:firstRow="1" w:lastRow="0" w:firstColumn="1" w:lastColumn="0" w:noHBand="0" w:noVBand="1"/>
      </w:tblPr>
      <w:tblGrid>
        <w:gridCol w:w="3120"/>
        <w:gridCol w:w="6224"/>
      </w:tblGrid>
      <w:tr w:rsidR="00051297" w:rsidRPr="00325C73" w14:paraId="0B68ED69" w14:textId="77777777" w:rsidTr="00D20B01">
        <w:trPr>
          <w:jc w:val="center"/>
        </w:trPr>
        <w:tc>
          <w:tcPr>
            <w:tcW w:w="3122" w:type="dxa"/>
          </w:tcPr>
          <w:p w14:paraId="5335EB4D" w14:textId="77777777" w:rsidR="00051297" w:rsidRPr="00325C73" w:rsidRDefault="00051297" w:rsidP="00051297">
            <w:pPr>
              <w:spacing w:line="240" w:lineRule="auto"/>
              <w:ind w:firstLine="0"/>
              <w:jc w:val="center"/>
              <w:rPr>
                <w:sz w:val="20"/>
                <w:szCs w:val="18"/>
              </w:rPr>
            </w:pPr>
            <w:bookmarkStart w:id="508" w:name="_Hlk28526894"/>
            <w:bookmarkEnd w:id="506"/>
            <w:r w:rsidRPr="00325C73">
              <w:rPr>
                <w:sz w:val="20"/>
                <w:szCs w:val="18"/>
              </w:rPr>
              <w:t>Class</w:t>
            </w:r>
          </w:p>
        </w:tc>
        <w:tc>
          <w:tcPr>
            <w:tcW w:w="6228" w:type="dxa"/>
          </w:tcPr>
          <w:p w14:paraId="5690C881" w14:textId="77777777" w:rsidR="00051297" w:rsidRPr="00325C73" w:rsidRDefault="00051297" w:rsidP="00051297">
            <w:pPr>
              <w:spacing w:line="240" w:lineRule="auto"/>
              <w:ind w:firstLine="0"/>
              <w:jc w:val="center"/>
              <w:rPr>
                <w:sz w:val="20"/>
                <w:szCs w:val="18"/>
              </w:rPr>
            </w:pPr>
            <w:r w:rsidRPr="00325C73">
              <w:rPr>
                <w:sz w:val="20"/>
                <w:szCs w:val="18"/>
              </w:rPr>
              <w:t>Description</w:t>
            </w:r>
          </w:p>
        </w:tc>
      </w:tr>
      <w:tr w:rsidR="00051297" w:rsidRPr="00425C78" w14:paraId="44A4FA8E" w14:textId="77777777" w:rsidTr="00D20B01">
        <w:trPr>
          <w:jc w:val="center"/>
        </w:trPr>
        <w:tc>
          <w:tcPr>
            <w:tcW w:w="3122" w:type="dxa"/>
          </w:tcPr>
          <w:p w14:paraId="536881E0" w14:textId="77777777" w:rsidR="00051297" w:rsidRPr="00325C73" w:rsidRDefault="00051297" w:rsidP="00051297">
            <w:pPr>
              <w:spacing w:line="240" w:lineRule="auto"/>
              <w:ind w:firstLine="0"/>
              <w:jc w:val="center"/>
              <w:rPr>
                <w:sz w:val="20"/>
                <w:szCs w:val="18"/>
              </w:rPr>
            </w:pPr>
            <w:r w:rsidRPr="00325C73">
              <w:rPr>
                <w:sz w:val="20"/>
                <w:szCs w:val="18"/>
              </w:rPr>
              <w:t>Water</w:t>
            </w:r>
          </w:p>
        </w:tc>
        <w:tc>
          <w:tcPr>
            <w:tcW w:w="6228" w:type="dxa"/>
          </w:tcPr>
          <w:p w14:paraId="6B4B5912" w14:textId="77777777" w:rsidR="00051297" w:rsidRPr="00325C73" w:rsidRDefault="00051297" w:rsidP="00051297">
            <w:pPr>
              <w:spacing w:line="240" w:lineRule="auto"/>
              <w:ind w:firstLine="0"/>
              <w:jc w:val="center"/>
              <w:rPr>
                <w:sz w:val="20"/>
                <w:szCs w:val="18"/>
              </w:rPr>
            </w:pPr>
            <w:r w:rsidRPr="00325C73">
              <w:rPr>
                <w:sz w:val="20"/>
                <w:szCs w:val="18"/>
              </w:rPr>
              <w:t>Open Water- areas of open water, generally with less than 25% cover of vegetation or soil.</w:t>
            </w:r>
          </w:p>
        </w:tc>
      </w:tr>
      <w:tr w:rsidR="00051297" w:rsidRPr="00425C78" w14:paraId="2CA55213" w14:textId="77777777" w:rsidTr="00D20B01">
        <w:trPr>
          <w:jc w:val="center"/>
        </w:trPr>
        <w:tc>
          <w:tcPr>
            <w:tcW w:w="3122" w:type="dxa"/>
          </w:tcPr>
          <w:p w14:paraId="082CEC89" w14:textId="77777777" w:rsidR="00051297" w:rsidRPr="00325C73" w:rsidRDefault="00051297" w:rsidP="00051297">
            <w:pPr>
              <w:spacing w:line="240" w:lineRule="auto"/>
              <w:ind w:firstLine="0"/>
              <w:jc w:val="center"/>
              <w:rPr>
                <w:sz w:val="20"/>
                <w:szCs w:val="18"/>
              </w:rPr>
            </w:pPr>
            <w:r w:rsidRPr="00325C73">
              <w:rPr>
                <w:sz w:val="20"/>
                <w:szCs w:val="18"/>
              </w:rPr>
              <w:t xml:space="preserve">Developed, Low Intensity </w:t>
            </w:r>
          </w:p>
        </w:tc>
        <w:tc>
          <w:tcPr>
            <w:tcW w:w="6228" w:type="dxa"/>
          </w:tcPr>
          <w:p w14:paraId="3E7AFA2B" w14:textId="77777777" w:rsidR="00051297" w:rsidRPr="00325C73" w:rsidRDefault="00051297" w:rsidP="00051297">
            <w:pPr>
              <w:spacing w:line="240" w:lineRule="auto"/>
              <w:ind w:firstLine="0"/>
              <w:jc w:val="center"/>
              <w:rPr>
                <w:sz w:val="20"/>
                <w:szCs w:val="18"/>
              </w:rPr>
            </w:pPr>
            <w:r w:rsidRPr="00325C73">
              <w:rPr>
                <w:sz w:val="20"/>
                <w:szCs w:val="18"/>
              </w:rPr>
              <w:t xml:space="preserve">A mixture of Areas with Barren Land, Grassland, Cultivated Crops, constructed materials, and vegetation. </w:t>
            </w:r>
          </w:p>
          <w:p w14:paraId="0EDC1885" w14:textId="77777777" w:rsidR="00051297" w:rsidRPr="00325C73" w:rsidRDefault="00051297" w:rsidP="00051297">
            <w:pPr>
              <w:spacing w:line="240" w:lineRule="auto"/>
              <w:ind w:firstLine="0"/>
              <w:jc w:val="center"/>
              <w:rPr>
                <w:sz w:val="20"/>
                <w:szCs w:val="18"/>
              </w:rPr>
            </w:pPr>
            <w:r w:rsidRPr="00325C73">
              <w:rPr>
                <w:sz w:val="20"/>
                <w:szCs w:val="18"/>
              </w:rPr>
              <w:t>Impervious surfaces 20% to 49% of the total cover.</w:t>
            </w:r>
          </w:p>
        </w:tc>
      </w:tr>
      <w:tr w:rsidR="00051297" w:rsidRPr="00425C78" w14:paraId="162B4FAF" w14:textId="77777777" w:rsidTr="00D20B01">
        <w:trPr>
          <w:jc w:val="center"/>
        </w:trPr>
        <w:tc>
          <w:tcPr>
            <w:tcW w:w="3122" w:type="dxa"/>
          </w:tcPr>
          <w:p w14:paraId="5D4A7FBD" w14:textId="77777777" w:rsidR="00051297" w:rsidRPr="00325C73" w:rsidRDefault="00051297" w:rsidP="00051297">
            <w:pPr>
              <w:spacing w:line="240" w:lineRule="auto"/>
              <w:ind w:firstLine="0"/>
              <w:jc w:val="center"/>
              <w:rPr>
                <w:sz w:val="20"/>
                <w:szCs w:val="18"/>
              </w:rPr>
            </w:pPr>
            <w:r w:rsidRPr="00325C73">
              <w:rPr>
                <w:sz w:val="20"/>
                <w:szCs w:val="18"/>
              </w:rPr>
              <w:t xml:space="preserve">Developed, Medium Intensity </w:t>
            </w:r>
          </w:p>
        </w:tc>
        <w:tc>
          <w:tcPr>
            <w:tcW w:w="6228" w:type="dxa"/>
          </w:tcPr>
          <w:p w14:paraId="0E135187" w14:textId="77777777" w:rsidR="00051297" w:rsidRPr="00325C73" w:rsidRDefault="00051297" w:rsidP="00051297">
            <w:pPr>
              <w:spacing w:line="240" w:lineRule="auto"/>
              <w:ind w:firstLine="0"/>
              <w:jc w:val="center"/>
              <w:rPr>
                <w:sz w:val="20"/>
                <w:szCs w:val="18"/>
              </w:rPr>
            </w:pPr>
            <w:r w:rsidRPr="00325C73">
              <w:rPr>
                <w:sz w:val="20"/>
                <w:szCs w:val="18"/>
              </w:rPr>
              <w:t>A mixture of constructed materials and vegetation. Impervious surfaces 50% to 79% of the total cover.</w:t>
            </w:r>
          </w:p>
        </w:tc>
      </w:tr>
      <w:tr w:rsidR="00051297" w:rsidRPr="00425C78" w14:paraId="3F679CFB" w14:textId="77777777" w:rsidTr="00D20B01">
        <w:trPr>
          <w:jc w:val="center"/>
        </w:trPr>
        <w:tc>
          <w:tcPr>
            <w:tcW w:w="3122" w:type="dxa"/>
          </w:tcPr>
          <w:p w14:paraId="169CA36D" w14:textId="77777777" w:rsidR="00051297" w:rsidRPr="00325C73" w:rsidRDefault="00051297" w:rsidP="00051297">
            <w:pPr>
              <w:spacing w:line="240" w:lineRule="auto"/>
              <w:ind w:firstLine="0"/>
              <w:jc w:val="center"/>
              <w:rPr>
                <w:sz w:val="20"/>
                <w:szCs w:val="18"/>
              </w:rPr>
            </w:pPr>
            <w:r w:rsidRPr="00325C73">
              <w:rPr>
                <w:sz w:val="20"/>
                <w:szCs w:val="18"/>
              </w:rPr>
              <w:t xml:space="preserve">Developed, High Intensity </w:t>
            </w:r>
          </w:p>
        </w:tc>
        <w:tc>
          <w:tcPr>
            <w:tcW w:w="6228" w:type="dxa"/>
          </w:tcPr>
          <w:p w14:paraId="12363E94" w14:textId="77777777" w:rsidR="00051297" w:rsidRPr="00325C73" w:rsidRDefault="00051297" w:rsidP="00051297">
            <w:pPr>
              <w:spacing w:line="240" w:lineRule="auto"/>
              <w:ind w:firstLine="0"/>
              <w:jc w:val="center"/>
              <w:rPr>
                <w:sz w:val="20"/>
                <w:szCs w:val="18"/>
              </w:rPr>
            </w:pPr>
            <w:r w:rsidRPr="00325C73">
              <w:rPr>
                <w:sz w:val="20"/>
                <w:szCs w:val="18"/>
              </w:rPr>
              <w:t xml:space="preserve">High-density places where a large number of people live or work. </w:t>
            </w:r>
          </w:p>
          <w:p w14:paraId="460B6D29" w14:textId="77777777" w:rsidR="00051297" w:rsidRPr="00325C73" w:rsidRDefault="00051297" w:rsidP="00051297">
            <w:pPr>
              <w:spacing w:line="240" w:lineRule="auto"/>
              <w:ind w:firstLine="0"/>
              <w:jc w:val="center"/>
              <w:rPr>
                <w:sz w:val="20"/>
                <w:szCs w:val="18"/>
              </w:rPr>
            </w:pPr>
            <w:r w:rsidRPr="00325C73">
              <w:rPr>
                <w:sz w:val="20"/>
                <w:szCs w:val="18"/>
              </w:rPr>
              <w:t>Impervious surfaces 80% to 100% of the total cover.</w:t>
            </w:r>
          </w:p>
        </w:tc>
      </w:tr>
      <w:tr w:rsidR="00051297" w:rsidRPr="00425C78" w14:paraId="48900077" w14:textId="77777777" w:rsidTr="00D20B01">
        <w:trPr>
          <w:jc w:val="center"/>
        </w:trPr>
        <w:tc>
          <w:tcPr>
            <w:tcW w:w="3122" w:type="dxa"/>
          </w:tcPr>
          <w:p w14:paraId="04FE0FEB" w14:textId="77777777" w:rsidR="00051297" w:rsidRPr="00325C73" w:rsidRDefault="00051297" w:rsidP="00051297">
            <w:pPr>
              <w:spacing w:line="240" w:lineRule="auto"/>
              <w:ind w:firstLine="0"/>
              <w:jc w:val="center"/>
              <w:rPr>
                <w:sz w:val="20"/>
                <w:szCs w:val="18"/>
              </w:rPr>
            </w:pPr>
            <w:r w:rsidRPr="00325C73">
              <w:rPr>
                <w:sz w:val="20"/>
                <w:szCs w:val="18"/>
              </w:rPr>
              <w:t>Forest</w:t>
            </w:r>
          </w:p>
        </w:tc>
        <w:tc>
          <w:tcPr>
            <w:tcW w:w="6228" w:type="dxa"/>
          </w:tcPr>
          <w:p w14:paraId="21B56FD5" w14:textId="77777777" w:rsidR="00051297" w:rsidRPr="00325C73" w:rsidRDefault="00051297" w:rsidP="00051297">
            <w:pPr>
              <w:spacing w:line="240" w:lineRule="auto"/>
              <w:ind w:firstLine="0"/>
              <w:jc w:val="center"/>
              <w:rPr>
                <w:sz w:val="20"/>
                <w:szCs w:val="18"/>
              </w:rPr>
            </w:pPr>
            <w:r w:rsidRPr="00325C73">
              <w:rPr>
                <w:sz w:val="20"/>
                <w:szCs w:val="18"/>
              </w:rPr>
              <w:t>Areas dominated by trees generally greater than 5 meters tall</w:t>
            </w:r>
          </w:p>
        </w:tc>
      </w:tr>
      <w:bookmarkEnd w:id="508"/>
    </w:tbl>
    <w:p w14:paraId="576EB703" w14:textId="77777777" w:rsidR="00051297" w:rsidRPr="00051297" w:rsidRDefault="00051297" w:rsidP="00051297">
      <w:pPr>
        <w:rPr>
          <w:lang w:val="en-US"/>
        </w:rPr>
      </w:pPr>
    </w:p>
    <w:p w14:paraId="4D6FC980" w14:textId="4F6ECDF7" w:rsidR="00051297" w:rsidRPr="00051297" w:rsidRDefault="00051297" w:rsidP="00090C07">
      <w:pPr>
        <w:pStyle w:val="5"/>
        <w:rPr>
          <w:rFonts w:eastAsia="Times New Roman"/>
          <w:noProof/>
        </w:rPr>
      </w:pPr>
      <w:bookmarkStart w:id="509" w:name="_Toc97504778"/>
      <w:bookmarkStart w:id="510" w:name="_Toc103543913"/>
      <w:bookmarkStart w:id="511" w:name="_Toc104985237"/>
      <w:r w:rsidRPr="00051297">
        <w:rPr>
          <w:rFonts w:eastAsia="Times New Roman"/>
          <w:noProof/>
        </w:rPr>
        <w:t>Land use classification</w:t>
      </w:r>
      <w:bookmarkEnd w:id="509"/>
      <w:bookmarkEnd w:id="510"/>
      <w:bookmarkEnd w:id="511"/>
      <w:r w:rsidRPr="00051297">
        <w:rPr>
          <w:rFonts w:eastAsia="Times New Roman"/>
          <w:noProof/>
        </w:rPr>
        <w:t xml:space="preserve"> </w:t>
      </w:r>
    </w:p>
    <w:p w14:paraId="5492246A" w14:textId="4752BACB" w:rsidR="00051297" w:rsidRPr="00051297" w:rsidRDefault="00051297" w:rsidP="00051297">
      <w:pPr>
        <w:ind w:firstLine="432"/>
        <w:rPr>
          <w:rFonts w:eastAsia="Times New Roman" w:cs="Times New Roman"/>
          <w:noProof/>
          <w:szCs w:val="24"/>
          <w:lang w:val="en-US"/>
        </w:rPr>
      </w:pPr>
      <w:r w:rsidRPr="00051297">
        <w:rPr>
          <w:rFonts w:eastAsia="Times New Roman" w:cs="Times New Roman"/>
          <w:noProof/>
          <w:szCs w:val="24"/>
          <w:lang w:val="en-US"/>
        </w:rPr>
        <w:t xml:space="preserve">As previously mentioned, the Interactive Supervised Classification and the Maximum Likelihood Classification methods were used to perform the land use/land cover image classification. </w:t>
      </w:r>
      <w:r w:rsidRPr="00051297">
        <w:rPr>
          <w:rFonts w:eastAsia="Times New Roman" w:cs="Times New Roman"/>
          <w:noProof/>
          <w:szCs w:val="24"/>
          <w:lang w:val="en-US"/>
        </w:rPr>
        <w:tab/>
        <w:t xml:space="preserve">Five main categories of land use in the catchment were identified, namely, developed low intensity, developed medium intensity, developed high intensity, water bodies, and forest. The general summary of the procedures is presented in </w:t>
      </w:r>
      <w:r w:rsidRPr="00051297">
        <w:rPr>
          <w:rFonts w:eastAsia="Times New Roman" w:cs="Times New Roman"/>
          <w:noProof/>
          <w:szCs w:val="24"/>
          <w:lang w:val="en-US"/>
        </w:rPr>
        <w:fldChar w:fldCharType="begin"/>
      </w:r>
      <w:r w:rsidRPr="00051297">
        <w:rPr>
          <w:rFonts w:eastAsia="Times New Roman" w:cs="Times New Roman"/>
          <w:noProof/>
          <w:szCs w:val="24"/>
          <w:lang w:val="en-US"/>
        </w:rPr>
        <w:instrText xml:space="preserve"> REF _Ref101229951 \h </w:instrText>
      </w:r>
      <w:r w:rsidRPr="00051297">
        <w:rPr>
          <w:rFonts w:eastAsia="Times New Roman" w:cs="Times New Roman"/>
          <w:noProof/>
          <w:szCs w:val="24"/>
          <w:lang w:val="en-US"/>
        </w:rPr>
      </w:r>
      <w:r w:rsidRPr="00051297">
        <w:rPr>
          <w:rFonts w:eastAsia="Times New Roman" w:cs="Times New Roman"/>
          <w:noProof/>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5</w:t>
      </w:r>
      <w:r w:rsidRPr="00051297">
        <w:rPr>
          <w:rFonts w:eastAsia="Times New Roman" w:cs="Times New Roman"/>
          <w:noProof/>
          <w:szCs w:val="24"/>
          <w:lang w:val="en-US"/>
        </w:rPr>
        <w:fldChar w:fldCharType="end"/>
      </w:r>
      <w:r w:rsidRPr="00051297">
        <w:rPr>
          <w:rFonts w:eastAsia="Times New Roman" w:cs="Times New Roman"/>
          <w:noProof/>
          <w:szCs w:val="24"/>
          <w:lang w:val="en-US"/>
        </w:rPr>
        <w:t>.</w:t>
      </w:r>
    </w:p>
    <w:p w14:paraId="058BEC73" w14:textId="416085A6" w:rsidR="00051297" w:rsidRPr="00051297" w:rsidRDefault="00325C73" w:rsidP="00051297">
      <w:pPr>
        <w:keepNext/>
        <w:ind w:firstLine="0"/>
        <w:jc w:val="center"/>
        <w:rPr>
          <w:rFonts w:cs="Times New Roman"/>
          <w:szCs w:val="24"/>
        </w:rPr>
      </w:pPr>
      <w:r w:rsidRPr="00051297">
        <w:rPr>
          <w:rFonts w:eastAsia="Calibri" w:cs="Times New Roman"/>
          <w:szCs w:val="24"/>
        </w:rPr>
        <w:object w:dxaOrig="11146" w:dyaOrig="12781" w14:anchorId="5A88F524">
          <v:shape id="_x0000_i1026" type="#_x0000_t75" style="width:244.8pt;height:286.8pt" o:ole="">
            <v:imagedata r:id="rId38" o:title=""/>
          </v:shape>
          <o:OLEObject Type="Embed" ProgID="Visio.Drawing.15" ShapeID="_x0000_i1026" DrawAspect="Content" ObjectID="_1715623132" r:id="rId39"/>
        </w:object>
      </w:r>
    </w:p>
    <w:p w14:paraId="63FAA781" w14:textId="51467E28" w:rsidR="00051297" w:rsidRPr="00051297" w:rsidRDefault="00051297" w:rsidP="00051297">
      <w:pPr>
        <w:ind w:firstLine="0"/>
        <w:jc w:val="center"/>
        <w:rPr>
          <w:rFonts w:cs="Times New Roman"/>
          <w:szCs w:val="24"/>
          <w:lang w:val="en-US" w:bidi="en-US"/>
        </w:rPr>
      </w:pPr>
      <w:bookmarkStart w:id="512" w:name="_Ref101229951"/>
      <w:bookmarkStart w:id="513" w:name="_Toc97428219"/>
      <w:bookmarkStart w:id="514" w:name="_Toc98085894"/>
      <w:bookmarkStart w:id="515" w:name="_Ref98103700"/>
      <w:bookmarkStart w:id="516" w:name="_Toc103544091"/>
      <w:bookmarkStart w:id="517" w:name="_Toc104985414"/>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bookmarkEnd w:id="512"/>
      <w:r w:rsidRPr="00051297">
        <w:t xml:space="preserve"> – Flow</w:t>
      </w:r>
      <w:r w:rsidRPr="00051297">
        <w:rPr>
          <w:rFonts w:cs="Times New Roman"/>
          <w:szCs w:val="24"/>
          <w:lang w:val="en-US" w:bidi="en-US"/>
        </w:rPr>
        <w:t xml:space="preserve"> chart</w:t>
      </w:r>
      <w:bookmarkEnd w:id="513"/>
      <w:bookmarkEnd w:id="514"/>
      <w:bookmarkEnd w:id="515"/>
      <w:bookmarkEnd w:id="516"/>
      <w:bookmarkEnd w:id="517"/>
    </w:p>
    <w:p w14:paraId="21F8F4C1" w14:textId="43F1AAAB" w:rsidR="00051297" w:rsidRPr="00051297" w:rsidRDefault="00051297" w:rsidP="00090C07">
      <w:pPr>
        <w:pStyle w:val="4"/>
        <w:rPr>
          <w:rFonts w:eastAsia="Calibri"/>
        </w:rPr>
      </w:pPr>
      <w:bookmarkStart w:id="518" w:name="_Toc97504779"/>
      <w:bookmarkStart w:id="519" w:name="_Toc103543914"/>
      <w:bookmarkStart w:id="520" w:name="_Toc104985238"/>
      <w:r w:rsidRPr="00051297">
        <w:rPr>
          <w:rFonts w:eastAsia="Calibri"/>
        </w:rPr>
        <w:t>Dam site selection</w:t>
      </w:r>
      <w:bookmarkStart w:id="521" w:name="_Hlk30454581"/>
      <w:bookmarkEnd w:id="518"/>
      <w:bookmarkEnd w:id="519"/>
      <w:bookmarkEnd w:id="520"/>
    </w:p>
    <w:p w14:paraId="66D25160" w14:textId="77777777" w:rsidR="00051297" w:rsidRPr="00051297" w:rsidRDefault="00051297" w:rsidP="00051297">
      <w:pPr>
        <w:rPr>
          <w:lang w:val="en-US"/>
        </w:rPr>
      </w:pPr>
      <w:r w:rsidRPr="00051297">
        <w:rPr>
          <w:lang w:val="en-US"/>
        </w:rPr>
        <w:t xml:space="preserve">The site selection for dams was made based on the sub-basin having a sufficient number of networks, land surface cover (validated by satellite images), and the catchment slope.  Also, the </w:t>
      </w:r>
      <w:r w:rsidRPr="00051297">
        <w:rPr>
          <w:lang w:val="en-US"/>
        </w:rPr>
        <w:lastRenderedPageBreak/>
        <w:t xml:space="preserve">focus of the dam site locations was to make sure that dams are located in places where the mainstream of the catchment is not directly intercepted by a dam. The idea is to keep the mainstream within the normal flow during the flooding period as the excess amount of runoff is either retained or detained by the dams. With a sufficient amount of runoff being held in the dams during the flooding period, the mainstream is given enough time to safely accommodate the remaining amount of runoff. This approach intends to mitigate flood risks as well as the extending flow in the mainstream for an intermittent river, especially in a catchment in which some other means for flood control are not sufficient. </w:t>
      </w:r>
    </w:p>
    <w:p w14:paraId="2D88B1BC" w14:textId="7EB2292C" w:rsidR="00051297" w:rsidRPr="00051297" w:rsidRDefault="00051297" w:rsidP="00090C07">
      <w:pPr>
        <w:pStyle w:val="4"/>
        <w:rPr>
          <w:rFonts w:eastAsia="Calibri"/>
        </w:rPr>
      </w:pPr>
      <w:bookmarkStart w:id="522" w:name="_Toc97504780"/>
      <w:bookmarkStart w:id="523" w:name="_Toc103543915"/>
      <w:bookmarkStart w:id="524" w:name="_Toc104985239"/>
      <w:bookmarkEnd w:id="521"/>
      <w:r w:rsidRPr="00051297">
        <w:rPr>
          <w:rFonts w:eastAsia="Calibri"/>
          <w:lang w:val="en-US"/>
        </w:rPr>
        <w:t>R</w:t>
      </w:r>
      <w:r w:rsidRPr="00051297">
        <w:rPr>
          <w:rFonts w:eastAsia="Calibri"/>
        </w:rPr>
        <w:t>esults and discussion</w:t>
      </w:r>
      <w:bookmarkEnd w:id="522"/>
      <w:bookmarkEnd w:id="523"/>
      <w:bookmarkEnd w:id="524"/>
      <w:r w:rsidRPr="00051297">
        <w:rPr>
          <w:rFonts w:eastAsia="Calibri"/>
        </w:rPr>
        <w:t xml:space="preserve"> </w:t>
      </w:r>
    </w:p>
    <w:p w14:paraId="70173550" w14:textId="25776A29" w:rsidR="00051297" w:rsidRPr="00051297" w:rsidRDefault="00051297" w:rsidP="00090C07">
      <w:pPr>
        <w:pStyle w:val="5"/>
        <w:rPr>
          <w:rFonts w:eastAsia="Calibri"/>
        </w:rPr>
      </w:pPr>
      <w:bookmarkStart w:id="525" w:name="_Toc97504781"/>
      <w:bookmarkStart w:id="526" w:name="_Toc103543916"/>
      <w:bookmarkStart w:id="527" w:name="_Toc104985240"/>
      <w:r w:rsidRPr="00051297">
        <w:rPr>
          <w:rFonts w:eastAsia="Calibri"/>
        </w:rPr>
        <w:t>Results</w:t>
      </w:r>
      <w:bookmarkStart w:id="528" w:name="_Hlk30454636"/>
      <w:bookmarkEnd w:id="525"/>
      <w:bookmarkEnd w:id="526"/>
      <w:bookmarkEnd w:id="527"/>
    </w:p>
    <w:p w14:paraId="45652ADC" w14:textId="77777777" w:rsidR="00051297" w:rsidRPr="00051297" w:rsidRDefault="00051297" w:rsidP="00051297">
      <w:pPr>
        <w:rPr>
          <w:lang w:val="en-US"/>
        </w:rPr>
      </w:pPr>
      <w:r w:rsidRPr="00051297">
        <w:rPr>
          <w:lang w:val="en-US"/>
        </w:rPr>
        <w:t xml:space="preserve">With the help of the </w:t>
      </w:r>
      <w:r w:rsidRPr="00051297">
        <w:rPr>
          <w:color w:val="000000"/>
          <w:lang w:val="en-US"/>
        </w:rPr>
        <w:t>HEC-GeoHMS</w:t>
      </w:r>
      <w:r w:rsidRPr="00051297">
        <w:rPr>
          <w:lang w:val="en-US"/>
        </w:rPr>
        <w:t xml:space="preserve"> plugin in ArcGIS 10.5, the delineation of the case study was achieved. A number of geomorphological datasets were extracted from the DEM and analyzed, which include delineation of stream networks and catchment boundaries, delineation of sub-basins, slope profiles as well as the streams cross-sections. The HEC-GeoHMS generated well-drained and visible sub-basins and streams that were useful for the selection of potential dam site locations. </w:t>
      </w:r>
    </w:p>
    <w:p w14:paraId="552A09DF" w14:textId="4B519408" w:rsidR="00051297" w:rsidRPr="00051297" w:rsidRDefault="00051297" w:rsidP="00051297">
      <w:pPr>
        <w:rPr>
          <w:lang w:val="en-US"/>
        </w:rPr>
      </w:pPr>
      <w:r w:rsidRPr="00051297">
        <w:rPr>
          <w:lang w:val="en-US"/>
        </w:rPr>
        <w:t>After the DEM processing, 151 small sub-basins covering 151 streams were obtained. The hydro-filled DEM shows the variations in elevation for the study catchment from 0 to 312 meters, with an indication that the catchment is part of the low-lying areas.  The lowest elevation can be observed around the Indian Ocean coast, which is downstream of the catchment with its outlet discharging water into the Indian Ocean.</w:t>
      </w:r>
      <w:r w:rsidRPr="00051297">
        <w:rPr>
          <w:color w:val="FF0000"/>
          <w:lang w:val="en-US"/>
        </w:rPr>
        <w:t xml:space="preserve"> </w:t>
      </w:r>
      <w:r w:rsidRPr="00051297">
        <w:rPr>
          <w:lang w:val="en-US"/>
        </w:rPr>
        <w:t>The catchment is also characterized by a gradual change in slope (</w:t>
      </w:r>
      <w:r w:rsidRPr="00051297">
        <w:rPr>
          <w:lang w:val="en-US"/>
        </w:rPr>
        <w:fldChar w:fldCharType="begin"/>
      </w:r>
      <w:r w:rsidRPr="00051297">
        <w:rPr>
          <w:lang w:val="en-US"/>
        </w:rPr>
        <w:instrText xml:space="preserve"> REF _Ref98103803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7</w:t>
      </w:r>
      <w:r w:rsidRPr="00051297">
        <w:rPr>
          <w:lang w:val="en-US"/>
        </w:rPr>
        <w:fldChar w:fldCharType="end"/>
      </w:r>
      <w:r w:rsidRPr="00051297">
        <w:rPr>
          <w:lang w:val="en-US"/>
        </w:rPr>
        <w:t xml:space="preserve">). The presence of man-made structures such as bridges and flat areas (see </w:t>
      </w:r>
      <w:r w:rsidRPr="00051297">
        <w:rPr>
          <w:lang w:val="en-US"/>
        </w:rPr>
        <w:fldChar w:fldCharType="begin"/>
      </w:r>
      <w:r w:rsidRPr="00051297">
        <w:rPr>
          <w:lang w:val="en-US"/>
        </w:rPr>
        <w:instrText xml:space="preserve"> REF _Ref98103803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7</w:t>
      </w:r>
      <w:r w:rsidRPr="00051297">
        <w:rPr>
          <w:lang w:val="en-US"/>
        </w:rPr>
        <w:fldChar w:fldCharType="end"/>
      </w:r>
      <w:r w:rsidRPr="00051297">
        <w:rPr>
          <w:lang w:val="en-US"/>
        </w:rPr>
        <w:t>) is one of the challenges for accurate flow direction computation as they affect the proper trend of elevation (see Figure 3.8).</w:t>
      </w:r>
    </w:p>
    <w:p w14:paraId="48C98295" w14:textId="127A7ABF" w:rsidR="00051297" w:rsidRPr="00051297" w:rsidRDefault="00051297" w:rsidP="00051297">
      <w:pPr>
        <w:rPr>
          <w:lang w:val="en-US"/>
        </w:rPr>
      </w:pPr>
      <w:r w:rsidRPr="00051297">
        <w:rPr>
          <w:lang w:val="en-US"/>
        </w:rPr>
        <w:t xml:space="preserve">Using the Interactive Supervised Classification on selected Landsat images, the land use/land cover classes for the Msimbazi catchment were effectively classified. </w:t>
      </w:r>
      <w:bookmarkStart w:id="529" w:name="_Hlk28606444"/>
      <w:r w:rsidRPr="00051297">
        <w:rPr>
          <w:lang w:val="en-US"/>
        </w:rPr>
        <w:t xml:space="preserve">Five classes (see </w:t>
      </w:r>
      <w:r w:rsidRPr="00051297">
        <w:rPr>
          <w:lang w:val="en-US"/>
        </w:rPr>
        <w:fldChar w:fldCharType="begin"/>
      </w:r>
      <w:r w:rsidRPr="00051297">
        <w:rPr>
          <w:lang w:val="en-US"/>
        </w:rPr>
        <w:instrText xml:space="preserve"> REF _Ref98103850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6</w:t>
      </w:r>
      <w:r w:rsidRPr="00051297">
        <w:rPr>
          <w:lang w:val="en-US"/>
        </w:rPr>
        <w:fldChar w:fldCharType="end"/>
      </w:r>
      <w:r w:rsidRPr="00051297">
        <w:rPr>
          <w:lang w:val="en-US"/>
        </w:rPr>
        <w:t xml:space="preserve"> (</w:t>
      </w:r>
      <w:r w:rsidR="008908E6">
        <w:rPr>
          <w:lang w:val="en-US"/>
        </w:rPr>
        <w:t>a</w:t>
      </w:r>
      <w:r w:rsidRPr="00051297">
        <w:rPr>
          <w:lang w:val="en-US"/>
        </w:rPr>
        <w:t xml:space="preserve">)), namely, water, developed high intensity, developed medium intensity, developed low intensity, and vegetation, of the land use/land cover for the Msimbazi catchment were selected. The land use/land cover analysis observed a trend of development intensity increasing towards downstream and decreasing towards upstream (Kisarawe hills) where the catchment originates. The developed, high-intensity scenario (see </w:t>
      </w:r>
      <w:bookmarkEnd w:id="529"/>
      <w:r w:rsidRPr="00051297">
        <w:rPr>
          <w:lang w:val="en-US"/>
        </w:rPr>
        <w:fldChar w:fldCharType="begin"/>
      </w:r>
      <w:r w:rsidRPr="00051297">
        <w:rPr>
          <w:lang w:val="en-US"/>
        </w:rPr>
        <w:instrText xml:space="preserve"> REF _Ref98103850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6</w:t>
      </w:r>
      <w:r w:rsidRPr="00051297">
        <w:rPr>
          <w:lang w:val="en-US"/>
        </w:rPr>
        <w:fldChar w:fldCharType="end"/>
      </w:r>
      <w:r w:rsidRPr="00051297">
        <w:rPr>
          <w:lang w:val="en-US"/>
        </w:rPr>
        <w:t xml:space="preserve"> (</w:t>
      </w:r>
      <w:r w:rsidR="008908E6">
        <w:rPr>
          <w:lang w:val="en-US"/>
        </w:rPr>
        <w:t>a</w:t>
      </w:r>
      <w:r w:rsidRPr="00051297">
        <w:rPr>
          <w:lang w:val="en-US"/>
        </w:rPr>
        <w:t>)) was more detected downstream of the catchment, with the developed, low-intensity scenario being more dominant upstream of the catchment.</w:t>
      </w:r>
    </w:p>
    <w:bookmarkEnd w:id="528"/>
    <w:p w14:paraId="19CF9BA5" w14:textId="341DB504" w:rsidR="00051297" w:rsidRPr="00051297" w:rsidRDefault="00F57A94" w:rsidP="00325C73">
      <w:pPr>
        <w:keepNext/>
        <w:spacing w:line="240" w:lineRule="auto"/>
        <w:ind w:firstLine="0"/>
        <w:jc w:val="center"/>
        <w:rPr>
          <w:rFonts w:cs="Times New Roman"/>
          <w:szCs w:val="24"/>
        </w:rPr>
      </w:pPr>
      <w:r>
        <w:rPr>
          <w:noProof/>
        </w:rPr>
        <w:lastRenderedPageBreak/>
        <w:drawing>
          <wp:inline distT="0" distB="0" distL="0" distR="0" wp14:anchorId="4A402C7A" wp14:editId="062218A0">
            <wp:extent cx="5867400" cy="50863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67400" cy="5086350"/>
                    </a:xfrm>
                    <a:prstGeom prst="rect">
                      <a:avLst/>
                    </a:prstGeom>
                    <a:noFill/>
                    <a:ln>
                      <a:noFill/>
                    </a:ln>
                  </pic:spPr>
                </pic:pic>
              </a:graphicData>
            </a:graphic>
          </wp:inline>
        </w:drawing>
      </w:r>
    </w:p>
    <w:p w14:paraId="4C92D930" w14:textId="7D7BE513" w:rsidR="00051297" w:rsidRPr="003B5F0D" w:rsidRDefault="00051297" w:rsidP="00325C73">
      <w:pPr>
        <w:ind w:firstLine="0"/>
        <w:jc w:val="center"/>
        <w:rPr>
          <w:lang w:val="en-US"/>
        </w:rPr>
      </w:pPr>
      <w:bookmarkStart w:id="530" w:name="_Ref98103850"/>
      <w:bookmarkStart w:id="531" w:name="_Toc97428220"/>
      <w:bookmarkStart w:id="532" w:name="_Toc98085895"/>
      <w:bookmarkStart w:id="533" w:name="_Ref98103714"/>
      <w:bookmarkStart w:id="534" w:name="_Ref98103724"/>
      <w:bookmarkStart w:id="535" w:name="_Toc103544092"/>
      <w:bookmarkStart w:id="536" w:name="_Toc104985415"/>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6</w:t>
      </w:r>
      <w:r w:rsidR="00527861">
        <w:rPr>
          <w:rFonts w:cs="Times New Roman"/>
          <w:szCs w:val="24"/>
          <w:lang w:val="en-US" w:bidi="en-US"/>
        </w:rPr>
        <w:fldChar w:fldCharType="end"/>
      </w:r>
      <w:bookmarkEnd w:id="530"/>
      <w:r w:rsidRPr="00051297">
        <w:rPr>
          <w:lang w:val="en-US"/>
        </w:rPr>
        <w:t xml:space="preserve"> </w:t>
      </w:r>
      <w:r w:rsidRPr="00051297">
        <w:rPr>
          <w:rFonts w:cs="Times New Roman"/>
          <w:szCs w:val="24"/>
          <w:lang w:val="en-US" w:bidi="en-US"/>
        </w:rPr>
        <w:t>– Catchment preprocessing steps</w:t>
      </w:r>
      <w:r w:rsidRPr="003B5F0D">
        <w:rPr>
          <w:lang w:val="en-US"/>
        </w:rPr>
        <w:t xml:space="preserve">: </w:t>
      </w:r>
      <w:r w:rsidR="00F57A94">
        <w:rPr>
          <w:lang w:val="en-US"/>
        </w:rPr>
        <w:t>a</w:t>
      </w:r>
      <w:r w:rsidRPr="003B5F0D">
        <w:rPr>
          <w:lang w:val="en-US"/>
        </w:rPr>
        <w:t xml:space="preserve">) Raw DEM; </w:t>
      </w:r>
      <w:r w:rsidR="00F57A94">
        <w:rPr>
          <w:lang w:val="en-US"/>
        </w:rPr>
        <w:t>b</w:t>
      </w:r>
      <w:r w:rsidRPr="003B5F0D">
        <w:rPr>
          <w:lang w:val="en-US"/>
        </w:rPr>
        <w:t xml:space="preserve">) Hydro filled; DEM </w:t>
      </w:r>
      <w:r w:rsidR="00F57A94">
        <w:rPr>
          <w:lang w:val="en-US"/>
        </w:rPr>
        <w:t>c</w:t>
      </w:r>
      <w:r w:rsidRPr="003B5F0D">
        <w:rPr>
          <w:lang w:val="en-US"/>
        </w:rPr>
        <w:t xml:space="preserve">) Flow direction; </w:t>
      </w:r>
      <w:r w:rsidR="00F57A94">
        <w:rPr>
          <w:lang w:val="en-US"/>
        </w:rPr>
        <w:t>d</w:t>
      </w:r>
      <w:r w:rsidRPr="003B5F0D">
        <w:rPr>
          <w:lang w:val="en-US"/>
        </w:rPr>
        <w:t xml:space="preserve">) Flow accumulation; </w:t>
      </w:r>
      <w:r w:rsidR="00F57A94">
        <w:rPr>
          <w:lang w:val="en-US"/>
        </w:rPr>
        <w:t>e</w:t>
      </w:r>
      <w:r w:rsidRPr="003B5F0D">
        <w:rPr>
          <w:lang w:val="en-US"/>
        </w:rPr>
        <w:t xml:space="preserve">) Stream definition; </w:t>
      </w:r>
      <w:r w:rsidR="00F57A94">
        <w:rPr>
          <w:lang w:val="en-US"/>
        </w:rPr>
        <w:t>f</w:t>
      </w:r>
      <w:r w:rsidRPr="003B5F0D">
        <w:rPr>
          <w:lang w:val="en-US"/>
        </w:rPr>
        <w:t xml:space="preserve">) Stream segmentation; </w:t>
      </w:r>
      <w:r w:rsidR="00F57A94">
        <w:rPr>
          <w:lang w:val="en-US"/>
        </w:rPr>
        <w:t>g</w:t>
      </w:r>
      <w:r w:rsidRPr="003B5F0D">
        <w:rPr>
          <w:lang w:val="en-US"/>
        </w:rPr>
        <w:t xml:space="preserve">) Catchment grid delineation; </w:t>
      </w:r>
      <w:r w:rsidR="00F57A94">
        <w:rPr>
          <w:lang w:val="en-US"/>
        </w:rPr>
        <w:t>h</w:t>
      </w:r>
      <w:r w:rsidRPr="003B5F0D">
        <w:rPr>
          <w:lang w:val="en-US"/>
        </w:rPr>
        <w:t xml:space="preserve">) Catchment polygon processing; </w:t>
      </w:r>
      <w:r w:rsidR="00F57A94">
        <w:rPr>
          <w:lang w:val="en-US"/>
        </w:rPr>
        <w:t>i</w:t>
      </w:r>
      <w:r w:rsidRPr="003B5F0D">
        <w:rPr>
          <w:lang w:val="en-US"/>
        </w:rPr>
        <w:t>) Drainage line processing</w:t>
      </w:r>
      <w:bookmarkEnd w:id="531"/>
      <w:bookmarkEnd w:id="532"/>
      <w:bookmarkEnd w:id="533"/>
      <w:bookmarkEnd w:id="534"/>
      <w:bookmarkEnd w:id="535"/>
      <w:bookmarkEnd w:id="536"/>
    </w:p>
    <w:p w14:paraId="3AE7CF8E" w14:textId="77777777" w:rsidR="00051297" w:rsidRPr="00051297" w:rsidRDefault="00051297" w:rsidP="00051297">
      <w:pPr>
        <w:rPr>
          <w:rFonts w:eastAsia="Calibri" w:cs="Times New Roman"/>
          <w:szCs w:val="24"/>
          <w:lang w:val="en-US"/>
        </w:rPr>
      </w:pPr>
    </w:p>
    <w:p w14:paraId="6A123CBF" w14:textId="57C8FB11" w:rsidR="00051297" w:rsidRPr="00051297" w:rsidRDefault="003C4BC2" w:rsidP="00325C73">
      <w:pPr>
        <w:keepNext/>
        <w:spacing w:after="200"/>
        <w:ind w:firstLine="0"/>
        <w:jc w:val="center"/>
        <w:rPr>
          <w:rFonts w:cs="Times New Roman"/>
          <w:szCs w:val="24"/>
        </w:rPr>
      </w:pPr>
      <w:r>
        <w:rPr>
          <w:noProof/>
        </w:rPr>
        <w:drawing>
          <wp:inline distT="0" distB="0" distL="0" distR="0" wp14:anchorId="55DFD4A9" wp14:editId="65175DCE">
            <wp:extent cx="5885418" cy="2160000"/>
            <wp:effectExtent l="0" t="0" r="127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85418" cy="2160000"/>
                    </a:xfrm>
                    <a:prstGeom prst="rect">
                      <a:avLst/>
                    </a:prstGeom>
                    <a:noFill/>
                    <a:ln>
                      <a:noFill/>
                    </a:ln>
                  </pic:spPr>
                </pic:pic>
              </a:graphicData>
            </a:graphic>
          </wp:inline>
        </w:drawing>
      </w:r>
    </w:p>
    <w:p w14:paraId="58B15423" w14:textId="6283EB68" w:rsidR="00051297" w:rsidRPr="003B5F0D" w:rsidRDefault="00051297" w:rsidP="00051297">
      <w:pPr>
        <w:ind w:firstLine="0"/>
        <w:jc w:val="center"/>
        <w:rPr>
          <w:lang w:val="en-US"/>
        </w:rPr>
      </w:pPr>
      <w:bookmarkStart w:id="537" w:name="_Ref98103803"/>
      <w:bookmarkStart w:id="538" w:name="_Toc97428221"/>
      <w:bookmarkStart w:id="539" w:name="_Toc98085896"/>
      <w:bookmarkStart w:id="540" w:name="_Toc103544093"/>
      <w:bookmarkStart w:id="541" w:name="_Toc104985416"/>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7</w:t>
      </w:r>
      <w:r w:rsidR="00527861">
        <w:rPr>
          <w:rFonts w:cs="Times New Roman"/>
          <w:szCs w:val="24"/>
          <w:lang w:val="en-US" w:bidi="en-US"/>
        </w:rPr>
        <w:fldChar w:fldCharType="end"/>
      </w:r>
      <w:bookmarkEnd w:id="537"/>
      <w:r w:rsidRPr="00051297">
        <w:rPr>
          <w:lang w:val="en-US"/>
        </w:rPr>
        <w:t xml:space="preserve"> </w:t>
      </w:r>
      <w:r w:rsidRPr="00051297">
        <w:rPr>
          <w:rFonts w:cs="Times New Roman"/>
          <w:szCs w:val="24"/>
          <w:lang w:val="en-US" w:bidi="en-US"/>
        </w:rPr>
        <w:t>– Main channel characteristics</w:t>
      </w:r>
      <w:r w:rsidRPr="003B5F0D">
        <w:rPr>
          <w:lang w:val="en-US"/>
        </w:rPr>
        <w:t xml:space="preserve">: </w:t>
      </w:r>
      <w:r w:rsidR="00325C73">
        <w:rPr>
          <w:lang w:val="en-US"/>
        </w:rPr>
        <w:t>a</w:t>
      </w:r>
      <w:r w:rsidRPr="003B5F0D">
        <w:rPr>
          <w:lang w:val="en-US"/>
        </w:rPr>
        <w:t xml:space="preserve">) </w:t>
      </w:r>
      <w:r w:rsidR="0099025F">
        <w:rPr>
          <w:lang w:val="en-US"/>
        </w:rPr>
        <w:t>g</w:t>
      </w:r>
      <w:r w:rsidRPr="003B5F0D">
        <w:rPr>
          <w:lang w:val="en-US"/>
        </w:rPr>
        <w:t xml:space="preserve">eneral catchment elevation profile; </w:t>
      </w:r>
      <w:r w:rsidR="00325C73">
        <w:rPr>
          <w:lang w:val="en-US"/>
        </w:rPr>
        <w:t>b</w:t>
      </w:r>
      <w:r w:rsidRPr="003B5F0D">
        <w:rPr>
          <w:lang w:val="en-US"/>
        </w:rPr>
        <w:t xml:space="preserve">) </w:t>
      </w:r>
      <w:r w:rsidR="0099025F">
        <w:rPr>
          <w:lang w:val="en-US"/>
        </w:rPr>
        <w:t>m</w:t>
      </w:r>
      <w:r w:rsidRPr="003B5F0D">
        <w:rPr>
          <w:lang w:val="en-US"/>
        </w:rPr>
        <w:t xml:space="preserve">ainstream cross-section (downstream); </w:t>
      </w:r>
      <w:r w:rsidR="00325C73">
        <w:rPr>
          <w:lang w:val="en-US"/>
        </w:rPr>
        <w:t>c</w:t>
      </w:r>
      <w:r w:rsidRPr="003B5F0D">
        <w:rPr>
          <w:lang w:val="en-US"/>
        </w:rPr>
        <w:t xml:space="preserve">) </w:t>
      </w:r>
      <w:r w:rsidR="0099025F">
        <w:rPr>
          <w:lang w:val="en-US"/>
        </w:rPr>
        <w:t>m</w:t>
      </w:r>
      <w:r w:rsidRPr="003B5F0D">
        <w:rPr>
          <w:lang w:val="en-US"/>
        </w:rPr>
        <w:t>ainstream cross-section (upstream)</w:t>
      </w:r>
      <w:bookmarkEnd w:id="538"/>
      <w:bookmarkEnd w:id="539"/>
      <w:bookmarkEnd w:id="540"/>
      <w:bookmarkEnd w:id="541"/>
    </w:p>
    <w:p w14:paraId="25F59A02" w14:textId="7AD4C56A" w:rsidR="00051297" w:rsidRPr="00051297" w:rsidRDefault="00051297" w:rsidP="00051297">
      <w:pPr>
        <w:rPr>
          <w:rFonts w:eastAsia="Calibri" w:cs="Times New Roman"/>
          <w:szCs w:val="24"/>
          <w:lang w:val="en-US"/>
        </w:rPr>
      </w:pPr>
      <w:bookmarkStart w:id="542" w:name="_Hlk30457902"/>
      <w:r w:rsidRPr="00051297">
        <w:rPr>
          <w:lang w:val="en-US"/>
        </w:rPr>
        <w:lastRenderedPageBreak/>
        <w:t xml:space="preserve">Jangwani sub-basin is one of the biggest flood-plain within the catchment located downstream, characterized by relatively flat surfaces (see </w:t>
      </w:r>
      <w:r w:rsidRPr="00051297">
        <w:rPr>
          <w:lang w:val="en-US"/>
        </w:rPr>
        <w:fldChar w:fldCharType="begin"/>
      </w:r>
      <w:r w:rsidRPr="00051297">
        <w:rPr>
          <w:lang w:val="en-US"/>
        </w:rPr>
        <w:instrText xml:space="preserve"> REF _Ref98104056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8</w:t>
      </w:r>
      <w:r w:rsidRPr="00051297">
        <w:rPr>
          <w:lang w:val="en-US"/>
        </w:rPr>
        <w:fldChar w:fldCharType="end"/>
      </w:r>
      <w:r w:rsidRPr="00051297">
        <w:rPr>
          <w:lang w:val="en-US"/>
        </w:rPr>
        <w:t xml:space="preserve"> (</w:t>
      </w:r>
      <w:r w:rsidR="008908E6">
        <w:rPr>
          <w:lang w:val="en-US"/>
        </w:rPr>
        <w:t>a</w:t>
      </w:r>
      <w:r w:rsidRPr="00051297">
        <w:rPr>
          <w:lang w:val="en-US"/>
        </w:rPr>
        <w:t xml:space="preserve">)). The slope profile extracted from the Digital Elevation Model reveals an almost uniform variation in elevation ranging from 0 m to 8 m for a distance of more than 2.5 km. Also, the elevation profile (see </w:t>
      </w:r>
      <w:r w:rsidRPr="00051297">
        <w:rPr>
          <w:lang w:val="en-US"/>
        </w:rPr>
        <w:fldChar w:fldCharType="begin"/>
      </w:r>
      <w:r w:rsidRPr="00051297">
        <w:rPr>
          <w:lang w:val="en-US"/>
        </w:rPr>
        <w:instrText xml:space="preserve"> REF _Ref98104056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8</w:t>
      </w:r>
      <w:r w:rsidRPr="00051297">
        <w:rPr>
          <w:lang w:val="en-US"/>
        </w:rPr>
        <w:fldChar w:fldCharType="end"/>
      </w:r>
      <w:r w:rsidRPr="00051297">
        <w:rPr>
          <w:lang w:val="en-US"/>
        </w:rPr>
        <w:t xml:space="preserve"> (</w:t>
      </w:r>
      <w:r w:rsidR="008908E6">
        <w:rPr>
          <w:lang w:val="en-US"/>
        </w:rPr>
        <w:t>b</w:t>
      </w:r>
      <w:r w:rsidRPr="00051297">
        <w:rPr>
          <w:lang w:val="en-US"/>
        </w:rPr>
        <w:t>)) around the Selandar bridge, which was used as a case study, shows an unusual change in elevation, revealing the effect of man-made structures on the accuracy of the DEM, which in turn poses a significant challenge to the flow direction with the automatic catchment delineation techniques.</w:t>
      </w:r>
      <w:bookmarkEnd w:id="542"/>
    </w:p>
    <w:p w14:paraId="5A2209A7" w14:textId="40278845" w:rsidR="00051297" w:rsidRPr="00051297" w:rsidRDefault="00730B73" w:rsidP="00051297">
      <w:pPr>
        <w:keepNext/>
        <w:spacing w:after="200"/>
        <w:ind w:firstLine="0"/>
        <w:rPr>
          <w:rFonts w:cs="Times New Roman"/>
          <w:szCs w:val="24"/>
        </w:rPr>
      </w:pPr>
      <w:r>
        <w:rPr>
          <w:noProof/>
        </w:rPr>
        <w:drawing>
          <wp:inline distT="0" distB="0" distL="0" distR="0" wp14:anchorId="06212731" wp14:editId="4C76A411">
            <wp:extent cx="5867400" cy="17716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67400" cy="1771650"/>
                    </a:xfrm>
                    <a:prstGeom prst="rect">
                      <a:avLst/>
                    </a:prstGeom>
                    <a:noFill/>
                    <a:ln>
                      <a:noFill/>
                    </a:ln>
                  </pic:spPr>
                </pic:pic>
              </a:graphicData>
            </a:graphic>
          </wp:inline>
        </w:drawing>
      </w:r>
    </w:p>
    <w:p w14:paraId="66D93E15" w14:textId="6D1E0513" w:rsidR="00051297" w:rsidRPr="003B5F0D" w:rsidRDefault="00051297" w:rsidP="00051297">
      <w:pPr>
        <w:ind w:firstLine="0"/>
        <w:jc w:val="center"/>
        <w:rPr>
          <w:rFonts w:eastAsia="Calibri" w:cs="Times New Roman"/>
          <w:szCs w:val="24"/>
          <w:lang w:val="en-US"/>
        </w:rPr>
      </w:pPr>
      <w:bookmarkStart w:id="543" w:name="_Ref98104056"/>
      <w:bookmarkStart w:id="544" w:name="_Toc97428222"/>
      <w:bookmarkStart w:id="545" w:name="_Toc98085897"/>
      <w:bookmarkStart w:id="546" w:name="_Toc103544094"/>
      <w:bookmarkStart w:id="547" w:name="_Toc104985417"/>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8</w:t>
      </w:r>
      <w:r w:rsidR="00527861">
        <w:rPr>
          <w:rFonts w:cs="Times New Roman"/>
          <w:szCs w:val="24"/>
          <w:lang w:val="en-US" w:bidi="en-US"/>
        </w:rPr>
        <w:fldChar w:fldCharType="end"/>
      </w:r>
      <w:bookmarkEnd w:id="543"/>
      <w:r w:rsidRPr="00051297">
        <w:rPr>
          <w:lang w:val="en-US"/>
        </w:rPr>
        <w:t xml:space="preserve"> </w:t>
      </w:r>
      <w:r w:rsidRPr="00051297">
        <w:rPr>
          <w:rFonts w:cs="Times New Roman"/>
          <w:szCs w:val="24"/>
          <w:lang w:val="en-US" w:bidi="en-US"/>
        </w:rPr>
        <w:t>– Flow direction challenges</w:t>
      </w:r>
      <w:r w:rsidRPr="003B5F0D">
        <w:rPr>
          <w:rFonts w:eastAsia="Calibri" w:cs="Times New Roman"/>
          <w:szCs w:val="24"/>
          <w:lang w:val="en-US"/>
        </w:rPr>
        <w:t xml:space="preserve">: </w:t>
      </w:r>
      <w:r w:rsidR="00730B73">
        <w:rPr>
          <w:rFonts w:eastAsia="Calibri" w:cs="Times New Roman"/>
          <w:szCs w:val="24"/>
          <w:lang w:val="en-US"/>
        </w:rPr>
        <w:t>a</w:t>
      </w:r>
      <w:r w:rsidRPr="003B5F0D">
        <w:rPr>
          <w:rFonts w:eastAsia="Calibri" w:cs="Times New Roman"/>
          <w:szCs w:val="24"/>
          <w:lang w:val="en-US"/>
        </w:rPr>
        <w:t xml:space="preserve">) relatively flat surface at Jangwani sub-catchment; </w:t>
      </w:r>
      <w:r w:rsidR="00730B73">
        <w:rPr>
          <w:rFonts w:eastAsia="Calibri" w:cs="Times New Roman"/>
          <w:szCs w:val="24"/>
          <w:lang w:val="en-US"/>
        </w:rPr>
        <w:t>b</w:t>
      </w:r>
      <w:r w:rsidRPr="003B5F0D">
        <w:rPr>
          <w:rFonts w:eastAsia="Calibri" w:cs="Times New Roman"/>
          <w:szCs w:val="24"/>
          <w:lang w:val="en-US"/>
        </w:rPr>
        <w:t>) stream-bridge interception</w:t>
      </w:r>
      <w:bookmarkEnd w:id="544"/>
      <w:bookmarkEnd w:id="545"/>
      <w:bookmarkEnd w:id="546"/>
      <w:bookmarkEnd w:id="547"/>
    </w:p>
    <w:p w14:paraId="372F937B" w14:textId="0AE4A30D" w:rsidR="00051297" w:rsidRPr="00051297" w:rsidRDefault="00051297" w:rsidP="00051297">
      <w:pPr>
        <w:ind w:firstLine="432"/>
        <w:rPr>
          <w:rFonts w:eastAsia="Calibri" w:cs="Times New Roman"/>
          <w:szCs w:val="24"/>
          <w:lang w:val="en-US"/>
        </w:rPr>
      </w:pPr>
      <w:r w:rsidRPr="00051297">
        <w:rPr>
          <w:rFonts w:eastAsia="Calibri" w:cs="Times New Roman"/>
          <w:szCs w:val="24"/>
          <w:lang w:val="en-US"/>
        </w:rPr>
        <w:t>In the catchment, five major land use/land cover classes were identified: water bodies, forest, developed high intensity, developed medium intensity, and developed low intensity. From the classified images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_Ref98104042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9</w:t>
      </w:r>
      <w:r w:rsidRPr="00051297">
        <w:rPr>
          <w:rFonts w:eastAsia="Calibri" w:cs="Times New Roman"/>
          <w:szCs w:val="24"/>
          <w:lang w:val="en-US"/>
        </w:rPr>
        <w:fldChar w:fldCharType="end"/>
      </w:r>
      <w:r w:rsidRPr="00051297">
        <w:rPr>
          <w:rFonts w:eastAsia="Calibri" w:cs="Times New Roman"/>
          <w:szCs w:val="24"/>
          <w:lang w:val="en-US"/>
        </w:rPr>
        <w:t xml:space="preserve">), it can be observed that downstream of the catchment close to the Indian Ocean shore is highly developed, and the extent of urbanization (development) decreases as you move upstream towards the Kisarawe hills where the catchment originates; whereby, the trend moves from high-intensity development to medium intensity development followed by the low-intensity development. The whole phenomenon reflects the reality of the catchment, where forests are also more seen upstream, especially in the Kisarawe hills.  </w:t>
      </w:r>
    </w:p>
    <w:p w14:paraId="3739A615" w14:textId="77777777" w:rsidR="00051297" w:rsidRPr="00051297" w:rsidRDefault="00051297" w:rsidP="00051297">
      <w:pPr>
        <w:rPr>
          <w:i/>
          <w:lang w:val="en-US"/>
        </w:rPr>
      </w:pPr>
      <w:r w:rsidRPr="00051297">
        <w:rPr>
          <w:lang w:val="en-US"/>
        </w:rPr>
        <w:t xml:space="preserve">Furthermore, from the results, it was observed that the land-use coverage has been changing over time.  In 1998 a large part of the catchment was occupied by the low-intensity developed areas covering about 61.67% of the total area. In 2009 the low-intensity developed areas decreased drastically to 21.13% of the total area and only 16.82% in 2018. The medium intensity developed areas have been increasing over time; whereby in 1998, the land surface occupied by the medium intensity developed areas was 25.97%, then increased to 50.49% in 2009 and to 61.12% in 2018. It was also observed that the trend of high-intensity development has been increasing; in 1998, the coverage of high-intensity development was about 3.82% which increased to 13.42% in 2009 and then to 19.77% in 2018. </w:t>
      </w:r>
    </w:p>
    <w:p w14:paraId="39A549A6" w14:textId="10DE14CF" w:rsidR="00051297" w:rsidRPr="00051297" w:rsidRDefault="00051297" w:rsidP="00051297">
      <w:pPr>
        <w:rPr>
          <w:lang w:val="en-US"/>
        </w:rPr>
      </w:pPr>
      <w:r w:rsidRPr="00051297">
        <w:rPr>
          <w:lang w:val="en-US"/>
        </w:rPr>
        <w:lastRenderedPageBreak/>
        <w:t xml:space="preserve">From </w:t>
      </w:r>
      <w:r w:rsidRPr="00051297">
        <w:rPr>
          <w:lang w:val="en-US"/>
        </w:rPr>
        <w:fldChar w:fldCharType="begin"/>
      </w:r>
      <w:r w:rsidRPr="00051297">
        <w:rPr>
          <w:lang w:val="en-US"/>
        </w:rPr>
        <w:instrText xml:space="preserve"> REF _Ref98104042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9</w:t>
      </w:r>
      <w:r w:rsidRPr="00051297">
        <w:rPr>
          <w:lang w:val="en-US"/>
        </w:rPr>
        <w:fldChar w:fldCharType="end"/>
      </w:r>
      <w:r w:rsidRPr="00051297">
        <w:rPr>
          <w:lang w:val="en-US"/>
        </w:rPr>
        <w:t xml:space="preserve">, it can have observed that the red color presenting the highly developed areas has been increasing towards the upstream of the catchment over time, and the green color representing the medium level of development also increases towards upstream of the catchment; while the yellow color which represents the low developed areas has been reducing with time. The general phenomenon reflects the real situation within the catchment.  </w:t>
      </w:r>
      <w:bookmarkStart w:id="548" w:name="_Toc521076079"/>
    </w:p>
    <w:p w14:paraId="15072CDD" w14:textId="6C3F9D96" w:rsidR="00051297" w:rsidRPr="00051297" w:rsidRDefault="0046560D" w:rsidP="0046560D">
      <w:pPr>
        <w:keepNext/>
        <w:ind w:firstLine="0"/>
        <w:jc w:val="center"/>
        <w:rPr>
          <w:rFonts w:cs="Times New Roman"/>
          <w:szCs w:val="24"/>
        </w:rPr>
      </w:pPr>
      <w:r>
        <w:rPr>
          <w:noProof/>
        </w:rPr>
        <w:drawing>
          <wp:inline distT="0" distB="0" distL="0" distR="0" wp14:anchorId="25D1F8B2" wp14:editId="7E810028">
            <wp:extent cx="4373350" cy="4543425"/>
            <wp:effectExtent l="38100" t="38100" r="103505" b="857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79413" cy="454972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F50DFAB" w14:textId="12758640" w:rsidR="00051297" w:rsidRPr="00051297" w:rsidRDefault="00051297" w:rsidP="00051297">
      <w:pPr>
        <w:ind w:firstLine="0"/>
        <w:jc w:val="center"/>
        <w:rPr>
          <w:rFonts w:cs="Times New Roman"/>
          <w:szCs w:val="24"/>
          <w:lang w:val="en-US" w:bidi="en-US"/>
        </w:rPr>
      </w:pPr>
      <w:bookmarkStart w:id="549" w:name="_Ref98104042"/>
      <w:bookmarkStart w:id="550" w:name="_Toc97428223"/>
      <w:bookmarkStart w:id="551" w:name="_Toc98085898"/>
      <w:bookmarkStart w:id="552" w:name="_Toc103544095"/>
      <w:bookmarkStart w:id="553" w:name="_Toc104985418"/>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9</w:t>
      </w:r>
      <w:r w:rsidR="00527861">
        <w:rPr>
          <w:rFonts w:cs="Times New Roman"/>
          <w:szCs w:val="24"/>
          <w:lang w:val="en-US" w:bidi="en-US"/>
        </w:rPr>
        <w:fldChar w:fldCharType="end"/>
      </w:r>
      <w:bookmarkEnd w:id="549"/>
      <w:r w:rsidRPr="00051297">
        <w:rPr>
          <w:lang w:val="en-US"/>
        </w:rPr>
        <w:t xml:space="preserve"> </w:t>
      </w:r>
      <w:r w:rsidRPr="00051297">
        <w:rPr>
          <w:rFonts w:cs="Times New Roman"/>
          <w:szCs w:val="24"/>
          <w:lang w:val="en-US" w:bidi="en-US"/>
        </w:rPr>
        <w:t>– Classified land use within the catchment from 1998 to 2018</w:t>
      </w:r>
      <w:bookmarkEnd w:id="548"/>
      <w:bookmarkEnd w:id="550"/>
      <w:bookmarkEnd w:id="551"/>
      <w:bookmarkEnd w:id="552"/>
      <w:bookmarkEnd w:id="553"/>
    </w:p>
    <w:p w14:paraId="0B68EDDA" w14:textId="3EB893B7" w:rsidR="00051297" w:rsidRPr="00325C73" w:rsidRDefault="00051297" w:rsidP="00325C73">
      <w:pPr>
        <w:rPr>
          <w:lang w:val="en-US"/>
        </w:rPr>
      </w:pPr>
      <w:bookmarkStart w:id="554" w:name="_Hlk30458041"/>
      <w:r w:rsidRPr="00051297">
        <w:rPr>
          <w:lang w:val="en-US"/>
        </w:rPr>
        <w:t xml:space="preserve">Following the investigation from the combination of catchment delineation, land use/land cover analysis, and high-resolution Google Earth images; five potential dam site locations (see </w:t>
      </w:r>
      <w:r w:rsidRPr="00051297">
        <w:fldChar w:fldCharType="begin"/>
      </w:r>
      <w:r w:rsidRPr="00051297">
        <w:rPr>
          <w:lang w:val="en-US"/>
        </w:rPr>
        <w:instrText xml:space="preserve"> REF _Ref98104131 \h </w:instrText>
      </w:r>
      <w:r w:rsidRPr="00051297">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10</w:t>
      </w:r>
      <w:r w:rsidRPr="00051297">
        <w:fldChar w:fldCharType="end"/>
      </w:r>
      <w:r w:rsidRPr="00051297">
        <w:rPr>
          <w:lang w:val="en-US"/>
        </w:rPr>
        <w:t xml:space="preserve">), namely; Kisarawe sub-basin, Magomeni sub-basin, Kinyerezi sub-basin, Jangwani sub-basin, and Pugu sub-basin were identified in this study. The outlets of the dam sites are mainly located in the streams with a sufficient number of sub-streams before discharging water into the mainstream. The largest potential site is the Kisarawe sub-basin (see </w:t>
      </w:r>
      <w:r w:rsidRPr="00051297">
        <w:fldChar w:fldCharType="begin"/>
      </w:r>
      <w:r w:rsidRPr="00051297">
        <w:rPr>
          <w:lang w:val="en-US"/>
        </w:rPr>
        <w:instrText xml:space="preserve"> REF _Ref98104131 \h </w:instrText>
      </w:r>
      <w:r w:rsidRPr="00051297">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10</w:t>
      </w:r>
      <w:r w:rsidRPr="00051297">
        <w:fldChar w:fldCharType="end"/>
      </w:r>
      <w:r w:rsidRPr="00051297">
        <w:rPr>
          <w:lang w:val="en-US"/>
        </w:rPr>
        <w:t xml:space="preserve"> (</w:t>
      </w:r>
      <w:r w:rsidR="00FA3419">
        <w:rPr>
          <w:lang w:val="en-US"/>
        </w:rPr>
        <w:t>b</w:t>
      </w:r>
      <w:r w:rsidRPr="00051297">
        <w:rPr>
          <w:lang w:val="en-US"/>
        </w:rPr>
        <w:t xml:space="preserve">), </w:t>
      </w:r>
      <w:r w:rsidR="00FA3419">
        <w:fldChar w:fldCharType="begin"/>
      </w:r>
      <w:r w:rsidR="00FA3419">
        <w:rPr>
          <w:lang w:val="en-US"/>
        </w:rPr>
        <w:instrText xml:space="preserve"> REF _Ref98104157 \h </w:instrText>
      </w:r>
      <w:r w:rsidR="00FA3419">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11</w:t>
      </w:r>
      <w:r w:rsidR="00FA3419">
        <w:fldChar w:fldCharType="end"/>
      </w:r>
      <w:r w:rsidRPr="00051297">
        <w:rPr>
          <w:lang w:val="en-US"/>
        </w:rPr>
        <w:t>(</w:t>
      </w:r>
      <w:r w:rsidR="00FA3419">
        <w:rPr>
          <w:lang w:val="en-US"/>
        </w:rPr>
        <w:t>b</w:t>
      </w:r>
      <w:r w:rsidRPr="00051297">
        <w:rPr>
          <w:lang w:val="en-US"/>
        </w:rPr>
        <w:t xml:space="preserve">), and </w:t>
      </w:r>
      <w:r w:rsidR="00FA3419">
        <w:fldChar w:fldCharType="begin"/>
      </w:r>
      <w:r w:rsidR="00FA3419">
        <w:rPr>
          <w:lang w:val="en-US"/>
        </w:rPr>
        <w:instrText xml:space="preserve"> REF _Ref98104170 \h </w:instrText>
      </w:r>
      <w:r w:rsidR="00FA3419">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12</w:t>
      </w:r>
      <w:r w:rsidR="00FA3419">
        <w:fldChar w:fldCharType="end"/>
      </w:r>
      <w:r w:rsidRPr="00051297">
        <w:rPr>
          <w:lang w:val="en-US"/>
        </w:rPr>
        <w:t>) which is located the upstream (approximately 89.89 km</w:t>
      </w:r>
      <w:r w:rsidRPr="00051297">
        <w:rPr>
          <w:vertAlign w:val="superscript"/>
          <w:lang w:val="en-US"/>
        </w:rPr>
        <w:t>2</w:t>
      </w:r>
      <w:r w:rsidRPr="00051297">
        <w:rPr>
          <w:lang w:val="en-US"/>
        </w:rPr>
        <w:t xml:space="preserve"> coverage of the sub-basin draining to the dam location), where the land is less occupied and less developed proving sufficient space for the construction of a dam and save the downstream from the recurring flood events.  </w:t>
      </w:r>
      <w:bookmarkEnd w:id="554"/>
    </w:p>
    <w:p w14:paraId="537978DE" w14:textId="39B7E84F" w:rsidR="00051297" w:rsidRPr="00051297" w:rsidRDefault="00FA3419" w:rsidP="00FA3419">
      <w:pPr>
        <w:keepNext/>
        <w:ind w:firstLine="0"/>
        <w:rPr>
          <w:rFonts w:cs="Times New Roman"/>
          <w:szCs w:val="24"/>
        </w:rPr>
      </w:pPr>
      <w:r>
        <w:rPr>
          <w:noProof/>
        </w:rPr>
        <w:lastRenderedPageBreak/>
        <w:drawing>
          <wp:inline distT="0" distB="0" distL="0" distR="0" wp14:anchorId="1F15FBA2" wp14:editId="4F5D38AF">
            <wp:extent cx="5939790" cy="8067675"/>
            <wp:effectExtent l="0" t="0" r="381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8067675"/>
                    </a:xfrm>
                    <a:prstGeom prst="rect">
                      <a:avLst/>
                    </a:prstGeom>
                    <a:noFill/>
                    <a:ln>
                      <a:noFill/>
                    </a:ln>
                  </pic:spPr>
                </pic:pic>
              </a:graphicData>
            </a:graphic>
          </wp:inline>
        </w:drawing>
      </w:r>
    </w:p>
    <w:p w14:paraId="761ED116" w14:textId="5B0357A6" w:rsidR="00051297" w:rsidRPr="00051297" w:rsidRDefault="00051297" w:rsidP="00051297">
      <w:pPr>
        <w:ind w:firstLine="0"/>
        <w:jc w:val="center"/>
        <w:rPr>
          <w:rFonts w:cs="Times New Roman"/>
          <w:szCs w:val="24"/>
          <w:lang w:val="en-US" w:bidi="en-US"/>
        </w:rPr>
      </w:pPr>
      <w:bookmarkStart w:id="555" w:name="_Ref98104131"/>
      <w:bookmarkStart w:id="556" w:name="_Toc97428224"/>
      <w:bookmarkStart w:id="557" w:name="_Toc98085899"/>
      <w:bookmarkStart w:id="558" w:name="_Toc103544096"/>
      <w:bookmarkStart w:id="559" w:name="_Toc104985419"/>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10</w:t>
      </w:r>
      <w:r w:rsidR="00527861">
        <w:rPr>
          <w:rFonts w:cs="Times New Roman"/>
          <w:szCs w:val="24"/>
          <w:lang w:val="en-US" w:bidi="en-US"/>
        </w:rPr>
        <w:fldChar w:fldCharType="end"/>
      </w:r>
      <w:bookmarkEnd w:id="555"/>
      <w:r w:rsidRPr="00051297">
        <w:rPr>
          <w:lang w:val="en-US"/>
        </w:rPr>
        <w:t xml:space="preserve"> </w:t>
      </w:r>
      <w:r w:rsidRPr="00051297">
        <w:rPr>
          <w:rFonts w:cs="Times New Roman"/>
          <w:szCs w:val="24"/>
          <w:lang w:val="en-US" w:bidi="en-US"/>
        </w:rPr>
        <w:t xml:space="preserve">– Delineated subbasins for the selected dam sites: a) </w:t>
      </w:r>
      <w:r w:rsidR="0099025F">
        <w:rPr>
          <w:rFonts w:cs="Times New Roman"/>
          <w:szCs w:val="24"/>
          <w:lang w:val="en-US" w:bidi="en-US"/>
        </w:rPr>
        <w:t>s</w:t>
      </w:r>
      <w:r w:rsidRPr="00051297">
        <w:rPr>
          <w:rFonts w:cs="Times New Roman"/>
          <w:szCs w:val="24"/>
          <w:lang w:val="en-US" w:bidi="en-US"/>
        </w:rPr>
        <w:t xml:space="preserve">ubbasin 5; b) </w:t>
      </w:r>
      <w:r w:rsidR="0099025F">
        <w:rPr>
          <w:rFonts w:cs="Times New Roman"/>
          <w:szCs w:val="24"/>
          <w:lang w:val="en-US" w:bidi="en-US"/>
        </w:rPr>
        <w:t>s</w:t>
      </w:r>
      <w:r w:rsidRPr="00051297">
        <w:rPr>
          <w:rFonts w:cs="Times New Roman"/>
          <w:szCs w:val="24"/>
          <w:lang w:val="en-US" w:bidi="en-US"/>
        </w:rPr>
        <w:t xml:space="preserve">ubbasin 7; c) </w:t>
      </w:r>
      <w:r w:rsidR="0099025F">
        <w:rPr>
          <w:rFonts w:cs="Times New Roman"/>
          <w:szCs w:val="24"/>
          <w:lang w:val="en-US" w:bidi="en-US"/>
        </w:rPr>
        <w:t>s</w:t>
      </w:r>
      <w:r w:rsidRPr="00051297">
        <w:rPr>
          <w:rFonts w:cs="Times New Roman"/>
          <w:szCs w:val="24"/>
          <w:lang w:val="en-US" w:bidi="en-US"/>
        </w:rPr>
        <w:t xml:space="preserve">ubbasin 9; d) </w:t>
      </w:r>
      <w:r w:rsidR="0099025F">
        <w:rPr>
          <w:rFonts w:cs="Times New Roman"/>
          <w:szCs w:val="24"/>
          <w:lang w:val="en-US" w:bidi="en-US"/>
        </w:rPr>
        <w:t>s</w:t>
      </w:r>
      <w:r w:rsidRPr="00051297">
        <w:rPr>
          <w:rFonts w:cs="Times New Roman"/>
          <w:szCs w:val="24"/>
          <w:lang w:val="en-US" w:bidi="en-US"/>
        </w:rPr>
        <w:t xml:space="preserve">ubbasin 11; e) </w:t>
      </w:r>
      <w:r w:rsidR="0099025F">
        <w:rPr>
          <w:rFonts w:cs="Times New Roman"/>
          <w:szCs w:val="24"/>
          <w:lang w:val="en-US" w:bidi="en-US"/>
        </w:rPr>
        <w:t>s</w:t>
      </w:r>
      <w:r w:rsidRPr="00051297">
        <w:rPr>
          <w:rFonts w:cs="Times New Roman"/>
          <w:szCs w:val="24"/>
          <w:lang w:val="en-US" w:bidi="en-US"/>
        </w:rPr>
        <w:t>ubbasin 13</w:t>
      </w:r>
      <w:bookmarkEnd w:id="556"/>
      <w:bookmarkEnd w:id="557"/>
      <w:bookmarkEnd w:id="558"/>
      <w:bookmarkEnd w:id="559"/>
    </w:p>
    <w:p w14:paraId="17481D2D" w14:textId="3BF8BE2F" w:rsidR="00051297" w:rsidRPr="00051297" w:rsidRDefault="009D7668" w:rsidP="00051297">
      <w:pPr>
        <w:keepNext/>
        <w:spacing w:after="200"/>
        <w:ind w:firstLine="0"/>
        <w:rPr>
          <w:rFonts w:cs="Times New Roman"/>
          <w:szCs w:val="24"/>
        </w:rPr>
      </w:pPr>
      <w:r>
        <w:rPr>
          <w:noProof/>
        </w:rPr>
        <w:lastRenderedPageBreak/>
        <w:drawing>
          <wp:inline distT="0" distB="0" distL="0" distR="0" wp14:anchorId="5FB7A508" wp14:editId="1C20CE99">
            <wp:extent cx="5939790" cy="7462520"/>
            <wp:effectExtent l="0" t="0" r="381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7462520"/>
                    </a:xfrm>
                    <a:prstGeom prst="rect">
                      <a:avLst/>
                    </a:prstGeom>
                    <a:noFill/>
                    <a:ln>
                      <a:noFill/>
                    </a:ln>
                  </pic:spPr>
                </pic:pic>
              </a:graphicData>
            </a:graphic>
          </wp:inline>
        </w:drawing>
      </w:r>
    </w:p>
    <w:p w14:paraId="4493F547" w14:textId="2DC5C650" w:rsidR="00051297" w:rsidRPr="002F3631" w:rsidRDefault="00051297" w:rsidP="00325C73">
      <w:pPr>
        <w:ind w:firstLine="0"/>
        <w:jc w:val="center"/>
        <w:rPr>
          <w:lang w:val="en-US"/>
        </w:rPr>
      </w:pPr>
      <w:bookmarkStart w:id="560" w:name="_Ref98104157"/>
      <w:bookmarkStart w:id="561" w:name="_Toc97428225"/>
      <w:bookmarkStart w:id="562" w:name="_Toc98085900"/>
      <w:bookmarkStart w:id="563" w:name="_Toc103544097"/>
      <w:bookmarkStart w:id="564" w:name="_Ref103555257"/>
      <w:bookmarkStart w:id="565" w:name="_Toc104985420"/>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11</w:t>
      </w:r>
      <w:r w:rsidR="00527861">
        <w:rPr>
          <w:rFonts w:cs="Times New Roman"/>
          <w:szCs w:val="24"/>
          <w:lang w:val="en-US" w:bidi="en-US"/>
        </w:rPr>
        <w:fldChar w:fldCharType="end"/>
      </w:r>
      <w:bookmarkEnd w:id="560"/>
      <w:r w:rsidRPr="00051297">
        <w:rPr>
          <w:lang w:val="en-US"/>
        </w:rPr>
        <w:t xml:space="preserve"> </w:t>
      </w:r>
      <w:r w:rsidRPr="00051297">
        <w:rPr>
          <w:rFonts w:cs="Times New Roman"/>
          <w:szCs w:val="24"/>
          <w:lang w:val="en-US" w:bidi="en-US"/>
        </w:rPr>
        <w:t>– Land use/land cover distribution for each subbasin of the selected sites</w:t>
      </w:r>
      <w:r w:rsidRPr="002F3631">
        <w:rPr>
          <w:lang w:val="en-US"/>
        </w:rPr>
        <w:t xml:space="preserve">: </w:t>
      </w:r>
      <w:r w:rsidR="00D229BA">
        <w:rPr>
          <w:lang w:val="en-US"/>
        </w:rPr>
        <w:t>a</w:t>
      </w:r>
      <w:r w:rsidRPr="002F3631">
        <w:rPr>
          <w:lang w:val="en-US"/>
        </w:rPr>
        <w:t xml:space="preserve">) </w:t>
      </w:r>
      <w:r w:rsidR="0099025F">
        <w:rPr>
          <w:lang w:val="en-US"/>
        </w:rPr>
        <w:t>l</w:t>
      </w:r>
      <w:r w:rsidRPr="002F3631">
        <w:rPr>
          <w:lang w:val="en-US"/>
        </w:rPr>
        <w:t xml:space="preserve">and use/land cover for the combined selected sites; </w:t>
      </w:r>
      <w:r w:rsidR="00D229BA">
        <w:rPr>
          <w:lang w:val="en-US"/>
        </w:rPr>
        <w:t>b</w:t>
      </w:r>
      <w:r w:rsidRPr="002F3631">
        <w:rPr>
          <w:lang w:val="en-US"/>
        </w:rPr>
        <w:t xml:space="preserve">) </w:t>
      </w:r>
      <w:r w:rsidR="0099025F">
        <w:rPr>
          <w:lang w:val="en-US"/>
        </w:rPr>
        <w:t>l</w:t>
      </w:r>
      <w:r w:rsidRPr="002F3631">
        <w:rPr>
          <w:lang w:val="en-US"/>
        </w:rPr>
        <w:t xml:space="preserve">and use/land cover for Kisarawe sub-basin; </w:t>
      </w:r>
      <w:r w:rsidR="00D229BA">
        <w:rPr>
          <w:lang w:val="en-US"/>
        </w:rPr>
        <w:t>c</w:t>
      </w:r>
      <w:r w:rsidRPr="002F3631">
        <w:rPr>
          <w:lang w:val="en-US"/>
        </w:rPr>
        <w:t xml:space="preserve">) </w:t>
      </w:r>
      <w:r w:rsidR="0099025F">
        <w:rPr>
          <w:lang w:val="en-US"/>
        </w:rPr>
        <w:t>l</w:t>
      </w:r>
      <w:r w:rsidRPr="002F3631">
        <w:rPr>
          <w:lang w:val="en-US"/>
        </w:rPr>
        <w:t xml:space="preserve">and use/land cover for Magomeni sub-basin; </w:t>
      </w:r>
      <w:r w:rsidR="00D229BA">
        <w:rPr>
          <w:lang w:val="en-US"/>
        </w:rPr>
        <w:t>d</w:t>
      </w:r>
      <w:r w:rsidRPr="002F3631">
        <w:rPr>
          <w:lang w:val="en-US"/>
        </w:rPr>
        <w:t xml:space="preserve">) </w:t>
      </w:r>
      <w:r w:rsidR="0099025F">
        <w:rPr>
          <w:lang w:val="en-US"/>
        </w:rPr>
        <w:t>l</w:t>
      </w:r>
      <w:r w:rsidRPr="002F3631">
        <w:rPr>
          <w:lang w:val="en-US"/>
        </w:rPr>
        <w:t xml:space="preserve">and use/land cover for Kinyerezi sub-basin 11; </w:t>
      </w:r>
      <w:r w:rsidR="00D229BA">
        <w:rPr>
          <w:lang w:val="en-US"/>
        </w:rPr>
        <w:t>e</w:t>
      </w:r>
      <w:r w:rsidRPr="002F3631">
        <w:rPr>
          <w:lang w:val="en-US"/>
        </w:rPr>
        <w:t xml:space="preserve">) </w:t>
      </w:r>
      <w:r w:rsidR="0099025F">
        <w:rPr>
          <w:lang w:val="en-US"/>
        </w:rPr>
        <w:t>l</w:t>
      </w:r>
      <w:r w:rsidRPr="002F3631">
        <w:rPr>
          <w:lang w:val="en-US"/>
        </w:rPr>
        <w:t xml:space="preserve">and use/land cover for Jangwani sub-basin; </w:t>
      </w:r>
      <w:r w:rsidR="00D229BA">
        <w:rPr>
          <w:lang w:val="en-US"/>
        </w:rPr>
        <w:t>f</w:t>
      </w:r>
      <w:r w:rsidRPr="002F3631">
        <w:rPr>
          <w:lang w:val="en-US"/>
        </w:rPr>
        <w:t xml:space="preserve">) </w:t>
      </w:r>
      <w:r w:rsidR="0099025F">
        <w:rPr>
          <w:lang w:val="en-US"/>
        </w:rPr>
        <w:t>l</w:t>
      </w:r>
      <w:r w:rsidRPr="002F3631">
        <w:rPr>
          <w:lang w:val="en-US"/>
        </w:rPr>
        <w:t>and use/land cover for Pugu sub-basin</w:t>
      </w:r>
      <w:bookmarkEnd w:id="561"/>
      <w:bookmarkEnd w:id="562"/>
      <w:bookmarkEnd w:id="563"/>
      <w:bookmarkEnd w:id="564"/>
      <w:bookmarkEnd w:id="565"/>
    </w:p>
    <w:p w14:paraId="7B358BE4" w14:textId="77777777" w:rsidR="00051297" w:rsidRPr="00051297" w:rsidRDefault="00051297" w:rsidP="00325C73">
      <w:pPr>
        <w:keepNext/>
        <w:ind w:firstLine="0"/>
        <w:rPr>
          <w:rFonts w:cs="Times New Roman"/>
          <w:szCs w:val="24"/>
        </w:rPr>
      </w:pPr>
      <w:r w:rsidRPr="00051297">
        <w:rPr>
          <w:rFonts w:eastAsia="Calibri" w:cs="Times New Roman"/>
          <w:noProof/>
          <w:szCs w:val="24"/>
        </w:rPr>
        <w:lastRenderedPageBreak/>
        <w:drawing>
          <wp:inline distT="0" distB="0" distL="0" distR="0" wp14:anchorId="2C983AC1" wp14:editId="61C2EE4E">
            <wp:extent cx="5943600" cy="228981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2289810"/>
                    </a:xfrm>
                    <a:prstGeom prst="rect">
                      <a:avLst/>
                    </a:prstGeom>
                    <a:noFill/>
                    <a:ln>
                      <a:noFill/>
                    </a:ln>
                  </pic:spPr>
                </pic:pic>
              </a:graphicData>
            </a:graphic>
          </wp:inline>
        </w:drawing>
      </w:r>
    </w:p>
    <w:p w14:paraId="5044A7A2" w14:textId="6A6E812B" w:rsidR="00051297" w:rsidRPr="00051297" w:rsidRDefault="00051297" w:rsidP="00051297">
      <w:pPr>
        <w:ind w:firstLine="0"/>
        <w:jc w:val="center"/>
        <w:rPr>
          <w:rFonts w:cs="Times New Roman"/>
          <w:szCs w:val="24"/>
          <w:lang w:val="en-US" w:bidi="en-US"/>
        </w:rPr>
      </w:pPr>
      <w:bookmarkStart w:id="566" w:name="_Ref98104170"/>
      <w:bookmarkStart w:id="567" w:name="_Toc97428226"/>
      <w:bookmarkStart w:id="568" w:name="_Toc98085901"/>
      <w:bookmarkStart w:id="569" w:name="_Toc103544098"/>
      <w:bookmarkStart w:id="570" w:name="_Ref103555281"/>
      <w:bookmarkStart w:id="571" w:name="_Toc104985421"/>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12</w:t>
      </w:r>
      <w:r w:rsidR="00527861">
        <w:rPr>
          <w:rFonts w:cs="Times New Roman"/>
          <w:szCs w:val="24"/>
          <w:lang w:val="en-US" w:bidi="en-US"/>
        </w:rPr>
        <w:fldChar w:fldCharType="end"/>
      </w:r>
      <w:bookmarkEnd w:id="566"/>
      <w:r w:rsidRPr="00051297">
        <w:rPr>
          <w:rFonts w:cs="Times New Roman"/>
          <w:szCs w:val="24"/>
          <w:lang w:val="en-US" w:bidi="en-US"/>
        </w:rPr>
        <w:t xml:space="preserve"> – Dam sites location: Streams only (left), streams with coverage (right)</w:t>
      </w:r>
      <w:bookmarkEnd w:id="567"/>
      <w:bookmarkEnd w:id="568"/>
      <w:bookmarkEnd w:id="569"/>
      <w:bookmarkEnd w:id="570"/>
      <w:bookmarkEnd w:id="571"/>
    </w:p>
    <w:p w14:paraId="74DFCACA" w14:textId="2BC23B24" w:rsidR="00051297" w:rsidRPr="00051297" w:rsidRDefault="00051297" w:rsidP="00051297">
      <w:pPr>
        <w:rPr>
          <w:lang w:val="en-US"/>
        </w:rPr>
      </w:pPr>
      <w:bookmarkStart w:id="572" w:name="_Hlk30461019"/>
      <w:r w:rsidRPr="00051297">
        <w:rPr>
          <w:lang w:val="en-US"/>
        </w:rPr>
        <w:t>The total discharge for the whole catchment covering about 66037.06 ha (267.24 km</w:t>
      </w:r>
      <w:r w:rsidRPr="00051297">
        <w:rPr>
          <w:vertAlign w:val="superscript"/>
          <w:lang w:val="en-US"/>
        </w:rPr>
        <w:t>2</w:t>
      </w:r>
      <w:r w:rsidRPr="00051297">
        <w:rPr>
          <w:lang w:val="en-US"/>
        </w:rPr>
        <w:t>) was estimated to be 284970.4 ft</w:t>
      </w:r>
      <w:r w:rsidRPr="00051297">
        <w:rPr>
          <w:vertAlign w:val="superscript"/>
          <w:lang w:val="en-US"/>
        </w:rPr>
        <w:t>3</w:t>
      </w:r>
      <w:r w:rsidRPr="00051297">
        <w:rPr>
          <w:lang w:val="en-US"/>
        </w:rPr>
        <w:t>/s (8069.5 m</w:t>
      </w:r>
      <w:r w:rsidRPr="00051297">
        <w:rPr>
          <w:vertAlign w:val="superscript"/>
          <w:lang w:val="en-US"/>
        </w:rPr>
        <w:t>3</w:t>
      </w:r>
      <w:r w:rsidRPr="00051297">
        <w:rPr>
          <w:lang w:val="en-US"/>
        </w:rPr>
        <w:t>/s). Despite the coverage of the Magomeni sub-basin being smaller than the Kisarawe sub-basin, it can be observed that the estimated discharge in the Magomeni sub-basin is higher than that of the Kisarawe sub-basin which can be more attributed to the effect of land properties. Kisarawe sub-basin is located upstream,</w:t>
      </w:r>
      <w:r w:rsidRPr="00051297">
        <w:rPr>
          <w:color w:val="FF0000"/>
          <w:lang w:val="en-US"/>
        </w:rPr>
        <w:t xml:space="preserve"> </w:t>
      </w:r>
      <w:r w:rsidRPr="00051297">
        <w:rPr>
          <w:lang w:val="en-US"/>
        </w:rPr>
        <w:t xml:space="preserve">where the land is less developed with more vegetation facilitating runoff interception. In contrast, the Magomeni sub-basin is located downstream of the catchment, where the land is highly developed with a high population density. </w:t>
      </w:r>
      <w:bookmarkStart w:id="573" w:name="_Hlk28609094"/>
      <w:r w:rsidRPr="00051297">
        <w:rPr>
          <w:lang w:val="en-US"/>
        </w:rPr>
        <w:t>The selected dam sites in total can capture about 6064.18 m</w:t>
      </w:r>
      <w:r w:rsidRPr="00051297">
        <w:rPr>
          <w:vertAlign w:val="superscript"/>
          <w:lang w:val="en-US"/>
        </w:rPr>
        <w:t>3</w:t>
      </w:r>
      <w:r w:rsidRPr="00051297">
        <w:rPr>
          <w:lang w:val="en-US"/>
        </w:rPr>
        <w:t>/s (</w:t>
      </w:r>
      <w:r w:rsidRPr="00051297">
        <w:fldChar w:fldCharType="begin"/>
      </w:r>
      <w:r w:rsidRPr="00051297">
        <w:rPr>
          <w:lang w:val="en-US"/>
        </w:rPr>
        <w:instrText xml:space="preserve"> REF _Ref98104237 \h </w:instrText>
      </w:r>
      <w:r w:rsidRPr="00051297">
        <w:fldChar w:fldCharType="separate"/>
      </w:r>
      <w:r w:rsidR="004870F1" w:rsidRPr="00051297">
        <w:rPr>
          <w:rFonts w:cs="Times New Roman"/>
          <w:szCs w:val="24"/>
          <w:lang w:val="en-US" w:bidi="en-US"/>
        </w:rPr>
        <w:t xml:space="preserve">Table </w:t>
      </w:r>
      <w:r w:rsidR="004870F1">
        <w:rPr>
          <w:rFonts w:cs="Times New Roman"/>
          <w:noProof/>
          <w:szCs w:val="24"/>
          <w:lang w:val="en-US" w:bidi="en-US"/>
        </w:rPr>
        <w:t>2</w:t>
      </w:r>
      <w:r w:rsidR="004870F1" w:rsidRPr="00051297">
        <w:rPr>
          <w:rFonts w:cs="Times New Roman"/>
          <w:szCs w:val="24"/>
          <w:lang w:val="en-US" w:bidi="en-US"/>
        </w:rPr>
        <w:t>.</w:t>
      </w:r>
      <w:r w:rsidR="004870F1">
        <w:rPr>
          <w:rFonts w:cs="Times New Roman"/>
          <w:noProof/>
          <w:szCs w:val="24"/>
          <w:lang w:val="en-US" w:bidi="en-US"/>
        </w:rPr>
        <w:t>2</w:t>
      </w:r>
      <w:r w:rsidRPr="00051297">
        <w:fldChar w:fldCharType="end"/>
      </w:r>
      <w:r w:rsidRPr="00051297">
        <w:rPr>
          <w:lang w:val="en-US"/>
        </w:rPr>
        <w:t>) of the discharge, which is 75.15% of the total discharge generated in the catchment.</w:t>
      </w:r>
      <w:bookmarkEnd w:id="573"/>
    </w:p>
    <w:p w14:paraId="48739886" w14:textId="2F2F776D" w:rsidR="00051297" w:rsidRPr="00051297" w:rsidRDefault="00051297" w:rsidP="00051297">
      <w:pPr>
        <w:rPr>
          <w:rFonts w:cs="Times New Roman"/>
          <w:szCs w:val="24"/>
          <w:lang w:val="en-US" w:bidi="en-US"/>
        </w:rPr>
      </w:pPr>
      <w:bookmarkStart w:id="574" w:name="_Ref98104237"/>
      <w:bookmarkStart w:id="575" w:name="_Toc97077192"/>
      <w:bookmarkStart w:id="576" w:name="_Toc103544242"/>
      <w:bookmarkStart w:id="577" w:name="_Toc104985568"/>
      <w:bookmarkEnd w:id="572"/>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2</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2</w:t>
      </w:r>
      <w:r w:rsidRPr="00051297">
        <w:rPr>
          <w:rFonts w:cs="Times New Roman"/>
          <w:szCs w:val="24"/>
          <w:lang w:val="en-US" w:bidi="en-US"/>
        </w:rPr>
        <w:fldChar w:fldCharType="end"/>
      </w:r>
      <w:bookmarkEnd w:id="574"/>
      <w:r w:rsidRPr="00051297">
        <w:rPr>
          <w:rFonts w:cs="Times New Roman"/>
          <w:szCs w:val="24"/>
          <w:lang w:val="en-US" w:bidi="en-US"/>
        </w:rPr>
        <w:t xml:space="preserve"> Summary of the selected dam sites</w:t>
      </w:r>
      <w:bookmarkEnd w:id="575"/>
      <w:bookmarkEnd w:id="576"/>
      <w:bookmarkEnd w:id="577"/>
    </w:p>
    <w:tbl>
      <w:tblPr>
        <w:tblW w:w="9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4"/>
        <w:gridCol w:w="3351"/>
        <w:gridCol w:w="3145"/>
      </w:tblGrid>
      <w:tr w:rsidR="00051297" w:rsidRPr="00051297" w14:paraId="6F3D0178" w14:textId="77777777" w:rsidTr="00325C73">
        <w:trPr>
          <w:trHeight w:val="384"/>
        </w:trPr>
        <w:tc>
          <w:tcPr>
            <w:tcW w:w="2734" w:type="dxa"/>
            <w:shd w:val="clear" w:color="auto" w:fill="auto"/>
            <w:noWrap/>
            <w:vAlign w:val="center"/>
            <w:hideMark/>
          </w:tcPr>
          <w:p w14:paraId="15AF3150" w14:textId="77777777" w:rsidR="00051297" w:rsidRPr="00051297" w:rsidRDefault="00051297" w:rsidP="00325C73">
            <w:pPr>
              <w:spacing w:line="240" w:lineRule="auto"/>
              <w:ind w:firstLine="0"/>
              <w:jc w:val="center"/>
            </w:pPr>
            <w:r w:rsidRPr="00051297">
              <w:t>Dam subbasin</w:t>
            </w:r>
          </w:p>
        </w:tc>
        <w:tc>
          <w:tcPr>
            <w:tcW w:w="3351" w:type="dxa"/>
            <w:shd w:val="clear" w:color="auto" w:fill="auto"/>
            <w:noWrap/>
            <w:vAlign w:val="center"/>
            <w:hideMark/>
          </w:tcPr>
          <w:p w14:paraId="7D037B5D" w14:textId="77777777" w:rsidR="00051297" w:rsidRPr="00051297" w:rsidRDefault="00051297" w:rsidP="00325C73">
            <w:pPr>
              <w:spacing w:line="240" w:lineRule="auto"/>
              <w:ind w:firstLine="0"/>
              <w:jc w:val="center"/>
            </w:pPr>
            <w:r w:rsidRPr="00051297">
              <w:t>Coverage (km</w:t>
            </w:r>
            <w:r w:rsidRPr="00051297">
              <w:rPr>
                <w:vertAlign w:val="superscript"/>
              </w:rPr>
              <w:t>2</w:t>
            </w:r>
            <w:r w:rsidRPr="00051297">
              <w:t>)</w:t>
            </w:r>
          </w:p>
        </w:tc>
        <w:tc>
          <w:tcPr>
            <w:tcW w:w="3145" w:type="dxa"/>
            <w:shd w:val="clear" w:color="auto" w:fill="auto"/>
            <w:noWrap/>
            <w:vAlign w:val="center"/>
            <w:hideMark/>
          </w:tcPr>
          <w:p w14:paraId="09A08C8F" w14:textId="77777777" w:rsidR="00051297" w:rsidRPr="00051297" w:rsidRDefault="00051297" w:rsidP="00325C73">
            <w:pPr>
              <w:spacing w:line="240" w:lineRule="auto"/>
              <w:ind w:firstLine="0"/>
              <w:jc w:val="center"/>
            </w:pPr>
            <w:r w:rsidRPr="00051297">
              <w:t>Discharge (m</w:t>
            </w:r>
            <w:r w:rsidRPr="00051297">
              <w:rPr>
                <w:vertAlign w:val="superscript"/>
              </w:rPr>
              <w:t>3</w:t>
            </w:r>
            <w:r w:rsidRPr="00051297">
              <w:t>/s)</w:t>
            </w:r>
          </w:p>
        </w:tc>
      </w:tr>
      <w:tr w:rsidR="00051297" w:rsidRPr="00051297" w14:paraId="7D237D9C" w14:textId="77777777" w:rsidTr="00325C73">
        <w:trPr>
          <w:trHeight w:val="384"/>
        </w:trPr>
        <w:tc>
          <w:tcPr>
            <w:tcW w:w="2734" w:type="dxa"/>
            <w:shd w:val="clear" w:color="auto" w:fill="auto"/>
            <w:noWrap/>
            <w:vAlign w:val="center"/>
            <w:hideMark/>
          </w:tcPr>
          <w:p w14:paraId="126E494A" w14:textId="77777777" w:rsidR="00051297" w:rsidRPr="00051297" w:rsidRDefault="00051297" w:rsidP="00325C73">
            <w:pPr>
              <w:spacing w:line="240" w:lineRule="auto"/>
              <w:ind w:firstLine="0"/>
              <w:jc w:val="center"/>
            </w:pPr>
            <w:bookmarkStart w:id="578" w:name="_Hlk30377463"/>
            <w:r w:rsidRPr="00051297">
              <w:t>Kisarawe sub-basin</w:t>
            </w:r>
          </w:p>
        </w:tc>
        <w:tc>
          <w:tcPr>
            <w:tcW w:w="3351" w:type="dxa"/>
            <w:shd w:val="clear" w:color="auto" w:fill="auto"/>
            <w:noWrap/>
            <w:vAlign w:val="center"/>
            <w:hideMark/>
          </w:tcPr>
          <w:p w14:paraId="2BFE568E" w14:textId="77777777" w:rsidR="00051297" w:rsidRPr="00051297" w:rsidRDefault="00051297" w:rsidP="00325C73">
            <w:pPr>
              <w:spacing w:line="240" w:lineRule="auto"/>
              <w:ind w:firstLine="0"/>
              <w:jc w:val="center"/>
              <w:rPr>
                <w:lang w:val="en-US"/>
              </w:rPr>
            </w:pPr>
            <w:r w:rsidRPr="00051297">
              <w:t>89.6</w:t>
            </w:r>
            <w:r w:rsidRPr="00051297">
              <w:rPr>
                <w:lang w:val="en-US"/>
              </w:rPr>
              <w:t>7</w:t>
            </w:r>
          </w:p>
        </w:tc>
        <w:tc>
          <w:tcPr>
            <w:tcW w:w="3145" w:type="dxa"/>
            <w:shd w:val="clear" w:color="auto" w:fill="auto"/>
            <w:noWrap/>
            <w:vAlign w:val="center"/>
            <w:hideMark/>
          </w:tcPr>
          <w:p w14:paraId="574B41AD" w14:textId="77777777" w:rsidR="00051297" w:rsidRPr="00051297" w:rsidRDefault="00051297" w:rsidP="00325C73">
            <w:pPr>
              <w:spacing w:line="240" w:lineRule="auto"/>
              <w:ind w:firstLine="0"/>
              <w:jc w:val="center"/>
            </w:pPr>
            <w:r w:rsidRPr="00051297">
              <w:t>2019.49</w:t>
            </w:r>
          </w:p>
        </w:tc>
      </w:tr>
      <w:tr w:rsidR="00051297" w:rsidRPr="00051297" w14:paraId="4AB7970F" w14:textId="77777777" w:rsidTr="00325C73">
        <w:trPr>
          <w:trHeight w:val="384"/>
        </w:trPr>
        <w:tc>
          <w:tcPr>
            <w:tcW w:w="2734" w:type="dxa"/>
            <w:shd w:val="clear" w:color="auto" w:fill="auto"/>
            <w:noWrap/>
            <w:vAlign w:val="center"/>
            <w:hideMark/>
          </w:tcPr>
          <w:p w14:paraId="5596BBDD" w14:textId="77777777" w:rsidR="00051297" w:rsidRPr="00051297" w:rsidRDefault="00051297" w:rsidP="00325C73">
            <w:pPr>
              <w:spacing w:line="240" w:lineRule="auto"/>
              <w:ind w:firstLine="0"/>
              <w:jc w:val="center"/>
            </w:pPr>
            <w:r w:rsidRPr="00051297">
              <w:t>Magomeni sub-basin</w:t>
            </w:r>
          </w:p>
        </w:tc>
        <w:tc>
          <w:tcPr>
            <w:tcW w:w="3351" w:type="dxa"/>
            <w:shd w:val="clear" w:color="auto" w:fill="auto"/>
            <w:noWrap/>
            <w:vAlign w:val="center"/>
            <w:hideMark/>
          </w:tcPr>
          <w:p w14:paraId="12B1E03C" w14:textId="77777777" w:rsidR="00051297" w:rsidRPr="00051297" w:rsidRDefault="00051297" w:rsidP="00325C73">
            <w:pPr>
              <w:spacing w:line="240" w:lineRule="auto"/>
              <w:ind w:firstLine="0"/>
              <w:jc w:val="center"/>
              <w:rPr>
                <w:lang w:val="en-US"/>
              </w:rPr>
            </w:pPr>
            <w:r w:rsidRPr="00051297">
              <w:t>59.3</w:t>
            </w:r>
            <w:r w:rsidRPr="00051297">
              <w:rPr>
                <w:lang w:val="en-US"/>
              </w:rPr>
              <w:t>2</w:t>
            </w:r>
          </w:p>
        </w:tc>
        <w:tc>
          <w:tcPr>
            <w:tcW w:w="3145" w:type="dxa"/>
            <w:shd w:val="clear" w:color="auto" w:fill="auto"/>
            <w:noWrap/>
            <w:vAlign w:val="center"/>
            <w:hideMark/>
          </w:tcPr>
          <w:p w14:paraId="4CF41432" w14:textId="77777777" w:rsidR="00051297" w:rsidRPr="00051297" w:rsidRDefault="00051297" w:rsidP="00325C73">
            <w:pPr>
              <w:spacing w:line="240" w:lineRule="auto"/>
              <w:ind w:firstLine="0"/>
              <w:jc w:val="center"/>
              <w:rPr>
                <w:lang w:val="en-US"/>
              </w:rPr>
            </w:pPr>
            <w:r w:rsidRPr="00051297">
              <w:t>2042.</w:t>
            </w:r>
            <w:r w:rsidRPr="00051297">
              <w:rPr>
                <w:lang w:val="en-US"/>
              </w:rPr>
              <w:t>70</w:t>
            </w:r>
          </w:p>
        </w:tc>
      </w:tr>
      <w:tr w:rsidR="00051297" w:rsidRPr="00051297" w14:paraId="63279A89" w14:textId="77777777" w:rsidTr="00325C73">
        <w:trPr>
          <w:trHeight w:val="384"/>
        </w:trPr>
        <w:tc>
          <w:tcPr>
            <w:tcW w:w="2734" w:type="dxa"/>
            <w:shd w:val="clear" w:color="auto" w:fill="auto"/>
            <w:noWrap/>
            <w:vAlign w:val="center"/>
            <w:hideMark/>
          </w:tcPr>
          <w:p w14:paraId="002AEC93" w14:textId="77777777" w:rsidR="00051297" w:rsidRPr="00051297" w:rsidRDefault="00051297" w:rsidP="00325C73">
            <w:pPr>
              <w:spacing w:line="240" w:lineRule="auto"/>
              <w:ind w:firstLine="0"/>
              <w:jc w:val="center"/>
            </w:pPr>
            <w:r w:rsidRPr="00051297">
              <w:t>Kinyerezi sub-basin</w:t>
            </w:r>
          </w:p>
        </w:tc>
        <w:tc>
          <w:tcPr>
            <w:tcW w:w="3351" w:type="dxa"/>
            <w:shd w:val="clear" w:color="auto" w:fill="auto"/>
            <w:noWrap/>
            <w:vAlign w:val="center"/>
            <w:hideMark/>
          </w:tcPr>
          <w:p w14:paraId="09C279E1" w14:textId="77777777" w:rsidR="00051297" w:rsidRPr="00051297" w:rsidRDefault="00051297" w:rsidP="00325C73">
            <w:pPr>
              <w:spacing w:line="240" w:lineRule="auto"/>
              <w:ind w:firstLine="0"/>
              <w:jc w:val="center"/>
            </w:pPr>
            <w:r w:rsidRPr="00051297">
              <w:t>19.05</w:t>
            </w:r>
          </w:p>
        </w:tc>
        <w:tc>
          <w:tcPr>
            <w:tcW w:w="3145" w:type="dxa"/>
            <w:shd w:val="clear" w:color="auto" w:fill="auto"/>
            <w:noWrap/>
            <w:vAlign w:val="center"/>
            <w:hideMark/>
          </w:tcPr>
          <w:p w14:paraId="04CA623E" w14:textId="77777777" w:rsidR="00051297" w:rsidRPr="00051297" w:rsidRDefault="00051297" w:rsidP="00325C73">
            <w:pPr>
              <w:spacing w:line="240" w:lineRule="auto"/>
              <w:ind w:firstLine="0"/>
              <w:jc w:val="center"/>
              <w:rPr>
                <w:lang w:val="en-US"/>
              </w:rPr>
            </w:pPr>
            <w:r w:rsidRPr="00051297">
              <w:t>634.7</w:t>
            </w:r>
            <w:r w:rsidRPr="00051297">
              <w:rPr>
                <w:lang w:val="en-US"/>
              </w:rPr>
              <w:t>6</w:t>
            </w:r>
          </w:p>
        </w:tc>
      </w:tr>
      <w:tr w:rsidR="00051297" w:rsidRPr="00051297" w14:paraId="1020BF07" w14:textId="77777777" w:rsidTr="00325C73">
        <w:trPr>
          <w:trHeight w:val="384"/>
        </w:trPr>
        <w:tc>
          <w:tcPr>
            <w:tcW w:w="2734" w:type="dxa"/>
            <w:shd w:val="clear" w:color="auto" w:fill="auto"/>
            <w:noWrap/>
            <w:vAlign w:val="center"/>
            <w:hideMark/>
          </w:tcPr>
          <w:p w14:paraId="0160694C" w14:textId="77777777" w:rsidR="00051297" w:rsidRPr="00051297" w:rsidRDefault="00051297" w:rsidP="00325C73">
            <w:pPr>
              <w:spacing w:line="240" w:lineRule="auto"/>
              <w:ind w:firstLine="0"/>
              <w:jc w:val="center"/>
            </w:pPr>
            <w:r w:rsidRPr="00051297">
              <w:t>Jangwani sub-basin</w:t>
            </w:r>
          </w:p>
        </w:tc>
        <w:tc>
          <w:tcPr>
            <w:tcW w:w="3351" w:type="dxa"/>
            <w:shd w:val="clear" w:color="auto" w:fill="auto"/>
            <w:noWrap/>
            <w:vAlign w:val="center"/>
            <w:hideMark/>
          </w:tcPr>
          <w:p w14:paraId="6AB427ED" w14:textId="77777777" w:rsidR="00051297" w:rsidRPr="00051297" w:rsidRDefault="00051297" w:rsidP="00325C73">
            <w:pPr>
              <w:spacing w:line="240" w:lineRule="auto"/>
              <w:ind w:firstLine="0"/>
              <w:jc w:val="center"/>
              <w:rPr>
                <w:lang w:val="en-US"/>
              </w:rPr>
            </w:pPr>
            <w:r w:rsidRPr="00051297">
              <w:t>24.2</w:t>
            </w:r>
            <w:r w:rsidRPr="00051297">
              <w:rPr>
                <w:lang w:val="en-US"/>
              </w:rPr>
              <w:t>6</w:t>
            </w:r>
          </w:p>
        </w:tc>
        <w:tc>
          <w:tcPr>
            <w:tcW w:w="3145" w:type="dxa"/>
            <w:shd w:val="clear" w:color="auto" w:fill="auto"/>
            <w:noWrap/>
            <w:vAlign w:val="center"/>
            <w:hideMark/>
          </w:tcPr>
          <w:p w14:paraId="1C6CAC75" w14:textId="77777777" w:rsidR="00051297" w:rsidRPr="00051297" w:rsidRDefault="00051297" w:rsidP="00325C73">
            <w:pPr>
              <w:spacing w:line="240" w:lineRule="auto"/>
              <w:ind w:firstLine="0"/>
              <w:jc w:val="center"/>
              <w:rPr>
                <w:lang w:val="en-US"/>
              </w:rPr>
            </w:pPr>
            <w:r w:rsidRPr="00051297">
              <w:t>833.4</w:t>
            </w:r>
            <w:r w:rsidRPr="00051297">
              <w:rPr>
                <w:lang w:val="en-US"/>
              </w:rPr>
              <w:t>8</w:t>
            </w:r>
          </w:p>
        </w:tc>
      </w:tr>
      <w:tr w:rsidR="00051297" w:rsidRPr="00051297" w14:paraId="68FF944D" w14:textId="77777777" w:rsidTr="00325C73">
        <w:trPr>
          <w:trHeight w:val="384"/>
        </w:trPr>
        <w:tc>
          <w:tcPr>
            <w:tcW w:w="2734" w:type="dxa"/>
            <w:shd w:val="clear" w:color="auto" w:fill="auto"/>
            <w:noWrap/>
            <w:vAlign w:val="center"/>
            <w:hideMark/>
          </w:tcPr>
          <w:p w14:paraId="534D1DB3" w14:textId="77777777" w:rsidR="00051297" w:rsidRPr="00051297" w:rsidRDefault="00051297" w:rsidP="00325C73">
            <w:pPr>
              <w:spacing w:line="240" w:lineRule="auto"/>
              <w:ind w:firstLine="0"/>
              <w:jc w:val="center"/>
            </w:pPr>
            <w:r w:rsidRPr="00051297">
              <w:t>Pugu sub-basin</w:t>
            </w:r>
          </w:p>
        </w:tc>
        <w:tc>
          <w:tcPr>
            <w:tcW w:w="3351" w:type="dxa"/>
            <w:shd w:val="clear" w:color="auto" w:fill="auto"/>
            <w:noWrap/>
            <w:vAlign w:val="center"/>
            <w:hideMark/>
          </w:tcPr>
          <w:p w14:paraId="507931AB" w14:textId="77777777" w:rsidR="00051297" w:rsidRPr="00051297" w:rsidRDefault="00051297" w:rsidP="00325C73">
            <w:pPr>
              <w:spacing w:line="240" w:lineRule="auto"/>
              <w:ind w:firstLine="0"/>
              <w:jc w:val="center"/>
              <w:rPr>
                <w:lang w:val="en-US"/>
              </w:rPr>
            </w:pPr>
            <w:r w:rsidRPr="00051297">
              <w:t>16.6</w:t>
            </w:r>
            <w:r w:rsidRPr="00051297">
              <w:rPr>
                <w:lang w:val="en-US"/>
              </w:rPr>
              <w:t>8</w:t>
            </w:r>
          </w:p>
        </w:tc>
        <w:tc>
          <w:tcPr>
            <w:tcW w:w="3145" w:type="dxa"/>
            <w:shd w:val="clear" w:color="auto" w:fill="auto"/>
            <w:noWrap/>
            <w:vAlign w:val="center"/>
            <w:hideMark/>
          </w:tcPr>
          <w:p w14:paraId="54735E90" w14:textId="77777777" w:rsidR="00051297" w:rsidRPr="00051297" w:rsidRDefault="00051297" w:rsidP="00325C73">
            <w:pPr>
              <w:spacing w:line="240" w:lineRule="auto"/>
              <w:ind w:firstLine="0"/>
              <w:jc w:val="center"/>
            </w:pPr>
            <w:r w:rsidRPr="00051297">
              <w:t>533.75</w:t>
            </w:r>
          </w:p>
        </w:tc>
      </w:tr>
      <w:bookmarkEnd w:id="578"/>
      <w:tr w:rsidR="00051297" w:rsidRPr="00051297" w14:paraId="7B39A246" w14:textId="77777777" w:rsidTr="00325C73">
        <w:trPr>
          <w:trHeight w:val="384"/>
        </w:trPr>
        <w:tc>
          <w:tcPr>
            <w:tcW w:w="2734" w:type="dxa"/>
            <w:shd w:val="clear" w:color="auto" w:fill="auto"/>
            <w:noWrap/>
            <w:vAlign w:val="center"/>
          </w:tcPr>
          <w:p w14:paraId="2FE92D95" w14:textId="77777777" w:rsidR="00051297" w:rsidRPr="00051297" w:rsidRDefault="00051297" w:rsidP="00325C73">
            <w:pPr>
              <w:spacing w:line="240" w:lineRule="auto"/>
              <w:ind w:firstLine="0"/>
              <w:jc w:val="center"/>
            </w:pPr>
            <w:r w:rsidRPr="00051297">
              <w:t>Total</w:t>
            </w:r>
          </w:p>
        </w:tc>
        <w:tc>
          <w:tcPr>
            <w:tcW w:w="3351" w:type="dxa"/>
            <w:shd w:val="clear" w:color="auto" w:fill="auto"/>
            <w:noWrap/>
            <w:vAlign w:val="center"/>
          </w:tcPr>
          <w:p w14:paraId="1F867E47" w14:textId="77777777" w:rsidR="00051297" w:rsidRPr="00051297" w:rsidRDefault="00051297" w:rsidP="00325C73">
            <w:pPr>
              <w:spacing w:line="240" w:lineRule="auto"/>
              <w:ind w:firstLine="0"/>
              <w:jc w:val="center"/>
            </w:pPr>
            <w:r w:rsidRPr="00051297">
              <w:t>208.97</w:t>
            </w:r>
          </w:p>
        </w:tc>
        <w:tc>
          <w:tcPr>
            <w:tcW w:w="3145" w:type="dxa"/>
            <w:shd w:val="clear" w:color="auto" w:fill="auto"/>
            <w:noWrap/>
            <w:vAlign w:val="center"/>
          </w:tcPr>
          <w:p w14:paraId="05A738C5" w14:textId="77777777" w:rsidR="00051297" w:rsidRPr="00051297" w:rsidRDefault="00051297" w:rsidP="00325C73">
            <w:pPr>
              <w:spacing w:line="240" w:lineRule="auto"/>
              <w:ind w:firstLine="0"/>
              <w:jc w:val="center"/>
              <w:rPr>
                <w:lang w:val="en-US"/>
              </w:rPr>
            </w:pPr>
            <w:r w:rsidRPr="00051297">
              <w:t>6064.1</w:t>
            </w:r>
            <w:r w:rsidRPr="00051297">
              <w:rPr>
                <w:lang w:val="en-US"/>
              </w:rPr>
              <w:t>8</w:t>
            </w:r>
          </w:p>
        </w:tc>
      </w:tr>
    </w:tbl>
    <w:p w14:paraId="6D1346EC" w14:textId="77777777" w:rsidR="00051297" w:rsidRPr="00051297" w:rsidRDefault="00051297" w:rsidP="00051297">
      <w:bookmarkStart w:id="579" w:name="_Toc97504782"/>
    </w:p>
    <w:p w14:paraId="1794B05E" w14:textId="41365EE5" w:rsidR="00051297" w:rsidRPr="00051297" w:rsidRDefault="00051297" w:rsidP="00090C07">
      <w:pPr>
        <w:pStyle w:val="4"/>
        <w:rPr>
          <w:rFonts w:eastAsia="Calibri"/>
        </w:rPr>
      </w:pPr>
      <w:r w:rsidRPr="00051297">
        <w:rPr>
          <w:rFonts w:eastAsia="Calibri"/>
        </w:rPr>
        <w:t xml:space="preserve"> </w:t>
      </w:r>
      <w:bookmarkStart w:id="580" w:name="_Toc103543917"/>
      <w:bookmarkStart w:id="581" w:name="_Toc104985241"/>
      <w:r w:rsidRPr="00051297">
        <w:rPr>
          <w:rFonts w:eastAsia="Calibri"/>
        </w:rPr>
        <w:t>Discussion</w:t>
      </w:r>
      <w:bookmarkEnd w:id="579"/>
      <w:bookmarkEnd w:id="580"/>
      <w:bookmarkEnd w:id="581"/>
    </w:p>
    <w:p w14:paraId="3E3EB787" w14:textId="77777777" w:rsidR="00051297" w:rsidRPr="00051297" w:rsidRDefault="00051297" w:rsidP="00051297">
      <w:pPr>
        <w:rPr>
          <w:lang w:val="en-US"/>
        </w:rPr>
      </w:pPr>
      <w:r w:rsidRPr="00051297">
        <w:rPr>
          <w:lang w:val="en-US"/>
        </w:rPr>
        <w:t xml:space="preserve">The results derived in this study reveal that the combination of DEM and </w:t>
      </w:r>
      <w:r w:rsidRPr="00051297">
        <w:rPr>
          <w:color w:val="000000"/>
          <w:lang w:val="en-US"/>
        </w:rPr>
        <w:t>HEC-GeoHMS</w:t>
      </w:r>
      <w:r w:rsidRPr="00051297">
        <w:rPr>
          <w:lang w:val="en-US"/>
        </w:rPr>
        <w:t xml:space="preserve"> tools make up a promising approach for the assessment of potential dam sites within a catchment. In general, Remote Sensing (RS) and Geographical Information Systems (GIS) are very useful in terms of providing geospatial data for the assessment of potential dam sites. Also, having a prior understanding of the investigated area as well as the technical knowledge is important as it helps </w:t>
      </w:r>
      <w:r w:rsidRPr="00051297">
        <w:rPr>
          <w:lang w:val="en-US"/>
        </w:rPr>
        <w:lastRenderedPageBreak/>
        <w:t xml:space="preserve">in providing a link between the theories and the real situation on the ground for easy identification of the potential dam sites. </w:t>
      </w:r>
    </w:p>
    <w:p w14:paraId="2FB6C6C3" w14:textId="77777777" w:rsidR="00F24E2C" w:rsidRDefault="00051297" w:rsidP="00051297">
      <w:pPr>
        <w:rPr>
          <w:lang w:val="en-US"/>
        </w:rPr>
      </w:pPr>
      <w:r w:rsidRPr="00051297">
        <w:rPr>
          <w:lang w:val="en-US"/>
        </w:rPr>
        <w:t xml:space="preserve">Considering the studies conducted in some other parts of the world </w:t>
      </w:r>
      <w:r w:rsidRPr="00051297">
        <w:fldChar w:fldCharType="begin" w:fldLock="1"/>
      </w:r>
      <w:r w:rsidR="00FA5896">
        <w:rPr>
          <w:lang w:val="en-US"/>
        </w:rPr>
        <w:instrText>ADDIN CSL_CITATION {"citationItems":[{"id":"ITEM-1","itemData":{"abstract":"In this paper, we will perform drainage analysis on a terrain model for Bekhma area The Arc Hydro tools are used to derive several data sets that collectivity describe the drainage patterns of the catchments. Raster analysis is performed to generate data on flow direction, flow accumulation, stream definition, stream segmentation, and watershed delineation. These data are then used to develop a vector representation of catchments and drainage lines from selected points. The utility of Arc Hydro tools is used to develop attributes that can be useful in hydrologic modeling. The main data is the DEM with 1 arc second to get as much accurate results as could. Using this technique the author got very good results by comparing the Russian results introduced using the topo maps, with GIS technique while they used the collection of hard copy maps and they extracted the DTM from the contour lines and calculated the catchment area.","author":[{"dropping-particle":"","family":"Abdulla","given":"M.","non-dropping-particle":"","parse-names":false,"suffix":""}],"container-title":"Spatial Information Processing","id":"ITEM-1","issued":{"date-parts":[["2011"]]},"title":"Catchment area delineation using GIS technique for Bekhma Dam Catchment area delineation using GIS technique for Bekhma Dam","type":"article-journal"},"uris":["http://www.mendeley.com/documents/?uuid=a0150143-fe7b-4b85-81c9-109aae775edd","http://www.mendeley.com/documents/?uuid=475c3476-abb9-4163-a696-02a236e292b0"]},{"id":"ITEM-2","itemData":{"DOI":"10.1016/j.jhydrol.2013.11.028","ISSN":"00221694","abstract":"Extraction of watershed areas from Digital Elevation Models (DEMs) is increasingly required in a variety of environmental analyses. It is facilitated by the availability of DEMs based on remotely sensed data, and by Geographical Information System (GIS) software. However, accurate delineation depends on the quality of the DEM and the methodology adopted. This paper considers automated and supervised delineation in a case study of the Upper Indus Basin (UIB), Pakistan, for which published estimates of the basin area show significant disagreement, ranging from 166,000 to 266,000km2. Automated delineation used ArcGIS Archydro and hydrology tools applied to three good quality DEMs (two from SRTM data with 90m resolution, and one from 30m resolution ASTER data). Automatic delineation defined a basin area of c.440,000km2 for the UIB, but included a large area of internal drainage in the western Tibetan Plateau. It is shown that discrepancies between different estimates reflect differences in the initial extent of the DEM used for watershed delineation, and the unchecked effect of iterative pit-filling of the DEM (going beyond the filling of erroneous pixels to filling entire closed basins). For the UIB we have identified critical points where spurious addition of catchment area has arisen, and use Google Earth to examine the geomorphology adjacent to these points, and also examine the basin boundary data provided by the HydroSHEDS database. We show that the Pangong Tso watershed and some other areas in the western Tibetan plateau are not part of the UIB, but are areas of internal drainage. Our best estimate of the area of the Upper Indus Basin (at Besham Qila) is 164,867km2 based on the SRTM DEM, and 164,853km2 using the ASTER DEM). This matches the catchment area measured by WAPDA SWHP. An important lesson from this investigation is that one should not rely on automated delineation, as iterative pit-filling can produce spurious drainage networks and basins, when there are areas of internal drainage nearby. © 2013 Elsevier B.V.","author":[{"dropping-particle":"","family":"Khan","given":"Asif","non-dropping-particle":"","parse-names":false,"suffix":""},{"dropping-particle":"","family":"Richards","given":"Keith S.","non-dropping-particle":"","parse-names":false,"suffix":""},{"dropping-particle":"","family":"Parker","given":"Geoffrey T.","non-dropping-particle":"","parse-names":false,"suffix":""},{"dropping-particle":"","family":"McRobie","given":"Allan","non-dropping-particle":"","parse-names":false,"suffix":""},{"dropping-particle":"","family":"Mukhopadhyay","given":"Biswajit","non-dropping-particle":"","parse-names":false,"suffix":""}],"container-title":"Journal of Hydrology","id":"ITEM-2","issued":{"date-parts":[["2014"]]},"page":"442-453","publisher":"Elsevier B.V.","title":"How large is the Upper Indus Basin? The pitfalls of auto-delineation using DEMs","type":"article-journal","volume":"509"},"uris":["http://www.mendeley.com/documents/?uuid=ed32e501-8341-49bf-b18a-5eb08712a777","http://www.mendeley.com/documents/?uuid=c8021c74-039c-4192-81ff-e49aa38e963c"]},{"id":"ITEM-3","itemData":{"DOI":"10.1016/j.gsf.2011.10.007","ISSN":"16749871","abstract":"Integration of remote sensing data and the geographical information system (GIS) for the exploration of groundwater resources has become a breakthrough in the field of groundwater research, which assists in assessing, monitoring, and conserving groundwater resources. In the present paper, various groundwater potential zones for the assessment of groundwater availability in Theni district have been delineated using remote sensing and GIS techniques. Survey of India toposheets and IRS-1C satellite imageries are used to prepare various thematic layers viz. lithology, slope, land-use, lineament, drainage, soil, and rainfall were transformed to raster data using feature to raster converter tool in ArcGIS. The raster maps of these factors are allocated a fixed score and weight computed from multi influencing factor (MIF) technique. Moreover, each weighted thematic layer is statistically computed to get the groundwater potential zones. The groundwater potential zones thus obtained were divided into four categories, viz., very poor, poor, good, and very good zones. The result depicts the groundwater potential zones in the study area and found to be helpful in better planning and management of groundwater resources. © 2011, China University of Geosciences (Beijing) and Peking University. Production and hosting by Elsevier B.V. All rights reserved.","author":[{"dropping-particle":"","family":"Magesh","given":"N. S.","non-dropping-particle":"","parse-names":false,"suffix":""},{"dropping-particle":"","family":"Chandrasekar","given":"N.","non-dropping-particle":"","parse-names":false,"suffix":""},{"dropping-particle":"","family":"Soundranayagam","given":"John Prince","non-dropping-particle":"","parse-names":false,"suffix":""}],"container-title":"Geoscience Frontiers","id":"ITEM-3","issued":{"date-parts":[["2012"]]},"title":"Delineation of groundwater potential zones in Theni district, Tamil Nadu, using remote sensing, GIS and MIF techniques","type":"article-journal"},"uris":["http://www.mendeley.com/documents/?uuid=21208e49-9ed9-4f73-b1fd-def476dca413","http://www.mendeley.com/documents/?uuid=2c99f800-d6f6-4edf-af9b-1ea7f8344605"]}],"mendeley":{"formattedCitation":"[248–250]","plainTextFormattedCitation":"[248–250]","previouslyFormattedCitation":"[248–250]"},"properties":{"noteIndex":0},"schema":"https://github.com/citation-style-language/schema/raw/master/csl-citation.json"}</w:instrText>
      </w:r>
      <w:r w:rsidRPr="00051297">
        <w:fldChar w:fldCharType="separate"/>
      </w:r>
      <w:r w:rsidR="0032684D" w:rsidRPr="0032684D">
        <w:rPr>
          <w:noProof/>
          <w:lang w:val="en-US"/>
        </w:rPr>
        <w:t>[248–250]</w:t>
      </w:r>
      <w:r w:rsidRPr="00051297">
        <w:fldChar w:fldCharType="end"/>
      </w:r>
      <w:r w:rsidRPr="00051297">
        <w:rPr>
          <w:lang w:val="en-US"/>
        </w:rPr>
        <w:t xml:space="preserve">, GIS-based techniques provide a handy approach to extracting the geomorphological characteristics of a catchment. During the installation process, the </w:t>
      </w:r>
      <w:r w:rsidRPr="00051297">
        <w:rPr>
          <w:color w:val="000000"/>
          <w:lang w:val="en-US"/>
        </w:rPr>
        <w:t>HEC-GeoHMS</w:t>
      </w:r>
      <w:r w:rsidRPr="00051297">
        <w:rPr>
          <w:lang w:val="en-US"/>
        </w:rPr>
        <w:t xml:space="preserve"> was smart enough to detect the absence of Arc Hydro tools and then will give an option to automatically install Arc Hydro tools compatible with the ArcGIS version installed in the working machine. </w:t>
      </w:r>
    </w:p>
    <w:p w14:paraId="0713846C" w14:textId="4423E28B" w:rsidR="00051297" w:rsidRPr="00051297" w:rsidRDefault="00051297" w:rsidP="00051297">
      <w:pPr>
        <w:rPr>
          <w:lang w:val="en-US"/>
        </w:rPr>
      </w:pPr>
      <w:r w:rsidRPr="00051297">
        <w:rPr>
          <w:lang w:val="en-US"/>
        </w:rPr>
        <w:t xml:space="preserve">Also, after the DEM preprocessing, the Project Setup section in </w:t>
      </w:r>
      <w:r w:rsidRPr="00051297">
        <w:rPr>
          <w:color w:val="000000"/>
          <w:lang w:val="en-US"/>
        </w:rPr>
        <w:t>HEC-GeoHMS</w:t>
      </w:r>
      <w:r w:rsidRPr="00051297">
        <w:rPr>
          <w:lang w:val="en-US"/>
        </w:rPr>
        <w:t xml:space="preserve"> provided more promising catchment delineation results with more detailed delineated streams. This methodology appears to be more effective because it avoids the difficulties of manually locating appropriate Arc Hydro tools and provides an efficient method for extracting, mapping, and interpreting watershed characteristics in order to identify potential dam site locations. </w:t>
      </w:r>
    </w:p>
    <w:p w14:paraId="12CBD690" w14:textId="328AF7C1" w:rsidR="00051297" w:rsidRPr="00051297" w:rsidRDefault="00051297" w:rsidP="00051297">
      <w:pPr>
        <w:rPr>
          <w:lang w:val="en-US"/>
        </w:rPr>
      </w:pPr>
      <w:r w:rsidRPr="00051297">
        <w:rPr>
          <w:lang w:val="en-US"/>
        </w:rPr>
        <w:t>Despite the challenges associated with the open-source DEM with 30 m by 30 m resolution for the GIS-based approaches, the catchment delineation in this study provided an accurate reflection of the catchment characteristics on the ground supported by the prior understanding of the catchment and the Google Earth Pro visualization of the delineation results. However, a higher resolution DEM can be more useful to provide a piece of more detailed information (</w:t>
      </w:r>
      <w:r w:rsidRPr="00051297">
        <w:fldChar w:fldCharType="begin" w:fldLock="1"/>
      </w:r>
      <w:r w:rsidR="00FA5896">
        <w:rPr>
          <w:lang w:val="en-US"/>
        </w:rPr>
        <w:instrText>ADDIN CSL_CITATION {"citationItems":[{"id":"ITEM-1","itemData":{"DOI":"10.1016/S0034-4257(00)00136-X","ISSN":"00344257","abstract":"The effect of vertical accuracy of digital elevation models (DEMs) on hydrologic prediction accuracy was evaluated by comparing three DEMs and associated stream-flow simulations for the 7.2 km2 USDA-ARS watershed at Mahantango Creek, PA. The DEMs were the standard 30 m USGS 7.5′ DEM, a 5 m product derived from low altitude aerial photography, and a 30 m product derived from interferometric processing of Spaceborne Imaging Radar-C (SIR-C). Statistical analysis of the DEMs showed that the USGS DEM had the typical stipling errors resulting from processing of the source digital contour maps, and a vertical error structure related to the topographic attributes of the watershed. The SIR-C DEM had a vertical offset of about 50 m from the high resolution and USGS DEMs, as well as error features that were somewhat related to topographic features. Inaccuracies in both the USGS and SIR-C DEMs were apparent in the drainage network, as well as in spatial images of elevation, slope; and contributing area. Comparisons of runoff predicted using a hydrologic model based on the three DEMs showed that mean annual predicted runoff volumes were 0.3% and 7.0% larger for the USGS and SIR-C DEMs, respectively, as compared to the reference DEM. Much larger differences were apparent in individual hydrographs; and the USGS and SIR-C DEMs predicted lower peaks, and higher base flows, than did the reference. ©Elsevier Science Inc., 2000.","author":[{"dropping-particle":"","family":"Kenward","given":"Tracey","non-dropping-particle":"","parse-names":false,"suffix":""},{"dropping-particle":"","family":"Lettenmaier","given":"Dennis P.","non-dropping-particle":"","parse-names":false,"suffix":""},{"dropping-particle":"","family":"Wood","given":"Eric F.","non-dropping-particle":"","parse-names":false,"suffix":""},{"dropping-particle":"","family":"Fielding","given":"Eric","non-dropping-particle":"","parse-names":false,"suffix":""}],"container-title":"Remote Sensing of Environment","id":"ITEM-1","issued":{"date-parts":[["2000"]]},"title":"Effects of digital elevation model accuracy on hydrologic predictions","type":"article-journal"},"uris":["http://www.mendeley.com/documents/?uuid=5cb0fb90-397b-40f0-a715-43034dafd43a","http://www.mendeley.com/documents/?uuid=c7023556-dd42-4ef9-a72e-c7a4dba488d0","http://www.mendeley.com/documents/?uuid=27ba2e77-280f-4eb2-ba8f-97629b11e045"]}],"mendeley":{"formattedCitation":"[251]","plainTextFormattedCitation":"[251]","previouslyFormattedCitation":"[251]"},"properties":{"noteIndex":0},"schema":"https://github.com/citation-style-language/schema/raw/master/csl-citation.json"}</w:instrText>
      </w:r>
      <w:r w:rsidRPr="00051297">
        <w:fldChar w:fldCharType="separate"/>
      </w:r>
      <w:r w:rsidR="0032684D" w:rsidRPr="0032684D">
        <w:rPr>
          <w:noProof/>
        </w:rPr>
        <w:t>[251]</w:t>
      </w:r>
      <w:r w:rsidRPr="00051297">
        <w:fldChar w:fldCharType="end"/>
      </w:r>
      <w:r w:rsidRPr="00051297">
        <w:t>;</w:t>
      </w:r>
      <w:r w:rsidRPr="00051297">
        <w:fldChar w:fldCharType="begin" w:fldLock="1"/>
      </w:r>
      <w:r w:rsidR="00FA5896">
        <w:instrText>ADDIN CSL_CITATION {"citationItems":[{"id":"ITEM-1","itemData":{"DOI":"10.1109/GEOINFORMATICS.2010.5567513","ISBN":"9781424473021","abstract":"Digital Elevation Model (DEM) is the main and commonly used data in extracting the digital drainage system in a basin. But the result of the extracted drainage networks would have great uncertainty because of introducing accumulation area threshold and the cell size of DEM in the context of scale effect. Therefore, it is of great significance to explore the relationship between the three above factors in detail. The researches reported at present are mainly on that of any two factors qualitatively or quantitatively. It is yet to be answered about how to define the accumulation area threshold and the spatial resolution in a given research area. The paper examined the relationship between the three factors and presented a composite function. Method: the DEM with grid cell size of 2.5(m) in the research area, Xiamen city of Fujian province, P. R. China, was generated using the Digital Line Graphic (DLG) on the scale of 1:10000. The original DEM generated was re-sampled into a series of DEMs with nested grid size as 5(m), 10(m), 20(m), 40(m), 80(m), 160(m) and 320(m) using the Nearest Re-sampling method. Then the D8 algorithm and the Hydrology module in ArcGIS software was employed to extract drainage networks with 7 accumulation area thresholds as 0.9(km2), 2.7(km2), 4.5(km2), 7.2(km2), 9(km2), 13.5(km 2) and 18(km2) in all the DEMs above. Then two indices, the length and the density of the drainage networks were calculated and the quantitative composite functions and curve line graph between the indices, the threshold and the DEM resolution were presented as well. Our analysis of the results revealed that: (1) the length and the density of the drainage networks are both obeying the same function format; (2) these two indices are obeying the power function format with threshold, exponential function format with DEM resolution respectively; (3) when thresholds keeps constant, drainage network features are decreased with DEM grid cell size continuously, and vice versa; (4) according to the mathematical analysis of the composite function, the optimum grid cell size is 40(m) and that of accumulation area threshold is 7.2(km 2). On the basis of the field work and the integrate</w:instrText>
      </w:r>
      <w:r w:rsidR="00FA5896" w:rsidRPr="0044426E">
        <w:rPr>
          <w:lang w:val="en-US"/>
        </w:rPr>
        <w:instrText>d analysis of the SPOT5 remote sensing image with spatial resolution of 2.5(m), the drainage network exacted according to the optimum parameters calculated from the composite function containing scale effect reflected the reality of the research area well.","author":[{"dropping-particle":"","family":"Chen","given":"Junming","non-dropping-particle":"","parse-names":false,"suffix":""},{"dropping-particle":"","family":"Lin","given":"Guangfa","non-dropping-particle":"","parse-names":false,"suffix":""},{"dropping-particle":"","family":"Yang","given":"Zhihai","non-dropping-particle":"","parse-names":false,"suffix":""},{"dropping-particle":"","family":"Chen","given":"Hanyue","non-dropping-particle":"","parse-names":false,"suffix":""}],"container-title":"2010 18th International Conference on Geoinformatics, Geoinformatics 2010","id":"ITEM-1","issued":{"date-parts":[["2010"]]},"title":"The relationship between DEM resolution, accumulation area threshold and drainage network indices","type":"paper-conference"},"uris":["http://www.mendeley.com/documents/?uuid=23b49a56-c2fa-46ce-9ded-0eaaac61dc25","http://www.mendeley.com/documents/?uuid=de2eae85-39ac-4c92-b069-c948adaa8485","http://www.mendeley.com/documents/?uuid=bf7d9ebe-e04b-4b93-8dea-5db46d661819"]}],"mendeley":{"formattedCitation":"[252]","plainTextFormattedCitation":"[252]","previouslyFormattedCitation":"[252]"},"properties":{"noteIndex":0},"schema":"https://github.com/citation-style-language/schema/raw/master/csl-citation.json"}</w:instrText>
      </w:r>
      <w:r w:rsidRPr="00051297">
        <w:fldChar w:fldCharType="separate"/>
      </w:r>
      <w:r w:rsidR="0032684D" w:rsidRPr="0032684D">
        <w:rPr>
          <w:noProof/>
          <w:lang w:val="en-US"/>
        </w:rPr>
        <w:t>[252]</w:t>
      </w:r>
      <w:r w:rsidRPr="00051297">
        <w:fldChar w:fldCharType="end"/>
      </w:r>
      <w:r w:rsidRPr="00051297">
        <w:rPr>
          <w:lang w:val="en-US"/>
        </w:rPr>
        <w:t xml:space="preserve">), especially when individual characteristics of a stream are needed. </w:t>
      </w:r>
    </w:p>
    <w:p w14:paraId="30F3160D" w14:textId="52903AD4" w:rsidR="00051297" w:rsidRPr="00051297" w:rsidRDefault="00051297" w:rsidP="00051297">
      <w:pPr>
        <w:rPr>
          <w:lang w:val="en-US"/>
        </w:rPr>
      </w:pPr>
      <w:r w:rsidRPr="00051297">
        <w:rPr>
          <w:lang w:val="en-US"/>
        </w:rPr>
        <w:t>From the land use/land cover analysis, three major land use/land cover classes were identified in the Msimbazi catchment. High development intensity is more evident downstream of the catchment towards the Indian Ocean coast, characterized by highly compacted residential and commercial houses, offices as well as industries. The medium development intensity is observed in the middle of the catchment, with the Kinyerezi sub-catchment as an example, driven by the enormous demand for residential housing. In comparison, the low development intensity is observed upstream of the catchment towards the Kisarawe hills. Therefore, the results derived from the land use/land cover analysis reflect the reality of the catchment.</w:t>
      </w:r>
    </w:p>
    <w:p w14:paraId="78A1ABFD" w14:textId="5EC6149D" w:rsidR="00051297" w:rsidRPr="00051297" w:rsidRDefault="00051297" w:rsidP="00051297">
      <w:pPr>
        <w:rPr>
          <w:lang w:val="en-US"/>
        </w:rPr>
      </w:pPr>
      <w:r w:rsidRPr="00051297">
        <w:rPr>
          <w:lang w:val="en-US"/>
        </w:rPr>
        <w:t>The Msimbazi catchment is one of the highly floods-impacted catchments in Tanzania; therefore, the location of dam sites also considered the fact that they have to reduce the amount of water going to the mainstream at once during the time of heavy rains. The implementation of sufficient in-street stormwater control structures is also affected by the unplanned settlements in the catchment. Dams are part of the useful flood control structures used worldwide (</w:t>
      </w:r>
      <w:r w:rsidRPr="00051297">
        <w:fldChar w:fldCharType="begin" w:fldLock="1"/>
      </w:r>
      <w:r w:rsidR="00FA5896">
        <w:rPr>
          <w:lang w:val="en-US"/>
        </w:rPr>
        <w:instrText>ADDIN CSL_CITATION {"citationItems":[{"id":"ITEM-1","itemData":{"DOI":"10.1016/j.proenv.2010.10.014","ISSN":"18780296","abstract":"Dam decay provides opportunity to restore degraded ecosystems. When choose an alternative to manage a dangerous dam to ensure dam safety and satisfy other human needs, ecological needs should be considered. In this paper, based on sustainable management goal, alternatives for managing a small flood control dam were assessed from improving dam safety, controlling flood and restoring riparian vegetation. Impacts on dam safety were quantified by an index integrating social influences from dam break flood inundation. Capability to control flood was assessed based on reservoir routing and hydrologic modeling. Opportunity to recover riparian vegetation was quantified by an index representing hydrologic alterations to natural flow regime. Final priority of each alternative was then obtained by multiplicative synthesis. Synthesization results indicated the decreasing dam height alternative had the highest priority to achieve the sustainable goal, because it flexibly regulated inflows for ecological considerations within the limits of flood control standard. © 2010 Published by Elsevier Ltd.","author":[{"dropping-particle":"","family":"Yang","given":"Meng","non-dropping-particle":"","parse-names":false,"suffix":""},{"dropping-particle":"","family":"Qian","given":"Xin","non-dropping-particle":"","parse-names":false,"suffix":""},{"dropping-particle":"","family":"Zhang","given":"Yuchao","non-dropping-particle":"","parse-names":false,"suffix":""},{"dropping-particle":"","family":"Sheng","given":"Jinbao","non-dropping-particle":"","parse-names":false,"suffix":""},{"dropping-particle":"","family":"Shen","given":"Dengle","non-dropping-particle":"","parse-names":false,"suffix":""}],"container-title":"Procedia Environmental Sciences","id":"ITEM-1","issued":{"date-parts":[["2010"]]},"title":"Assessing alternatives for sustainable management of a flood control dam","type":"paper-conference"},"uris":["http://www.mendeley.com/documents/?uuid=83ba4a0b-6942-4a78-be3f-2dd14250cb9b","http://www.mendeley.com/documents/?uuid=a445006b-faa4-4749-a310-eee3d5333e19","http://www.mendeley.com/documents/?uuid=29f8fe09-1fd2-46ad-a145-4e76ca7e1f14"]}],"mendeley":{"formattedCitation":"[253]","plainTextFormattedCitation":"[253]","previouslyFormattedCitation":"[253]"},"properties":{"noteIndex":0},"schema":"https://github.com/citation-style-language/schema/raw/master/csl-citation.json"}</w:instrText>
      </w:r>
      <w:r w:rsidRPr="00051297">
        <w:fldChar w:fldCharType="separate"/>
      </w:r>
      <w:r w:rsidR="0032684D" w:rsidRPr="0032684D">
        <w:rPr>
          <w:noProof/>
          <w:lang w:val="en-US"/>
        </w:rPr>
        <w:t>[253]</w:t>
      </w:r>
      <w:r w:rsidRPr="00051297">
        <w:fldChar w:fldCharType="end"/>
      </w:r>
      <w:r w:rsidRPr="00051297">
        <w:rPr>
          <w:lang w:val="en-US"/>
        </w:rPr>
        <w:t>;</w:t>
      </w:r>
      <w:r w:rsidRPr="00051297">
        <w:fldChar w:fldCharType="begin" w:fldLock="1"/>
      </w:r>
      <w:r w:rsidR="00FA5896">
        <w:rPr>
          <w:lang w:val="en-US"/>
        </w:rPr>
        <w:instrText>ADDIN CSL_CITATION {"citationItems":[{"id":"ITEM-1","itemData":{"DOI":"10.2166/wst.2016.341","ISSN":"02731223","abstract":"Unexpected flash flooding is one of the periodic hydrological problems affecting the city of Tabuk in Saudi Arabia. The region has high potential for floods as it suffers high rainfall intensity in a short time and also has high urbanization rates and topographic complexity. Constructing flood prevention dams is one option to solve this problem. A cost-effective design requires a detailed feasibility study and analysis for the selection of suitable sites. The aim of this study was to develop a method for selecting a suitable site for flood protection dams in the Abu Saba'a district, the most affected part of the city of Tabuk during the flash flood in January 2013. Spatial analysis was applied using Landsat Thematic Mapper images and Shuttle Radar Topography Mission digital elevation model to select a site in the Abu Saba'a area. A simple model using ArcGIS was built including all suggested parameters. The results showed the best site for a dam was 2 km distance backfrom the area, where all parameter values matched. The results showed that the dynamic properties of land cover can affect site selection. It is therefore suggested that more field and hydrological data should be gathered for greater accuracy.","author":[{"dropping-particle":"","family":"Abushandi","given":"Eyad","non-dropping-particle":"","parse-names":false,"suffix":""}],"container-title":"Water Science and Technology","id":"ITEM-1","issue":"11","issued":{"date-parts":[["2016"]]},"page":"2523-2533","title":"Flood prevention dams for arid regions at a micro-scale sub-catchment, case study: Tabuk, Saudi Arabia","type":"article-journal","volume":"74"},"uris":["http://www.mendeley.com/documents/?uuid=84cc9f1d-1112-4d92-a40c-352edab02f42","http://www.mendeley.com/documents/?uuid=09a9d0ee-cdfb-4d5a-afd6-567db4844de4"]}],"mendeley":{"formattedCitation":"[254]","plainTextFormattedCitation":"[254]","previouslyFormattedCitation":"[254]"},"properties":{"noteIndex":0},"schema":"https://github.com/citation-style-language/schema/raw/master/csl-citation.json"}</w:instrText>
      </w:r>
      <w:r w:rsidRPr="00051297">
        <w:fldChar w:fldCharType="separate"/>
      </w:r>
      <w:r w:rsidR="0032684D" w:rsidRPr="0032684D">
        <w:rPr>
          <w:noProof/>
          <w:lang w:val="en-US"/>
        </w:rPr>
        <w:t>[254]</w:t>
      </w:r>
      <w:r w:rsidRPr="00051297">
        <w:fldChar w:fldCharType="end"/>
      </w:r>
      <w:r w:rsidRPr="00051297">
        <w:rPr>
          <w:lang w:val="en-US"/>
        </w:rPr>
        <w:t xml:space="preserve">). Apart from being flood control structures, dams provide a number of other potential benefits, such as an extension of river flow in flashy and intermittent rivers. </w:t>
      </w:r>
    </w:p>
    <w:p w14:paraId="6D4FFCBF" w14:textId="77777777" w:rsidR="00051297" w:rsidRPr="00051297" w:rsidRDefault="00051297" w:rsidP="00051297">
      <w:pPr>
        <w:rPr>
          <w:lang w:val="en-US"/>
        </w:rPr>
      </w:pPr>
      <w:r w:rsidRPr="00051297">
        <w:rPr>
          <w:lang w:val="en-US"/>
        </w:rPr>
        <w:t xml:space="preserve">The findings of this study demonstrate the potential of combining multiple RS and GIS-based methodologies for extracting geomorphological information from a watershed in order to </w:t>
      </w:r>
      <w:r w:rsidRPr="00051297">
        <w:rPr>
          <w:lang w:val="en-US"/>
        </w:rPr>
        <w:lastRenderedPageBreak/>
        <w:t>perform proper stormwater management practices, such as selecting sites for stormwater control dams.</w:t>
      </w:r>
    </w:p>
    <w:p w14:paraId="30A024B2" w14:textId="61FEE850" w:rsidR="00051297" w:rsidRPr="00051297" w:rsidRDefault="00051297" w:rsidP="00090C07">
      <w:pPr>
        <w:pStyle w:val="2"/>
        <w:rPr>
          <w:rFonts w:eastAsia="Calibri"/>
        </w:rPr>
      </w:pPr>
      <w:bookmarkStart w:id="582" w:name="_Toc97504784"/>
      <w:bookmarkStart w:id="583" w:name="_Toc103543918"/>
      <w:bookmarkStart w:id="584" w:name="_Toc104985242"/>
      <w:r w:rsidRPr="00051297">
        <w:rPr>
          <w:rFonts w:eastAsia="Calibri"/>
        </w:rPr>
        <w:t>Ndembera catchment, Tanzania</w:t>
      </w:r>
      <w:bookmarkEnd w:id="582"/>
      <w:bookmarkEnd w:id="583"/>
      <w:bookmarkEnd w:id="584"/>
    </w:p>
    <w:p w14:paraId="0AAC9D81" w14:textId="35A5C3A9" w:rsidR="00051297" w:rsidRPr="00051297" w:rsidRDefault="00051297" w:rsidP="00090C07">
      <w:pPr>
        <w:pStyle w:val="3"/>
        <w:rPr>
          <w:rFonts w:eastAsia="Times New Roman"/>
          <w:lang w:val="en-GB" w:eastAsia="pl-PL"/>
        </w:rPr>
      </w:pPr>
      <w:bookmarkStart w:id="585" w:name="_Toc97504785"/>
      <w:bookmarkStart w:id="586" w:name="_Toc103543919"/>
      <w:bookmarkStart w:id="587" w:name="_Toc104985243"/>
      <w:r w:rsidRPr="00051297">
        <w:rPr>
          <w:rFonts w:eastAsia="Times New Roman"/>
          <w:lang w:val="en-GB" w:eastAsia="pl-PL"/>
        </w:rPr>
        <w:t>Case study description</w:t>
      </w:r>
      <w:bookmarkEnd w:id="585"/>
      <w:bookmarkEnd w:id="586"/>
      <w:bookmarkEnd w:id="587"/>
      <w:r w:rsidRPr="00051297">
        <w:rPr>
          <w:rFonts w:eastAsia="Times New Roman"/>
          <w:lang w:val="en-GB" w:eastAsia="pl-PL"/>
        </w:rPr>
        <w:t xml:space="preserve"> </w:t>
      </w:r>
    </w:p>
    <w:p w14:paraId="1B23135D" w14:textId="0E372579" w:rsidR="00051297" w:rsidRPr="00051297" w:rsidRDefault="00051297" w:rsidP="00051297">
      <w:pPr>
        <w:autoSpaceDE w:val="0"/>
        <w:autoSpaceDN w:val="0"/>
        <w:adjustRightInd w:val="0"/>
        <w:rPr>
          <w:rFonts w:cs="Times New Roman"/>
          <w:szCs w:val="24"/>
          <w:lang w:val="en-US"/>
        </w:rPr>
      </w:pPr>
      <w:r w:rsidRPr="00051297">
        <w:rPr>
          <w:rFonts w:cs="Times New Roman"/>
          <w:szCs w:val="24"/>
          <w:lang w:val="en-US"/>
        </w:rPr>
        <w:t>The Rufiji River flows entirely within the middle of Tanzania (</w:t>
      </w:r>
      <w:r w:rsidRPr="00051297">
        <w:rPr>
          <w:rFonts w:cs="Times New Roman"/>
          <w:szCs w:val="24"/>
          <w:lang w:val="en-US"/>
        </w:rPr>
        <w:fldChar w:fldCharType="begin"/>
      </w:r>
      <w:r w:rsidRPr="00051297">
        <w:rPr>
          <w:rFonts w:cs="Times New Roman"/>
          <w:szCs w:val="24"/>
          <w:lang w:val="en-US"/>
        </w:rPr>
        <w:instrText xml:space="preserve"> REF _Ref79329866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13</w:t>
      </w:r>
      <w:r w:rsidRPr="00051297">
        <w:rPr>
          <w:rFonts w:cs="Times New Roman"/>
          <w:szCs w:val="24"/>
          <w:lang w:val="en-US"/>
        </w:rPr>
        <w:fldChar w:fldCharType="end"/>
      </w:r>
      <w:r w:rsidRPr="00051297">
        <w:rPr>
          <w:rFonts w:cs="Times New Roman"/>
          <w:szCs w:val="24"/>
          <w:lang w:val="en-US"/>
        </w:rPr>
        <w:t>). The river is formed by the convergence of the Kilombero and Luwegu rivers. It is approximately 600 km long, with its source in southwestern Tanzania and its mouth is on the Indian Ocean at a point of Mafia Island called Mafia Channel. This principal tributary is the Great Ruaha River. It is navigable for about 100 km.</w:t>
      </w:r>
    </w:p>
    <w:p w14:paraId="2BAAA4C9" w14:textId="3011E426" w:rsidR="00051297" w:rsidRPr="00051297" w:rsidRDefault="00051297" w:rsidP="00051297">
      <w:pPr>
        <w:autoSpaceDE w:val="0"/>
        <w:autoSpaceDN w:val="0"/>
        <w:adjustRightInd w:val="0"/>
        <w:rPr>
          <w:rFonts w:cs="Times New Roman"/>
          <w:szCs w:val="24"/>
          <w:lang w:val="en-US"/>
        </w:rPr>
      </w:pPr>
      <w:r w:rsidRPr="00051297">
        <w:rPr>
          <w:rFonts w:cs="Times New Roman"/>
          <w:szCs w:val="24"/>
          <w:lang w:val="en-US"/>
        </w:rPr>
        <w:t>The Rufiji River is about 200 km south of Dar-es-Salaam. The river's delta contains the largest mangrove forest in eastern Africa. The Rufiji Basin is 183,791</w:t>
      </w:r>
      <w:r w:rsidR="00A9149C">
        <w:rPr>
          <w:rFonts w:cs="Times New Roman"/>
          <w:szCs w:val="24"/>
          <w:lang w:val="en-US"/>
        </w:rPr>
        <w:t xml:space="preserve"> </w:t>
      </w:r>
      <w:r w:rsidRPr="00051297">
        <w:rPr>
          <w:rFonts w:cs="Times New Roman"/>
          <w:szCs w:val="24"/>
          <w:lang w:val="en-US"/>
        </w:rPr>
        <w:t>km</w:t>
      </w:r>
      <w:r w:rsidRPr="00051297">
        <w:rPr>
          <w:rFonts w:cs="Times New Roman"/>
          <w:szCs w:val="24"/>
          <w:vertAlign w:val="superscript"/>
          <w:lang w:val="en-US"/>
        </w:rPr>
        <w:t>2</w:t>
      </w:r>
      <w:r w:rsidRPr="00051297">
        <w:rPr>
          <w:rFonts w:cs="Times New Roman"/>
          <w:szCs w:val="24"/>
          <w:lang w:val="en-US"/>
        </w:rPr>
        <w:t xml:space="preserve"> in size (about 20 % of Tanzania).</w:t>
      </w:r>
    </w:p>
    <w:p w14:paraId="4C80903B" w14:textId="77777777" w:rsidR="00051297" w:rsidRPr="00051297" w:rsidRDefault="00051297" w:rsidP="00051297">
      <w:pPr>
        <w:autoSpaceDE w:val="0"/>
        <w:autoSpaceDN w:val="0"/>
        <w:adjustRightInd w:val="0"/>
        <w:rPr>
          <w:rFonts w:cs="Times New Roman"/>
          <w:szCs w:val="24"/>
          <w:lang w:val="en-US"/>
        </w:rPr>
      </w:pPr>
      <w:r w:rsidRPr="00051297">
        <w:rPr>
          <w:rFonts w:cs="Times New Roman"/>
          <w:szCs w:val="24"/>
          <w:lang w:val="en-US"/>
        </w:rPr>
        <w:t>The Rufiji basin at the Lugoda dam site will locate between 33°55’ and 39°25’ east longitudes and 5°35’ and 10°45’ south latitudes.</w:t>
      </w:r>
    </w:p>
    <w:p w14:paraId="7B29FFC5" w14:textId="77777777" w:rsidR="00051297" w:rsidRPr="00051297" w:rsidRDefault="00051297" w:rsidP="00051297">
      <w:pPr>
        <w:ind w:firstLine="0"/>
        <w:jc w:val="center"/>
        <w:rPr>
          <w:rFonts w:cs="Times New Roman"/>
          <w:szCs w:val="24"/>
        </w:rPr>
      </w:pPr>
      <w:r w:rsidRPr="00051297">
        <w:rPr>
          <w:rFonts w:cs="Times New Roman"/>
          <w:noProof/>
          <w:szCs w:val="24"/>
        </w:rPr>
        <w:drawing>
          <wp:inline distT="0" distB="0" distL="0" distR="0" wp14:anchorId="593B5A14" wp14:editId="0E3D0439">
            <wp:extent cx="4810125" cy="412432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10125" cy="4124325"/>
                    </a:xfrm>
                    <a:prstGeom prst="rect">
                      <a:avLst/>
                    </a:prstGeom>
                    <a:noFill/>
                    <a:ln>
                      <a:noFill/>
                    </a:ln>
                  </pic:spPr>
                </pic:pic>
              </a:graphicData>
            </a:graphic>
          </wp:inline>
        </w:drawing>
      </w:r>
    </w:p>
    <w:p w14:paraId="15462EB1" w14:textId="77BC982C" w:rsidR="00051297" w:rsidRPr="00FA5896" w:rsidRDefault="00051297" w:rsidP="00051297">
      <w:pPr>
        <w:ind w:firstLine="0"/>
        <w:jc w:val="center"/>
        <w:rPr>
          <w:rFonts w:cs="Times New Roman"/>
          <w:szCs w:val="24"/>
          <w:lang w:val="en-US" w:bidi="en-US"/>
        </w:rPr>
      </w:pPr>
      <w:bookmarkStart w:id="588" w:name="_Ref79329866"/>
      <w:bookmarkStart w:id="589" w:name="_Toc79511159"/>
      <w:bookmarkStart w:id="590" w:name="_Toc97428227"/>
      <w:bookmarkStart w:id="591" w:name="_Toc98085902"/>
      <w:bookmarkStart w:id="592" w:name="_Toc103544099"/>
      <w:bookmarkStart w:id="593" w:name="_Toc104985422"/>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13</w:t>
      </w:r>
      <w:r w:rsidR="00527861">
        <w:rPr>
          <w:rFonts w:cs="Times New Roman"/>
          <w:szCs w:val="24"/>
          <w:lang w:val="en-US" w:bidi="en-US"/>
        </w:rPr>
        <w:fldChar w:fldCharType="end"/>
      </w:r>
      <w:bookmarkEnd w:id="588"/>
      <w:r w:rsidRPr="00051297">
        <w:rPr>
          <w:lang w:val="en-US"/>
        </w:rPr>
        <w:t xml:space="preserve"> </w:t>
      </w:r>
      <w:r w:rsidRPr="00051297">
        <w:rPr>
          <w:rFonts w:cs="Times New Roman"/>
          <w:szCs w:val="24"/>
          <w:lang w:val="en-US" w:bidi="en-US"/>
        </w:rPr>
        <w:t>– Case study map</w:t>
      </w:r>
      <w:bookmarkEnd w:id="589"/>
      <w:bookmarkEnd w:id="590"/>
      <w:bookmarkEnd w:id="591"/>
      <w:bookmarkEnd w:id="592"/>
      <w:r w:rsidR="00FA5896">
        <w:rPr>
          <w:rFonts w:cs="Times New Roman"/>
          <w:szCs w:val="24"/>
          <w:lang w:val="en-US" w:bidi="en-US"/>
        </w:rPr>
        <w:t xml:space="preserve"> </w:t>
      </w:r>
      <w:r w:rsidR="00FA5896">
        <w:fldChar w:fldCharType="begin" w:fldLock="1"/>
      </w:r>
      <w:r w:rsidR="0044426E" w:rsidRPr="0044426E">
        <w:rPr>
          <w:lang w:val="en-US"/>
        </w:rPr>
        <w:instrText>ADDIN CSL_CITATION {"citationItems":[{"id":"ITEM-1","itemData":{"author":[{"dropping-particle":"","family":"Beomhan Engineering &amp; Architects in association with Hankuk Engineering Co.","given":"","non-dropping-particle":"","parse-names":false,"suffix":""}],"id":"ITEM-1","issued":{"date-parts":[["2014"]]},"number-of-pages":"267","publisher-place":"Dar es Salaam","title":"Consultancy services for preparation of feasibility study, detailed design for lugoda dam and Maluluma hydropower on Ndembera river: Interim report. Hydrological report.","type":"report"},"uris":["http://www.mendeley.com/documents/?uuid=9ece9c39-4420-4195-a536-f7b02de7b1d9"]}],"mendeley":{"formattedCitation":"[255]","plainTextFormattedCitation":"[255]","previouslyFormattedCitation":"[255]"},"properties":{"noteIndex":0},"schema":"https://github.com/citation-style-language/schema/raw/master/csl-citation.json"}</w:instrText>
      </w:r>
      <w:r w:rsidR="00FA5896">
        <w:fldChar w:fldCharType="separate"/>
      </w:r>
      <w:r w:rsidR="00FA5896" w:rsidRPr="0044426E">
        <w:rPr>
          <w:noProof/>
          <w:lang w:val="en-US"/>
        </w:rPr>
        <w:t>[255]</w:t>
      </w:r>
      <w:bookmarkEnd w:id="593"/>
      <w:r w:rsidR="00FA5896">
        <w:fldChar w:fldCharType="end"/>
      </w:r>
    </w:p>
    <w:p w14:paraId="4079F52C" w14:textId="70DE1CBD" w:rsidR="00051297" w:rsidRPr="00051297" w:rsidRDefault="00051297" w:rsidP="00051297">
      <w:pPr>
        <w:autoSpaceDE w:val="0"/>
        <w:autoSpaceDN w:val="0"/>
        <w:adjustRightInd w:val="0"/>
        <w:rPr>
          <w:rFonts w:cs="Times New Roman"/>
          <w:szCs w:val="24"/>
          <w:lang w:val="en-US"/>
        </w:rPr>
      </w:pPr>
      <w:r w:rsidRPr="00051297">
        <w:rPr>
          <w:rFonts w:cs="Times New Roman"/>
          <w:szCs w:val="24"/>
          <w:lang w:val="en-US"/>
        </w:rPr>
        <w:t>The Lugoda dam is located on the Ndembera River in the Iringa region, the major tributaries of the Great Ruaha River, which is a source at high elevations and accounts for 85% of the total discharge from the Usangu Plains (</w:t>
      </w:r>
      <w:r w:rsidRPr="00051297">
        <w:rPr>
          <w:rFonts w:cs="Times New Roman"/>
          <w:szCs w:val="24"/>
          <w:lang w:val="en-US"/>
        </w:rPr>
        <w:fldChar w:fldCharType="begin"/>
      </w:r>
      <w:r w:rsidRPr="00051297">
        <w:rPr>
          <w:rFonts w:cs="Times New Roman"/>
          <w:szCs w:val="24"/>
          <w:lang w:val="en-US"/>
        </w:rPr>
        <w:instrText xml:space="preserve"> REF _Ref79329993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14</w:t>
      </w:r>
      <w:r w:rsidRPr="00051297">
        <w:rPr>
          <w:rFonts w:cs="Times New Roman"/>
          <w:szCs w:val="24"/>
          <w:lang w:val="en-US"/>
        </w:rPr>
        <w:fldChar w:fldCharType="end"/>
      </w:r>
      <w:r w:rsidRPr="00051297">
        <w:rPr>
          <w:rFonts w:cs="Times New Roman"/>
          <w:szCs w:val="24"/>
          <w:lang w:val="en-US"/>
        </w:rPr>
        <w:t xml:space="preserve">). 15% of the Average annual flows into the Usangu Plain is provided by the Ndembera River. The Ndembera watershed, relevant to the </w:t>
      </w:r>
      <w:r w:rsidRPr="00051297">
        <w:rPr>
          <w:rFonts w:cs="Times New Roman"/>
          <w:szCs w:val="24"/>
          <w:lang w:val="en-US"/>
        </w:rPr>
        <w:lastRenderedPageBreak/>
        <w:t>Lugoda dam site, has a total catchment area of about 1,223</w:t>
      </w:r>
      <w:r w:rsidR="00A9149C">
        <w:rPr>
          <w:rFonts w:cs="Times New Roman"/>
          <w:szCs w:val="24"/>
          <w:lang w:val="en-US"/>
        </w:rPr>
        <w:t xml:space="preserve"> </w:t>
      </w:r>
      <w:r w:rsidRPr="00051297">
        <w:rPr>
          <w:rFonts w:cs="Times New Roman"/>
          <w:szCs w:val="24"/>
          <w:lang w:val="en-US"/>
        </w:rPr>
        <w:t>km</w:t>
      </w:r>
      <w:r w:rsidRPr="00051297">
        <w:rPr>
          <w:rFonts w:cs="Times New Roman"/>
          <w:szCs w:val="24"/>
          <w:vertAlign w:val="superscript"/>
          <w:lang w:val="en-US"/>
        </w:rPr>
        <w:t>2</w:t>
      </w:r>
      <w:r w:rsidRPr="00051297">
        <w:rPr>
          <w:rFonts w:cs="Times New Roman"/>
          <w:szCs w:val="24"/>
          <w:lang w:val="en-US"/>
        </w:rPr>
        <w:t>. The watershed elevations range from a minimum of about 1,640 m.a.s.l. (dam site) to a maximum approximately 2,600 m.a.s.l. The Lugoda dam is located approximately about 55 km upstream of the irrigation diversion weir along the Ndembera River (UTM WGS84:  E 737 776 m; N 9 084 859 m).</w:t>
      </w:r>
    </w:p>
    <w:p w14:paraId="21BF6DA8" w14:textId="77777777" w:rsidR="00051297" w:rsidRPr="00051297" w:rsidRDefault="00051297" w:rsidP="00325C73">
      <w:pPr>
        <w:ind w:firstLine="0"/>
        <w:jc w:val="center"/>
        <w:rPr>
          <w:rFonts w:eastAsia="Calibri" w:cs="Times New Roman"/>
          <w:szCs w:val="24"/>
        </w:rPr>
      </w:pPr>
      <w:r w:rsidRPr="00051297">
        <w:rPr>
          <w:rFonts w:eastAsia="Times New Roman" w:cs="Times New Roman"/>
          <w:noProof/>
          <w:szCs w:val="24"/>
          <w:lang w:val="pl-PL" w:eastAsia="pl-PL"/>
        </w:rPr>
        <w:drawing>
          <wp:inline distT="0" distB="0" distL="0" distR="0" wp14:anchorId="52D1E86F" wp14:editId="55D7C909">
            <wp:extent cx="5832000" cy="3835174"/>
            <wp:effectExtent l="0" t="0" r="0" b="0"/>
            <wp:docPr id="1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32000" cy="3835174"/>
                    </a:xfrm>
                    <a:prstGeom prst="rect">
                      <a:avLst/>
                    </a:prstGeom>
                    <a:noFill/>
                    <a:ln>
                      <a:noFill/>
                    </a:ln>
                  </pic:spPr>
                </pic:pic>
              </a:graphicData>
            </a:graphic>
          </wp:inline>
        </w:drawing>
      </w:r>
    </w:p>
    <w:p w14:paraId="47DE833F" w14:textId="260861B1" w:rsidR="00051297" w:rsidRPr="00FA5896" w:rsidRDefault="00051297" w:rsidP="00051297">
      <w:pPr>
        <w:ind w:firstLine="0"/>
        <w:jc w:val="center"/>
        <w:rPr>
          <w:rFonts w:cs="Times New Roman"/>
          <w:szCs w:val="24"/>
          <w:lang w:val="en-US" w:bidi="en-US"/>
        </w:rPr>
      </w:pPr>
      <w:bookmarkStart w:id="594" w:name="_Ref79329993"/>
      <w:bookmarkStart w:id="595" w:name="_Toc79511160"/>
      <w:bookmarkStart w:id="596" w:name="_Toc97428228"/>
      <w:bookmarkStart w:id="597" w:name="_Toc98085903"/>
      <w:bookmarkStart w:id="598" w:name="_Toc103544100"/>
      <w:bookmarkStart w:id="599" w:name="_Toc104985423"/>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14</w:t>
      </w:r>
      <w:r w:rsidR="00527861">
        <w:rPr>
          <w:rFonts w:cs="Times New Roman"/>
          <w:szCs w:val="24"/>
          <w:lang w:val="en-US" w:bidi="en-US"/>
        </w:rPr>
        <w:fldChar w:fldCharType="end"/>
      </w:r>
      <w:bookmarkEnd w:id="594"/>
      <w:r w:rsidRPr="00051297">
        <w:rPr>
          <w:lang w:val="en-US"/>
        </w:rPr>
        <w:t xml:space="preserve"> </w:t>
      </w:r>
      <w:r w:rsidRPr="00051297">
        <w:rPr>
          <w:rFonts w:cs="Times New Roman"/>
          <w:szCs w:val="24"/>
          <w:lang w:val="en-US" w:bidi="en-US"/>
        </w:rPr>
        <w:t xml:space="preserve">– Location of </w:t>
      </w:r>
      <w:r w:rsidR="0099025F">
        <w:rPr>
          <w:rFonts w:cs="Times New Roman"/>
          <w:szCs w:val="24"/>
          <w:lang w:val="en-US" w:bidi="en-US"/>
        </w:rPr>
        <w:t xml:space="preserve">the </w:t>
      </w:r>
      <w:r w:rsidRPr="00051297">
        <w:rPr>
          <w:rFonts w:cs="Times New Roman"/>
          <w:szCs w:val="24"/>
          <w:lang w:val="en-US" w:bidi="en-US"/>
        </w:rPr>
        <w:t>Lugoda dam</w:t>
      </w:r>
      <w:bookmarkEnd w:id="595"/>
      <w:bookmarkEnd w:id="596"/>
      <w:bookmarkEnd w:id="597"/>
      <w:bookmarkEnd w:id="598"/>
      <w:r w:rsidR="00FA5896">
        <w:rPr>
          <w:rFonts w:cs="Times New Roman"/>
          <w:szCs w:val="24"/>
          <w:lang w:val="en-US" w:bidi="en-US"/>
        </w:rPr>
        <w:t xml:space="preserve"> </w:t>
      </w:r>
      <w:r w:rsidR="00FA5896">
        <w:fldChar w:fldCharType="begin" w:fldLock="1"/>
      </w:r>
      <w:r w:rsidR="0044426E">
        <w:rPr>
          <w:lang w:val="en-US"/>
        </w:rPr>
        <w:instrText>ADDIN CSL_CITATION {"citationItems":[{"id":"ITEM-1","itemData":{"author":[{"dropping-particle":"","family":"Beomhan Engineering &amp; Architects in association with Hankuk Engineering Co.","given":"","non-dropping-particle":"","parse-names":false,"suffix":""}],"id":"ITEM-1","issued":{"date-parts":[["2014"]]},"number-of-pages":"267","publisher-place":"Dar es Salaam","title":"Consultancy services for preparation of feasibility study, detailed design for lugoda dam and Maluluma hydropower on Ndembera river: Interim report. Hydrological report.","type":"report"},"uris":["http://www.mendeley.com/documents/?uuid=9ece9c39-4420-4195-a536-f7b02de7b1d9"]}],"mendeley":{"formattedCitation":"[255]","plainTextFormattedCitation":"[255]","previouslyFormattedCitation":"[255]"},"properties":{"noteIndex":0},"schema":"https://github.com/citation-style-language/schema/raw/master/csl-citation.json"}</w:instrText>
      </w:r>
      <w:r w:rsidR="00FA5896">
        <w:fldChar w:fldCharType="separate"/>
      </w:r>
      <w:r w:rsidR="00FA5896" w:rsidRPr="00FA5896">
        <w:rPr>
          <w:noProof/>
          <w:lang w:val="en-US"/>
        </w:rPr>
        <w:t>[255]</w:t>
      </w:r>
      <w:bookmarkEnd w:id="599"/>
      <w:r w:rsidR="00FA5896">
        <w:fldChar w:fldCharType="end"/>
      </w:r>
    </w:p>
    <w:p w14:paraId="3E5DF116" w14:textId="1EDBAFFB" w:rsidR="00051297" w:rsidRPr="00051297" w:rsidRDefault="00051297" w:rsidP="00090C07">
      <w:pPr>
        <w:pStyle w:val="3"/>
      </w:pPr>
      <w:bookmarkStart w:id="600" w:name="_Toc103543920"/>
      <w:bookmarkStart w:id="601" w:name="_Toc104985244"/>
      <w:r w:rsidRPr="00051297">
        <w:rPr>
          <w:lang w:val="en-US"/>
        </w:rPr>
        <w:t>Topography</w:t>
      </w:r>
      <w:bookmarkEnd w:id="600"/>
      <w:bookmarkEnd w:id="601"/>
    </w:p>
    <w:p w14:paraId="34F6B3BB" w14:textId="77777777" w:rsidR="00051297" w:rsidRPr="00051297" w:rsidRDefault="00051297" w:rsidP="00051297">
      <w:pPr>
        <w:autoSpaceDE w:val="0"/>
        <w:autoSpaceDN w:val="0"/>
        <w:adjustRightInd w:val="0"/>
        <w:rPr>
          <w:rFonts w:cs="Times New Roman"/>
          <w:szCs w:val="24"/>
          <w:lang w:val="en-US"/>
        </w:rPr>
      </w:pPr>
      <w:r w:rsidRPr="00051297">
        <w:rPr>
          <w:rFonts w:cs="Times New Roman"/>
          <w:szCs w:val="24"/>
          <w:lang w:val="en-US"/>
        </w:rPr>
        <w:t>The basin's altitude ranges from 0 meters above sea level (m.a.s.l.) in the Indian Ocean to more than 2,960 meters above sea level (m.a.s.l.) in the Iringa and Mbeya Regions' highlands (Kipengere ranges and Poroto Mountains). The Rufiji Basin is easily recognizable by its physiology. The Lower Rufiji delta and flood plain form one portion of the basin, which gradually rises into a plateau of coastal territory into Tanzania's Southern Highlands and Central Plateau.</w:t>
      </w:r>
    </w:p>
    <w:p w14:paraId="7759E57F" w14:textId="78699381" w:rsidR="00051297" w:rsidRPr="00051297" w:rsidRDefault="00051297" w:rsidP="00090C07">
      <w:pPr>
        <w:pStyle w:val="3"/>
      </w:pPr>
      <w:bookmarkStart w:id="602" w:name="_Toc79511135"/>
      <w:bookmarkStart w:id="603" w:name="_Toc97504787"/>
      <w:bookmarkStart w:id="604" w:name="_Toc103543921"/>
      <w:bookmarkStart w:id="605" w:name="_Toc104985245"/>
      <w:r w:rsidRPr="00051297">
        <w:t>Geomorphology</w:t>
      </w:r>
      <w:bookmarkEnd w:id="602"/>
      <w:bookmarkEnd w:id="603"/>
      <w:bookmarkEnd w:id="604"/>
      <w:bookmarkEnd w:id="605"/>
    </w:p>
    <w:p w14:paraId="4EC62DCD" w14:textId="77777777" w:rsidR="00051297" w:rsidRPr="00051297" w:rsidRDefault="00051297" w:rsidP="00051297">
      <w:pPr>
        <w:autoSpaceDE w:val="0"/>
        <w:autoSpaceDN w:val="0"/>
        <w:adjustRightInd w:val="0"/>
        <w:rPr>
          <w:rFonts w:cs="Times New Roman"/>
          <w:szCs w:val="24"/>
          <w:lang w:val="en-US"/>
        </w:rPr>
      </w:pPr>
      <w:r w:rsidRPr="00051297">
        <w:rPr>
          <w:rFonts w:cs="Times New Roman"/>
          <w:szCs w:val="24"/>
          <w:lang w:val="en-US"/>
        </w:rPr>
        <w:t>The Rufiji's land surfaces are remnants of previous erosion cycles that were dissected or partially erased as a result of epeirogenic processes, such as crustal uplifts accompanied by tilting and faulting. Gondwanaland (late-Jurassic) surfaces in the Kipengere and Usagara Mountains, African (late-cretaceous) surfaces, African surfaces, and post-African (mid-tertiary) surfaces are the most common erosion surfaces (most dominant in the basin). Due to structural occurrences, changes in local base levels of erosion. The drainage patterns in the basin are heavily reliant on its geomorphology.</w:t>
      </w:r>
    </w:p>
    <w:p w14:paraId="23D7E445" w14:textId="37C0D118" w:rsidR="00051297" w:rsidRPr="00051297" w:rsidRDefault="00051297" w:rsidP="00090C07">
      <w:pPr>
        <w:pStyle w:val="3"/>
      </w:pPr>
      <w:r w:rsidRPr="00051297">
        <w:rPr>
          <w:lang w:val="en-US"/>
        </w:rPr>
        <w:lastRenderedPageBreak/>
        <w:t xml:space="preserve"> </w:t>
      </w:r>
      <w:bookmarkStart w:id="606" w:name="_Toc79511136"/>
      <w:bookmarkStart w:id="607" w:name="_Toc97504788"/>
      <w:bookmarkStart w:id="608" w:name="_Toc103543922"/>
      <w:bookmarkStart w:id="609" w:name="_Toc104985246"/>
      <w:r w:rsidRPr="00051297">
        <w:t>Weather and hydrological conditions</w:t>
      </w:r>
      <w:bookmarkEnd w:id="606"/>
      <w:bookmarkEnd w:id="607"/>
      <w:bookmarkEnd w:id="608"/>
      <w:bookmarkEnd w:id="609"/>
    </w:p>
    <w:p w14:paraId="59B6CC29" w14:textId="77777777" w:rsidR="00F24E2C" w:rsidRDefault="00051297" w:rsidP="00051297">
      <w:pPr>
        <w:autoSpaceDE w:val="0"/>
        <w:autoSpaceDN w:val="0"/>
        <w:adjustRightInd w:val="0"/>
        <w:rPr>
          <w:rFonts w:cs="Times New Roman"/>
          <w:szCs w:val="24"/>
          <w:lang w:val="en-US"/>
        </w:rPr>
      </w:pPr>
      <w:r w:rsidRPr="00051297">
        <w:rPr>
          <w:rFonts w:cs="Times New Roman"/>
          <w:szCs w:val="24"/>
          <w:lang w:val="en-US"/>
        </w:rPr>
        <w:t xml:space="preserve">Tanzania has a predominantly tropical savanna climate with two distinct seasons. Coastal areas are typically hot and humid, although a sea breeze cools the air significantly on the beaches. The long rains in Tanzania last from late March to June, and the short rains last from November to February. Long rains bring huge downpours and are frequently accompanied by strong storms, whereas short showers are far less severe. </w:t>
      </w:r>
    </w:p>
    <w:p w14:paraId="2C5CF9E4" w14:textId="72E1C105" w:rsidR="00051297" w:rsidRPr="00051297" w:rsidRDefault="00051297" w:rsidP="00051297">
      <w:pPr>
        <w:autoSpaceDE w:val="0"/>
        <w:autoSpaceDN w:val="0"/>
        <w:adjustRightInd w:val="0"/>
        <w:rPr>
          <w:rFonts w:cs="Times New Roman"/>
          <w:szCs w:val="24"/>
          <w:lang w:val="en-US"/>
        </w:rPr>
      </w:pPr>
      <w:r w:rsidRPr="00051297">
        <w:rPr>
          <w:rFonts w:cs="Times New Roman"/>
          <w:szCs w:val="24"/>
          <w:lang w:val="en-US"/>
        </w:rPr>
        <w:t>From July through October, the dry season is in effect. The hottest months are December to March, just before the heavy rains start, and the coolest months are June, July, and August when the weather is frequently gloomy. The following table highlights the project area's average weather parameters:</w:t>
      </w:r>
    </w:p>
    <w:p w14:paraId="05EB7CF8" w14:textId="77777777" w:rsidR="00051297" w:rsidRPr="00051297" w:rsidRDefault="00051297" w:rsidP="00051297">
      <w:pPr>
        <w:numPr>
          <w:ilvl w:val="1"/>
          <w:numId w:val="6"/>
        </w:numPr>
        <w:tabs>
          <w:tab w:val="left" w:pos="993"/>
        </w:tabs>
        <w:autoSpaceDE w:val="0"/>
        <w:autoSpaceDN w:val="0"/>
        <w:adjustRightInd w:val="0"/>
        <w:ind w:left="0" w:firstLine="709"/>
        <w:contextualSpacing/>
        <w:rPr>
          <w:rFonts w:cs="Times New Roman"/>
          <w:szCs w:val="24"/>
        </w:rPr>
      </w:pPr>
      <w:r w:rsidRPr="00051297">
        <w:rPr>
          <w:rFonts w:cs="Times New Roman"/>
          <w:szCs w:val="24"/>
        </w:rPr>
        <w:t>Mean Maximum Temperature: 26.6°C</w:t>
      </w:r>
      <w:r w:rsidRPr="00051297">
        <w:rPr>
          <w:rFonts w:cs="Times New Roman"/>
          <w:szCs w:val="24"/>
          <w:lang w:val="en-US"/>
        </w:rPr>
        <w:t>.</w:t>
      </w:r>
    </w:p>
    <w:p w14:paraId="3625E11B" w14:textId="77777777" w:rsidR="00051297" w:rsidRPr="00051297" w:rsidRDefault="00051297" w:rsidP="00051297">
      <w:pPr>
        <w:numPr>
          <w:ilvl w:val="1"/>
          <w:numId w:val="6"/>
        </w:numPr>
        <w:tabs>
          <w:tab w:val="left" w:pos="993"/>
        </w:tabs>
        <w:autoSpaceDE w:val="0"/>
        <w:autoSpaceDN w:val="0"/>
        <w:adjustRightInd w:val="0"/>
        <w:ind w:left="0" w:firstLine="709"/>
        <w:contextualSpacing/>
        <w:rPr>
          <w:rFonts w:cs="Times New Roman"/>
          <w:szCs w:val="24"/>
        </w:rPr>
      </w:pPr>
      <w:r w:rsidRPr="00051297">
        <w:rPr>
          <w:rFonts w:cs="Times New Roman"/>
          <w:szCs w:val="24"/>
        </w:rPr>
        <w:t>Mean Minimum Temperature: 14.6°C</w:t>
      </w:r>
      <w:r w:rsidRPr="00051297">
        <w:rPr>
          <w:rFonts w:cs="Times New Roman"/>
          <w:szCs w:val="24"/>
          <w:lang w:val="en-US"/>
        </w:rPr>
        <w:t>.</w:t>
      </w:r>
    </w:p>
    <w:p w14:paraId="66398653" w14:textId="77777777" w:rsidR="00051297" w:rsidRPr="00051297" w:rsidRDefault="00051297" w:rsidP="00051297">
      <w:pPr>
        <w:numPr>
          <w:ilvl w:val="1"/>
          <w:numId w:val="6"/>
        </w:numPr>
        <w:tabs>
          <w:tab w:val="left" w:pos="993"/>
        </w:tabs>
        <w:autoSpaceDE w:val="0"/>
        <w:autoSpaceDN w:val="0"/>
        <w:adjustRightInd w:val="0"/>
        <w:ind w:left="0" w:firstLine="709"/>
        <w:contextualSpacing/>
        <w:rPr>
          <w:rFonts w:cs="Times New Roman"/>
          <w:szCs w:val="24"/>
        </w:rPr>
      </w:pPr>
      <w:r w:rsidRPr="00051297">
        <w:rPr>
          <w:rFonts w:cs="Times New Roman"/>
          <w:szCs w:val="24"/>
        </w:rPr>
        <w:t>Relativity humidity (Time 0600 UTC): 65.9%</w:t>
      </w:r>
      <w:r w:rsidRPr="00051297">
        <w:rPr>
          <w:rFonts w:cs="Times New Roman"/>
          <w:szCs w:val="24"/>
          <w:lang w:val="en-US"/>
        </w:rPr>
        <w:t>.</w:t>
      </w:r>
    </w:p>
    <w:p w14:paraId="47E2FCDD" w14:textId="77777777" w:rsidR="00051297" w:rsidRPr="00051297" w:rsidRDefault="00051297" w:rsidP="00051297">
      <w:pPr>
        <w:numPr>
          <w:ilvl w:val="1"/>
          <w:numId w:val="6"/>
        </w:numPr>
        <w:tabs>
          <w:tab w:val="left" w:pos="993"/>
        </w:tabs>
        <w:autoSpaceDE w:val="0"/>
        <w:autoSpaceDN w:val="0"/>
        <w:adjustRightInd w:val="0"/>
        <w:ind w:left="0" w:firstLine="709"/>
        <w:contextualSpacing/>
        <w:rPr>
          <w:rFonts w:cs="Times New Roman"/>
          <w:szCs w:val="24"/>
        </w:rPr>
      </w:pPr>
      <w:r w:rsidRPr="00051297">
        <w:rPr>
          <w:rFonts w:cs="Times New Roman"/>
          <w:szCs w:val="24"/>
        </w:rPr>
        <w:t>Relativity humidity (Time 1200 UTC): 47.8%</w:t>
      </w:r>
      <w:r w:rsidRPr="00051297">
        <w:rPr>
          <w:rFonts w:cs="Times New Roman"/>
          <w:szCs w:val="24"/>
          <w:lang w:val="en-US"/>
        </w:rPr>
        <w:t>.</w:t>
      </w:r>
    </w:p>
    <w:p w14:paraId="6A0B7489" w14:textId="77777777" w:rsidR="00051297" w:rsidRPr="00051297" w:rsidRDefault="00051297" w:rsidP="00051297">
      <w:pPr>
        <w:numPr>
          <w:ilvl w:val="1"/>
          <w:numId w:val="6"/>
        </w:numPr>
        <w:tabs>
          <w:tab w:val="left" w:pos="993"/>
        </w:tabs>
        <w:autoSpaceDE w:val="0"/>
        <w:autoSpaceDN w:val="0"/>
        <w:adjustRightInd w:val="0"/>
        <w:ind w:left="0" w:firstLine="709"/>
        <w:contextualSpacing/>
        <w:rPr>
          <w:rFonts w:cs="Times New Roman"/>
          <w:szCs w:val="24"/>
        </w:rPr>
      </w:pPr>
      <w:r w:rsidRPr="00051297">
        <w:rPr>
          <w:rFonts w:cs="Times New Roman"/>
          <w:szCs w:val="24"/>
        </w:rPr>
        <w:t>Wind velocity: 4.18 m/s</w:t>
      </w:r>
      <w:r w:rsidRPr="00051297">
        <w:rPr>
          <w:rFonts w:cs="Times New Roman"/>
          <w:szCs w:val="24"/>
          <w:lang w:val="en-US"/>
        </w:rPr>
        <w:t>.</w:t>
      </w:r>
    </w:p>
    <w:p w14:paraId="5482AC32" w14:textId="77777777" w:rsidR="00051297" w:rsidRPr="00051297" w:rsidRDefault="00051297" w:rsidP="00051297">
      <w:pPr>
        <w:numPr>
          <w:ilvl w:val="1"/>
          <w:numId w:val="6"/>
        </w:numPr>
        <w:tabs>
          <w:tab w:val="left" w:pos="993"/>
        </w:tabs>
        <w:autoSpaceDE w:val="0"/>
        <w:autoSpaceDN w:val="0"/>
        <w:adjustRightInd w:val="0"/>
        <w:ind w:left="0" w:firstLine="709"/>
        <w:contextualSpacing/>
        <w:rPr>
          <w:rFonts w:cs="Times New Roman"/>
          <w:szCs w:val="24"/>
        </w:rPr>
      </w:pPr>
      <w:r w:rsidRPr="00051297">
        <w:rPr>
          <w:rFonts w:cs="Times New Roman"/>
          <w:szCs w:val="24"/>
        </w:rPr>
        <w:t>Sunshine: 8.2 hours/day</w:t>
      </w:r>
      <w:r w:rsidRPr="00051297">
        <w:rPr>
          <w:rFonts w:cs="Times New Roman"/>
          <w:szCs w:val="24"/>
          <w:lang w:val="en-US"/>
        </w:rPr>
        <w:t>.</w:t>
      </w:r>
    </w:p>
    <w:p w14:paraId="3414E0BE" w14:textId="77777777" w:rsidR="00051297" w:rsidRPr="00051297" w:rsidRDefault="00051297" w:rsidP="00051297">
      <w:pPr>
        <w:numPr>
          <w:ilvl w:val="1"/>
          <w:numId w:val="6"/>
        </w:numPr>
        <w:tabs>
          <w:tab w:val="left" w:pos="993"/>
        </w:tabs>
        <w:autoSpaceDE w:val="0"/>
        <w:autoSpaceDN w:val="0"/>
        <w:adjustRightInd w:val="0"/>
        <w:ind w:left="0" w:firstLine="709"/>
        <w:contextualSpacing/>
        <w:rPr>
          <w:rFonts w:cs="Times New Roman"/>
          <w:szCs w:val="24"/>
        </w:rPr>
      </w:pPr>
      <w:r w:rsidRPr="00051297">
        <w:rPr>
          <w:rFonts w:cs="Times New Roman"/>
          <w:szCs w:val="24"/>
        </w:rPr>
        <w:t>Mean evaporation: 170.5 mm</w:t>
      </w:r>
      <w:r w:rsidRPr="00051297">
        <w:rPr>
          <w:rFonts w:cs="Times New Roman"/>
          <w:szCs w:val="24"/>
          <w:lang w:val="en-US"/>
        </w:rPr>
        <w:t>.</w:t>
      </w:r>
    </w:p>
    <w:p w14:paraId="1FFEA60D" w14:textId="77777777" w:rsidR="00051297" w:rsidRPr="00051297" w:rsidRDefault="00051297" w:rsidP="00051297">
      <w:pPr>
        <w:numPr>
          <w:ilvl w:val="1"/>
          <w:numId w:val="6"/>
        </w:numPr>
        <w:tabs>
          <w:tab w:val="left" w:pos="993"/>
        </w:tabs>
        <w:ind w:left="0" w:firstLine="709"/>
        <w:contextualSpacing/>
        <w:rPr>
          <w:rFonts w:cs="Times New Roman"/>
          <w:szCs w:val="24"/>
        </w:rPr>
      </w:pPr>
      <w:r w:rsidRPr="00051297">
        <w:rPr>
          <w:rFonts w:cs="Times New Roman"/>
          <w:szCs w:val="24"/>
        </w:rPr>
        <w:t>Annual rainfall: 596.0 mm</w:t>
      </w:r>
      <w:r w:rsidRPr="00051297">
        <w:rPr>
          <w:rFonts w:cs="Times New Roman"/>
          <w:szCs w:val="24"/>
          <w:lang w:val="en-US"/>
        </w:rPr>
        <w:t>.</w:t>
      </w:r>
    </w:p>
    <w:p w14:paraId="58A2A6B1" w14:textId="77777777" w:rsidR="00F24E2C" w:rsidRDefault="00051297" w:rsidP="00051297">
      <w:pPr>
        <w:autoSpaceDE w:val="0"/>
        <w:autoSpaceDN w:val="0"/>
        <w:adjustRightInd w:val="0"/>
        <w:rPr>
          <w:rFonts w:cs="Times New Roman"/>
          <w:szCs w:val="24"/>
          <w:lang w:val="en-US"/>
        </w:rPr>
      </w:pPr>
      <w:r w:rsidRPr="00051297">
        <w:rPr>
          <w:rFonts w:cs="Times New Roman"/>
          <w:szCs w:val="24"/>
          <w:lang w:val="en-US"/>
        </w:rPr>
        <w:t>The Lugoda dam watershed is composed of 11 rivers, including the Ndembera Rive. The river flows at the Ilongo station (1KA15A; very close to the dam site) usually decreases from about 16.8 m</w:t>
      </w:r>
      <w:r w:rsidRPr="00051297">
        <w:rPr>
          <w:rFonts w:cs="Times New Roman"/>
          <w:szCs w:val="24"/>
          <w:vertAlign w:val="superscript"/>
          <w:lang w:val="en-US"/>
        </w:rPr>
        <w:t>3</w:t>
      </w:r>
      <w:r w:rsidRPr="00051297">
        <w:rPr>
          <w:rFonts w:cs="Times New Roman"/>
          <w:szCs w:val="24"/>
          <w:lang w:val="en-US"/>
        </w:rPr>
        <w:t>/s in March to around 0.5 m</w:t>
      </w:r>
      <w:r w:rsidRPr="00051297">
        <w:rPr>
          <w:rFonts w:cs="Times New Roman"/>
          <w:szCs w:val="24"/>
          <w:vertAlign w:val="superscript"/>
          <w:lang w:val="en-US"/>
        </w:rPr>
        <w:t>3</w:t>
      </w:r>
      <w:r w:rsidRPr="00051297">
        <w:rPr>
          <w:rFonts w:cs="Times New Roman"/>
          <w:szCs w:val="24"/>
          <w:lang w:val="en-US"/>
        </w:rPr>
        <w:t>/s from September to November. After this month, it rises slowly, reaching the value of 2.9 m</w:t>
      </w:r>
      <w:r w:rsidRPr="00051297">
        <w:rPr>
          <w:rFonts w:cs="Times New Roman"/>
          <w:szCs w:val="24"/>
          <w:vertAlign w:val="superscript"/>
          <w:lang w:val="en-US"/>
        </w:rPr>
        <w:t>3</w:t>
      </w:r>
      <w:r w:rsidRPr="00051297">
        <w:rPr>
          <w:rFonts w:cs="Times New Roman"/>
          <w:szCs w:val="24"/>
          <w:lang w:val="en-US"/>
        </w:rPr>
        <w:t xml:space="preserve">/s in December. </w:t>
      </w:r>
    </w:p>
    <w:p w14:paraId="07351013" w14:textId="11F3FFA2" w:rsidR="00051297" w:rsidRPr="00051297" w:rsidRDefault="00051297" w:rsidP="00051297">
      <w:pPr>
        <w:autoSpaceDE w:val="0"/>
        <w:autoSpaceDN w:val="0"/>
        <w:adjustRightInd w:val="0"/>
        <w:rPr>
          <w:rFonts w:cs="Times New Roman"/>
          <w:szCs w:val="24"/>
          <w:lang w:val="en-US"/>
        </w:rPr>
      </w:pPr>
      <w:r w:rsidRPr="00051297">
        <w:rPr>
          <w:rFonts w:cs="Times New Roman"/>
          <w:szCs w:val="24"/>
          <w:lang w:val="en-US"/>
        </w:rPr>
        <w:t>In January and February, the flow arrives at 9.2 m</w:t>
      </w:r>
      <w:r w:rsidRPr="00051297">
        <w:rPr>
          <w:rFonts w:cs="Times New Roman"/>
          <w:szCs w:val="24"/>
          <w:vertAlign w:val="superscript"/>
          <w:lang w:val="en-US"/>
        </w:rPr>
        <w:t>3</w:t>
      </w:r>
      <w:r w:rsidRPr="00051297">
        <w:rPr>
          <w:rFonts w:cs="Times New Roman"/>
          <w:szCs w:val="24"/>
          <w:lang w:val="en-US"/>
        </w:rPr>
        <w:t>/s and 12.8 m</w:t>
      </w:r>
      <w:r w:rsidRPr="00051297">
        <w:rPr>
          <w:rFonts w:cs="Times New Roman"/>
          <w:szCs w:val="24"/>
          <w:vertAlign w:val="superscript"/>
          <w:lang w:val="en-US"/>
        </w:rPr>
        <w:t>3</w:t>
      </w:r>
      <w:r w:rsidRPr="00051297">
        <w:rPr>
          <w:rFonts w:cs="Times New Roman"/>
          <w:szCs w:val="24"/>
          <w:lang w:val="en-US"/>
        </w:rPr>
        <w:t>/s, respectively. The highest monthly Average flow is always reached in March, around 16.8 m</w:t>
      </w:r>
      <w:r w:rsidRPr="00051297">
        <w:rPr>
          <w:rFonts w:cs="Times New Roman"/>
          <w:szCs w:val="24"/>
          <w:vertAlign w:val="superscript"/>
          <w:lang w:val="en-US"/>
        </w:rPr>
        <w:t>3</w:t>
      </w:r>
      <w:r w:rsidRPr="00051297">
        <w:rPr>
          <w:rFonts w:cs="Times New Roman"/>
          <w:szCs w:val="24"/>
          <w:lang w:val="en-US"/>
        </w:rPr>
        <w:t>/s. The mean annual flow is approximately 5.69 m</w:t>
      </w:r>
      <w:r w:rsidRPr="00051297">
        <w:rPr>
          <w:rFonts w:cs="Times New Roman"/>
          <w:szCs w:val="24"/>
          <w:vertAlign w:val="superscript"/>
          <w:lang w:val="en-US"/>
        </w:rPr>
        <w:t>3</w:t>
      </w:r>
      <w:r w:rsidRPr="00051297">
        <w:rPr>
          <w:rFonts w:cs="Times New Roman"/>
          <w:szCs w:val="24"/>
          <w:lang w:val="en-US"/>
        </w:rPr>
        <w:t>/s.</w:t>
      </w:r>
    </w:p>
    <w:p w14:paraId="19B66A18" w14:textId="7DA2B081" w:rsidR="00051297" w:rsidRPr="00051297" w:rsidRDefault="00051297" w:rsidP="00090C07">
      <w:pPr>
        <w:pStyle w:val="3"/>
        <w:rPr>
          <w:lang w:val="en-US"/>
        </w:rPr>
      </w:pPr>
      <w:bookmarkStart w:id="610" w:name="_Toc79511137"/>
      <w:bookmarkStart w:id="611" w:name="_Toc97504789"/>
      <w:bookmarkStart w:id="612" w:name="_Toc103543923"/>
      <w:bookmarkStart w:id="613" w:name="_Toc104985247"/>
      <w:r w:rsidRPr="00051297">
        <w:rPr>
          <w:lang w:val="en-US"/>
        </w:rPr>
        <w:t>Basin Characteristics Factors of Lugoda Catchment</w:t>
      </w:r>
      <w:bookmarkEnd w:id="610"/>
      <w:bookmarkEnd w:id="611"/>
      <w:bookmarkEnd w:id="612"/>
      <w:bookmarkEnd w:id="613"/>
    </w:p>
    <w:p w14:paraId="0610CF3F" w14:textId="77777777" w:rsidR="00051297" w:rsidRPr="00051297" w:rsidRDefault="00051297" w:rsidP="00051297">
      <w:pPr>
        <w:numPr>
          <w:ilvl w:val="1"/>
          <w:numId w:val="7"/>
        </w:numPr>
        <w:tabs>
          <w:tab w:val="left" w:pos="851"/>
        </w:tabs>
        <w:autoSpaceDE w:val="0"/>
        <w:autoSpaceDN w:val="0"/>
        <w:adjustRightInd w:val="0"/>
        <w:ind w:left="0" w:firstLine="709"/>
        <w:contextualSpacing/>
        <w:rPr>
          <w:rFonts w:cs="Times New Roman"/>
          <w:szCs w:val="24"/>
        </w:rPr>
      </w:pPr>
      <w:r w:rsidRPr="00051297">
        <w:rPr>
          <w:rFonts w:cs="Times New Roman"/>
          <w:szCs w:val="24"/>
        </w:rPr>
        <w:t>Basin area</w:t>
      </w:r>
    </w:p>
    <w:p w14:paraId="4DEB6406" w14:textId="77777777" w:rsidR="00051297" w:rsidRPr="00051297" w:rsidRDefault="00051297" w:rsidP="00051297">
      <w:pPr>
        <w:tabs>
          <w:tab w:val="left" w:pos="851"/>
        </w:tabs>
        <w:autoSpaceDE w:val="0"/>
        <w:autoSpaceDN w:val="0"/>
        <w:adjustRightInd w:val="0"/>
        <w:rPr>
          <w:rFonts w:cs="Times New Roman"/>
          <w:szCs w:val="24"/>
          <w:lang w:val="en-US"/>
        </w:rPr>
      </w:pPr>
      <w:r w:rsidRPr="00051297">
        <w:rPr>
          <w:rFonts w:cs="Times New Roman"/>
          <w:szCs w:val="24"/>
          <w:lang w:val="en-US"/>
        </w:rPr>
        <w:t>The Ndembera River and its tributaries drain the entire geographical area, which is distinguished by all runoff being transported to the same exit. The drainage region is separated into two parts: the river area and other drainage areas.</w:t>
      </w:r>
    </w:p>
    <w:p w14:paraId="5A69269A" w14:textId="77777777" w:rsidR="00051297" w:rsidRPr="00051297" w:rsidRDefault="00051297" w:rsidP="00051297">
      <w:pPr>
        <w:numPr>
          <w:ilvl w:val="1"/>
          <w:numId w:val="7"/>
        </w:numPr>
        <w:tabs>
          <w:tab w:val="left" w:pos="851"/>
        </w:tabs>
        <w:autoSpaceDE w:val="0"/>
        <w:autoSpaceDN w:val="0"/>
        <w:adjustRightInd w:val="0"/>
        <w:ind w:left="0" w:firstLine="709"/>
        <w:contextualSpacing/>
        <w:rPr>
          <w:rFonts w:cs="Times New Roman"/>
          <w:szCs w:val="24"/>
        </w:rPr>
      </w:pPr>
      <w:r w:rsidRPr="00051297">
        <w:rPr>
          <w:rFonts w:cs="Times New Roman"/>
          <w:szCs w:val="24"/>
        </w:rPr>
        <w:t>Basin length</w:t>
      </w:r>
    </w:p>
    <w:p w14:paraId="0EFAB56B" w14:textId="77777777" w:rsidR="00051297" w:rsidRPr="00051297" w:rsidRDefault="00051297" w:rsidP="00051297">
      <w:pPr>
        <w:tabs>
          <w:tab w:val="left" w:pos="851"/>
        </w:tabs>
        <w:autoSpaceDE w:val="0"/>
        <w:autoSpaceDN w:val="0"/>
        <w:adjustRightInd w:val="0"/>
        <w:rPr>
          <w:rFonts w:cs="Times New Roman"/>
          <w:szCs w:val="24"/>
          <w:lang w:val="en-US"/>
        </w:rPr>
      </w:pPr>
      <w:r w:rsidRPr="00051297">
        <w:rPr>
          <w:rFonts w:cs="Times New Roman"/>
          <w:szCs w:val="24"/>
          <w:lang w:val="en-US"/>
        </w:rPr>
        <w:t>Basin Length along the main stream from the mouth of a stream to the farthest point on the drainage divide of its basin. Topographic maps and aerial photographs are used to determine the perimeter of the basin.</w:t>
      </w:r>
    </w:p>
    <w:p w14:paraId="430E8AAF" w14:textId="77777777" w:rsidR="00051297" w:rsidRPr="00051297" w:rsidRDefault="00051297" w:rsidP="00051297">
      <w:pPr>
        <w:numPr>
          <w:ilvl w:val="1"/>
          <w:numId w:val="7"/>
        </w:numPr>
        <w:tabs>
          <w:tab w:val="left" w:pos="851"/>
        </w:tabs>
        <w:autoSpaceDE w:val="0"/>
        <w:autoSpaceDN w:val="0"/>
        <w:adjustRightInd w:val="0"/>
        <w:ind w:left="0" w:firstLine="709"/>
        <w:contextualSpacing/>
        <w:rPr>
          <w:rFonts w:cs="Times New Roman"/>
          <w:szCs w:val="24"/>
        </w:rPr>
      </w:pPr>
      <w:r w:rsidRPr="00051297">
        <w:rPr>
          <w:rFonts w:cs="Times New Roman"/>
          <w:szCs w:val="24"/>
        </w:rPr>
        <w:lastRenderedPageBreak/>
        <w:t>Effective basin width</w:t>
      </w:r>
    </w:p>
    <w:p w14:paraId="1FEB39FC" w14:textId="77777777" w:rsidR="00051297" w:rsidRPr="00051297" w:rsidRDefault="00051297" w:rsidP="00051297">
      <w:pPr>
        <w:tabs>
          <w:tab w:val="left" w:pos="851"/>
        </w:tabs>
        <w:autoSpaceDE w:val="0"/>
        <w:autoSpaceDN w:val="0"/>
        <w:adjustRightInd w:val="0"/>
        <w:rPr>
          <w:rFonts w:cs="Times New Roman"/>
          <w:szCs w:val="24"/>
          <w:lang w:val="en-US"/>
        </w:rPr>
      </w:pPr>
      <w:r w:rsidRPr="00051297">
        <w:rPr>
          <w:rFonts w:cs="Times New Roman"/>
          <w:szCs w:val="24"/>
          <w:lang w:val="en-US"/>
        </w:rPr>
        <w:t>Effective basin width is the ratio of the basin length (L), which is measured along a line aerially centered through the drainage-divide data layer from the basin outlet to where the main channel extended meets the basin divide, divided by the basin area (A).</w:t>
      </w:r>
    </w:p>
    <w:p w14:paraId="1E1C4D4B" w14:textId="77777777" w:rsidR="00051297" w:rsidRPr="00051297" w:rsidRDefault="00051297" w:rsidP="00051297">
      <w:pPr>
        <w:numPr>
          <w:ilvl w:val="1"/>
          <w:numId w:val="7"/>
        </w:numPr>
        <w:tabs>
          <w:tab w:val="left" w:pos="851"/>
        </w:tabs>
        <w:autoSpaceDE w:val="0"/>
        <w:autoSpaceDN w:val="0"/>
        <w:adjustRightInd w:val="0"/>
        <w:ind w:left="0" w:firstLine="709"/>
        <w:contextualSpacing/>
        <w:rPr>
          <w:rFonts w:cs="Times New Roman"/>
          <w:szCs w:val="24"/>
        </w:rPr>
      </w:pPr>
      <w:r w:rsidRPr="00051297">
        <w:rPr>
          <w:rFonts w:cs="Times New Roman"/>
          <w:szCs w:val="24"/>
        </w:rPr>
        <w:t>Shape factor</w:t>
      </w:r>
    </w:p>
    <w:p w14:paraId="3ECDFA6E" w14:textId="77777777" w:rsidR="00051297" w:rsidRPr="00051297" w:rsidRDefault="00051297" w:rsidP="00051297">
      <w:pPr>
        <w:autoSpaceDE w:val="0"/>
        <w:autoSpaceDN w:val="0"/>
        <w:adjustRightInd w:val="0"/>
        <w:rPr>
          <w:rFonts w:cs="Times New Roman"/>
          <w:szCs w:val="24"/>
          <w:lang w:val="en-US"/>
        </w:rPr>
      </w:pPr>
      <w:r w:rsidRPr="00051297">
        <w:rPr>
          <w:rFonts w:cs="Times New Roman"/>
          <w:szCs w:val="24"/>
          <w:lang w:val="en-US"/>
        </w:rPr>
        <w:t>The ratio of basin area to basin length squared is known as the shape factor. The value of the form factor would always be less than 0.754 (for a perfectly circular watershed). The smaller the value of the form factor, the more elongated the watershed will be. The watershed with high form factors has high peak flows of shorter duration, whereas the elongated watershed with low form factor ranges from 0.54, indicating them to be elongated in shape and flow for a longer duration.</w:t>
      </w:r>
    </w:p>
    <w:p w14:paraId="7F0D3309" w14:textId="133E0294" w:rsidR="00051297" w:rsidRPr="00051297" w:rsidRDefault="00051297" w:rsidP="00090C07">
      <w:pPr>
        <w:pStyle w:val="3"/>
      </w:pPr>
      <w:r w:rsidRPr="00051297">
        <w:rPr>
          <w:lang w:val="en-US"/>
        </w:rPr>
        <w:t xml:space="preserve"> </w:t>
      </w:r>
      <w:bookmarkStart w:id="614" w:name="_Toc79511138"/>
      <w:bookmarkStart w:id="615" w:name="_Toc97504790"/>
      <w:bookmarkStart w:id="616" w:name="_Toc103543924"/>
      <w:bookmarkStart w:id="617" w:name="_Toc104985248"/>
      <w:r w:rsidRPr="00051297">
        <w:t>Seismic conditions</w:t>
      </w:r>
      <w:bookmarkEnd w:id="614"/>
      <w:bookmarkEnd w:id="615"/>
      <w:bookmarkEnd w:id="616"/>
      <w:bookmarkEnd w:id="617"/>
    </w:p>
    <w:p w14:paraId="386BE1BF" w14:textId="77777777" w:rsidR="00051297" w:rsidRPr="00051297" w:rsidRDefault="00051297" w:rsidP="00051297">
      <w:pPr>
        <w:autoSpaceDE w:val="0"/>
        <w:autoSpaceDN w:val="0"/>
        <w:adjustRightInd w:val="0"/>
        <w:rPr>
          <w:rFonts w:cs="Times New Roman"/>
          <w:szCs w:val="24"/>
          <w:lang w:val="en-US"/>
        </w:rPr>
      </w:pPr>
      <w:r w:rsidRPr="00051297">
        <w:rPr>
          <w:rFonts w:cs="Times New Roman"/>
          <w:szCs w:val="24"/>
          <w:lang w:val="en-US"/>
        </w:rPr>
        <w:t>The East African Rift zone includes a number of active as well as dormant volcanoes. As far as Tanzania is concerned, the country is geographically located in a seismic zone, and earthquakes occur periodically. The Ol Doinyo Lengai volcano is the only active volcano in Tanzania and is located in the north, close to Arusha.</w:t>
      </w:r>
    </w:p>
    <w:p w14:paraId="1DC0316F" w14:textId="77777777" w:rsidR="00051297" w:rsidRPr="00051297" w:rsidRDefault="00051297" w:rsidP="00051297">
      <w:pPr>
        <w:autoSpaceDE w:val="0"/>
        <w:autoSpaceDN w:val="0"/>
        <w:adjustRightInd w:val="0"/>
        <w:rPr>
          <w:rFonts w:cs="Times New Roman"/>
          <w:szCs w:val="24"/>
          <w:lang w:val="en-US"/>
        </w:rPr>
      </w:pPr>
      <w:r w:rsidRPr="00051297">
        <w:rPr>
          <w:rFonts w:cs="Times New Roman"/>
          <w:szCs w:val="24"/>
          <w:lang w:val="en-US"/>
        </w:rPr>
        <w:t>There has been no record of earthquake incidents, volcanic eruptions, or landslides in the southwestern highlands of Tanzania during the last 100 years. However, minor mudslides on steep slopes as a consequence of heavy rains at the start of the rain season are anticipated but not of any major importance for the project activities. Tanzania is one of the nations traversed by EARS, the East African Rift System. Shallow earthquakes often occur in the EARS, which is part of the global divergent tectonic plate boundaries. Earthquakes of large and intermediate magnitude have been happening along the rift system as well as within the Tanzanian Craton, outside the rift.</w:t>
      </w:r>
    </w:p>
    <w:p w14:paraId="71352904" w14:textId="77777777" w:rsidR="00051297" w:rsidRPr="00051297" w:rsidRDefault="00051297" w:rsidP="00051297">
      <w:pPr>
        <w:autoSpaceDE w:val="0"/>
        <w:autoSpaceDN w:val="0"/>
        <w:adjustRightInd w:val="0"/>
        <w:rPr>
          <w:rFonts w:cs="Times New Roman"/>
          <w:szCs w:val="24"/>
          <w:lang w:val="en-US"/>
        </w:rPr>
      </w:pPr>
      <w:r w:rsidRPr="00051297">
        <w:rPr>
          <w:rFonts w:cs="Times New Roman"/>
          <w:szCs w:val="24"/>
          <w:lang w:val="en-US"/>
        </w:rPr>
        <w:t>Along with the EARS, the 1910 Lake Tanganyika earthquake had a magnitude of 7.3, making it the greatest earthquake during the instrumental period. Large and moderate earthquakes have wreaked havoc on the environment. Other seismic stations have since been established at Nairobi and Dodoma. Although there have been periods when some of these stations have not functioned, the seismic recording has generally been performed in east Africa throughout this last century.</w:t>
      </w:r>
    </w:p>
    <w:p w14:paraId="1F73796A" w14:textId="348B6545" w:rsidR="00051297" w:rsidRPr="00051297" w:rsidRDefault="00051297" w:rsidP="00090C07">
      <w:pPr>
        <w:pStyle w:val="3"/>
      </w:pPr>
      <w:bookmarkStart w:id="618" w:name="_Toc97504791"/>
      <w:bookmarkStart w:id="619" w:name="_Toc103543925"/>
      <w:bookmarkStart w:id="620" w:name="_Toc104985249"/>
      <w:r w:rsidRPr="00051297">
        <w:t>Catchment delineation</w:t>
      </w:r>
      <w:bookmarkEnd w:id="618"/>
      <w:bookmarkEnd w:id="619"/>
      <w:bookmarkEnd w:id="620"/>
    </w:p>
    <w:p w14:paraId="2C058DD5" w14:textId="77777777" w:rsidR="00051297" w:rsidRPr="00051297" w:rsidRDefault="00051297" w:rsidP="00051297">
      <w:pPr>
        <w:rPr>
          <w:rFonts w:cs="Times New Roman"/>
          <w:szCs w:val="24"/>
          <w:lang w:val="en-US"/>
        </w:rPr>
      </w:pPr>
      <w:r w:rsidRPr="00051297">
        <w:rPr>
          <w:rFonts w:cs="Times New Roman"/>
          <w:szCs w:val="24"/>
          <w:lang w:val="en-US"/>
        </w:rPr>
        <w:t>As previously mentioned, for mapping and modeling natural hazards and risks impacted by topography, such as floods and landslides, digital elevation models (DEMs) are required. Elevation data is used to anticipate water flow and determine potential inundation zones in the case of floods because water only travels downhill and is funneled by objects higher than the water level.</w:t>
      </w:r>
    </w:p>
    <w:p w14:paraId="6C1EF24D" w14:textId="517E11D9" w:rsidR="00051297" w:rsidRPr="00051297" w:rsidRDefault="00051297" w:rsidP="00051297">
      <w:pPr>
        <w:rPr>
          <w:rFonts w:cs="Times New Roman"/>
          <w:szCs w:val="24"/>
          <w:lang w:val="en-US"/>
        </w:rPr>
      </w:pPr>
      <w:r w:rsidRPr="00051297">
        <w:rPr>
          <w:rFonts w:cs="Times New Roman"/>
          <w:szCs w:val="24"/>
          <w:lang w:val="en-US"/>
        </w:rPr>
        <w:lastRenderedPageBreak/>
        <w:t xml:space="preserve">The Digital Elevation Model used for the delineation of the Ndembera catchment was retrieved from the United States Geological Survey (USGS) official website </w:t>
      </w:r>
      <w:r w:rsidRPr="00051297">
        <w:rPr>
          <w:rFonts w:cs="Times New Roman"/>
          <w:szCs w:val="24"/>
        </w:rPr>
        <w:fldChar w:fldCharType="begin" w:fldLock="1"/>
      </w:r>
      <w:r w:rsidR="0044426E">
        <w:rPr>
          <w:rFonts w:cs="Times New Roman"/>
          <w:szCs w:val="24"/>
          <w:lang w:val="en-US"/>
        </w:rPr>
        <w:instrText>ADDIN CSL_CITATION {"citationItems":[{"id":"ITEM-1","itemData":{"author":[{"dropping-particle":"","family":"U.S. Department of the Interior","given":"","non-dropping-particle":"","parse-names":false,"suffix":""}],"container-title":"The United States Geological Survey","id":"ITEM-1","issued":{"date-parts":[["2019"]]},"title":"EarthExplorer","type":"webpage"},"uris":["http://www.mendeley.com/documents/?uuid=1dc79dc4-ba45-4099-959e-094dd8cac108","http://www.mendeley.com/documents/?uuid=44f229f9-245b-4126-a271-f5d98c470b06"]}],"mendeley":{"formattedCitation":"[256]","plainTextFormattedCitation":"[256]","previouslyFormattedCitation":"[256]"},"properties":{"noteIndex":0},"schema":"https://github.com/citation-style-language/schema/raw/master/csl-citation.json"}</w:instrText>
      </w:r>
      <w:r w:rsidRPr="00051297">
        <w:rPr>
          <w:rFonts w:cs="Times New Roman"/>
          <w:szCs w:val="24"/>
        </w:rPr>
        <w:fldChar w:fldCharType="separate"/>
      </w:r>
      <w:r w:rsidR="00FA5896" w:rsidRPr="00FA5896">
        <w:rPr>
          <w:rFonts w:cs="Times New Roman"/>
          <w:noProof/>
          <w:szCs w:val="24"/>
          <w:lang w:val="en-US"/>
        </w:rPr>
        <w:t>[256]</w:t>
      </w:r>
      <w:r w:rsidRPr="00051297">
        <w:rPr>
          <w:rFonts w:cs="Times New Roman"/>
          <w:szCs w:val="24"/>
        </w:rPr>
        <w:fldChar w:fldCharType="end"/>
      </w:r>
      <w:r w:rsidRPr="00051297">
        <w:rPr>
          <w:rFonts w:cs="Times New Roman"/>
          <w:szCs w:val="24"/>
          <w:lang w:val="en-US"/>
        </w:rPr>
        <w:t xml:space="preserve">. Users can search catalogs of satellite and aerial imagery with the USGS Earth Explorer, which is similar to the USGS Global Visualization Viewer (GloVis). The new and enhanced version is the USGS Earth Explorer. The USGS Earth Explorer adds the following features: Data is downloaded in chronological order. </w:t>
      </w:r>
    </w:p>
    <w:p w14:paraId="7A427093" w14:textId="111585A7" w:rsidR="00051297" w:rsidRPr="00051297" w:rsidRDefault="00051297" w:rsidP="00051297">
      <w:pPr>
        <w:rPr>
          <w:rFonts w:cs="Times New Roman"/>
          <w:szCs w:val="24"/>
          <w:lang w:val="en-US"/>
        </w:rPr>
      </w:pPr>
      <w:r w:rsidRPr="00051297">
        <w:rPr>
          <w:rFonts w:cs="Times New Roman"/>
          <w:szCs w:val="24"/>
          <w:lang w:val="en-US"/>
        </w:rPr>
        <w:t xml:space="preserve">Knowing the limits and flow regimes of the stream channels within your project area is critical when planning a development project such as embankment dam construction. It is also worth noting that, when it comes to dams avoiding effects to stream channels is not always achievable; therefore, it is critical to execute accurate and reliable delineations to reduce mitigation costs. </w:t>
      </w:r>
      <w:r w:rsidRPr="00051297">
        <w:rPr>
          <w:rFonts w:cs="Times New Roman"/>
          <w:szCs w:val="24"/>
          <w:lang w:val="en-US"/>
        </w:rPr>
        <w:fldChar w:fldCharType="begin"/>
      </w:r>
      <w:r w:rsidRPr="00051297">
        <w:rPr>
          <w:rFonts w:cs="Times New Roman"/>
          <w:szCs w:val="24"/>
          <w:lang w:val="en-US"/>
        </w:rPr>
        <w:instrText xml:space="preserve"> REF _Ref98104355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15</w:t>
      </w:r>
      <w:r w:rsidRPr="00051297">
        <w:rPr>
          <w:rFonts w:cs="Times New Roman"/>
          <w:szCs w:val="24"/>
          <w:lang w:val="en-US"/>
        </w:rPr>
        <w:fldChar w:fldCharType="end"/>
      </w:r>
      <w:r w:rsidRPr="00051297">
        <w:rPr>
          <w:rFonts w:cs="Times New Roman"/>
          <w:szCs w:val="24"/>
          <w:lang w:val="en-US"/>
        </w:rPr>
        <w:t xml:space="preserve"> (a) presents the clipped Digital Elevation Model (DEM), while </w:t>
      </w:r>
      <w:r w:rsidRPr="00051297">
        <w:rPr>
          <w:rFonts w:cs="Times New Roman"/>
          <w:szCs w:val="24"/>
          <w:lang w:val="en-US"/>
        </w:rPr>
        <w:fldChar w:fldCharType="begin"/>
      </w:r>
      <w:r w:rsidRPr="00051297">
        <w:rPr>
          <w:rFonts w:cs="Times New Roman"/>
          <w:szCs w:val="24"/>
          <w:lang w:val="en-US"/>
        </w:rPr>
        <w:instrText xml:space="preserve"> REF _Ref98104355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15</w:t>
      </w:r>
      <w:r w:rsidRPr="00051297">
        <w:rPr>
          <w:rFonts w:cs="Times New Roman"/>
          <w:szCs w:val="24"/>
          <w:lang w:val="en-US"/>
        </w:rPr>
        <w:fldChar w:fldCharType="end"/>
      </w:r>
      <w:r w:rsidRPr="00051297">
        <w:rPr>
          <w:rFonts w:cs="Times New Roman"/>
          <w:szCs w:val="24"/>
          <w:lang w:val="en-US"/>
        </w:rPr>
        <w:t xml:space="preserve"> (b) presents the boundaries of the catchment with some delineated streams.</w:t>
      </w:r>
    </w:p>
    <w:p w14:paraId="61E5BA4D" w14:textId="77777777" w:rsidR="00051297" w:rsidRPr="00051297" w:rsidRDefault="00051297" w:rsidP="00051297">
      <w:pPr>
        <w:rPr>
          <w:rFonts w:cs="Times New Roman"/>
          <w:szCs w:val="24"/>
          <w:lang w:val="en-US"/>
        </w:rPr>
      </w:pPr>
      <w:r w:rsidRPr="00051297">
        <w:rPr>
          <w:rFonts w:cs="Times New Roman"/>
          <w:szCs w:val="24"/>
          <w:lang w:val="en-US"/>
        </w:rPr>
        <w:t>The followings are part of the step-by-step techniques employed in the catchment delineation in this study.</w:t>
      </w:r>
    </w:p>
    <w:p w14:paraId="45290266" w14:textId="77777777" w:rsidR="00051297" w:rsidRPr="00051297" w:rsidRDefault="00051297" w:rsidP="00051297">
      <w:pPr>
        <w:numPr>
          <w:ilvl w:val="0"/>
          <w:numId w:val="34"/>
        </w:numPr>
        <w:tabs>
          <w:tab w:val="left" w:pos="993"/>
        </w:tabs>
        <w:ind w:left="0" w:firstLine="709"/>
        <w:contextualSpacing/>
        <w:rPr>
          <w:rFonts w:cs="Times New Roman"/>
          <w:bCs/>
          <w:szCs w:val="24"/>
        </w:rPr>
      </w:pPr>
      <w:r w:rsidRPr="00051297">
        <w:rPr>
          <w:rFonts w:cs="Times New Roman"/>
          <w:bCs/>
          <w:szCs w:val="24"/>
        </w:rPr>
        <w:t>Filling sinks</w:t>
      </w:r>
    </w:p>
    <w:p w14:paraId="514DE882" w14:textId="77777777" w:rsidR="00051297" w:rsidRPr="00051297" w:rsidRDefault="00051297" w:rsidP="00051297">
      <w:pPr>
        <w:tabs>
          <w:tab w:val="left" w:pos="993"/>
        </w:tabs>
        <w:rPr>
          <w:rFonts w:cs="Times New Roman"/>
          <w:bCs/>
          <w:szCs w:val="24"/>
          <w:lang w:val="en-US"/>
        </w:rPr>
      </w:pPr>
      <w:r w:rsidRPr="00051297">
        <w:rPr>
          <w:rFonts w:cs="Times New Roman"/>
          <w:bCs/>
          <w:szCs w:val="24"/>
          <w:lang w:val="en-US"/>
        </w:rPr>
        <w:t>To fill sinks in the Digital Elevation Model, the fill sinks tool in ArcHydro tools was utilized. This was done to eliminate the flow hampering issues because if there are cells with higher elevations surrounding a cell with a lower elevation, the water will be hampered in its flow and confined in the lower height cell, preventing the water from flowing out. As a result, the fill sinks operation tends to modify the Digital Elevation Model.</w:t>
      </w:r>
    </w:p>
    <w:p w14:paraId="34DD9AD2" w14:textId="77777777" w:rsidR="00051297" w:rsidRPr="00051297" w:rsidRDefault="00051297" w:rsidP="00051297">
      <w:pPr>
        <w:numPr>
          <w:ilvl w:val="0"/>
          <w:numId w:val="34"/>
        </w:numPr>
        <w:tabs>
          <w:tab w:val="left" w:pos="993"/>
        </w:tabs>
        <w:ind w:left="0" w:firstLine="709"/>
        <w:contextualSpacing/>
        <w:rPr>
          <w:rFonts w:cs="Times New Roman"/>
          <w:bCs/>
          <w:szCs w:val="24"/>
        </w:rPr>
      </w:pPr>
      <w:r w:rsidRPr="00051297">
        <w:rPr>
          <w:rFonts w:cs="Times New Roman"/>
          <w:bCs/>
          <w:szCs w:val="24"/>
        </w:rPr>
        <w:t>Flow direction</w:t>
      </w:r>
    </w:p>
    <w:p w14:paraId="34892ABA" w14:textId="77777777" w:rsidR="00051297" w:rsidRPr="00051297" w:rsidRDefault="00051297" w:rsidP="00051297">
      <w:pPr>
        <w:tabs>
          <w:tab w:val="left" w:pos="993"/>
        </w:tabs>
        <w:rPr>
          <w:rFonts w:cs="Times New Roman"/>
          <w:bCs/>
          <w:szCs w:val="24"/>
          <w:lang w:val="en-US"/>
        </w:rPr>
      </w:pPr>
      <w:r w:rsidRPr="00051297">
        <w:rPr>
          <w:rFonts w:cs="Times New Roman"/>
          <w:bCs/>
          <w:szCs w:val="24"/>
          <w:lang w:val="en-US"/>
        </w:rPr>
        <w:t xml:space="preserve">For each grid cell, the flow direction tool was utilized to determine the direction of the steepest fall to a neighbor cell. This function, in general, computes the flow direction for a given grid, where the values computed in the flow direction grid's cells reflect the direction of the steepest drop from that cell. </w:t>
      </w:r>
    </w:p>
    <w:p w14:paraId="0D390381" w14:textId="77777777" w:rsidR="00051297" w:rsidRPr="00051297" w:rsidRDefault="00051297" w:rsidP="00051297">
      <w:pPr>
        <w:numPr>
          <w:ilvl w:val="0"/>
          <w:numId w:val="34"/>
        </w:numPr>
        <w:tabs>
          <w:tab w:val="left" w:pos="993"/>
        </w:tabs>
        <w:ind w:left="0" w:firstLine="709"/>
        <w:contextualSpacing/>
        <w:rPr>
          <w:rFonts w:cs="Times New Roman"/>
          <w:bCs/>
          <w:szCs w:val="24"/>
        </w:rPr>
      </w:pPr>
      <w:r w:rsidRPr="00051297">
        <w:rPr>
          <w:rFonts w:cs="Times New Roman"/>
          <w:bCs/>
          <w:szCs w:val="24"/>
        </w:rPr>
        <w:t>Flow accumulation</w:t>
      </w:r>
    </w:p>
    <w:p w14:paraId="5F482ED9" w14:textId="77777777" w:rsidR="00051297" w:rsidRPr="00051297" w:rsidRDefault="00051297" w:rsidP="00051297">
      <w:pPr>
        <w:tabs>
          <w:tab w:val="left" w:pos="993"/>
        </w:tabs>
        <w:rPr>
          <w:rFonts w:cs="Times New Roman"/>
          <w:bCs/>
          <w:szCs w:val="24"/>
          <w:lang w:val="en-US"/>
        </w:rPr>
      </w:pPr>
      <w:r w:rsidRPr="00051297">
        <w:rPr>
          <w:rFonts w:cs="Times New Roman"/>
          <w:bCs/>
          <w:szCs w:val="24"/>
          <w:lang w:val="en-US"/>
        </w:rPr>
        <w:t xml:space="preserve">The number of upstream cells draining into any given downstream cell in the grid is defined in this process. For each cell in the input grid of the given watershed, computes the flow accumulation grid, which contains the accumulated number of cells upstream of a cell. </w:t>
      </w:r>
    </w:p>
    <w:p w14:paraId="6F3A2381" w14:textId="77777777" w:rsidR="00051297" w:rsidRPr="00051297" w:rsidRDefault="00051297" w:rsidP="00051297">
      <w:pPr>
        <w:numPr>
          <w:ilvl w:val="0"/>
          <w:numId w:val="34"/>
        </w:numPr>
        <w:tabs>
          <w:tab w:val="left" w:pos="993"/>
        </w:tabs>
        <w:ind w:left="0" w:firstLine="709"/>
        <w:contextualSpacing/>
        <w:rPr>
          <w:rFonts w:cs="Times New Roman"/>
          <w:bCs/>
          <w:szCs w:val="24"/>
        </w:rPr>
      </w:pPr>
      <w:r w:rsidRPr="00051297">
        <w:rPr>
          <w:rFonts w:cs="Times New Roman"/>
          <w:bCs/>
          <w:szCs w:val="24"/>
        </w:rPr>
        <w:t>Stream definition</w:t>
      </w:r>
    </w:p>
    <w:p w14:paraId="2471028D" w14:textId="77777777" w:rsidR="00051297" w:rsidRPr="00051297" w:rsidRDefault="00051297" w:rsidP="00051297">
      <w:pPr>
        <w:tabs>
          <w:tab w:val="left" w:pos="993"/>
        </w:tabs>
        <w:rPr>
          <w:rFonts w:cs="Times New Roman"/>
          <w:bCs/>
          <w:szCs w:val="24"/>
          <w:lang w:val="en-US"/>
        </w:rPr>
      </w:pPr>
      <w:r w:rsidRPr="00051297">
        <w:rPr>
          <w:rFonts w:cs="Times New Roman"/>
          <w:bCs/>
          <w:szCs w:val="24"/>
          <w:lang w:val="en-US"/>
        </w:rPr>
        <w:t>The stream network's grid cells were chosen based on a threshold number of grid cells draining into a given downstream grid cell.</w:t>
      </w:r>
    </w:p>
    <w:p w14:paraId="1E7BAA46" w14:textId="77777777" w:rsidR="00051297" w:rsidRPr="00051297" w:rsidRDefault="00051297" w:rsidP="00051297">
      <w:pPr>
        <w:numPr>
          <w:ilvl w:val="0"/>
          <w:numId w:val="34"/>
        </w:numPr>
        <w:tabs>
          <w:tab w:val="left" w:pos="993"/>
        </w:tabs>
        <w:ind w:left="0" w:firstLine="709"/>
        <w:contextualSpacing/>
        <w:rPr>
          <w:rFonts w:cs="Times New Roman"/>
          <w:bCs/>
          <w:szCs w:val="24"/>
        </w:rPr>
      </w:pPr>
      <w:r w:rsidRPr="00051297">
        <w:rPr>
          <w:rFonts w:cs="Times New Roman"/>
          <w:bCs/>
          <w:szCs w:val="24"/>
        </w:rPr>
        <w:t>Stream segmentation</w:t>
      </w:r>
    </w:p>
    <w:p w14:paraId="09400B1C" w14:textId="77777777" w:rsidR="00051297" w:rsidRPr="00051297" w:rsidRDefault="00051297" w:rsidP="00051297">
      <w:pPr>
        <w:tabs>
          <w:tab w:val="left" w:pos="993"/>
        </w:tabs>
        <w:rPr>
          <w:rFonts w:cs="Times New Roman"/>
          <w:bCs/>
          <w:szCs w:val="24"/>
          <w:lang w:val="en-US"/>
        </w:rPr>
      </w:pPr>
      <w:r w:rsidRPr="00051297">
        <w:rPr>
          <w:rFonts w:cs="Times New Roman"/>
          <w:bCs/>
          <w:szCs w:val="24"/>
          <w:lang w:val="en-US"/>
        </w:rPr>
        <w:t xml:space="preserve">The stream segmentation tool creates streams by separating the stream at any junction as defined in the stream definition procedure. </w:t>
      </w:r>
    </w:p>
    <w:p w14:paraId="78F6F62D" w14:textId="77777777" w:rsidR="00051297" w:rsidRPr="00051297" w:rsidRDefault="00051297" w:rsidP="00051297">
      <w:pPr>
        <w:numPr>
          <w:ilvl w:val="0"/>
          <w:numId w:val="34"/>
        </w:numPr>
        <w:tabs>
          <w:tab w:val="left" w:pos="993"/>
        </w:tabs>
        <w:ind w:left="0" w:firstLine="709"/>
        <w:contextualSpacing/>
        <w:rPr>
          <w:rFonts w:cs="Times New Roman"/>
          <w:bCs/>
          <w:szCs w:val="24"/>
        </w:rPr>
      </w:pPr>
      <w:r w:rsidRPr="00051297">
        <w:rPr>
          <w:rFonts w:cs="Times New Roman"/>
          <w:bCs/>
          <w:szCs w:val="24"/>
        </w:rPr>
        <w:lastRenderedPageBreak/>
        <w:t>Catchment grid delineation</w:t>
      </w:r>
    </w:p>
    <w:p w14:paraId="354F27B7" w14:textId="77777777" w:rsidR="00051297" w:rsidRPr="00051297" w:rsidRDefault="00051297" w:rsidP="00051297">
      <w:pPr>
        <w:tabs>
          <w:tab w:val="left" w:pos="993"/>
        </w:tabs>
        <w:rPr>
          <w:rFonts w:cs="Times New Roman"/>
          <w:bCs/>
          <w:szCs w:val="24"/>
          <w:lang w:val="en-US"/>
        </w:rPr>
      </w:pPr>
      <w:r w:rsidRPr="00051297">
        <w:rPr>
          <w:rFonts w:cs="Times New Roman"/>
          <w:bCs/>
          <w:szCs w:val="24"/>
          <w:lang w:val="en-US"/>
        </w:rPr>
        <w:t>In the Arc Hydro Tools' Terrain Processing tool, the catchment delineation procedure was followed by catchment grid delineation. The relevant watershed is drawn and recorded in a grid file for each stream segment component established by the stream segmentation method.</w:t>
      </w:r>
    </w:p>
    <w:p w14:paraId="38B36BA0" w14:textId="77777777" w:rsidR="00051297" w:rsidRPr="00051297" w:rsidRDefault="00051297" w:rsidP="00051297">
      <w:pPr>
        <w:numPr>
          <w:ilvl w:val="0"/>
          <w:numId w:val="34"/>
        </w:numPr>
        <w:tabs>
          <w:tab w:val="left" w:pos="993"/>
        </w:tabs>
        <w:ind w:left="0" w:firstLine="709"/>
        <w:contextualSpacing/>
        <w:rPr>
          <w:rFonts w:cs="Times New Roman"/>
          <w:bCs/>
          <w:szCs w:val="24"/>
        </w:rPr>
      </w:pPr>
      <w:r w:rsidRPr="00051297">
        <w:rPr>
          <w:rFonts w:cs="Times New Roman"/>
          <w:bCs/>
          <w:szCs w:val="24"/>
        </w:rPr>
        <w:t>Catchment polygon processing</w:t>
      </w:r>
    </w:p>
    <w:p w14:paraId="5634B24A" w14:textId="77777777" w:rsidR="00051297" w:rsidRPr="00051297" w:rsidRDefault="00051297" w:rsidP="00051297">
      <w:pPr>
        <w:tabs>
          <w:tab w:val="left" w:pos="993"/>
        </w:tabs>
        <w:rPr>
          <w:rFonts w:cs="Times New Roman"/>
          <w:bCs/>
          <w:szCs w:val="24"/>
          <w:lang w:val="en-US"/>
        </w:rPr>
      </w:pPr>
      <w:r w:rsidRPr="00051297">
        <w:rPr>
          <w:rFonts w:cs="Times New Roman"/>
          <w:bCs/>
          <w:szCs w:val="24"/>
          <w:lang w:val="en-US"/>
        </w:rPr>
        <w:t>This technique employs the polygon generated from the catchment grid to outline the limits of each sub-basin.</w:t>
      </w:r>
    </w:p>
    <w:p w14:paraId="3EA8A091" w14:textId="77777777" w:rsidR="00051297" w:rsidRPr="00051297" w:rsidRDefault="00051297" w:rsidP="00051297">
      <w:pPr>
        <w:numPr>
          <w:ilvl w:val="0"/>
          <w:numId w:val="34"/>
        </w:numPr>
        <w:tabs>
          <w:tab w:val="left" w:pos="993"/>
        </w:tabs>
        <w:ind w:left="0" w:firstLine="709"/>
        <w:contextualSpacing/>
        <w:rPr>
          <w:rFonts w:cs="Times New Roman"/>
          <w:bCs/>
          <w:szCs w:val="24"/>
        </w:rPr>
      </w:pPr>
      <w:r w:rsidRPr="00051297">
        <w:rPr>
          <w:rFonts w:cs="Times New Roman"/>
          <w:bCs/>
          <w:szCs w:val="24"/>
        </w:rPr>
        <w:t>Drainage line processing</w:t>
      </w:r>
    </w:p>
    <w:p w14:paraId="6624B2CA" w14:textId="77777777" w:rsidR="00051297" w:rsidRPr="00051297" w:rsidRDefault="00051297" w:rsidP="00051297">
      <w:pPr>
        <w:tabs>
          <w:tab w:val="left" w:pos="993"/>
        </w:tabs>
        <w:rPr>
          <w:rFonts w:cs="Times New Roman"/>
          <w:szCs w:val="24"/>
          <w:lang w:val="en-US"/>
        </w:rPr>
      </w:pPr>
      <w:r w:rsidRPr="00051297">
        <w:rPr>
          <w:rFonts w:cs="Times New Roman"/>
          <w:szCs w:val="24"/>
          <w:lang w:val="en-US"/>
        </w:rPr>
        <w:t>This function takes the output from the stream segmentation grid and converts it into a vector stream layer.</w:t>
      </w:r>
    </w:p>
    <w:p w14:paraId="28EBE09A" w14:textId="77777777" w:rsidR="00051297" w:rsidRPr="00051297" w:rsidRDefault="00051297" w:rsidP="00051297">
      <w:pPr>
        <w:numPr>
          <w:ilvl w:val="0"/>
          <w:numId w:val="34"/>
        </w:numPr>
        <w:tabs>
          <w:tab w:val="left" w:pos="993"/>
        </w:tabs>
        <w:ind w:left="0" w:firstLine="709"/>
        <w:contextualSpacing/>
        <w:rPr>
          <w:rFonts w:cs="Times New Roman"/>
          <w:szCs w:val="24"/>
        </w:rPr>
      </w:pPr>
      <w:r w:rsidRPr="00051297">
        <w:rPr>
          <w:rFonts w:cs="Times New Roman"/>
          <w:szCs w:val="24"/>
        </w:rPr>
        <w:t>Adjoint catchment processing</w:t>
      </w:r>
    </w:p>
    <w:p w14:paraId="18885F38" w14:textId="6863F5BE" w:rsidR="00325C73" w:rsidRDefault="00051297" w:rsidP="00325C73">
      <w:pPr>
        <w:rPr>
          <w:noProof/>
          <w:szCs w:val="24"/>
          <w:lang w:val="en-US"/>
        </w:rPr>
      </w:pPr>
      <w:r w:rsidRPr="00051297">
        <w:rPr>
          <w:rFonts w:cs="Times New Roman"/>
          <w:szCs w:val="24"/>
          <w:lang w:val="en-US"/>
        </w:rPr>
        <w:t>Because the upstream sub-basins were aggregated at any stream confluence during this process, any inaccuracy in adjoint catchment processing could cause problems with auto-extraction of a catchment of interest, especially if the DEM was not clipped to the catchment's size from the start.</w:t>
      </w:r>
    </w:p>
    <w:p w14:paraId="5DD766F8" w14:textId="77777777" w:rsidR="00325C73" w:rsidRPr="00051297" w:rsidRDefault="00325C73" w:rsidP="00325C73">
      <w:pPr>
        <w:rPr>
          <w:rFonts w:cs="Times New Roman"/>
          <w:szCs w:val="24"/>
          <w:lang w:val="en-US"/>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051297" w:rsidRPr="00051297" w14:paraId="50110F79" w14:textId="77777777" w:rsidTr="00325C73">
        <w:trPr>
          <w:trHeight w:val="3778"/>
          <w:jc w:val="center"/>
        </w:trPr>
        <w:tc>
          <w:tcPr>
            <w:tcW w:w="4672" w:type="dxa"/>
          </w:tcPr>
          <w:p w14:paraId="2EDCAD84" w14:textId="0363771D" w:rsidR="00051297" w:rsidRPr="00051297" w:rsidRDefault="00325C73" w:rsidP="00325C73">
            <w:pPr>
              <w:spacing w:line="240" w:lineRule="auto"/>
              <w:ind w:firstLine="0"/>
              <w:contextualSpacing/>
              <w:jc w:val="center"/>
              <w:rPr>
                <w:szCs w:val="24"/>
              </w:rPr>
            </w:pPr>
            <w:r>
              <w:rPr>
                <w:noProof/>
                <w:szCs w:val="24"/>
              </w:rPr>
              <mc:AlternateContent>
                <mc:Choice Requires="wpg">
                  <w:drawing>
                    <wp:inline distT="0" distB="0" distL="0" distR="0" wp14:anchorId="43FF5E59" wp14:editId="401A43D1">
                      <wp:extent cx="2879725" cy="2305050"/>
                      <wp:effectExtent l="0" t="0" r="0" b="0"/>
                      <wp:docPr id="2" name="Группа 2"/>
                      <wp:cNvGraphicFramePr/>
                      <a:graphic xmlns:a="http://schemas.openxmlformats.org/drawingml/2006/main">
                        <a:graphicData uri="http://schemas.microsoft.com/office/word/2010/wordprocessingGroup">
                          <wpg:wgp>
                            <wpg:cNvGrpSpPr/>
                            <wpg:grpSpPr>
                              <a:xfrm>
                                <a:off x="0" y="0"/>
                                <a:ext cx="2879725" cy="2305050"/>
                                <a:chOff x="0" y="0"/>
                                <a:chExt cx="2879725" cy="2305050"/>
                              </a:xfrm>
                            </wpg:grpSpPr>
                            <pic:pic xmlns:pic="http://schemas.openxmlformats.org/drawingml/2006/picture">
                              <pic:nvPicPr>
                                <pic:cNvPr id="66" name="Picture 66"/>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9725" cy="2305050"/>
                                </a:xfrm>
                                <a:prstGeom prst="rect">
                                  <a:avLst/>
                                </a:prstGeom>
                                <a:noFill/>
                                <a:ln>
                                  <a:noFill/>
                                </a:ln>
                              </pic:spPr>
                            </pic:pic>
                            <pic:pic xmlns:pic="http://schemas.openxmlformats.org/drawingml/2006/picture">
                              <pic:nvPicPr>
                                <pic:cNvPr id="51" name="Picture 51"/>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1981200" y="1744980"/>
                                  <a:ext cx="790575" cy="560070"/>
                                </a:xfrm>
                                <a:prstGeom prst="rect">
                                  <a:avLst/>
                                </a:prstGeom>
                                <a:noFill/>
                                <a:ln>
                                  <a:noFill/>
                                </a:ln>
                              </pic:spPr>
                            </pic:pic>
                          </wpg:wgp>
                        </a:graphicData>
                      </a:graphic>
                    </wp:inline>
                  </w:drawing>
                </mc:Choice>
                <mc:Fallback xmlns:oel="http://schemas.microsoft.com/office/2019/extlst">
                  <w:pict>
                    <v:group w14:anchorId="570F4B83" id="Группа 2" o:spid="_x0000_s1026" style="width:226.75pt;height:181.5pt;mso-position-horizontal-relative:char;mso-position-vertical-relative:line" coordsize="28797,23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">
                      <v:shape id="Picture 66" o:spid="_x0000_s1027" type="#_x0000_t75" style="position:absolute;width:28797;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">
                        <v:imagedata r:id="rId51" o:title=""/>
                      </v:shape>
                      <v:shape id="Picture 51" o:spid="_x0000_s1028" type="#_x0000_t75" style="position:absolute;left:19812;top:17449;width:7905;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">
                        <v:imagedata r:id="rId52" o:title=""/>
                      </v:shape>
                      <w10:anchorlock/>
                    </v:group>
                  </w:pict>
                </mc:Fallback>
              </mc:AlternateContent>
            </w:r>
          </w:p>
          <w:p w14:paraId="62F9710D" w14:textId="04F4A924" w:rsidR="00051297" w:rsidRPr="00051297" w:rsidRDefault="00051297" w:rsidP="00325C73">
            <w:pPr>
              <w:spacing w:line="240" w:lineRule="auto"/>
              <w:contextualSpacing/>
              <w:jc w:val="center"/>
              <w:rPr>
                <w:szCs w:val="24"/>
              </w:rPr>
            </w:pPr>
          </w:p>
        </w:tc>
        <w:tc>
          <w:tcPr>
            <w:tcW w:w="4672" w:type="dxa"/>
          </w:tcPr>
          <w:p w14:paraId="1672E03C" w14:textId="19DD516E" w:rsidR="00051297" w:rsidRPr="00051297" w:rsidRDefault="00325C73" w:rsidP="00325C73">
            <w:pPr>
              <w:spacing w:line="240" w:lineRule="auto"/>
              <w:ind w:firstLine="0"/>
              <w:contextualSpacing/>
              <w:jc w:val="center"/>
              <w:rPr>
                <w:szCs w:val="24"/>
              </w:rPr>
            </w:pPr>
            <w:r>
              <w:rPr>
                <w:noProof/>
                <w:szCs w:val="24"/>
              </w:rPr>
              <mc:AlternateContent>
                <mc:Choice Requires="wpg">
                  <w:drawing>
                    <wp:inline distT="0" distB="0" distL="0" distR="0" wp14:anchorId="2D2BECEF" wp14:editId="158B6F15">
                      <wp:extent cx="2879725" cy="2304415"/>
                      <wp:effectExtent l="0" t="0" r="0" b="635"/>
                      <wp:docPr id="3" name="Группа 3"/>
                      <wp:cNvGraphicFramePr/>
                      <a:graphic xmlns:a="http://schemas.openxmlformats.org/drawingml/2006/main">
                        <a:graphicData uri="http://schemas.microsoft.com/office/word/2010/wordprocessingGroup">
                          <wpg:wgp>
                            <wpg:cNvGrpSpPr/>
                            <wpg:grpSpPr>
                              <a:xfrm>
                                <a:off x="0" y="0"/>
                                <a:ext cx="2879725" cy="2304415"/>
                                <a:chOff x="0" y="-53340"/>
                                <a:chExt cx="2879725" cy="2304415"/>
                              </a:xfrm>
                            </wpg:grpSpPr>
                            <pic:pic xmlns:pic="http://schemas.openxmlformats.org/drawingml/2006/picture">
                              <pic:nvPicPr>
                                <pic:cNvPr id="68" name="Picture 68"/>
                                <pic:cNvPicPr>
                                  <a:picLocks noChangeAspect="1"/>
                                </pic:cNvPicPr>
                              </pic:nvPicPr>
                              <pic:blipFill rotWithShape="1">
                                <a:blip r:embed="rId53" cstate="print">
                                  <a:extLst>
                                    <a:ext uri="{28A0092B-C50C-407E-A947-70E740481C1C}">
                                      <a14:useLocalDpi xmlns:a14="http://schemas.microsoft.com/office/drawing/2010/main" val="0"/>
                                    </a:ext>
                                  </a:extLst>
                                </a:blip>
                                <a:srcRect t="-2369" b="-1"/>
                                <a:stretch/>
                              </pic:blipFill>
                              <pic:spPr bwMode="auto">
                                <a:xfrm>
                                  <a:off x="0" y="-53340"/>
                                  <a:ext cx="2879725" cy="2304415"/>
                                </a:xfrm>
                                <a:prstGeom prst="rect">
                                  <a:avLst/>
                                </a:prstGeom>
                                <a:noFill/>
                                <a:ln>
                                  <a:noFill/>
                                </a:ln>
                              </pic:spPr>
                            </pic:pic>
                            <pic:pic xmlns:pic="http://schemas.openxmlformats.org/drawingml/2006/picture">
                              <pic:nvPicPr>
                                <pic:cNvPr id="53" name="Picture 53"/>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2232660" y="1678305"/>
                                  <a:ext cx="621030" cy="565150"/>
                                </a:xfrm>
                                <a:prstGeom prst="rect">
                                  <a:avLst/>
                                </a:prstGeom>
                                <a:noFill/>
                                <a:ln>
                                  <a:noFill/>
                                </a:ln>
                              </pic:spPr>
                            </pic:pic>
                          </wpg:wgp>
                        </a:graphicData>
                      </a:graphic>
                    </wp:inline>
                  </w:drawing>
                </mc:Choice>
                <mc:Fallback xmlns:oel="http://schemas.microsoft.com/office/2019/extlst">
                  <w:pict>
                    <v:group w14:anchorId="42BFA378" id="Группа 3" o:spid="_x0000_s1026" style="width:226.75pt;height:181.45pt;mso-position-horizontal-relative:char;mso-position-vertical-relative:line" coordorigin=",-533" coordsize="28797,23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">
                      <v:shape id="Picture 68" o:spid="_x0000_s1027" type="#_x0000_t75" style="position:absolute;top:-533;width:28797;height:23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">
                        <v:imagedata r:id="rId55" o:title="" croptop="-1553f" cropbottom="-1f"/>
                      </v:shape>
                      <v:shape id="Picture 53" o:spid="_x0000_s1028" type="#_x0000_t75" style="position:absolute;left:22326;top:16783;width:6210;height:5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">
                        <v:imagedata r:id="rId56" o:title=""/>
                      </v:shape>
                      <w10:anchorlock/>
                    </v:group>
                  </w:pict>
                </mc:Fallback>
              </mc:AlternateContent>
            </w:r>
          </w:p>
        </w:tc>
      </w:tr>
      <w:tr w:rsidR="00325C73" w:rsidRPr="00051297" w14:paraId="08E6C405" w14:textId="77777777" w:rsidTr="00325C73">
        <w:trPr>
          <w:trHeight w:val="172"/>
          <w:jc w:val="center"/>
        </w:trPr>
        <w:tc>
          <w:tcPr>
            <w:tcW w:w="4672" w:type="dxa"/>
          </w:tcPr>
          <w:p w14:paraId="5551657B" w14:textId="390979F5" w:rsidR="00325C73" w:rsidRPr="00051297" w:rsidRDefault="00325C73" w:rsidP="00325C73">
            <w:pPr>
              <w:ind w:firstLine="0"/>
              <w:contextualSpacing/>
              <w:jc w:val="center"/>
              <w:rPr>
                <w:noProof/>
                <w:szCs w:val="24"/>
              </w:rPr>
            </w:pPr>
            <w:r w:rsidRPr="00051297">
              <w:rPr>
                <w:szCs w:val="24"/>
              </w:rPr>
              <w:t>(a)</w:t>
            </w:r>
          </w:p>
        </w:tc>
        <w:tc>
          <w:tcPr>
            <w:tcW w:w="4672" w:type="dxa"/>
          </w:tcPr>
          <w:p w14:paraId="2EAEF481" w14:textId="1EFA56FD" w:rsidR="00325C73" w:rsidRPr="00051297" w:rsidRDefault="00325C73" w:rsidP="00325C73">
            <w:pPr>
              <w:ind w:firstLine="0"/>
              <w:contextualSpacing/>
              <w:jc w:val="center"/>
              <w:rPr>
                <w:szCs w:val="24"/>
              </w:rPr>
            </w:pPr>
            <w:r w:rsidRPr="00051297">
              <w:rPr>
                <w:szCs w:val="24"/>
              </w:rPr>
              <w:t>(b)</w:t>
            </w:r>
          </w:p>
        </w:tc>
      </w:tr>
    </w:tbl>
    <w:p w14:paraId="3FD61521" w14:textId="1060BC9E" w:rsidR="00051297" w:rsidRPr="00051297" w:rsidRDefault="00051297" w:rsidP="00051297">
      <w:pPr>
        <w:ind w:firstLine="0"/>
        <w:jc w:val="center"/>
        <w:rPr>
          <w:rFonts w:cs="Times New Roman"/>
          <w:szCs w:val="24"/>
          <w:lang w:val="en-US" w:bidi="en-US"/>
        </w:rPr>
      </w:pPr>
      <w:bookmarkStart w:id="621" w:name="_Ref98104355"/>
      <w:bookmarkStart w:id="622" w:name="_Toc97428229"/>
      <w:bookmarkStart w:id="623" w:name="_Toc98085904"/>
      <w:bookmarkStart w:id="624" w:name="_Toc103544101"/>
      <w:bookmarkStart w:id="625" w:name="_Toc104985424"/>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15</w:t>
      </w:r>
      <w:r w:rsidR="00527861">
        <w:rPr>
          <w:rFonts w:cs="Times New Roman"/>
          <w:szCs w:val="24"/>
          <w:lang w:val="en-US" w:bidi="en-US"/>
        </w:rPr>
        <w:fldChar w:fldCharType="end"/>
      </w:r>
      <w:bookmarkEnd w:id="621"/>
      <w:r w:rsidRPr="00051297">
        <w:rPr>
          <w:lang w:val="en-US"/>
        </w:rPr>
        <w:t xml:space="preserve"> </w:t>
      </w:r>
      <w:r w:rsidRPr="00051297">
        <w:rPr>
          <w:rFonts w:cs="Times New Roman"/>
          <w:szCs w:val="24"/>
          <w:lang w:val="en-US" w:bidi="en-US"/>
        </w:rPr>
        <w:t>– Ndembera dam catchment boundary: a) clipped DEM; b) delineated catchment</w:t>
      </w:r>
      <w:bookmarkEnd w:id="622"/>
      <w:bookmarkEnd w:id="623"/>
      <w:bookmarkEnd w:id="624"/>
      <w:bookmarkEnd w:id="625"/>
    </w:p>
    <w:p w14:paraId="12F57440" w14:textId="63187FCD" w:rsidR="00051297" w:rsidRPr="00051297" w:rsidRDefault="00051297" w:rsidP="00090C07">
      <w:pPr>
        <w:pStyle w:val="3"/>
        <w:rPr>
          <w:rFonts w:eastAsia="Calibri"/>
          <w:lang w:val="en-US"/>
        </w:rPr>
      </w:pPr>
      <w:bookmarkStart w:id="626" w:name="_Toc103543926"/>
      <w:bookmarkStart w:id="627" w:name="_Toc104985250"/>
      <w:r w:rsidRPr="00051297">
        <w:rPr>
          <w:rFonts w:eastAsia="Calibri"/>
          <w:lang w:val="en-US"/>
        </w:rPr>
        <w:t>Curve Number (CN) Grid Inputs Preparation</w:t>
      </w:r>
      <w:bookmarkStart w:id="628" w:name="_Toc97504800"/>
      <w:bookmarkEnd w:id="626"/>
      <w:bookmarkEnd w:id="627"/>
      <w:r w:rsidRPr="00051297">
        <w:rPr>
          <w:rFonts w:eastAsia="Calibri"/>
          <w:lang w:val="en-US"/>
        </w:rPr>
        <w:t xml:space="preserve"> </w:t>
      </w:r>
      <w:bookmarkEnd w:id="628"/>
    </w:p>
    <w:p w14:paraId="6D7965E2" w14:textId="7FB6A6A8" w:rsidR="00051297" w:rsidRPr="00051297" w:rsidRDefault="00051297" w:rsidP="00090C07">
      <w:pPr>
        <w:pStyle w:val="4"/>
        <w:rPr>
          <w:lang w:val="en-US"/>
        </w:rPr>
      </w:pPr>
      <w:bookmarkStart w:id="629" w:name="_Toc103543927"/>
      <w:bookmarkStart w:id="630" w:name="_Toc104985251"/>
      <w:r w:rsidRPr="00051297">
        <w:rPr>
          <w:lang w:val="en-US"/>
        </w:rPr>
        <w:t>General overview</w:t>
      </w:r>
      <w:bookmarkEnd w:id="629"/>
      <w:bookmarkEnd w:id="630"/>
    </w:p>
    <w:p w14:paraId="65467680" w14:textId="77777777" w:rsidR="00051297" w:rsidRPr="00051297" w:rsidRDefault="00051297" w:rsidP="00051297">
      <w:pPr>
        <w:rPr>
          <w:lang w:val="en-US"/>
        </w:rPr>
      </w:pPr>
      <w:r w:rsidRPr="00051297">
        <w:rPr>
          <w:lang w:val="en-US"/>
        </w:rPr>
        <w:t>Several steps must be conducted prior to constructing the Curve Number (CN) Grid in order to prepare inputs for the Curve Number (CN) generation. As mentioned below, some of the methods involve processing Landsat images, producing soil data, combining land use/land cover data with soil data, and creating a CN Lookup table.</w:t>
      </w:r>
    </w:p>
    <w:p w14:paraId="5B3CFFD0" w14:textId="0A88E772" w:rsidR="00051297" w:rsidRPr="00051297" w:rsidRDefault="00051297" w:rsidP="00090C07">
      <w:pPr>
        <w:pStyle w:val="4"/>
        <w:rPr>
          <w:lang w:val="en-US"/>
        </w:rPr>
      </w:pPr>
      <w:bookmarkStart w:id="631" w:name="_Toc521024770"/>
      <w:bookmarkStart w:id="632" w:name="_Toc524780687"/>
      <w:bookmarkStart w:id="633" w:name="_Toc97504793"/>
      <w:bookmarkStart w:id="634" w:name="_Toc103543928"/>
      <w:bookmarkStart w:id="635" w:name="_Toc104985252"/>
      <w:r w:rsidRPr="00051297">
        <w:rPr>
          <w:lang w:val="en-US"/>
        </w:rPr>
        <w:lastRenderedPageBreak/>
        <w:t xml:space="preserve">Land </w:t>
      </w:r>
      <w:bookmarkEnd w:id="631"/>
      <w:bookmarkEnd w:id="632"/>
      <w:bookmarkEnd w:id="633"/>
      <w:r w:rsidRPr="00051297">
        <w:rPr>
          <w:lang w:val="en-US"/>
        </w:rPr>
        <w:t>use and land cover analysis processes</w:t>
      </w:r>
      <w:bookmarkEnd w:id="634"/>
      <w:bookmarkEnd w:id="635"/>
    </w:p>
    <w:p w14:paraId="4E2EBD4E" w14:textId="2AE652DF" w:rsidR="00051297" w:rsidRPr="00051297" w:rsidRDefault="00051297" w:rsidP="00090C07">
      <w:pPr>
        <w:pStyle w:val="5"/>
      </w:pPr>
      <w:bookmarkStart w:id="636" w:name="_Toc521024771"/>
      <w:bookmarkStart w:id="637" w:name="_Toc524780688"/>
      <w:bookmarkStart w:id="638" w:name="_Toc97504794"/>
      <w:bookmarkStart w:id="639" w:name="_Toc103543929"/>
      <w:bookmarkStart w:id="640" w:name="_Toc104985253"/>
      <w:r w:rsidRPr="00051297">
        <w:t>Landsat data processing</w:t>
      </w:r>
      <w:bookmarkEnd w:id="636"/>
      <w:bookmarkEnd w:id="637"/>
      <w:bookmarkEnd w:id="638"/>
      <w:bookmarkEnd w:id="639"/>
      <w:bookmarkEnd w:id="640"/>
    </w:p>
    <w:p w14:paraId="72214501" w14:textId="77777777" w:rsidR="00051297" w:rsidRPr="00051297" w:rsidRDefault="00051297" w:rsidP="00051297">
      <w:pPr>
        <w:numPr>
          <w:ilvl w:val="0"/>
          <w:numId w:val="34"/>
        </w:numPr>
        <w:tabs>
          <w:tab w:val="left" w:pos="993"/>
        </w:tabs>
        <w:ind w:left="0" w:firstLine="709"/>
        <w:contextualSpacing/>
        <w:rPr>
          <w:rFonts w:cs="Times New Roman"/>
          <w:bCs/>
          <w:szCs w:val="24"/>
        </w:rPr>
      </w:pPr>
      <w:r w:rsidRPr="00051297">
        <w:rPr>
          <w:rFonts w:cs="Times New Roman"/>
          <w:bCs/>
          <w:szCs w:val="24"/>
        </w:rPr>
        <w:t>Combining bands</w:t>
      </w:r>
    </w:p>
    <w:p w14:paraId="0161383E" w14:textId="77777777" w:rsidR="00051297" w:rsidRPr="00051297" w:rsidRDefault="00051297" w:rsidP="00051297">
      <w:pPr>
        <w:tabs>
          <w:tab w:val="left" w:pos="993"/>
        </w:tabs>
        <w:rPr>
          <w:rFonts w:cs="Times New Roman"/>
          <w:bCs/>
          <w:szCs w:val="24"/>
          <w:lang w:val="en-US"/>
        </w:rPr>
      </w:pPr>
      <w:r w:rsidRPr="00051297">
        <w:rPr>
          <w:rFonts w:cs="Times New Roman"/>
          <w:bCs/>
          <w:szCs w:val="24"/>
          <w:lang w:val="en-US"/>
        </w:rPr>
        <w:t>After loading all of the available satellite image bands into ArcMap 10.5, the Image Analysis tool was used to merge the bands using the composite bands' feature.</w:t>
      </w:r>
    </w:p>
    <w:p w14:paraId="09B76630" w14:textId="77777777" w:rsidR="00051297" w:rsidRPr="00051297" w:rsidRDefault="00051297" w:rsidP="00051297">
      <w:pPr>
        <w:numPr>
          <w:ilvl w:val="0"/>
          <w:numId w:val="34"/>
        </w:numPr>
        <w:tabs>
          <w:tab w:val="left" w:pos="993"/>
        </w:tabs>
        <w:ind w:left="0" w:firstLine="709"/>
        <w:contextualSpacing/>
        <w:rPr>
          <w:rFonts w:cs="Times New Roman"/>
          <w:bCs/>
          <w:szCs w:val="24"/>
          <w:lang w:val="en-US"/>
        </w:rPr>
      </w:pPr>
      <w:r w:rsidRPr="00051297">
        <w:rPr>
          <w:rFonts w:cs="Times New Roman"/>
          <w:bCs/>
          <w:szCs w:val="24"/>
          <w:lang w:val="en-US"/>
        </w:rPr>
        <w:t>Projection of the combined bands</w:t>
      </w:r>
      <w:r w:rsidRPr="00051297">
        <w:rPr>
          <w:rFonts w:cs="Times New Roman"/>
          <w:bCs/>
          <w:szCs w:val="24"/>
          <w:lang w:val="en-US"/>
        </w:rPr>
        <w:tab/>
      </w:r>
    </w:p>
    <w:p w14:paraId="5BD7F3BD" w14:textId="77777777" w:rsidR="00051297" w:rsidRPr="00051297" w:rsidRDefault="00051297" w:rsidP="00051297">
      <w:pPr>
        <w:tabs>
          <w:tab w:val="left" w:pos="993"/>
        </w:tabs>
        <w:rPr>
          <w:rFonts w:cs="Times New Roman"/>
          <w:bCs/>
          <w:szCs w:val="24"/>
          <w:lang w:val="en-US"/>
        </w:rPr>
      </w:pPr>
      <w:r w:rsidRPr="00051297">
        <w:rPr>
          <w:rFonts w:cs="Times New Roman"/>
          <w:bCs/>
          <w:szCs w:val="24"/>
          <w:lang w:val="en-US"/>
        </w:rPr>
        <w:t>After combining the Landsat images, they were then converted to the Universal Transverse Mercator (UTM) projection raster form by using the Project Raster tool in the Data Management tools and considering the study area's zone.</w:t>
      </w:r>
    </w:p>
    <w:p w14:paraId="06AE76C3" w14:textId="77777777" w:rsidR="00051297" w:rsidRPr="00051297" w:rsidRDefault="00051297" w:rsidP="00051297">
      <w:pPr>
        <w:numPr>
          <w:ilvl w:val="0"/>
          <w:numId w:val="34"/>
        </w:numPr>
        <w:tabs>
          <w:tab w:val="left" w:pos="993"/>
        </w:tabs>
        <w:ind w:left="0" w:firstLine="709"/>
        <w:contextualSpacing/>
        <w:rPr>
          <w:rFonts w:cs="Times New Roman"/>
          <w:bCs/>
          <w:szCs w:val="24"/>
        </w:rPr>
      </w:pPr>
      <w:r w:rsidRPr="00051297">
        <w:rPr>
          <w:rFonts w:cs="Times New Roman"/>
          <w:bCs/>
          <w:szCs w:val="24"/>
        </w:rPr>
        <w:t>Clipping landsat image</w:t>
      </w:r>
    </w:p>
    <w:p w14:paraId="6E0ED195" w14:textId="77777777" w:rsidR="00051297" w:rsidRPr="00051297" w:rsidRDefault="00051297" w:rsidP="00051297">
      <w:pPr>
        <w:tabs>
          <w:tab w:val="left" w:pos="993"/>
        </w:tabs>
        <w:rPr>
          <w:rFonts w:cs="Times New Roman"/>
          <w:bCs/>
          <w:szCs w:val="24"/>
          <w:lang w:val="en-US"/>
        </w:rPr>
      </w:pPr>
      <w:r w:rsidRPr="00051297">
        <w:rPr>
          <w:rFonts w:cs="Times New Roman"/>
          <w:bCs/>
          <w:szCs w:val="24"/>
          <w:lang w:val="en-US"/>
        </w:rPr>
        <w:t>Using the case study's shapefile, the projected Landsat image was trimmed to the size of the catchment.</w:t>
      </w:r>
    </w:p>
    <w:p w14:paraId="498B2A8E" w14:textId="77777777" w:rsidR="00051297" w:rsidRPr="00051297" w:rsidRDefault="00051297" w:rsidP="00051297">
      <w:pPr>
        <w:numPr>
          <w:ilvl w:val="0"/>
          <w:numId w:val="34"/>
        </w:numPr>
        <w:tabs>
          <w:tab w:val="left" w:pos="993"/>
        </w:tabs>
        <w:ind w:left="0" w:firstLine="709"/>
        <w:contextualSpacing/>
        <w:rPr>
          <w:rFonts w:cs="Times New Roman"/>
          <w:bCs/>
          <w:szCs w:val="24"/>
        </w:rPr>
      </w:pPr>
      <w:r w:rsidRPr="00051297">
        <w:rPr>
          <w:rFonts w:cs="Times New Roman"/>
          <w:bCs/>
          <w:szCs w:val="24"/>
        </w:rPr>
        <w:t xml:space="preserve">Band color arrangement </w:t>
      </w:r>
    </w:p>
    <w:p w14:paraId="7AEC52F0" w14:textId="77777777" w:rsidR="00051297" w:rsidRPr="00051297" w:rsidRDefault="00051297" w:rsidP="00051297">
      <w:pPr>
        <w:tabs>
          <w:tab w:val="left" w:pos="993"/>
        </w:tabs>
        <w:rPr>
          <w:rFonts w:cs="Times New Roman"/>
          <w:bCs/>
          <w:szCs w:val="24"/>
          <w:lang w:val="en-US"/>
        </w:rPr>
      </w:pPr>
      <w:r w:rsidRPr="00051297">
        <w:rPr>
          <w:rFonts w:cs="Times New Roman"/>
          <w:bCs/>
          <w:szCs w:val="24"/>
          <w:lang w:val="en-US"/>
        </w:rPr>
        <w:t>Individual bands composited in a 1,2,3 (Red, Green, and Blue (RGB)) combination were altered to a 5,4,2 RGB combination in order to present the data in color for accurate visualization of the Landsat image. The colors can be arranged in a variety of ways, but the 5,4,2 RGB combination was chosen for this investigation because it provides a better visual representation of the image for classification.</w:t>
      </w:r>
    </w:p>
    <w:p w14:paraId="5736BAB8" w14:textId="77777777" w:rsidR="00051297" w:rsidRPr="00051297" w:rsidRDefault="00051297" w:rsidP="00051297">
      <w:pPr>
        <w:numPr>
          <w:ilvl w:val="0"/>
          <w:numId w:val="34"/>
        </w:numPr>
        <w:tabs>
          <w:tab w:val="left" w:pos="993"/>
        </w:tabs>
        <w:ind w:left="0" w:firstLine="709"/>
        <w:contextualSpacing/>
        <w:rPr>
          <w:rFonts w:cs="Times New Roman"/>
          <w:bCs/>
          <w:szCs w:val="24"/>
        </w:rPr>
      </w:pPr>
      <w:r w:rsidRPr="00051297">
        <w:rPr>
          <w:rFonts w:cs="Times New Roman"/>
          <w:bCs/>
          <w:szCs w:val="24"/>
        </w:rPr>
        <w:t xml:space="preserve">The land use classification </w:t>
      </w:r>
      <w:r w:rsidRPr="00051297">
        <w:rPr>
          <w:rFonts w:cs="Times New Roman"/>
          <w:bCs/>
          <w:szCs w:val="24"/>
          <w:lang w:val="en-US"/>
        </w:rPr>
        <w:t>method</w:t>
      </w:r>
    </w:p>
    <w:p w14:paraId="69A616A8" w14:textId="77777777" w:rsidR="00051297" w:rsidRPr="00051297" w:rsidRDefault="00051297" w:rsidP="00051297">
      <w:pPr>
        <w:tabs>
          <w:tab w:val="left" w:pos="993"/>
        </w:tabs>
        <w:rPr>
          <w:rFonts w:cs="Times New Roman"/>
          <w:szCs w:val="24"/>
          <w:lang w:val="en-US"/>
        </w:rPr>
      </w:pPr>
      <w:r w:rsidRPr="00051297">
        <w:rPr>
          <w:rFonts w:cs="Times New Roman"/>
          <w:szCs w:val="24"/>
          <w:lang w:val="en-US"/>
        </w:rPr>
        <w:t xml:space="preserve">The Image Classification program was used to classify land use/land cover images using the Interactive Supervised Classification and Maximum Likelihood Classification methods. </w:t>
      </w:r>
    </w:p>
    <w:p w14:paraId="23C027DD" w14:textId="6ADE66CC" w:rsidR="00051297" w:rsidRPr="00051297" w:rsidRDefault="00051297" w:rsidP="00090C07">
      <w:pPr>
        <w:pStyle w:val="4"/>
        <w:rPr>
          <w:lang w:val="en-US"/>
        </w:rPr>
      </w:pPr>
      <w:bookmarkStart w:id="641" w:name="_Toc103543930"/>
      <w:bookmarkStart w:id="642" w:name="_Toc104985254"/>
      <w:r w:rsidRPr="00051297">
        <w:rPr>
          <w:lang w:val="en-US"/>
        </w:rPr>
        <w:t>Land use and land cover analysis results</w:t>
      </w:r>
      <w:bookmarkEnd w:id="641"/>
      <w:bookmarkEnd w:id="642"/>
    </w:p>
    <w:p w14:paraId="1DC6144A" w14:textId="3BD503E3" w:rsidR="00051297" w:rsidRPr="00051297" w:rsidRDefault="00051297" w:rsidP="00051297">
      <w:pPr>
        <w:spacing w:after="200"/>
        <w:contextualSpacing/>
        <w:rPr>
          <w:rFonts w:cs="Times New Roman"/>
          <w:szCs w:val="24"/>
          <w:lang w:val="en-US"/>
        </w:rPr>
      </w:pPr>
      <w:r w:rsidRPr="00051297">
        <w:rPr>
          <w:rFonts w:eastAsia="Calibri" w:cs="Times New Roman"/>
          <w:szCs w:val="24"/>
          <w:lang w:val="en-US"/>
        </w:rPr>
        <w:t xml:space="preserve">Land use and land cover change analysis is one of the most important approaches for understanding how the land has been used in the past, what types of detections can be expected in the future, and the underlying causes and processes that drive these changes </w:t>
      </w:r>
      <w:r w:rsidRPr="00051297">
        <w:rPr>
          <w:rFonts w:eastAsia="Calibri" w:cs="Times New Roman"/>
          <w:szCs w:val="24"/>
        </w:rPr>
        <w:fldChar w:fldCharType="begin" w:fldLock="1"/>
      </w:r>
      <w:r w:rsidR="0044426E">
        <w:rPr>
          <w:rFonts w:eastAsia="Calibri" w:cs="Times New Roman"/>
          <w:szCs w:val="24"/>
          <w:lang w:val="en-US"/>
        </w:rPr>
        <w:instrText>ADDIN CSL_CITATION {"citationItems":[{"id":"ITEM-1","itemData":{"DOI":"10.1007/s10708-019-10037-x","ISSN":"0343-2521","abstract":"Land use and land cover (LULC) change has been one of the most immense and perceptible transformations of the earth’s surface. Evaluating LULC change at varied spatial scales is imperative in wide range of perspectives such as environmental conservation, resource management, land use planning, and sustainable development. This work aims to examine the land use and land cover changes in the Kashmir valley between the time periods from 1992–2001–2015 using a set of compatible moderate resolution Landsat satellite imageries. Supervised approach with maximum likelihood classifier was adopted for the classification and generation of LULC maps for the selected time periods. Results reveal that there have been substantial changes in the land use and cover during the chosen time periods. In general, three land use and land cover change patterns were observed in the study area: (1) consistent increase of the area under marshy, built-up, barren, plantation, and shrubs; (2) continuous decrease in agriculture and water; (3) decrease (1992–2001) and increase (2001–2015) in forest and pasture classes. In terms of the area under each LULC category, most significant changes have been observed in agriculture (−), plantation (+), built-up (+), and water (−); however, with reference to percent change within each class, the maximum variability was recorded in built-up (198.45%), plantation (87.98%), pasture (− 71%), water (− 48%) and agriculture (− 28.85%). The massive land transformation is largely driven by anthropogenic actions and has been mostly adverse in nature, giving rise to multiple environmental issues in the ecologically sensitive Kashmir valley.","author":[{"dropping-particle":"","family":"Alam","given":"Akhtar","non-dropping-particle":"","parse-names":false,"suffix":""},{"dropping-particle":"","family":"Bhat","given":"M. Sultan","non-dropping-particle":"","parse-names":false,"suffix":""},{"dropping-particle":"","family":"Maheen","given":"M.","non-dropping-particle":"","parse-names":false,"suffix":""}],"container-title":"GeoJournal","id":"ITEM-1","issue":"6","issued":{"date-parts":[["2020","12"]]},"page":"1529-1543","title":"Using Landsat satellite data for assessing the land use and land cover change in Kashmir valley","type":"article-journal","volume":"85"},"uris":["http://www.mendeley.com/documents/?uuid=a5937189-71c2-48cf-8718-ba84ac6939aa","http://www.mendeley.com/documents/?uuid=9480b3f3-eb47-400f-bc67-3fed3fb55cec","http://www.mendeley.com/documents/?uuid=18965dd2-0c28-4519-b430-40d37ac3c0f8"]},{"id":"ITEM-2","itemData":{"DOI":"10.3390/su12093925","ISSN":"2071-1050","abstract":"Understanding land use and land cover changes has become a necessity in managing and monitoring natural resources and development especially urban planning. Remote sensing and geographical information systems are proven tools for assessing land use and land cover changes that help planners to advance sustainability. Our study used remote sensing and geographical information system to detect and predict land use and land cover changes in one of the world’s most vulnerable and rapidly growing city of Kathmandu in Nepal. We found that over a period of 20 years (from 1990 to 2010), the Kathmandu district has lost 9.28% of its forests, 9.80% of its agricultural land and 77% of its water bodies. Significant amounts of these losses have been absorbed by the expanding urbanized areas, which has gained 52.47% of land. Predictions of land use and land cover change trends for 2030 show worsening trends with forest, agriculture and water bodies to decrease by an additional 14.43%, 16.67% and 25.83%, respectively. The highest gain in 2030 is predicted for urbanized areas at 18.55%. Rapid urbanization—coupled with lack of proper planning and high rural-urban migration—is the key driver of these changes. These changes are associated with loss of ecosystem services which will negatively impact human wellbeing in the city. We recommend city planners to mainstream ecosystem-based adaptation and mitigation into urban plans supported by strong policy and funds.","author":[{"dropping-particle":"","family":"Wang","given":"Sonam Wangyel","non-dropping-particle":"","parse-names":false,"suffix":""},{"dropping-particle":"","family":"Gebru","given":"Belay Manjur","non-dropping-particle":"","parse-names":false,"suffix":""},{"dropping-particle":"","family":"Lamchin","given":"Munkhnasan","non-dropping-particle":"","parse-names":false,"suffix":""},{"dropping-particle":"","family":"Kayastha","given":"Rijan Bhakta","non-dropping-particle":"","parse-names":false,"suffix":""},{"dropping-particle":"","family":"Lee","given":"Woo-Kyun","non-dropping-particle":"","parse-names":false,"suffix":""}],"container-title":"Sustainability","id":"ITEM-2","issue":"9","issued":{"date-parts":[["2020","5"]]},"page":"3925","title":"Land Use and Land Cover Change Detection and Prediction in the Kathmandu District of Nepal Using Remote Sensing and GIS","type":"article-journal","volume":"12"},"uris":["http://www.mendeley.com/documents/?uuid=5e30cbc9-f938-4555-b2d7-9c47ccdfbeda","http://www.mendeley.com/documents/?uuid=187c1c01-c743-48c6-a1eb-e66637495e02","http://www.mendeley.com/documents/?uuid=c63e18d9-394b-465c-b0f3-4835097e69e9"]}],"mendeley":{"formattedCitation":"[257,258]","plainTextFormattedCitation":"[257,258]","previouslyFormattedCitation":"[257,258]"},"properties":{"noteIndex":0},"schema":"https://github.com/citation-style-language/schema/raw/master/csl-citation.json"}</w:instrText>
      </w:r>
      <w:r w:rsidRPr="00051297">
        <w:rPr>
          <w:rFonts w:eastAsia="Calibri" w:cs="Times New Roman"/>
          <w:szCs w:val="24"/>
        </w:rPr>
        <w:fldChar w:fldCharType="separate"/>
      </w:r>
      <w:r w:rsidR="00FA5896" w:rsidRPr="00FA5896">
        <w:rPr>
          <w:rFonts w:eastAsia="Calibri" w:cs="Times New Roman"/>
          <w:noProof/>
          <w:szCs w:val="24"/>
          <w:lang w:val="en-US"/>
        </w:rPr>
        <w:t>[257,258]</w:t>
      </w:r>
      <w:r w:rsidRPr="00051297">
        <w:rPr>
          <w:rFonts w:eastAsia="Calibri" w:cs="Times New Roman"/>
          <w:szCs w:val="24"/>
        </w:rPr>
        <w:fldChar w:fldCharType="end"/>
      </w:r>
      <w:r w:rsidRPr="00051297">
        <w:rPr>
          <w:rFonts w:eastAsia="Calibri" w:cs="Times New Roman"/>
          <w:szCs w:val="24"/>
          <w:lang w:val="en-US"/>
        </w:rPr>
        <w:t xml:space="preserve">. This study divided the land use and land cover change analysis process into four different years (1990, 1995, 2004, and 2011). As for DEM, the Landsat images used in this study </w:t>
      </w:r>
      <w:r w:rsidRPr="00051297">
        <w:rPr>
          <w:rFonts w:cs="Times New Roman"/>
          <w:szCs w:val="24"/>
          <w:lang w:val="en-US"/>
        </w:rPr>
        <w:t xml:space="preserve">were retrieved from the United States Geological Survey (USGS) official website </w:t>
      </w:r>
      <w:r w:rsidRPr="00051297">
        <w:rPr>
          <w:rFonts w:cs="Times New Roman"/>
          <w:szCs w:val="24"/>
        </w:rPr>
        <w:fldChar w:fldCharType="begin" w:fldLock="1"/>
      </w:r>
      <w:r w:rsidR="0044426E">
        <w:rPr>
          <w:rFonts w:cs="Times New Roman"/>
          <w:szCs w:val="24"/>
          <w:lang w:val="en-US"/>
        </w:rPr>
        <w:instrText>ADDIN CSL_CITATION {"citationItems":[{"id":"ITEM-1","itemData":{"author":[{"dropping-particle":"","family":"U.S. Department of the Interior","given":"","non-dropping-particle":"","parse-names":false,"suffix":""}],"container-title":"The United States Geological Survey","id":"ITEM-1","issued":{"date-parts":[["2019"]]},"title":"EarthExplorer","type":"webpage"},"uris":["http://www.mendeley.com/documents/?uuid=44f229f9-245b-4126-a271-f5d98c470b06","http://www.mendeley.com/documents/?uuid=1dc79dc4-ba45-4099-959e-094dd8cac108"]}],"mendeley":{"formattedCitation":"[256]","plainTextFormattedCitation":"[256]","previouslyFormattedCitation":"[256]"},"properties":{"noteIndex":0},"schema":"https://github.com/citation-style-language/schema/raw/master/csl-citation.json"}</w:instrText>
      </w:r>
      <w:r w:rsidRPr="00051297">
        <w:rPr>
          <w:rFonts w:cs="Times New Roman"/>
          <w:szCs w:val="24"/>
        </w:rPr>
        <w:fldChar w:fldCharType="separate"/>
      </w:r>
      <w:r w:rsidR="00FA5896" w:rsidRPr="00FA5896">
        <w:rPr>
          <w:rFonts w:cs="Times New Roman"/>
          <w:noProof/>
          <w:szCs w:val="24"/>
          <w:lang w:val="en-US"/>
        </w:rPr>
        <w:t>[256]</w:t>
      </w:r>
      <w:r w:rsidRPr="00051297">
        <w:rPr>
          <w:rFonts w:cs="Times New Roman"/>
          <w:szCs w:val="24"/>
        </w:rPr>
        <w:fldChar w:fldCharType="end"/>
      </w:r>
      <w:r w:rsidRPr="00051297">
        <w:rPr>
          <w:rFonts w:cs="Times New Roman"/>
          <w:szCs w:val="24"/>
          <w:lang w:val="en-US"/>
        </w:rPr>
        <w:t xml:space="preserve">. Following the land use and land cover change analysis, mainly six land use classes were identified: water, wetland, dense forest, developed low intensity, developed medium intensity, and developed high intensity. From </w:t>
      </w:r>
      <w:r w:rsidRPr="00051297">
        <w:rPr>
          <w:rFonts w:cs="Times New Roman"/>
          <w:szCs w:val="24"/>
          <w:lang w:val="en-US"/>
        </w:rPr>
        <w:fldChar w:fldCharType="begin"/>
      </w:r>
      <w:r w:rsidRPr="00051297">
        <w:rPr>
          <w:rFonts w:cs="Times New Roman"/>
          <w:szCs w:val="24"/>
          <w:lang w:val="en-US"/>
        </w:rPr>
        <w:instrText xml:space="preserve"> REF _Ref98104423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16</w:t>
      </w:r>
      <w:r w:rsidRPr="00051297">
        <w:rPr>
          <w:rFonts w:cs="Times New Roman"/>
          <w:szCs w:val="24"/>
          <w:lang w:val="en-US"/>
        </w:rPr>
        <w:fldChar w:fldCharType="end"/>
      </w:r>
      <w:r w:rsidRPr="00051297">
        <w:rPr>
          <w:rFonts w:cs="Times New Roman"/>
          <w:szCs w:val="24"/>
          <w:lang w:val="en-US"/>
        </w:rPr>
        <w:t xml:space="preserve">, it can be observed </w:t>
      </w:r>
      <w:bookmarkStart w:id="643" w:name="_Hlk98031088"/>
      <w:r w:rsidRPr="00051297">
        <w:rPr>
          <w:rFonts w:cs="Times New Roman"/>
          <w:szCs w:val="24"/>
          <w:lang w:val="en-US"/>
        </w:rPr>
        <w:t xml:space="preserve">that the largest part of the Ndembera catchment was covered by wetlands, with approximately 56.57% coverage. The high-intensity development can be observed to cover only approximately 0.86% of the total area. This suggests that in 1990 most of the catchment area was covered by more natural and less developed surfaces. </w:t>
      </w:r>
      <w:bookmarkEnd w:id="643"/>
      <w:r w:rsidRPr="00051297">
        <w:rPr>
          <w:rFonts w:cs="Times New Roman"/>
          <w:szCs w:val="24"/>
          <w:lang w:val="en-US"/>
        </w:rPr>
        <w:t xml:space="preserve">According to the study conducted by Akhtar </w:t>
      </w:r>
      <w:r w:rsidRPr="00051297">
        <w:rPr>
          <w:rFonts w:cs="Times New Roman"/>
          <w:i/>
          <w:iCs/>
          <w:szCs w:val="24"/>
          <w:lang w:val="en-US"/>
        </w:rPr>
        <w:t>et al.</w:t>
      </w:r>
      <w:r w:rsidRPr="00051297">
        <w:rPr>
          <w:rFonts w:cs="Times New Roman"/>
          <w:szCs w:val="24"/>
          <w:lang w:val="en-US"/>
        </w:rPr>
        <w:t xml:space="preserve"> </w:t>
      </w:r>
      <w:r w:rsidRPr="00051297">
        <w:rPr>
          <w:rFonts w:cs="Times New Roman"/>
          <w:szCs w:val="24"/>
        </w:rPr>
        <w:fldChar w:fldCharType="begin" w:fldLock="1"/>
      </w:r>
      <w:r w:rsidR="0044426E">
        <w:rPr>
          <w:rFonts w:cs="Times New Roman"/>
          <w:szCs w:val="24"/>
          <w:lang w:val="en-US"/>
        </w:rPr>
        <w:instrText>ADDIN CSL_CITATION {"citationItems":[{"id":"ITEM-1","itemData":{"DOI":"10.1007/s10708-019-10037-x","ISSN":"0343-2521","abstract":"Land use and land cover (LULC) change has been one of the most immense and perceptible transformations of the earth’s surface. Evaluating LULC change at varied spatial scales is imperative in wide range of perspectives such as environmental conservation, resource management, land use planning, and sustainable development. This work aims to examine the land use and land cover changes in the Kashmir valley between the time periods from 1992–2001–2015 using a set of compatible moderate resolution Landsat satellite imageries. Supervised approach with maximum likelihood classifier was adopted for the classification and generation of LULC maps for the selected time periods. Results reveal that there have been substantial changes in the land use and cover during the chosen time periods. In general, three land use and land cover change patterns were observed in the study area: (1) consistent increase of the area under marshy, built-up, barren, plantation, and shrubs; (2) continuous decrease in agriculture and water; (3) decrease (1992–2001) and increase (2001–2015) in forest and pasture classes. In terms of the area under each LULC category, most significant changes have been observed in agriculture (−), plantation (+), built-up (+), and water (−); however, with reference to percent change within each class, the maximum variability was recorded in built-up (198.45%), plantation (87.98%), pasture (− 71%), water (− 48%) and agriculture (− 28.85%). The massive land transformation is largely driven by anthropogenic actions and has been mostly adverse in nature, giving rise to multiple environmental issues in the ecologically sensitive Kashmir valley.","author":[{"dropping-particle":"","family":"Alam","given":"Akhtar","non-dropping-particle":"","parse-names":false,"suffix":""},{"dropping-particle":"","family":"Bhat","given":"M. Sultan","non-dropping-particle":"","parse-names":false,"suffix":""},{"dropping-particle":"","family":"Maheen","given":"M.","non-dropping-particle":"","parse-names":false,"suffix":""}],"container-title":"GeoJournal","id":"ITEM-1","issue":"6","issued":{"date-parts":[["2020","12"]]},"page":"1529-1543","title":"Using Landsat satellite data for assessing the land use and land cover change in Kashmir valley","type":"article-journal","volume":"85"},"uris":["http://www.mendeley.com/documents/?uuid=18965dd2-0c28-4519-b430-40d37ac3c0f8","http://www.mendeley.com/documents/?uuid=9480b3f3-eb47-400f-bc67-3fed3fb55cec"]}],"mendeley":{"formattedCitation":"[257]","plainTextFormattedCitation":"[257]","previouslyFormattedCitation":"[257]"},"properties":{"noteIndex":0},"schema":"https://github.com/citation-style-language/schema/raw/master/csl-citation.json"}</w:instrText>
      </w:r>
      <w:r w:rsidRPr="00051297">
        <w:rPr>
          <w:rFonts w:cs="Times New Roman"/>
          <w:szCs w:val="24"/>
        </w:rPr>
        <w:fldChar w:fldCharType="separate"/>
      </w:r>
      <w:r w:rsidR="00FA5896" w:rsidRPr="00FA5896">
        <w:rPr>
          <w:rFonts w:cs="Times New Roman"/>
          <w:noProof/>
          <w:szCs w:val="24"/>
          <w:lang w:val="en-US"/>
        </w:rPr>
        <w:t>[257]</w:t>
      </w:r>
      <w:r w:rsidRPr="00051297">
        <w:rPr>
          <w:rFonts w:cs="Times New Roman"/>
          <w:szCs w:val="24"/>
        </w:rPr>
        <w:fldChar w:fldCharType="end"/>
      </w:r>
      <w:r w:rsidRPr="00051297">
        <w:rPr>
          <w:rFonts w:cs="Times New Roman"/>
          <w:szCs w:val="24"/>
          <w:lang w:val="en-US"/>
        </w:rPr>
        <w:t xml:space="preserve">, Changes in land usage and land cover have been one of the most massive and </w:t>
      </w:r>
      <w:r w:rsidRPr="00051297">
        <w:rPr>
          <w:rFonts w:cs="Times New Roman"/>
          <w:szCs w:val="24"/>
          <w:lang w:val="en-US"/>
        </w:rPr>
        <w:lastRenderedPageBreak/>
        <w:t>apparent changes on the planet's surface, according to scientists. Evaluating LULC change at various geographical scales is crucial in a variety of situations, including environmental conservation.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gridCol w:w="3458"/>
      </w:tblGrid>
      <w:tr w:rsidR="00051297" w:rsidRPr="00051297" w14:paraId="7AD248C2" w14:textId="77777777" w:rsidTr="00F727E3">
        <w:trPr>
          <w:trHeight w:val="4556"/>
        </w:trPr>
        <w:tc>
          <w:tcPr>
            <w:tcW w:w="5886" w:type="dxa"/>
          </w:tcPr>
          <w:p w14:paraId="53052DE7" w14:textId="77777777" w:rsidR="00051297" w:rsidRPr="00051297" w:rsidRDefault="00051297" w:rsidP="00325C73">
            <w:pPr>
              <w:spacing w:line="240" w:lineRule="auto"/>
              <w:ind w:firstLine="0"/>
              <w:contextualSpacing/>
              <w:rPr>
                <w:szCs w:val="24"/>
              </w:rPr>
            </w:pPr>
            <w:r w:rsidRPr="00051297">
              <w:rPr>
                <w:noProof/>
                <w:szCs w:val="24"/>
              </w:rPr>
              <w:drawing>
                <wp:inline distT="0" distB="0" distL="0" distR="0" wp14:anchorId="1FCFD2DE" wp14:editId="07CC98F9">
                  <wp:extent cx="3600000" cy="2871538"/>
                  <wp:effectExtent l="0" t="0" r="635"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00000" cy="2871538"/>
                          </a:xfrm>
                          <a:prstGeom prst="rect">
                            <a:avLst/>
                          </a:prstGeom>
                          <a:noFill/>
                          <a:ln>
                            <a:noFill/>
                          </a:ln>
                        </pic:spPr>
                      </pic:pic>
                    </a:graphicData>
                  </a:graphic>
                </wp:inline>
              </w:drawing>
            </w:r>
          </w:p>
          <w:p w14:paraId="08BEDAA7" w14:textId="77777777" w:rsidR="00051297" w:rsidRPr="00051297" w:rsidRDefault="00051297" w:rsidP="00325C73">
            <w:pPr>
              <w:spacing w:line="240" w:lineRule="auto"/>
              <w:ind w:firstLine="0"/>
              <w:contextualSpacing/>
              <w:jc w:val="center"/>
              <w:rPr>
                <w:szCs w:val="24"/>
              </w:rPr>
            </w:pPr>
          </w:p>
        </w:tc>
        <w:tc>
          <w:tcPr>
            <w:tcW w:w="3458" w:type="dxa"/>
            <w:vAlign w:val="center"/>
          </w:tcPr>
          <w:p w14:paraId="1CD6E314" w14:textId="59006A80" w:rsidR="00051297" w:rsidRPr="00051297" w:rsidRDefault="008D0776" w:rsidP="00325C73">
            <w:pPr>
              <w:spacing w:line="240" w:lineRule="auto"/>
              <w:ind w:firstLine="0"/>
              <w:contextualSpacing/>
              <w:jc w:val="center"/>
              <w:rPr>
                <w:szCs w:val="24"/>
              </w:rPr>
            </w:pPr>
            <w:r>
              <w:rPr>
                <w:noProof/>
              </w:rPr>
              <w:drawing>
                <wp:inline distT="0" distB="0" distL="0" distR="0" wp14:anchorId="5FA389C8" wp14:editId="291E479D">
                  <wp:extent cx="1962150" cy="13525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62150" cy="1352550"/>
                          </a:xfrm>
                          <a:prstGeom prst="rect">
                            <a:avLst/>
                          </a:prstGeom>
                          <a:noFill/>
                          <a:ln>
                            <a:noFill/>
                          </a:ln>
                        </pic:spPr>
                      </pic:pic>
                    </a:graphicData>
                  </a:graphic>
                </wp:inline>
              </w:drawing>
            </w:r>
          </w:p>
        </w:tc>
      </w:tr>
      <w:tr w:rsidR="00325C73" w:rsidRPr="00051297" w14:paraId="75BC3DCD" w14:textId="77777777" w:rsidTr="00F727E3">
        <w:trPr>
          <w:trHeight w:val="283"/>
        </w:trPr>
        <w:tc>
          <w:tcPr>
            <w:tcW w:w="9344" w:type="dxa"/>
            <w:gridSpan w:val="2"/>
          </w:tcPr>
          <w:p w14:paraId="3240A9BB" w14:textId="2695C699" w:rsidR="00325C73" w:rsidRPr="00325C73" w:rsidRDefault="00325C73" w:rsidP="00325C73">
            <w:pPr>
              <w:spacing w:line="240" w:lineRule="auto"/>
              <w:ind w:firstLine="0"/>
              <w:contextualSpacing/>
              <w:jc w:val="center"/>
              <w:rPr>
                <w:noProof/>
                <w:lang w:val="en-US"/>
              </w:rPr>
            </w:pPr>
            <w:r>
              <w:rPr>
                <w:noProof/>
                <w:lang w:val="en-US"/>
              </w:rPr>
              <w:t>(a)</w:t>
            </w:r>
          </w:p>
        </w:tc>
      </w:tr>
      <w:tr w:rsidR="00051297" w:rsidRPr="00051297" w14:paraId="1E49D7CA" w14:textId="77777777" w:rsidTr="00F727E3">
        <w:tc>
          <w:tcPr>
            <w:tcW w:w="9344" w:type="dxa"/>
            <w:gridSpan w:val="2"/>
          </w:tcPr>
          <w:p w14:paraId="703E3A27" w14:textId="77777777" w:rsidR="00051297" w:rsidRPr="00051297" w:rsidRDefault="00051297" w:rsidP="00325C73">
            <w:pPr>
              <w:keepNext/>
              <w:spacing w:line="240" w:lineRule="auto"/>
              <w:ind w:firstLine="0"/>
              <w:contextualSpacing/>
              <w:jc w:val="center"/>
              <w:rPr>
                <w:szCs w:val="24"/>
              </w:rPr>
            </w:pPr>
            <w:r w:rsidRPr="00051297">
              <w:rPr>
                <w:noProof/>
                <w:szCs w:val="24"/>
              </w:rPr>
              <w:drawing>
                <wp:inline distT="0" distB="0" distL="0" distR="0" wp14:anchorId="75948A97" wp14:editId="09AE24FC">
                  <wp:extent cx="4895850" cy="3133725"/>
                  <wp:effectExtent l="0" t="0" r="0" b="0"/>
                  <wp:docPr id="26" name="Chart 26">
                    <a:extLst xmlns:a="http://schemas.openxmlformats.org/drawingml/2006/main">
                      <a:ext uri="{FF2B5EF4-FFF2-40B4-BE49-F238E27FC236}">
                        <a16:creationId xmlns:a16="http://schemas.microsoft.com/office/drawing/2014/main" id="{9D4126BD-A228-4E41-BF06-A467E27715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r w:rsidR="00325C73" w:rsidRPr="00051297" w14:paraId="4D15AF12" w14:textId="77777777" w:rsidTr="00F727E3">
        <w:tc>
          <w:tcPr>
            <w:tcW w:w="9344" w:type="dxa"/>
            <w:gridSpan w:val="2"/>
          </w:tcPr>
          <w:p w14:paraId="5DBD954E" w14:textId="22EC0606" w:rsidR="00325C73" w:rsidRPr="00325C73" w:rsidRDefault="00325C73" w:rsidP="00325C73">
            <w:pPr>
              <w:keepNext/>
              <w:spacing w:line="240" w:lineRule="auto"/>
              <w:ind w:firstLine="0"/>
              <w:contextualSpacing/>
              <w:jc w:val="center"/>
              <w:rPr>
                <w:noProof/>
                <w:szCs w:val="24"/>
                <w:lang w:val="en-US"/>
              </w:rPr>
            </w:pPr>
            <w:r>
              <w:rPr>
                <w:noProof/>
                <w:szCs w:val="24"/>
                <w:lang w:val="en-US"/>
              </w:rPr>
              <w:t>(b)</w:t>
            </w:r>
          </w:p>
        </w:tc>
      </w:tr>
    </w:tbl>
    <w:p w14:paraId="11E83056" w14:textId="62C9BE5A" w:rsidR="00051297" w:rsidRPr="00051297" w:rsidRDefault="00051297" w:rsidP="00051297">
      <w:pPr>
        <w:ind w:firstLine="0"/>
        <w:jc w:val="center"/>
        <w:rPr>
          <w:rFonts w:cs="Times New Roman"/>
          <w:szCs w:val="24"/>
          <w:lang w:val="en-US" w:bidi="en-US"/>
        </w:rPr>
      </w:pPr>
      <w:bookmarkStart w:id="644" w:name="_Ref98104423"/>
      <w:bookmarkStart w:id="645" w:name="_Toc97428230"/>
      <w:bookmarkStart w:id="646" w:name="_Toc98085905"/>
      <w:bookmarkStart w:id="647" w:name="_Toc103544102"/>
      <w:bookmarkStart w:id="648" w:name="_Toc104985425"/>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16</w:t>
      </w:r>
      <w:r w:rsidR="00527861">
        <w:rPr>
          <w:rFonts w:cs="Times New Roman"/>
          <w:szCs w:val="24"/>
          <w:lang w:val="en-US" w:bidi="en-US"/>
        </w:rPr>
        <w:fldChar w:fldCharType="end"/>
      </w:r>
      <w:bookmarkEnd w:id="644"/>
      <w:r w:rsidRPr="00051297">
        <w:rPr>
          <w:lang w:val="en-US"/>
        </w:rPr>
        <w:t xml:space="preserve"> </w:t>
      </w:r>
      <w:r w:rsidRPr="00051297">
        <w:rPr>
          <w:rFonts w:cs="Times New Roman"/>
          <w:szCs w:val="24"/>
          <w:lang w:val="en-US" w:bidi="en-US"/>
        </w:rPr>
        <w:t>– Land use and land cover analysis results from 1990</w:t>
      </w:r>
      <w:bookmarkEnd w:id="645"/>
      <w:bookmarkEnd w:id="646"/>
      <w:bookmarkEnd w:id="647"/>
      <w:r w:rsidR="00325C73">
        <w:rPr>
          <w:rFonts w:cs="Times New Roman"/>
          <w:szCs w:val="24"/>
          <w:lang w:val="en-US" w:bidi="en-US"/>
        </w:rPr>
        <w:t xml:space="preserve">: a) </w:t>
      </w:r>
      <w:r w:rsidR="00F727E3">
        <w:rPr>
          <w:rFonts w:cs="Times New Roman"/>
          <w:szCs w:val="24"/>
          <w:lang w:val="en-US" w:bidi="en-US"/>
        </w:rPr>
        <w:t>c</w:t>
      </w:r>
      <w:r w:rsidR="00325C73">
        <w:rPr>
          <w:rFonts w:cs="Times New Roman"/>
          <w:szCs w:val="24"/>
          <w:lang w:val="en-US" w:bidi="en-US"/>
        </w:rPr>
        <w:t xml:space="preserve">lassified land cover; b) </w:t>
      </w:r>
      <w:r w:rsidR="00F727E3">
        <w:rPr>
          <w:rFonts w:cs="Times New Roman"/>
          <w:szCs w:val="24"/>
          <w:lang w:val="en-US" w:bidi="en-US"/>
        </w:rPr>
        <w:t>g</w:t>
      </w:r>
      <w:r w:rsidR="00325C73">
        <w:rPr>
          <w:rFonts w:cs="Times New Roman"/>
          <w:szCs w:val="24"/>
          <w:lang w:val="en-US" w:bidi="en-US"/>
        </w:rPr>
        <w:t xml:space="preserve">raph of </w:t>
      </w:r>
      <w:r w:rsidR="00F727E3">
        <w:rPr>
          <w:rFonts w:cs="Times New Roman"/>
          <w:szCs w:val="24"/>
          <w:lang w:val="en-US" w:bidi="en-US"/>
        </w:rPr>
        <w:t>classified land cover</w:t>
      </w:r>
      <w:bookmarkEnd w:id="648"/>
    </w:p>
    <w:p w14:paraId="1392FF74" w14:textId="7866F42B" w:rsidR="00051297" w:rsidRPr="00051297" w:rsidRDefault="00051297" w:rsidP="00051297">
      <w:pPr>
        <w:spacing w:after="200"/>
        <w:contextualSpacing/>
        <w:rPr>
          <w:rFonts w:cs="Times New Roman"/>
          <w:szCs w:val="24"/>
          <w:lang w:val="en-US"/>
        </w:rPr>
      </w:pPr>
      <w:r w:rsidRPr="00051297">
        <w:rPr>
          <w:rFonts w:cs="Times New Roman"/>
          <w:szCs w:val="24"/>
          <w:lang w:val="en-US"/>
        </w:rPr>
        <w:fldChar w:fldCharType="begin"/>
      </w:r>
      <w:r w:rsidRPr="00051297">
        <w:rPr>
          <w:rFonts w:cs="Times New Roman"/>
          <w:szCs w:val="24"/>
          <w:lang w:val="en-US"/>
        </w:rPr>
        <w:instrText xml:space="preserve"> REF _Ref98104435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17</w:t>
      </w:r>
      <w:r w:rsidRPr="00051297">
        <w:rPr>
          <w:rFonts w:cs="Times New Roman"/>
          <w:szCs w:val="24"/>
          <w:lang w:val="en-US"/>
        </w:rPr>
        <w:fldChar w:fldCharType="end"/>
      </w:r>
      <w:r w:rsidRPr="00051297">
        <w:rPr>
          <w:rFonts w:cs="Times New Roman"/>
          <w:szCs w:val="24"/>
          <w:lang w:val="en-US"/>
        </w:rPr>
        <w:t xml:space="preserve"> shows that low-intensity development covered the vast majority of the Ndembera catchment, accounting for 45.44% of the total area. The high-intensity development can still be seen as being comparatively low, as it was in 1990. This implies that in 1995, the majority of the catchment area was covered by a more natural and less built surface. However, the percentage of area covered by wetlands has decreased from 56.57% in 1990 to 23.52% in 1995.</w:t>
      </w:r>
    </w:p>
    <w:p w14:paraId="095EBF10" w14:textId="77777777" w:rsidR="00051297" w:rsidRPr="00051297" w:rsidRDefault="00051297" w:rsidP="00051297">
      <w:pPr>
        <w:spacing w:after="200"/>
        <w:contextualSpacing/>
        <w:rPr>
          <w:rFonts w:eastAsia="Calibri" w:cs="Times New Roman"/>
          <w:szCs w:val="24"/>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35"/>
        <w:gridCol w:w="3219"/>
      </w:tblGrid>
      <w:tr w:rsidR="00051297" w:rsidRPr="00051297" w14:paraId="056520FA" w14:textId="77777777" w:rsidTr="00F727E3">
        <w:tc>
          <w:tcPr>
            <w:tcW w:w="6135" w:type="dxa"/>
          </w:tcPr>
          <w:p w14:paraId="331F3820" w14:textId="2E4C16AF" w:rsidR="00051297" w:rsidRPr="00051297" w:rsidRDefault="00051297" w:rsidP="00B858B8">
            <w:pPr>
              <w:spacing w:after="200"/>
              <w:ind w:firstLine="0"/>
              <w:contextualSpacing/>
              <w:rPr>
                <w:szCs w:val="24"/>
              </w:rPr>
            </w:pPr>
            <w:r w:rsidRPr="00051297">
              <w:rPr>
                <w:noProof/>
                <w:szCs w:val="24"/>
              </w:rPr>
              <w:drawing>
                <wp:inline distT="0" distB="0" distL="0" distR="0" wp14:anchorId="300D435B" wp14:editId="78CD8DF1">
                  <wp:extent cx="3862485" cy="3019425"/>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94467" cy="3044427"/>
                          </a:xfrm>
                          <a:prstGeom prst="rect">
                            <a:avLst/>
                          </a:prstGeom>
                          <a:noFill/>
                          <a:ln>
                            <a:noFill/>
                          </a:ln>
                        </pic:spPr>
                      </pic:pic>
                    </a:graphicData>
                  </a:graphic>
                </wp:inline>
              </w:drawing>
            </w:r>
          </w:p>
        </w:tc>
        <w:tc>
          <w:tcPr>
            <w:tcW w:w="3219" w:type="dxa"/>
            <w:vAlign w:val="center"/>
          </w:tcPr>
          <w:p w14:paraId="4FB8F393" w14:textId="02D2FE8E" w:rsidR="00051297" w:rsidRPr="00051297" w:rsidRDefault="00B858B8" w:rsidP="00051297">
            <w:pPr>
              <w:spacing w:after="200"/>
              <w:ind w:firstLine="0"/>
              <w:contextualSpacing/>
              <w:jc w:val="center"/>
              <w:rPr>
                <w:szCs w:val="24"/>
              </w:rPr>
            </w:pPr>
            <w:r>
              <w:rPr>
                <w:noProof/>
              </w:rPr>
              <w:drawing>
                <wp:inline distT="0" distB="0" distL="0" distR="0" wp14:anchorId="737C5058" wp14:editId="00CB51D0">
                  <wp:extent cx="1962150" cy="13525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62150" cy="1352550"/>
                          </a:xfrm>
                          <a:prstGeom prst="rect">
                            <a:avLst/>
                          </a:prstGeom>
                          <a:noFill/>
                          <a:ln>
                            <a:noFill/>
                          </a:ln>
                        </pic:spPr>
                      </pic:pic>
                    </a:graphicData>
                  </a:graphic>
                </wp:inline>
              </w:drawing>
            </w:r>
          </w:p>
        </w:tc>
      </w:tr>
      <w:tr w:rsidR="00F727E3" w:rsidRPr="00051297" w14:paraId="0352F512" w14:textId="77777777" w:rsidTr="00ED2522">
        <w:tc>
          <w:tcPr>
            <w:tcW w:w="9354" w:type="dxa"/>
            <w:gridSpan w:val="2"/>
          </w:tcPr>
          <w:p w14:paraId="585300CF" w14:textId="78736CE6" w:rsidR="00F727E3" w:rsidRPr="00F727E3" w:rsidRDefault="00F727E3" w:rsidP="00051297">
            <w:pPr>
              <w:spacing w:after="200"/>
              <w:ind w:firstLine="0"/>
              <w:contextualSpacing/>
              <w:jc w:val="center"/>
              <w:rPr>
                <w:noProof/>
                <w:lang w:val="en-US"/>
              </w:rPr>
            </w:pPr>
            <w:r>
              <w:rPr>
                <w:noProof/>
                <w:lang w:val="en-US"/>
              </w:rPr>
              <w:t>(a)</w:t>
            </w:r>
          </w:p>
        </w:tc>
      </w:tr>
      <w:tr w:rsidR="00051297" w:rsidRPr="00051297" w14:paraId="348ACC29" w14:textId="77777777" w:rsidTr="00F727E3">
        <w:tc>
          <w:tcPr>
            <w:tcW w:w="9354" w:type="dxa"/>
            <w:gridSpan w:val="2"/>
          </w:tcPr>
          <w:p w14:paraId="13AED0BE" w14:textId="77777777" w:rsidR="00051297" w:rsidRPr="00051297" w:rsidRDefault="00051297" w:rsidP="00051297">
            <w:pPr>
              <w:keepNext/>
              <w:spacing w:after="200"/>
              <w:contextualSpacing/>
              <w:jc w:val="center"/>
              <w:rPr>
                <w:szCs w:val="24"/>
              </w:rPr>
            </w:pPr>
            <w:r w:rsidRPr="00051297">
              <w:rPr>
                <w:noProof/>
                <w:szCs w:val="24"/>
              </w:rPr>
              <w:drawing>
                <wp:inline distT="0" distB="0" distL="0" distR="0" wp14:anchorId="6F3082E8" wp14:editId="130E4466">
                  <wp:extent cx="5457825" cy="3495675"/>
                  <wp:effectExtent l="0" t="0" r="0" b="0"/>
                  <wp:docPr id="27" name="Chart 27">
                    <a:extLst xmlns:a="http://schemas.openxmlformats.org/drawingml/2006/main">
                      <a:ext uri="{FF2B5EF4-FFF2-40B4-BE49-F238E27FC236}">
                        <a16:creationId xmlns:a16="http://schemas.microsoft.com/office/drawing/2014/main" id="{76491B4F-6C75-47F9-A270-10BE082BD2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r w:rsidR="00F727E3" w:rsidRPr="00051297" w14:paraId="6E5524F8" w14:textId="77777777" w:rsidTr="00F727E3">
        <w:tc>
          <w:tcPr>
            <w:tcW w:w="9354" w:type="dxa"/>
            <w:gridSpan w:val="2"/>
          </w:tcPr>
          <w:p w14:paraId="61434FB1" w14:textId="7C694B8F" w:rsidR="00F727E3" w:rsidRPr="00F727E3" w:rsidRDefault="00F727E3" w:rsidP="00051297">
            <w:pPr>
              <w:keepNext/>
              <w:spacing w:after="200"/>
              <w:contextualSpacing/>
              <w:jc w:val="center"/>
              <w:rPr>
                <w:noProof/>
                <w:szCs w:val="24"/>
                <w:lang w:val="en-US"/>
              </w:rPr>
            </w:pPr>
            <w:r>
              <w:rPr>
                <w:noProof/>
                <w:szCs w:val="24"/>
                <w:lang w:val="en-US"/>
              </w:rPr>
              <w:t>(b)</w:t>
            </w:r>
          </w:p>
        </w:tc>
      </w:tr>
    </w:tbl>
    <w:p w14:paraId="4BC71124" w14:textId="6C619B34" w:rsidR="00051297" w:rsidRPr="00051297" w:rsidRDefault="00051297" w:rsidP="00051297">
      <w:pPr>
        <w:ind w:firstLine="0"/>
        <w:jc w:val="center"/>
        <w:rPr>
          <w:rFonts w:cs="Times New Roman"/>
          <w:szCs w:val="24"/>
          <w:lang w:val="en-US" w:bidi="en-US"/>
        </w:rPr>
      </w:pPr>
      <w:bookmarkStart w:id="649" w:name="_Ref98104435"/>
      <w:bookmarkStart w:id="650" w:name="_Toc97428231"/>
      <w:bookmarkStart w:id="651" w:name="_Toc98085906"/>
      <w:bookmarkStart w:id="652" w:name="_Toc103544103"/>
      <w:bookmarkStart w:id="653" w:name="_Toc104985426"/>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17</w:t>
      </w:r>
      <w:r w:rsidR="00527861">
        <w:rPr>
          <w:rFonts w:cs="Times New Roman"/>
          <w:szCs w:val="24"/>
          <w:lang w:val="en-US" w:bidi="en-US"/>
        </w:rPr>
        <w:fldChar w:fldCharType="end"/>
      </w:r>
      <w:bookmarkEnd w:id="649"/>
      <w:r w:rsidRPr="00051297">
        <w:rPr>
          <w:lang w:val="en-US"/>
        </w:rPr>
        <w:t xml:space="preserve"> </w:t>
      </w:r>
      <w:r w:rsidRPr="00051297">
        <w:rPr>
          <w:rFonts w:cs="Times New Roman"/>
          <w:szCs w:val="24"/>
          <w:lang w:val="en-US" w:bidi="en-US"/>
        </w:rPr>
        <w:t>– Land use and land cover analysis results from 1995</w:t>
      </w:r>
      <w:bookmarkEnd w:id="650"/>
      <w:bookmarkEnd w:id="651"/>
      <w:bookmarkEnd w:id="652"/>
      <w:r w:rsidR="00F727E3">
        <w:rPr>
          <w:rFonts w:cs="Times New Roman"/>
          <w:szCs w:val="24"/>
          <w:lang w:val="en-US" w:bidi="en-US"/>
        </w:rPr>
        <w:t>: a) classified land cover; b) graph of classified land cover</w:t>
      </w:r>
      <w:bookmarkEnd w:id="653"/>
    </w:p>
    <w:p w14:paraId="2EE98086" w14:textId="0B20B378" w:rsidR="00051297" w:rsidRPr="00051297" w:rsidRDefault="00051297" w:rsidP="00051297">
      <w:pPr>
        <w:rPr>
          <w:rFonts w:cs="Times New Roman"/>
          <w:szCs w:val="24"/>
          <w:lang w:val="en-US"/>
        </w:rPr>
      </w:pPr>
      <w:r w:rsidRPr="00051297">
        <w:rPr>
          <w:rFonts w:cs="Times New Roman"/>
          <w:szCs w:val="24"/>
          <w:lang w:val="en-US"/>
        </w:rPr>
        <w:t xml:space="preserve">Also, Landsat images were collected for 2004 and successfully analyzed in terms of land use and land cover. From </w:t>
      </w:r>
      <w:r w:rsidRPr="00051297">
        <w:rPr>
          <w:rFonts w:cs="Times New Roman"/>
          <w:szCs w:val="24"/>
          <w:lang w:val="en-US"/>
        </w:rPr>
        <w:fldChar w:fldCharType="begin"/>
      </w:r>
      <w:r w:rsidRPr="00051297">
        <w:rPr>
          <w:rFonts w:cs="Times New Roman"/>
          <w:szCs w:val="24"/>
          <w:lang w:val="en-US"/>
        </w:rPr>
        <w:instrText xml:space="preserve"> REF _Ref98104447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18</w:t>
      </w:r>
      <w:r w:rsidRPr="00051297">
        <w:rPr>
          <w:rFonts w:cs="Times New Roman"/>
          <w:szCs w:val="24"/>
          <w:lang w:val="en-US"/>
        </w:rPr>
        <w:fldChar w:fldCharType="end"/>
      </w:r>
      <w:r w:rsidRPr="00051297">
        <w:rPr>
          <w:rFonts w:cs="Times New Roman"/>
          <w:szCs w:val="24"/>
          <w:lang w:val="en-US"/>
        </w:rPr>
        <w:t>, it can be observed that, despite the largest part of the catchment still being occupied by the low-intensity development, the coverage of high-intensity development increased a bit compared to 1995.</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80"/>
        <w:gridCol w:w="3374"/>
      </w:tblGrid>
      <w:tr w:rsidR="00B858B8" w:rsidRPr="00051297" w14:paraId="1EB716F4" w14:textId="77777777" w:rsidTr="00F727E3">
        <w:trPr>
          <w:trHeight w:val="4539"/>
        </w:trPr>
        <w:tc>
          <w:tcPr>
            <w:tcW w:w="5980" w:type="dxa"/>
          </w:tcPr>
          <w:p w14:paraId="4EF4647A" w14:textId="77777777" w:rsidR="00051297" w:rsidRPr="00051297" w:rsidRDefault="00051297" w:rsidP="00F727E3">
            <w:pPr>
              <w:spacing w:line="240" w:lineRule="auto"/>
              <w:ind w:firstLine="0"/>
              <w:contextualSpacing/>
              <w:jc w:val="center"/>
              <w:rPr>
                <w:szCs w:val="24"/>
              </w:rPr>
            </w:pPr>
            <w:r w:rsidRPr="00051297">
              <w:rPr>
                <w:noProof/>
                <w:szCs w:val="24"/>
              </w:rPr>
              <w:lastRenderedPageBreak/>
              <w:drawing>
                <wp:inline distT="0" distB="0" distL="0" distR="0" wp14:anchorId="2A2694E3" wp14:editId="2562BA80">
                  <wp:extent cx="3628429" cy="29527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84875" cy="2998684"/>
                          </a:xfrm>
                          <a:prstGeom prst="rect">
                            <a:avLst/>
                          </a:prstGeom>
                          <a:noFill/>
                          <a:ln>
                            <a:noFill/>
                          </a:ln>
                        </pic:spPr>
                      </pic:pic>
                    </a:graphicData>
                  </a:graphic>
                </wp:inline>
              </w:drawing>
            </w:r>
          </w:p>
        </w:tc>
        <w:tc>
          <w:tcPr>
            <w:tcW w:w="3374" w:type="dxa"/>
            <w:vAlign w:val="center"/>
          </w:tcPr>
          <w:p w14:paraId="10BF8752" w14:textId="27280ABB" w:rsidR="00051297" w:rsidRPr="00051297" w:rsidRDefault="00B858B8" w:rsidP="00F727E3">
            <w:pPr>
              <w:spacing w:line="240" w:lineRule="auto"/>
              <w:ind w:firstLine="0"/>
              <w:contextualSpacing/>
              <w:rPr>
                <w:szCs w:val="24"/>
              </w:rPr>
            </w:pPr>
            <w:r>
              <w:rPr>
                <w:noProof/>
              </w:rPr>
              <w:drawing>
                <wp:inline distT="0" distB="0" distL="0" distR="0" wp14:anchorId="463079D5" wp14:editId="57997D61">
                  <wp:extent cx="1962150" cy="13525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62150" cy="1352550"/>
                          </a:xfrm>
                          <a:prstGeom prst="rect">
                            <a:avLst/>
                          </a:prstGeom>
                          <a:noFill/>
                          <a:ln>
                            <a:noFill/>
                          </a:ln>
                        </pic:spPr>
                      </pic:pic>
                    </a:graphicData>
                  </a:graphic>
                </wp:inline>
              </w:drawing>
            </w:r>
          </w:p>
        </w:tc>
      </w:tr>
      <w:tr w:rsidR="00F727E3" w:rsidRPr="00051297" w14:paraId="5EB27F4C" w14:textId="77777777" w:rsidTr="00F727E3">
        <w:trPr>
          <w:trHeight w:val="340"/>
        </w:trPr>
        <w:tc>
          <w:tcPr>
            <w:tcW w:w="9354" w:type="dxa"/>
            <w:gridSpan w:val="2"/>
          </w:tcPr>
          <w:p w14:paraId="63C3842C" w14:textId="4DA77815" w:rsidR="00F727E3" w:rsidRDefault="00F727E3" w:rsidP="00F727E3">
            <w:pPr>
              <w:spacing w:line="240" w:lineRule="auto"/>
              <w:ind w:firstLine="0"/>
              <w:contextualSpacing/>
              <w:jc w:val="center"/>
              <w:rPr>
                <w:noProof/>
              </w:rPr>
            </w:pPr>
            <w:r>
              <w:rPr>
                <w:noProof/>
                <w:szCs w:val="24"/>
                <w:lang w:val="en-US"/>
              </w:rPr>
              <w:t>(a)</w:t>
            </w:r>
          </w:p>
        </w:tc>
      </w:tr>
      <w:tr w:rsidR="00051297" w:rsidRPr="00051297" w14:paraId="014950D7" w14:textId="77777777" w:rsidTr="00F727E3">
        <w:tc>
          <w:tcPr>
            <w:tcW w:w="9354" w:type="dxa"/>
            <w:gridSpan w:val="2"/>
          </w:tcPr>
          <w:p w14:paraId="70F85106" w14:textId="77777777" w:rsidR="00051297" w:rsidRPr="00051297" w:rsidRDefault="00051297" w:rsidP="00F727E3">
            <w:pPr>
              <w:keepNext/>
              <w:spacing w:line="240" w:lineRule="auto"/>
              <w:ind w:firstLine="0"/>
              <w:contextualSpacing/>
              <w:jc w:val="center"/>
              <w:rPr>
                <w:szCs w:val="24"/>
              </w:rPr>
            </w:pPr>
            <w:r w:rsidRPr="00051297">
              <w:rPr>
                <w:noProof/>
                <w:szCs w:val="24"/>
              </w:rPr>
              <w:drawing>
                <wp:inline distT="0" distB="0" distL="0" distR="0" wp14:anchorId="4F507053" wp14:editId="366BCF43">
                  <wp:extent cx="5372100" cy="3371850"/>
                  <wp:effectExtent l="0" t="0" r="0" b="0"/>
                  <wp:docPr id="28" name="Chart 28">
                    <a:extLst xmlns:a="http://schemas.openxmlformats.org/drawingml/2006/main">
                      <a:ext uri="{FF2B5EF4-FFF2-40B4-BE49-F238E27FC236}">
                        <a16:creationId xmlns:a16="http://schemas.microsoft.com/office/drawing/2014/main" id="{90E01263-77D2-497C-8461-F07DF8DC87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r>
      <w:tr w:rsidR="00F727E3" w:rsidRPr="00051297" w14:paraId="7E5E9C21" w14:textId="77777777" w:rsidTr="00F727E3">
        <w:tc>
          <w:tcPr>
            <w:tcW w:w="9354" w:type="dxa"/>
            <w:gridSpan w:val="2"/>
          </w:tcPr>
          <w:p w14:paraId="2A0E36F2" w14:textId="2CFC78CE" w:rsidR="00F727E3" w:rsidRPr="00F727E3" w:rsidRDefault="00F727E3" w:rsidP="00F727E3">
            <w:pPr>
              <w:keepNext/>
              <w:spacing w:line="240" w:lineRule="auto"/>
              <w:ind w:firstLine="0"/>
              <w:contextualSpacing/>
              <w:jc w:val="center"/>
              <w:rPr>
                <w:noProof/>
                <w:szCs w:val="24"/>
                <w:lang w:val="en-US"/>
              </w:rPr>
            </w:pPr>
            <w:r>
              <w:rPr>
                <w:noProof/>
                <w:szCs w:val="24"/>
                <w:lang w:val="en-US"/>
              </w:rPr>
              <w:t>(b)</w:t>
            </w:r>
          </w:p>
        </w:tc>
      </w:tr>
    </w:tbl>
    <w:p w14:paraId="74AEECBE" w14:textId="1863B35B" w:rsidR="00051297" w:rsidRPr="00051297" w:rsidRDefault="00051297" w:rsidP="00051297">
      <w:pPr>
        <w:ind w:firstLine="0"/>
        <w:jc w:val="center"/>
        <w:rPr>
          <w:rFonts w:cs="Times New Roman"/>
          <w:szCs w:val="24"/>
          <w:lang w:val="en-US" w:bidi="en-US"/>
        </w:rPr>
      </w:pPr>
      <w:bookmarkStart w:id="654" w:name="_Ref98104447"/>
      <w:bookmarkStart w:id="655" w:name="_Toc97428232"/>
      <w:bookmarkStart w:id="656" w:name="_Toc98085907"/>
      <w:bookmarkStart w:id="657" w:name="_Toc103544104"/>
      <w:bookmarkStart w:id="658" w:name="_Toc104985427"/>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18</w:t>
      </w:r>
      <w:r w:rsidR="00527861">
        <w:rPr>
          <w:rFonts w:cs="Times New Roman"/>
          <w:szCs w:val="24"/>
          <w:lang w:val="en-US" w:bidi="en-US"/>
        </w:rPr>
        <w:fldChar w:fldCharType="end"/>
      </w:r>
      <w:bookmarkEnd w:id="654"/>
      <w:r w:rsidRPr="00051297">
        <w:rPr>
          <w:lang w:val="en-US"/>
        </w:rPr>
        <w:t xml:space="preserve"> </w:t>
      </w:r>
      <w:r w:rsidRPr="00051297">
        <w:rPr>
          <w:rFonts w:cs="Times New Roman"/>
          <w:szCs w:val="24"/>
          <w:lang w:val="en-US" w:bidi="en-US"/>
        </w:rPr>
        <w:t>– Land use and land cover analysis results from 2004</w:t>
      </w:r>
      <w:bookmarkEnd w:id="655"/>
      <w:bookmarkEnd w:id="656"/>
      <w:bookmarkEnd w:id="657"/>
      <w:r w:rsidR="00F727E3">
        <w:rPr>
          <w:rFonts w:cs="Times New Roman"/>
          <w:szCs w:val="24"/>
          <w:lang w:val="en-US" w:bidi="en-US"/>
        </w:rPr>
        <w:t>: a) classified land cover; b) graph of classified land cover</w:t>
      </w:r>
      <w:bookmarkEnd w:id="658"/>
    </w:p>
    <w:p w14:paraId="75BD2E68" w14:textId="39823D90" w:rsidR="00051297" w:rsidRPr="00051297" w:rsidRDefault="00051297" w:rsidP="00051297">
      <w:pPr>
        <w:rPr>
          <w:rFonts w:cs="Times New Roman"/>
          <w:szCs w:val="24"/>
          <w:lang w:val="en-US"/>
        </w:rPr>
      </w:pPr>
      <w:bookmarkStart w:id="659" w:name="_Hlk98031144"/>
      <w:r w:rsidRPr="00051297">
        <w:rPr>
          <w:rFonts w:cs="Times New Roman"/>
          <w:szCs w:val="24"/>
          <w:lang w:val="en-US"/>
        </w:rPr>
        <w:t xml:space="preserve">Moreover, Landsat images from 2011 were also retrieved and analyzed for land use and land cover. From </w:t>
      </w:r>
      <w:r w:rsidRPr="00051297">
        <w:rPr>
          <w:rFonts w:cs="Times New Roman"/>
          <w:szCs w:val="24"/>
          <w:lang w:val="en-US"/>
        </w:rPr>
        <w:fldChar w:fldCharType="begin"/>
      </w:r>
      <w:r w:rsidRPr="00051297">
        <w:rPr>
          <w:rFonts w:cs="Times New Roman"/>
          <w:szCs w:val="24"/>
          <w:lang w:val="en-US"/>
        </w:rPr>
        <w:instrText xml:space="preserve"> REF _Ref98104459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19</w:t>
      </w:r>
      <w:r w:rsidRPr="00051297">
        <w:rPr>
          <w:rFonts w:cs="Times New Roman"/>
          <w:szCs w:val="24"/>
          <w:lang w:val="en-US"/>
        </w:rPr>
        <w:fldChar w:fldCharType="end"/>
      </w:r>
      <w:r w:rsidRPr="00051297">
        <w:rPr>
          <w:rFonts w:cs="Times New Roman"/>
          <w:szCs w:val="24"/>
          <w:lang w:val="en-US"/>
        </w:rPr>
        <w:t xml:space="preserve">, it can be observed that there is a significant change in terms of land surface cover as compared to the one in 2004. The medium intensity development has significantly increased to approximately 54.71% within seven years compared to 25.91% in 2004. </w:t>
      </w:r>
      <w:bookmarkEnd w:id="659"/>
      <w:r w:rsidRPr="00051297">
        <w:rPr>
          <w:rFonts w:cs="Times New Roman"/>
          <w:szCs w:val="24"/>
          <w:lang w:val="en-US"/>
        </w:rPr>
        <w:t xml:space="preserve">The literature highlights that environmental elements such as soil composition, climate, topography, and vegetation limit land use </w:t>
      </w:r>
      <w:r w:rsidRPr="00051297">
        <w:rPr>
          <w:rFonts w:cs="Times New Roman"/>
          <w:szCs w:val="24"/>
        </w:rPr>
        <w:fldChar w:fldCharType="begin" w:fldLock="1"/>
      </w:r>
      <w:r w:rsidR="0044426E">
        <w:rPr>
          <w:rFonts w:cs="Times New Roman"/>
          <w:szCs w:val="24"/>
          <w:lang w:val="en-US"/>
        </w:rPr>
        <w:instrText>ADDIN CSL_CITATION {"citationItems":[{"id":"ITEM-1","itemData":{"DOI":"10.1007/s10708-019-10103-4","ISSN":"0343-2521","abstract":"This study demonstrated the use of fuzzy logic approach in mapping land limitations for agricultural land use planning using publicly available data for the province of Marinduque, Philippines. The paper focused only on the two major crops in the province, coconut, and banana. Based on the results, slope is the major factor limiting the production of these two crops. Slope is identified as a limitation in approximately 80% and 18% of the agricultural land of the province for coconut and banana production, respectively. Other land limitations for coconut production in the province include rainfall, soil, and combination of these factors with slope. In the case of banana, soil and combination of this factor with slope were identified as land limitations.","author":[{"dropping-particle":"","family":"Salvacion","given":"Arnold R.","non-dropping-particle":"","parse-names":false,"suffix":""}],"container-title":"GeoJournal","id":"ITEM-1","issue":"2","issued":{"date-parts":[["2021","4"]]},"page":"915-925","title":"Mapping land limitations for agricultural land use planning using fuzzy logic approach: a case study for Marinduque Island, Philippines","type":"article-journal","volume":"86"},"uris":["http://www.mendeley.com/documents/?uuid=69f7ec79-b7bc-4b51-a967-20211d0b8589","http://www.mendeley.com/documents/?uuid=81279158-ebd4-4056-8176-21ff047a9ab2","http://www.mendeley.com/documents/?uuid=fb653016-2203-4b2b-a25e-eb210099f662"]}],"mendeley":{"formattedCitation":"[259]","plainTextFormattedCitation":"[259]","previouslyFormattedCitation":"[259]"},"properties":{"noteIndex":0},"schema":"https://github.com/citation-style-language/schema/raw/master/csl-citation.json"}</w:instrText>
      </w:r>
      <w:r w:rsidRPr="00051297">
        <w:rPr>
          <w:rFonts w:cs="Times New Roman"/>
          <w:szCs w:val="24"/>
        </w:rPr>
        <w:fldChar w:fldCharType="separate"/>
      </w:r>
      <w:r w:rsidR="00FA5896" w:rsidRPr="00FA5896">
        <w:rPr>
          <w:rFonts w:cs="Times New Roman"/>
          <w:noProof/>
          <w:szCs w:val="24"/>
          <w:lang w:val="en-US"/>
        </w:rPr>
        <w:t>[259]</w:t>
      </w:r>
      <w:r w:rsidRPr="00051297">
        <w:rPr>
          <w:rFonts w:cs="Times New Roman"/>
          <w:szCs w:val="24"/>
        </w:rPr>
        <w:fldChar w:fldCharType="end"/>
      </w:r>
      <w:r w:rsidRPr="00051297">
        <w:rPr>
          <w:rFonts w:cs="Times New Roman"/>
          <w:szCs w:val="24"/>
          <w:lang w:val="en-US"/>
        </w:rPr>
        <w:t>. The proximate sources of change are human activities that make use of land cover features and hence change or sustain them.</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54"/>
        <w:gridCol w:w="3900"/>
      </w:tblGrid>
      <w:tr w:rsidR="00051297" w:rsidRPr="00051297" w14:paraId="3580A664" w14:textId="77777777" w:rsidTr="00F727E3">
        <w:tc>
          <w:tcPr>
            <w:tcW w:w="5448" w:type="dxa"/>
          </w:tcPr>
          <w:p w14:paraId="75AA3B0C" w14:textId="77777777" w:rsidR="00051297" w:rsidRPr="00051297" w:rsidRDefault="00051297" w:rsidP="00051297">
            <w:pPr>
              <w:spacing w:after="200"/>
              <w:ind w:firstLine="0"/>
              <w:contextualSpacing/>
              <w:rPr>
                <w:szCs w:val="24"/>
              </w:rPr>
            </w:pPr>
            <w:r w:rsidRPr="00051297">
              <w:rPr>
                <w:noProof/>
                <w:szCs w:val="24"/>
              </w:rPr>
              <w:lastRenderedPageBreak/>
              <w:drawing>
                <wp:inline distT="0" distB="0" distL="0" distR="0" wp14:anchorId="6C557F59" wp14:editId="60FB1767">
                  <wp:extent cx="3457509" cy="28613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04269" cy="2900007"/>
                          </a:xfrm>
                          <a:prstGeom prst="rect">
                            <a:avLst/>
                          </a:prstGeom>
                          <a:noFill/>
                          <a:ln>
                            <a:noFill/>
                          </a:ln>
                        </pic:spPr>
                      </pic:pic>
                    </a:graphicData>
                  </a:graphic>
                </wp:inline>
              </w:drawing>
            </w:r>
          </w:p>
        </w:tc>
        <w:tc>
          <w:tcPr>
            <w:tcW w:w="3896" w:type="dxa"/>
            <w:vAlign w:val="center"/>
          </w:tcPr>
          <w:p w14:paraId="1EA83186" w14:textId="4706A645" w:rsidR="00051297" w:rsidRPr="00051297" w:rsidRDefault="000E26B3" w:rsidP="000E26B3">
            <w:pPr>
              <w:spacing w:after="200"/>
              <w:contextualSpacing/>
              <w:jc w:val="right"/>
              <w:rPr>
                <w:szCs w:val="24"/>
              </w:rPr>
            </w:pPr>
            <w:r>
              <w:rPr>
                <w:noProof/>
              </w:rPr>
              <w:drawing>
                <wp:inline distT="0" distB="0" distL="0" distR="0" wp14:anchorId="5B3B1122" wp14:editId="1BBDB0FF">
                  <wp:extent cx="1971675" cy="11239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71675" cy="1123950"/>
                          </a:xfrm>
                          <a:prstGeom prst="rect">
                            <a:avLst/>
                          </a:prstGeom>
                          <a:noFill/>
                          <a:ln>
                            <a:noFill/>
                          </a:ln>
                        </pic:spPr>
                      </pic:pic>
                    </a:graphicData>
                  </a:graphic>
                </wp:inline>
              </w:drawing>
            </w:r>
          </w:p>
        </w:tc>
      </w:tr>
      <w:tr w:rsidR="00F727E3" w:rsidRPr="00051297" w14:paraId="26D1EF0C" w14:textId="77777777" w:rsidTr="00F727E3">
        <w:tc>
          <w:tcPr>
            <w:tcW w:w="9344" w:type="dxa"/>
            <w:gridSpan w:val="2"/>
          </w:tcPr>
          <w:p w14:paraId="25E394D8" w14:textId="3EAFB180" w:rsidR="00F727E3" w:rsidRPr="00F727E3" w:rsidRDefault="00F727E3" w:rsidP="00F727E3">
            <w:pPr>
              <w:spacing w:after="200"/>
              <w:ind w:firstLine="34"/>
              <w:contextualSpacing/>
              <w:jc w:val="center"/>
              <w:rPr>
                <w:noProof/>
                <w:lang w:val="en-US"/>
              </w:rPr>
            </w:pPr>
            <w:r>
              <w:rPr>
                <w:noProof/>
                <w:lang w:val="en-US"/>
              </w:rPr>
              <w:t>(a)</w:t>
            </w:r>
          </w:p>
        </w:tc>
      </w:tr>
      <w:tr w:rsidR="00051297" w:rsidRPr="00051297" w14:paraId="6A035421" w14:textId="77777777" w:rsidTr="00F727E3">
        <w:tc>
          <w:tcPr>
            <w:tcW w:w="9344" w:type="dxa"/>
            <w:gridSpan w:val="2"/>
          </w:tcPr>
          <w:p w14:paraId="237C1376" w14:textId="77777777" w:rsidR="00051297" w:rsidRPr="00051297" w:rsidRDefault="00051297" w:rsidP="00051297">
            <w:pPr>
              <w:keepNext/>
              <w:spacing w:after="200"/>
              <w:contextualSpacing/>
              <w:jc w:val="center"/>
              <w:rPr>
                <w:szCs w:val="24"/>
              </w:rPr>
            </w:pPr>
            <w:r w:rsidRPr="00051297">
              <w:rPr>
                <w:noProof/>
                <w:szCs w:val="24"/>
              </w:rPr>
              <w:drawing>
                <wp:inline distT="0" distB="0" distL="0" distR="0" wp14:anchorId="36A3F03C" wp14:editId="5ECBA09D">
                  <wp:extent cx="5342890" cy="2720340"/>
                  <wp:effectExtent l="0" t="0" r="0" b="3810"/>
                  <wp:docPr id="29" name="Chart 29">
                    <a:extLst xmlns:a="http://schemas.openxmlformats.org/drawingml/2006/main">
                      <a:ext uri="{FF2B5EF4-FFF2-40B4-BE49-F238E27FC236}">
                        <a16:creationId xmlns:a16="http://schemas.microsoft.com/office/drawing/2014/main" id="{1A352CFA-6E0C-4947-AB94-8FE430396B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F727E3" w:rsidRPr="00051297" w14:paraId="55444628" w14:textId="77777777" w:rsidTr="00F727E3">
        <w:tc>
          <w:tcPr>
            <w:tcW w:w="9344" w:type="dxa"/>
            <w:gridSpan w:val="2"/>
          </w:tcPr>
          <w:p w14:paraId="7A421C4A" w14:textId="2F469358" w:rsidR="00F727E3" w:rsidRPr="00F727E3" w:rsidRDefault="00F727E3" w:rsidP="00051297">
            <w:pPr>
              <w:keepNext/>
              <w:spacing w:after="200"/>
              <w:contextualSpacing/>
              <w:jc w:val="center"/>
              <w:rPr>
                <w:noProof/>
                <w:szCs w:val="24"/>
                <w:lang w:val="en-US"/>
              </w:rPr>
            </w:pPr>
            <w:r>
              <w:rPr>
                <w:noProof/>
                <w:szCs w:val="24"/>
                <w:lang w:val="en-US"/>
              </w:rPr>
              <w:t>(b)</w:t>
            </w:r>
          </w:p>
        </w:tc>
      </w:tr>
    </w:tbl>
    <w:p w14:paraId="1CBF7405" w14:textId="2A1E85BE" w:rsidR="00051297" w:rsidRPr="00051297" w:rsidRDefault="00051297" w:rsidP="00051297">
      <w:pPr>
        <w:ind w:firstLine="0"/>
        <w:jc w:val="center"/>
        <w:rPr>
          <w:rFonts w:cs="Times New Roman"/>
          <w:szCs w:val="24"/>
          <w:lang w:val="en-US" w:bidi="en-US"/>
        </w:rPr>
      </w:pPr>
      <w:bookmarkStart w:id="660" w:name="_Ref98104459"/>
      <w:bookmarkStart w:id="661" w:name="_Toc97428233"/>
      <w:bookmarkStart w:id="662" w:name="_Toc98085908"/>
      <w:bookmarkStart w:id="663" w:name="_Toc103544105"/>
      <w:bookmarkStart w:id="664" w:name="_Toc104985428"/>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19</w:t>
      </w:r>
      <w:r w:rsidR="00527861">
        <w:rPr>
          <w:rFonts w:cs="Times New Roman"/>
          <w:szCs w:val="24"/>
          <w:lang w:val="en-US" w:bidi="en-US"/>
        </w:rPr>
        <w:fldChar w:fldCharType="end"/>
      </w:r>
      <w:bookmarkEnd w:id="660"/>
      <w:r w:rsidRPr="00051297">
        <w:rPr>
          <w:lang w:val="en-US"/>
        </w:rPr>
        <w:t xml:space="preserve"> </w:t>
      </w:r>
      <w:r w:rsidRPr="00051297">
        <w:rPr>
          <w:rFonts w:cs="Times New Roman"/>
          <w:szCs w:val="24"/>
          <w:lang w:val="en-US" w:bidi="en-US"/>
        </w:rPr>
        <w:t>– Land use and land cover analysis results from 2011</w:t>
      </w:r>
      <w:bookmarkEnd w:id="661"/>
      <w:bookmarkEnd w:id="662"/>
      <w:bookmarkEnd w:id="663"/>
      <w:r w:rsidR="00F727E3">
        <w:rPr>
          <w:rFonts w:cs="Times New Roman"/>
          <w:szCs w:val="24"/>
          <w:lang w:val="en-US" w:bidi="en-US"/>
        </w:rPr>
        <w:t>: a) classified land cover; b) graph of classified land cover</w:t>
      </w:r>
      <w:bookmarkEnd w:id="664"/>
    </w:p>
    <w:p w14:paraId="77D2AB38" w14:textId="54FC7813" w:rsidR="00051297" w:rsidRPr="00051297" w:rsidRDefault="00051297" w:rsidP="00090C07">
      <w:pPr>
        <w:pStyle w:val="5"/>
        <w:rPr>
          <w:lang w:val="en-US"/>
        </w:rPr>
      </w:pPr>
      <w:bookmarkStart w:id="665" w:name="_Toc521024772"/>
      <w:bookmarkStart w:id="666" w:name="_Toc524780689"/>
      <w:bookmarkStart w:id="667" w:name="_Toc97504795"/>
      <w:bookmarkStart w:id="668" w:name="_Toc103543931"/>
      <w:bookmarkStart w:id="669" w:name="_Toc104985255"/>
      <w:r w:rsidRPr="00051297">
        <w:rPr>
          <w:lang w:val="en-US"/>
        </w:rPr>
        <w:t>Preparing Soil Data for CN Grid</w:t>
      </w:r>
      <w:bookmarkEnd w:id="665"/>
      <w:bookmarkEnd w:id="666"/>
      <w:bookmarkEnd w:id="667"/>
      <w:bookmarkEnd w:id="668"/>
      <w:bookmarkEnd w:id="669"/>
    </w:p>
    <w:p w14:paraId="67FF8784" w14:textId="77777777" w:rsidR="00051297" w:rsidRPr="00051297" w:rsidRDefault="00051297" w:rsidP="00051297">
      <w:pPr>
        <w:rPr>
          <w:rFonts w:cs="Times New Roman"/>
          <w:szCs w:val="24"/>
          <w:lang w:val="en-US"/>
        </w:rPr>
      </w:pPr>
      <w:r w:rsidRPr="00051297">
        <w:rPr>
          <w:rFonts w:cs="Times New Roman"/>
          <w:szCs w:val="24"/>
          <w:lang w:val="en-US"/>
        </w:rPr>
        <w:t>According to the classification of (USDA, 1986), there are four types of soil hydrologic groups: A, B, C, and D. High infiltration rates are associated with group A soil types; moderate infiltration rates are associated with group B soil types; slow infiltration rates are associated with group C soil types; extremely slow infiltration rates are associated with group D soil types. Different sorts of hydrological groups were identified in the soil maps used in this study</w:t>
      </w:r>
      <w:bookmarkStart w:id="670" w:name="_Toc521024773"/>
      <w:bookmarkStart w:id="671" w:name="_Toc524780690"/>
      <w:r w:rsidRPr="00051297">
        <w:rPr>
          <w:rFonts w:cs="Times New Roman"/>
          <w:szCs w:val="24"/>
          <w:lang w:val="en-US"/>
        </w:rPr>
        <w:t>.</w:t>
      </w:r>
    </w:p>
    <w:p w14:paraId="50FEBCAD" w14:textId="44F4A051" w:rsidR="00051297" w:rsidRPr="00051297" w:rsidRDefault="00051297" w:rsidP="00090C07">
      <w:pPr>
        <w:pStyle w:val="5"/>
        <w:rPr>
          <w:lang w:val="en-US"/>
        </w:rPr>
      </w:pPr>
      <w:bookmarkStart w:id="672" w:name="_Toc97504796"/>
      <w:bookmarkStart w:id="673" w:name="_Toc103543932"/>
      <w:bookmarkStart w:id="674" w:name="_Toc104985256"/>
      <w:r w:rsidRPr="00051297">
        <w:rPr>
          <w:lang w:val="en-US"/>
        </w:rPr>
        <w:t>Merging of Soil and Land Use Data</w:t>
      </w:r>
      <w:bookmarkEnd w:id="670"/>
      <w:bookmarkEnd w:id="671"/>
      <w:bookmarkEnd w:id="672"/>
      <w:bookmarkEnd w:id="673"/>
      <w:bookmarkEnd w:id="674"/>
    </w:p>
    <w:p w14:paraId="57991E00" w14:textId="77777777" w:rsidR="00051297" w:rsidRPr="00051297" w:rsidRDefault="00051297" w:rsidP="00051297">
      <w:pPr>
        <w:rPr>
          <w:rFonts w:cs="Times New Roman"/>
          <w:szCs w:val="24"/>
          <w:lang w:val="en-US"/>
        </w:rPr>
      </w:pPr>
      <w:r w:rsidRPr="00051297">
        <w:rPr>
          <w:rFonts w:cs="Times New Roman"/>
          <w:szCs w:val="24"/>
          <w:lang w:val="en-US"/>
        </w:rPr>
        <w:t xml:space="preserve">Because the CN grid requires both soil and land use data, both the land-use class and soil class of the research region were prepared in shape file format, as previously mentioned. The two </w:t>
      </w:r>
      <w:r w:rsidRPr="00051297">
        <w:rPr>
          <w:rFonts w:cs="Times New Roman"/>
          <w:szCs w:val="24"/>
          <w:lang w:val="en-US"/>
        </w:rPr>
        <w:lastRenderedPageBreak/>
        <w:t>datasets are critical for generating curve numbers (CNs). The two shape files have to be united using the union function in the Analysis Tools of the Arc GIS 10.5 software package in order to use the data for Curve Number creation. The land use and soil feature classes are both used as inputs to the union function. The integrated features' output included attribute values from both land use and soil data.</w:t>
      </w:r>
    </w:p>
    <w:p w14:paraId="2820C815" w14:textId="529B7A5A" w:rsidR="00051297" w:rsidRPr="00051297" w:rsidRDefault="00051297" w:rsidP="00090C07">
      <w:pPr>
        <w:pStyle w:val="5"/>
        <w:rPr>
          <w:lang w:val="en-US"/>
        </w:rPr>
      </w:pPr>
      <w:bookmarkStart w:id="675" w:name="_Toc521024774"/>
      <w:bookmarkStart w:id="676" w:name="_Toc524780691"/>
      <w:bookmarkStart w:id="677" w:name="_Toc97504797"/>
      <w:bookmarkStart w:id="678" w:name="_Toc103543933"/>
      <w:bookmarkStart w:id="679" w:name="_Toc104985257"/>
      <w:r w:rsidRPr="00051297">
        <w:rPr>
          <w:lang w:val="en-US"/>
        </w:rPr>
        <w:t>Creating CN Look-up Table</w:t>
      </w:r>
      <w:bookmarkEnd w:id="675"/>
      <w:bookmarkEnd w:id="676"/>
      <w:bookmarkEnd w:id="677"/>
      <w:bookmarkEnd w:id="678"/>
      <w:bookmarkEnd w:id="679"/>
    </w:p>
    <w:p w14:paraId="0CA89E8E" w14:textId="77777777" w:rsidR="00051297" w:rsidRPr="00051297" w:rsidRDefault="00051297" w:rsidP="00051297">
      <w:pPr>
        <w:rPr>
          <w:rFonts w:cs="Times New Roman"/>
          <w:szCs w:val="24"/>
          <w:lang w:val="en-US"/>
        </w:rPr>
      </w:pPr>
      <w:r w:rsidRPr="00051297">
        <w:rPr>
          <w:rFonts w:cs="Times New Roman"/>
          <w:szCs w:val="24"/>
          <w:lang w:val="en-US"/>
        </w:rPr>
        <w:t>As an input table for CN grid generation, the curve number look-up table is critical. Curve Numbers for each of the relevant soil groups for each land use category are stored in the table's columns A, B, C, and D.</w:t>
      </w:r>
    </w:p>
    <w:p w14:paraId="3BD767A8" w14:textId="00595734" w:rsidR="00051297" w:rsidRPr="00051297" w:rsidRDefault="00051297" w:rsidP="00090C07">
      <w:pPr>
        <w:pStyle w:val="5"/>
      </w:pPr>
      <w:bookmarkStart w:id="680" w:name="_Toc521024777"/>
      <w:bookmarkStart w:id="681" w:name="_Toc524780694"/>
      <w:bookmarkStart w:id="682" w:name="_Toc97504798"/>
      <w:bookmarkStart w:id="683" w:name="_Toc103543934"/>
      <w:bookmarkStart w:id="684" w:name="_Toc104985258"/>
      <w:r w:rsidRPr="00051297">
        <w:t>Curve Number Grid Generation</w:t>
      </w:r>
      <w:bookmarkEnd w:id="680"/>
      <w:bookmarkEnd w:id="681"/>
      <w:bookmarkEnd w:id="682"/>
      <w:bookmarkEnd w:id="683"/>
      <w:bookmarkEnd w:id="684"/>
    </w:p>
    <w:p w14:paraId="1482053C" w14:textId="4F0DE41F" w:rsidR="00051297" w:rsidRPr="00F727E3" w:rsidRDefault="00051297" w:rsidP="00F727E3">
      <w:pPr>
        <w:rPr>
          <w:rFonts w:cs="Times New Roman"/>
          <w:b/>
          <w:szCs w:val="24"/>
          <w:lang w:val="en-US"/>
        </w:rPr>
      </w:pPr>
      <w:r w:rsidRPr="00051297">
        <w:rPr>
          <w:rFonts w:cs="Times New Roman"/>
          <w:szCs w:val="24"/>
          <w:lang w:val="en-US"/>
        </w:rPr>
        <w:t>The following are the inputs required by the HEC-Geo HMS to generate the Curve Number Grid</w:t>
      </w:r>
      <w:r w:rsidR="00F727E3">
        <w:rPr>
          <w:rFonts w:cs="Times New Roman"/>
          <w:szCs w:val="24"/>
          <w:lang w:val="en-US"/>
        </w:rPr>
        <w:t xml:space="preserve">: </w:t>
      </w:r>
      <w:r w:rsidRPr="00051297">
        <w:rPr>
          <w:rFonts w:cs="Times New Roman"/>
          <w:szCs w:val="24"/>
          <w:lang w:val="en-US"/>
        </w:rPr>
        <w:t>Merged land use and soil data</w:t>
      </w:r>
      <w:r w:rsidR="00F727E3">
        <w:rPr>
          <w:rFonts w:cs="Times New Roman"/>
          <w:szCs w:val="24"/>
          <w:lang w:val="en-US"/>
        </w:rPr>
        <w:t xml:space="preserve">; </w:t>
      </w:r>
      <w:r w:rsidRPr="00F727E3">
        <w:rPr>
          <w:rFonts w:cs="Times New Roman"/>
          <w:szCs w:val="24"/>
          <w:lang w:val="en-US"/>
        </w:rPr>
        <w:t>The sink-filled DEM</w:t>
      </w:r>
      <w:r w:rsidR="00F727E3">
        <w:rPr>
          <w:rFonts w:cs="Times New Roman"/>
          <w:szCs w:val="24"/>
          <w:lang w:val="en-US"/>
        </w:rPr>
        <w:t xml:space="preserve">; </w:t>
      </w:r>
      <w:r w:rsidRPr="00F727E3">
        <w:rPr>
          <w:rFonts w:cs="Times New Roman"/>
          <w:szCs w:val="24"/>
          <w:lang w:val="en-US"/>
        </w:rPr>
        <w:t>CN lookup table</w:t>
      </w:r>
      <w:r w:rsidRPr="00051297">
        <w:rPr>
          <w:rFonts w:cs="Times New Roman"/>
          <w:szCs w:val="24"/>
          <w:lang w:val="en-US"/>
        </w:rPr>
        <w:t>.</w:t>
      </w:r>
    </w:p>
    <w:p w14:paraId="5B0F9095" w14:textId="77777777" w:rsidR="00051297" w:rsidRPr="00051297" w:rsidRDefault="00051297" w:rsidP="00051297">
      <w:pPr>
        <w:tabs>
          <w:tab w:val="left" w:pos="993"/>
        </w:tabs>
        <w:rPr>
          <w:rFonts w:cs="Times New Roman"/>
          <w:szCs w:val="24"/>
          <w:lang w:val="en-US"/>
        </w:rPr>
      </w:pPr>
      <w:r w:rsidRPr="00051297">
        <w:rPr>
          <w:rFonts w:cs="Times New Roman"/>
          <w:szCs w:val="24"/>
          <w:lang w:val="en-US"/>
        </w:rPr>
        <w:t xml:space="preserve">All of the above-mentioned datasets were prepared in their requisite formats in the previous phases, and the files were utilized as inputs to generate the CN grid using the Create CN Grid tool in the HEC- Geo HMS extension's utility function. </w:t>
      </w:r>
    </w:p>
    <w:p w14:paraId="7F2A9066" w14:textId="3B644939" w:rsidR="00051297" w:rsidRPr="00051297" w:rsidRDefault="00051297" w:rsidP="00090C07">
      <w:pPr>
        <w:pStyle w:val="3"/>
        <w:rPr>
          <w:rFonts w:eastAsia="Calibri"/>
          <w:lang w:val="en-US"/>
        </w:rPr>
      </w:pPr>
      <w:bookmarkStart w:id="685" w:name="_Toc104985259"/>
      <w:r w:rsidRPr="00051297">
        <w:rPr>
          <w:rFonts w:eastAsia="Calibri"/>
          <w:lang w:val="en-US"/>
        </w:rPr>
        <w:t>Curve Number grid</w:t>
      </w:r>
      <w:bookmarkEnd w:id="685"/>
    </w:p>
    <w:p w14:paraId="58E34DB2" w14:textId="711010D0" w:rsidR="00051297" w:rsidRPr="00051297" w:rsidRDefault="00051297" w:rsidP="00051297">
      <w:pPr>
        <w:spacing w:after="200"/>
        <w:contextualSpacing/>
        <w:rPr>
          <w:rFonts w:eastAsia="Calibri" w:cs="Times New Roman"/>
          <w:szCs w:val="24"/>
          <w:lang w:val="en-US"/>
        </w:rPr>
      </w:pPr>
      <w:r w:rsidRPr="00051297">
        <w:rPr>
          <w:rFonts w:eastAsia="Calibri" w:cs="Times New Roman"/>
          <w:szCs w:val="24"/>
          <w:lang w:val="en-US"/>
        </w:rPr>
        <w:t>The use of a curve number grid allows one to extract curve numbers for any area in the watershed without having to perform any computations.</w:t>
      </w:r>
      <w:r w:rsidRPr="00051297">
        <w:rPr>
          <w:rFonts w:cs="Times New Roman"/>
          <w:szCs w:val="24"/>
          <w:lang w:val="en-US"/>
        </w:rPr>
        <w:t xml:space="preserve"> It has to be noted that </w:t>
      </w:r>
      <w:r w:rsidRPr="00051297">
        <w:rPr>
          <w:rFonts w:eastAsia="Calibri" w:cs="Times New Roman"/>
          <w:szCs w:val="24"/>
          <w:lang w:val="en-US"/>
        </w:rPr>
        <w:t xml:space="preserve">the Curve Number (CN) approach is among the reliable approaches for estimating precipitation excess/loss that takes land use and soil types into account. The CN techniques were developed through empirical research on small agricultural watersheds. The CN value is usually lumped as an average of the subbasin or watershed in most uses of the CN method </w:t>
      </w:r>
      <w:r w:rsidRPr="00051297">
        <w:rPr>
          <w:rFonts w:eastAsia="Calibri" w:cs="Times New Roman"/>
          <w:szCs w:val="24"/>
        </w:rPr>
        <w:fldChar w:fldCharType="begin" w:fldLock="1"/>
      </w:r>
      <w:r w:rsidR="0044426E">
        <w:rPr>
          <w:rFonts w:eastAsia="Calibri" w:cs="Times New Roman"/>
          <w:szCs w:val="24"/>
          <w:lang w:val="en-US"/>
        </w:rPr>
        <w:instrText>ADDIN CSL_CITATION {"citationItems":[{"id":"ITEM-1","itemData":{"DOI":"10.1061/(asce)0733-9496(1988)114:6(601)","ISSN":"0733-9496","author":[{"dropping-particle":"","family":"White","given":"Dale","non-dropping-particle":"","parse-names":false,"suffix":""}],"container-title":"Journal of Water Resources Planning and Management","id":"ITEM-1","issued":{"date-parts":[["1988"]]},"title":"Grid‐Based Application of Runoff Curve Numbers","type":"article-journal"},"uris":["http://www.mendeley.com/documents/?uuid=f58bebad-9948-4547-8510-86ab7bef8148","http://www.mendeley.com/documents/?uuid=927398af-775c-409e-a1c5-3bb7c79b2d12","http://www.mendeley.com/documents/?uuid=452f34ae-2a0e-4b9c-9327-1087353b303e"]}],"mendeley":{"formattedCitation":"[260]","plainTextFormattedCitation":"[260]","previouslyFormattedCitation":"[260]"},"properties":{"noteIndex":0},"schema":"https://github.com/citation-style-language/schema/raw/master/csl-citation.json"}</w:instrText>
      </w:r>
      <w:r w:rsidRPr="00051297">
        <w:rPr>
          <w:rFonts w:eastAsia="Calibri" w:cs="Times New Roman"/>
          <w:szCs w:val="24"/>
        </w:rPr>
        <w:fldChar w:fldCharType="separate"/>
      </w:r>
      <w:r w:rsidR="00FA5896" w:rsidRPr="00FA5896">
        <w:rPr>
          <w:rFonts w:eastAsia="Calibri" w:cs="Times New Roman"/>
          <w:noProof/>
          <w:szCs w:val="24"/>
          <w:lang w:val="en-US"/>
        </w:rPr>
        <w:t>[260]</w:t>
      </w:r>
      <w:r w:rsidRPr="00051297">
        <w:rPr>
          <w:rFonts w:eastAsia="Calibri" w:cs="Times New Roman"/>
          <w:szCs w:val="24"/>
        </w:rPr>
        <w:fldChar w:fldCharType="end"/>
      </w:r>
      <w:r w:rsidRPr="00051297">
        <w:rPr>
          <w:rFonts w:eastAsia="Calibri" w:cs="Times New Roman"/>
          <w:szCs w:val="24"/>
          <w:lang w:val="en-US"/>
        </w:rPr>
        <w:t xml:space="preserve">.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_Ref98104510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20</w:t>
      </w:r>
      <w:r w:rsidRPr="00051297">
        <w:rPr>
          <w:rFonts w:eastAsia="Calibri" w:cs="Times New Roman"/>
          <w:szCs w:val="24"/>
          <w:lang w:val="en-US"/>
        </w:rPr>
        <w:fldChar w:fldCharType="end"/>
      </w:r>
      <w:r w:rsidRPr="00051297">
        <w:rPr>
          <w:rFonts w:eastAsia="Calibri" w:cs="Times New Roman"/>
          <w:szCs w:val="24"/>
          <w:lang w:val="en-US"/>
        </w:rPr>
        <w:t xml:space="preserve"> presents the CN grid for the Ndembera catchment from 1990 datasets.</w:t>
      </w:r>
    </w:p>
    <w:p w14:paraId="23288354" w14:textId="77777777" w:rsidR="00051297" w:rsidRPr="00051297" w:rsidRDefault="00051297" w:rsidP="00F727E3">
      <w:pPr>
        <w:keepNext/>
        <w:spacing w:line="240" w:lineRule="auto"/>
        <w:ind w:firstLine="0"/>
        <w:contextualSpacing/>
        <w:jc w:val="center"/>
        <w:rPr>
          <w:rFonts w:cs="Times New Roman"/>
          <w:szCs w:val="24"/>
        </w:rPr>
      </w:pPr>
      <w:r w:rsidRPr="00051297">
        <w:rPr>
          <w:rFonts w:cs="Times New Roman"/>
          <w:noProof/>
          <w:szCs w:val="24"/>
        </w:rPr>
        <w:drawing>
          <wp:inline distT="0" distB="0" distL="0" distR="0" wp14:anchorId="2EF7091D" wp14:editId="253F91F0">
            <wp:extent cx="3582775" cy="28800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450" b="1519"/>
                    <a:stretch/>
                  </pic:blipFill>
                  <pic:spPr bwMode="auto">
                    <a:xfrm>
                      <a:off x="0" y="0"/>
                      <a:ext cx="3582775"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6442E2F0" w14:textId="2D32EC70" w:rsidR="00051297" w:rsidRPr="00051297" w:rsidRDefault="00051297" w:rsidP="00051297">
      <w:pPr>
        <w:ind w:firstLine="0"/>
        <w:jc w:val="center"/>
        <w:rPr>
          <w:rFonts w:cs="Times New Roman"/>
          <w:szCs w:val="24"/>
          <w:lang w:val="en-US" w:bidi="en-US"/>
        </w:rPr>
      </w:pPr>
      <w:bookmarkStart w:id="686" w:name="_Ref98104510"/>
      <w:bookmarkStart w:id="687" w:name="_Toc97428234"/>
      <w:bookmarkStart w:id="688" w:name="_Toc98085909"/>
      <w:bookmarkStart w:id="689" w:name="_Toc103544106"/>
      <w:bookmarkStart w:id="690" w:name="_Toc104985429"/>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20</w:t>
      </w:r>
      <w:r w:rsidR="00527861">
        <w:rPr>
          <w:rFonts w:cs="Times New Roman"/>
          <w:szCs w:val="24"/>
          <w:lang w:val="en-US" w:bidi="en-US"/>
        </w:rPr>
        <w:fldChar w:fldCharType="end"/>
      </w:r>
      <w:bookmarkEnd w:id="686"/>
      <w:r w:rsidRPr="00F97DFC">
        <w:rPr>
          <w:lang w:val="en-US"/>
        </w:rPr>
        <w:t xml:space="preserve"> </w:t>
      </w:r>
      <w:r w:rsidRPr="00051297">
        <w:rPr>
          <w:rFonts w:cs="Times New Roman"/>
          <w:szCs w:val="24"/>
          <w:lang w:val="en-US" w:bidi="en-US"/>
        </w:rPr>
        <w:t>– Curve Number grid</w:t>
      </w:r>
      <w:bookmarkEnd w:id="687"/>
      <w:bookmarkEnd w:id="688"/>
      <w:bookmarkEnd w:id="689"/>
      <w:bookmarkEnd w:id="690"/>
    </w:p>
    <w:p w14:paraId="7508FE94" w14:textId="4A8F5701" w:rsidR="00051297" w:rsidRPr="00051297" w:rsidRDefault="00051297" w:rsidP="00051297">
      <w:pPr>
        <w:spacing w:after="200"/>
        <w:contextualSpacing/>
        <w:rPr>
          <w:rFonts w:eastAsia="Calibri" w:cs="Times New Roman"/>
          <w:szCs w:val="24"/>
          <w:lang w:val="en-US"/>
        </w:rPr>
      </w:pPr>
      <w:r w:rsidRPr="00051297">
        <w:rPr>
          <w:rFonts w:eastAsia="Calibri" w:cs="Times New Roman"/>
          <w:szCs w:val="24"/>
          <w:lang w:val="en-US"/>
        </w:rPr>
        <w:lastRenderedPageBreak/>
        <w:t xml:space="preserve">The weighted average of the initial Curve Number (CN) values of the vegetation, impervious surface, and soil fractions yields the composite CN. Surface runoff is then simulated using this composite CN approach under the specified precipitation for the research area.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_Ref98104609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2</w:t>
      </w:r>
      <w:r w:rsidR="004870F1" w:rsidRPr="00051297">
        <w:rPr>
          <w:rFonts w:cs="Times New Roman"/>
          <w:szCs w:val="24"/>
          <w:lang w:val="en-US" w:bidi="en-US"/>
        </w:rPr>
        <w:t>.</w:t>
      </w:r>
      <w:r w:rsidR="004870F1">
        <w:rPr>
          <w:rFonts w:cs="Times New Roman"/>
          <w:noProof/>
          <w:szCs w:val="24"/>
          <w:lang w:val="en-US" w:bidi="en-US"/>
        </w:rPr>
        <w:t>3</w:t>
      </w:r>
      <w:r w:rsidRPr="00051297">
        <w:rPr>
          <w:rFonts w:eastAsia="Calibri" w:cs="Times New Roman"/>
          <w:szCs w:val="24"/>
          <w:lang w:val="en-US"/>
        </w:rPr>
        <w:fldChar w:fldCharType="end"/>
      </w:r>
      <w:r w:rsidRPr="00051297">
        <w:rPr>
          <w:rFonts w:eastAsia="Calibri" w:cs="Times New Roman"/>
          <w:szCs w:val="24"/>
          <w:lang w:val="en-US"/>
        </w:rPr>
        <w:t xml:space="preserve"> presents the composite CN and percent change for the four years investigated in this study.</w:t>
      </w:r>
    </w:p>
    <w:p w14:paraId="751B7B75" w14:textId="5F56B269" w:rsidR="00051297" w:rsidRPr="00051297" w:rsidRDefault="00051297" w:rsidP="00051297">
      <w:pPr>
        <w:rPr>
          <w:rFonts w:cs="Times New Roman"/>
          <w:szCs w:val="24"/>
          <w:lang w:val="en-US" w:bidi="en-US"/>
        </w:rPr>
      </w:pPr>
      <w:bookmarkStart w:id="691" w:name="_Ref98104609"/>
      <w:bookmarkStart w:id="692" w:name="_Toc97077193"/>
      <w:bookmarkStart w:id="693" w:name="_Toc103544243"/>
      <w:bookmarkStart w:id="694" w:name="_Toc104985569"/>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2</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3</w:t>
      </w:r>
      <w:r w:rsidRPr="00051297">
        <w:rPr>
          <w:rFonts w:cs="Times New Roman"/>
          <w:szCs w:val="24"/>
          <w:lang w:val="en-US" w:bidi="en-US"/>
        </w:rPr>
        <w:fldChar w:fldCharType="end"/>
      </w:r>
      <w:bookmarkEnd w:id="691"/>
      <w:r w:rsidRPr="00051297">
        <w:rPr>
          <w:lang w:val="en-US"/>
        </w:rPr>
        <w:t xml:space="preserve"> </w:t>
      </w:r>
      <w:r w:rsidRPr="00051297">
        <w:rPr>
          <w:rFonts w:cs="Times New Roman"/>
          <w:szCs w:val="24"/>
          <w:lang w:val="en-US" w:bidi="en-US"/>
        </w:rPr>
        <w:t>– Composite CN in the Ndembera catchment</w:t>
      </w:r>
      <w:bookmarkEnd w:id="692"/>
      <w:bookmarkEnd w:id="693"/>
      <w:bookmarkEnd w:id="694"/>
    </w:p>
    <w:tbl>
      <w:tblPr>
        <w:tblStyle w:val="a8"/>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
        <w:gridCol w:w="1873"/>
        <w:gridCol w:w="2217"/>
      </w:tblGrid>
      <w:tr w:rsidR="00051297" w:rsidRPr="00F727E3" w14:paraId="0ACD9F50" w14:textId="77777777" w:rsidTr="00F727E3">
        <w:trPr>
          <w:trHeight w:val="259"/>
          <w:jc w:val="center"/>
        </w:trPr>
        <w:tc>
          <w:tcPr>
            <w:tcW w:w="985" w:type="dxa"/>
            <w:tcBorders>
              <w:top w:val="single" w:sz="4" w:space="0" w:color="auto"/>
              <w:bottom w:val="single" w:sz="4" w:space="0" w:color="auto"/>
            </w:tcBorders>
            <w:noWrap/>
            <w:hideMark/>
          </w:tcPr>
          <w:p w14:paraId="3A5C35E9" w14:textId="77777777" w:rsidR="00051297" w:rsidRPr="00F727E3" w:rsidRDefault="00051297" w:rsidP="00051297">
            <w:pPr>
              <w:spacing w:line="240" w:lineRule="auto"/>
              <w:ind w:firstLine="0"/>
              <w:jc w:val="center"/>
              <w:rPr>
                <w:sz w:val="20"/>
                <w:szCs w:val="18"/>
              </w:rPr>
            </w:pPr>
            <w:r w:rsidRPr="00F727E3">
              <w:rPr>
                <w:sz w:val="20"/>
                <w:szCs w:val="18"/>
              </w:rPr>
              <w:t>Year</w:t>
            </w:r>
          </w:p>
        </w:tc>
        <w:tc>
          <w:tcPr>
            <w:tcW w:w="1873" w:type="dxa"/>
            <w:tcBorders>
              <w:top w:val="single" w:sz="4" w:space="0" w:color="auto"/>
              <w:bottom w:val="single" w:sz="4" w:space="0" w:color="auto"/>
            </w:tcBorders>
            <w:noWrap/>
            <w:hideMark/>
          </w:tcPr>
          <w:p w14:paraId="7E8CEF9A" w14:textId="77777777" w:rsidR="00051297" w:rsidRPr="00F727E3" w:rsidRDefault="00051297" w:rsidP="00051297">
            <w:pPr>
              <w:spacing w:line="240" w:lineRule="auto"/>
              <w:ind w:firstLine="0"/>
              <w:jc w:val="center"/>
              <w:rPr>
                <w:sz w:val="20"/>
                <w:szCs w:val="18"/>
              </w:rPr>
            </w:pPr>
            <w:r w:rsidRPr="00F727E3">
              <w:rPr>
                <w:sz w:val="20"/>
                <w:szCs w:val="18"/>
              </w:rPr>
              <w:t>Composite CN</w:t>
            </w:r>
          </w:p>
        </w:tc>
        <w:tc>
          <w:tcPr>
            <w:tcW w:w="2217" w:type="dxa"/>
            <w:tcBorders>
              <w:top w:val="single" w:sz="4" w:space="0" w:color="auto"/>
              <w:bottom w:val="single" w:sz="4" w:space="0" w:color="auto"/>
            </w:tcBorders>
            <w:noWrap/>
            <w:hideMark/>
          </w:tcPr>
          <w:p w14:paraId="7FD0DD7A" w14:textId="77777777" w:rsidR="00051297" w:rsidRPr="00F727E3" w:rsidRDefault="00051297" w:rsidP="00051297">
            <w:pPr>
              <w:spacing w:line="240" w:lineRule="auto"/>
              <w:ind w:firstLine="0"/>
              <w:jc w:val="center"/>
              <w:rPr>
                <w:sz w:val="20"/>
                <w:szCs w:val="18"/>
              </w:rPr>
            </w:pPr>
            <w:r w:rsidRPr="00F727E3">
              <w:rPr>
                <w:sz w:val="20"/>
                <w:szCs w:val="18"/>
              </w:rPr>
              <w:t>Percent change (%)</w:t>
            </w:r>
          </w:p>
        </w:tc>
      </w:tr>
      <w:tr w:rsidR="00051297" w:rsidRPr="00F727E3" w14:paraId="725C2331" w14:textId="77777777" w:rsidTr="00F727E3">
        <w:trPr>
          <w:trHeight w:val="259"/>
          <w:jc w:val="center"/>
        </w:trPr>
        <w:tc>
          <w:tcPr>
            <w:tcW w:w="985" w:type="dxa"/>
            <w:tcBorders>
              <w:top w:val="single" w:sz="4" w:space="0" w:color="auto"/>
            </w:tcBorders>
            <w:noWrap/>
            <w:hideMark/>
          </w:tcPr>
          <w:p w14:paraId="0D657BA2" w14:textId="77777777" w:rsidR="00051297" w:rsidRPr="00F727E3" w:rsidRDefault="00051297" w:rsidP="00051297">
            <w:pPr>
              <w:spacing w:line="240" w:lineRule="auto"/>
              <w:ind w:firstLine="0"/>
              <w:jc w:val="center"/>
              <w:rPr>
                <w:sz w:val="20"/>
                <w:szCs w:val="18"/>
              </w:rPr>
            </w:pPr>
            <w:r w:rsidRPr="00F727E3">
              <w:rPr>
                <w:sz w:val="20"/>
                <w:szCs w:val="18"/>
              </w:rPr>
              <w:t>1990</w:t>
            </w:r>
          </w:p>
        </w:tc>
        <w:tc>
          <w:tcPr>
            <w:tcW w:w="1873" w:type="dxa"/>
            <w:tcBorders>
              <w:top w:val="single" w:sz="4" w:space="0" w:color="auto"/>
            </w:tcBorders>
            <w:noWrap/>
            <w:hideMark/>
          </w:tcPr>
          <w:p w14:paraId="0944B8D7" w14:textId="77777777" w:rsidR="00051297" w:rsidRPr="00F727E3" w:rsidRDefault="00051297" w:rsidP="00051297">
            <w:pPr>
              <w:spacing w:line="240" w:lineRule="auto"/>
              <w:ind w:firstLine="0"/>
              <w:jc w:val="center"/>
              <w:rPr>
                <w:sz w:val="20"/>
                <w:szCs w:val="18"/>
                <w:lang w:val="en-US"/>
              </w:rPr>
            </w:pPr>
            <w:r w:rsidRPr="00F727E3">
              <w:rPr>
                <w:sz w:val="20"/>
                <w:szCs w:val="18"/>
              </w:rPr>
              <w:t>34.1</w:t>
            </w:r>
            <w:r w:rsidRPr="00F727E3">
              <w:rPr>
                <w:sz w:val="20"/>
                <w:szCs w:val="18"/>
                <w:lang w:val="en-US"/>
              </w:rPr>
              <w:t>5</w:t>
            </w:r>
          </w:p>
        </w:tc>
        <w:tc>
          <w:tcPr>
            <w:tcW w:w="2217" w:type="dxa"/>
            <w:tcBorders>
              <w:top w:val="single" w:sz="4" w:space="0" w:color="auto"/>
            </w:tcBorders>
            <w:noWrap/>
            <w:hideMark/>
          </w:tcPr>
          <w:p w14:paraId="2C73D26B" w14:textId="77777777" w:rsidR="00051297" w:rsidRPr="00F727E3" w:rsidRDefault="00051297" w:rsidP="00051297">
            <w:pPr>
              <w:spacing w:line="240" w:lineRule="auto"/>
              <w:ind w:firstLine="0"/>
              <w:jc w:val="center"/>
              <w:rPr>
                <w:sz w:val="20"/>
                <w:szCs w:val="18"/>
              </w:rPr>
            </w:pPr>
            <w:r w:rsidRPr="00F727E3">
              <w:rPr>
                <w:sz w:val="20"/>
                <w:szCs w:val="18"/>
              </w:rPr>
              <w:t>0</w:t>
            </w:r>
          </w:p>
        </w:tc>
      </w:tr>
      <w:tr w:rsidR="00051297" w:rsidRPr="00F727E3" w14:paraId="39CD9B50" w14:textId="77777777" w:rsidTr="00F727E3">
        <w:trPr>
          <w:trHeight w:val="259"/>
          <w:jc w:val="center"/>
        </w:trPr>
        <w:tc>
          <w:tcPr>
            <w:tcW w:w="985" w:type="dxa"/>
            <w:noWrap/>
            <w:hideMark/>
          </w:tcPr>
          <w:p w14:paraId="53BF0436" w14:textId="77777777" w:rsidR="00051297" w:rsidRPr="00F727E3" w:rsidRDefault="00051297" w:rsidP="00051297">
            <w:pPr>
              <w:spacing w:line="240" w:lineRule="auto"/>
              <w:ind w:firstLine="0"/>
              <w:jc w:val="center"/>
              <w:rPr>
                <w:sz w:val="20"/>
                <w:szCs w:val="18"/>
              </w:rPr>
            </w:pPr>
            <w:r w:rsidRPr="00F727E3">
              <w:rPr>
                <w:sz w:val="20"/>
                <w:szCs w:val="18"/>
              </w:rPr>
              <w:t>1995</w:t>
            </w:r>
          </w:p>
        </w:tc>
        <w:tc>
          <w:tcPr>
            <w:tcW w:w="1873" w:type="dxa"/>
            <w:noWrap/>
            <w:hideMark/>
          </w:tcPr>
          <w:p w14:paraId="62117DBB" w14:textId="77777777" w:rsidR="00051297" w:rsidRPr="00F727E3" w:rsidRDefault="00051297" w:rsidP="00051297">
            <w:pPr>
              <w:spacing w:line="240" w:lineRule="auto"/>
              <w:ind w:firstLine="0"/>
              <w:jc w:val="center"/>
              <w:rPr>
                <w:sz w:val="20"/>
                <w:szCs w:val="18"/>
              </w:rPr>
            </w:pPr>
            <w:r w:rsidRPr="00F727E3">
              <w:rPr>
                <w:sz w:val="20"/>
                <w:szCs w:val="18"/>
              </w:rPr>
              <w:t>36.22</w:t>
            </w:r>
          </w:p>
        </w:tc>
        <w:tc>
          <w:tcPr>
            <w:tcW w:w="2217" w:type="dxa"/>
            <w:noWrap/>
            <w:hideMark/>
          </w:tcPr>
          <w:p w14:paraId="54116146" w14:textId="77777777" w:rsidR="00051297" w:rsidRPr="00F727E3" w:rsidRDefault="00051297" w:rsidP="00051297">
            <w:pPr>
              <w:spacing w:line="240" w:lineRule="auto"/>
              <w:ind w:firstLine="0"/>
              <w:jc w:val="center"/>
              <w:rPr>
                <w:sz w:val="20"/>
                <w:szCs w:val="18"/>
              </w:rPr>
            </w:pPr>
            <w:r w:rsidRPr="00F727E3">
              <w:rPr>
                <w:sz w:val="20"/>
                <w:szCs w:val="18"/>
              </w:rPr>
              <w:t>6.08</w:t>
            </w:r>
          </w:p>
        </w:tc>
      </w:tr>
      <w:tr w:rsidR="00051297" w:rsidRPr="00F727E3" w14:paraId="1A0132DE" w14:textId="77777777" w:rsidTr="00F727E3">
        <w:trPr>
          <w:trHeight w:val="259"/>
          <w:jc w:val="center"/>
        </w:trPr>
        <w:tc>
          <w:tcPr>
            <w:tcW w:w="985" w:type="dxa"/>
            <w:noWrap/>
            <w:hideMark/>
          </w:tcPr>
          <w:p w14:paraId="1FCC2095" w14:textId="77777777" w:rsidR="00051297" w:rsidRPr="00F727E3" w:rsidRDefault="00051297" w:rsidP="00051297">
            <w:pPr>
              <w:spacing w:line="240" w:lineRule="auto"/>
              <w:ind w:firstLine="0"/>
              <w:jc w:val="center"/>
              <w:rPr>
                <w:sz w:val="20"/>
                <w:szCs w:val="18"/>
              </w:rPr>
            </w:pPr>
            <w:r w:rsidRPr="00F727E3">
              <w:rPr>
                <w:sz w:val="20"/>
                <w:szCs w:val="18"/>
              </w:rPr>
              <w:t>2004</w:t>
            </w:r>
          </w:p>
        </w:tc>
        <w:tc>
          <w:tcPr>
            <w:tcW w:w="1873" w:type="dxa"/>
            <w:noWrap/>
            <w:hideMark/>
          </w:tcPr>
          <w:p w14:paraId="750AC9C5" w14:textId="77777777" w:rsidR="00051297" w:rsidRPr="00F727E3" w:rsidRDefault="00051297" w:rsidP="00051297">
            <w:pPr>
              <w:spacing w:line="240" w:lineRule="auto"/>
              <w:ind w:firstLine="0"/>
              <w:jc w:val="center"/>
              <w:rPr>
                <w:sz w:val="20"/>
                <w:szCs w:val="18"/>
              </w:rPr>
            </w:pPr>
            <w:r w:rsidRPr="00F727E3">
              <w:rPr>
                <w:sz w:val="20"/>
                <w:szCs w:val="18"/>
              </w:rPr>
              <w:t>42.56</w:t>
            </w:r>
          </w:p>
        </w:tc>
        <w:tc>
          <w:tcPr>
            <w:tcW w:w="2217" w:type="dxa"/>
            <w:noWrap/>
            <w:hideMark/>
          </w:tcPr>
          <w:p w14:paraId="39EB7C02" w14:textId="77777777" w:rsidR="00051297" w:rsidRPr="00F727E3" w:rsidRDefault="00051297" w:rsidP="00051297">
            <w:pPr>
              <w:spacing w:line="240" w:lineRule="auto"/>
              <w:ind w:firstLine="0"/>
              <w:jc w:val="center"/>
              <w:rPr>
                <w:sz w:val="20"/>
                <w:szCs w:val="18"/>
              </w:rPr>
            </w:pPr>
            <w:r w:rsidRPr="00F727E3">
              <w:rPr>
                <w:sz w:val="20"/>
                <w:szCs w:val="18"/>
              </w:rPr>
              <w:t>24.65</w:t>
            </w:r>
          </w:p>
        </w:tc>
      </w:tr>
      <w:tr w:rsidR="00051297" w:rsidRPr="00F727E3" w14:paraId="23CA4B8E" w14:textId="77777777" w:rsidTr="00F727E3">
        <w:trPr>
          <w:trHeight w:val="259"/>
          <w:jc w:val="center"/>
        </w:trPr>
        <w:tc>
          <w:tcPr>
            <w:tcW w:w="985" w:type="dxa"/>
            <w:noWrap/>
            <w:hideMark/>
          </w:tcPr>
          <w:p w14:paraId="3B0935D5" w14:textId="77777777" w:rsidR="00051297" w:rsidRPr="00F727E3" w:rsidRDefault="00051297" w:rsidP="00051297">
            <w:pPr>
              <w:spacing w:line="240" w:lineRule="auto"/>
              <w:ind w:firstLine="0"/>
              <w:jc w:val="center"/>
              <w:rPr>
                <w:sz w:val="20"/>
                <w:szCs w:val="18"/>
              </w:rPr>
            </w:pPr>
            <w:r w:rsidRPr="00F727E3">
              <w:rPr>
                <w:sz w:val="20"/>
                <w:szCs w:val="18"/>
              </w:rPr>
              <w:t>2011</w:t>
            </w:r>
          </w:p>
        </w:tc>
        <w:tc>
          <w:tcPr>
            <w:tcW w:w="1873" w:type="dxa"/>
            <w:noWrap/>
            <w:hideMark/>
          </w:tcPr>
          <w:p w14:paraId="6B62F548" w14:textId="77777777" w:rsidR="00051297" w:rsidRPr="00F727E3" w:rsidRDefault="00051297" w:rsidP="00051297">
            <w:pPr>
              <w:spacing w:line="240" w:lineRule="auto"/>
              <w:ind w:firstLine="0"/>
              <w:jc w:val="center"/>
              <w:rPr>
                <w:sz w:val="20"/>
                <w:szCs w:val="18"/>
              </w:rPr>
            </w:pPr>
            <w:r w:rsidRPr="00F727E3">
              <w:rPr>
                <w:sz w:val="20"/>
                <w:szCs w:val="18"/>
              </w:rPr>
              <w:t>53.96</w:t>
            </w:r>
          </w:p>
        </w:tc>
        <w:tc>
          <w:tcPr>
            <w:tcW w:w="2217" w:type="dxa"/>
            <w:noWrap/>
            <w:hideMark/>
          </w:tcPr>
          <w:p w14:paraId="4E68C13E" w14:textId="77777777" w:rsidR="00051297" w:rsidRPr="00F727E3" w:rsidRDefault="00051297" w:rsidP="00051297">
            <w:pPr>
              <w:spacing w:line="240" w:lineRule="auto"/>
              <w:ind w:firstLine="0"/>
              <w:jc w:val="center"/>
              <w:rPr>
                <w:sz w:val="20"/>
                <w:szCs w:val="18"/>
                <w:lang w:val="en-US"/>
              </w:rPr>
            </w:pPr>
            <w:r w:rsidRPr="00F727E3">
              <w:rPr>
                <w:sz w:val="20"/>
                <w:szCs w:val="18"/>
              </w:rPr>
              <w:t>58.02</w:t>
            </w:r>
            <w:r w:rsidRPr="00F727E3">
              <w:rPr>
                <w:sz w:val="20"/>
                <w:szCs w:val="18"/>
                <w:lang w:val="en-US"/>
              </w:rPr>
              <w:t>8</w:t>
            </w:r>
          </w:p>
        </w:tc>
      </w:tr>
    </w:tbl>
    <w:p w14:paraId="22C14CDF" w14:textId="77777777" w:rsidR="00051297" w:rsidRPr="00051297" w:rsidRDefault="00051297" w:rsidP="009D76FB">
      <w:pPr>
        <w:spacing w:line="240" w:lineRule="auto"/>
      </w:pPr>
    </w:p>
    <w:p w14:paraId="6CAEC905" w14:textId="5EDEE76E" w:rsidR="00051297" w:rsidRPr="00051297" w:rsidRDefault="00051297" w:rsidP="00090C07">
      <w:pPr>
        <w:pStyle w:val="2"/>
      </w:pPr>
      <w:bookmarkStart w:id="695" w:name="_Toc97504801"/>
      <w:bookmarkStart w:id="696" w:name="_Toc103543935"/>
      <w:bookmarkStart w:id="697" w:name="_Toc104985260"/>
      <w:r w:rsidRPr="00051297">
        <w:t>Chardara catchment, Kazakhstan</w:t>
      </w:r>
      <w:bookmarkEnd w:id="695"/>
      <w:bookmarkEnd w:id="696"/>
      <w:bookmarkEnd w:id="697"/>
    </w:p>
    <w:p w14:paraId="0862C5FF" w14:textId="4B2AF226" w:rsidR="00051297" w:rsidRPr="00051297" w:rsidRDefault="00051297" w:rsidP="00090C07">
      <w:pPr>
        <w:pStyle w:val="3"/>
      </w:pPr>
      <w:bookmarkStart w:id="698" w:name="_Toc97504802"/>
      <w:bookmarkStart w:id="699" w:name="_Toc103543936"/>
      <w:bookmarkStart w:id="700" w:name="_Toc104985261"/>
      <w:r w:rsidRPr="00051297">
        <w:t>Case study description</w:t>
      </w:r>
      <w:bookmarkEnd w:id="698"/>
      <w:bookmarkEnd w:id="699"/>
      <w:bookmarkEnd w:id="700"/>
    </w:p>
    <w:p w14:paraId="505280CE" w14:textId="1BF81085" w:rsidR="00051297" w:rsidRPr="00275100" w:rsidRDefault="00051297" w:rsidP="00275100">
      <w:pPr>
        <w:rPr>
          <w:rFonts w:asciiTheme="minorHAnsi" w:hAnsiTheme="minorHAnsi"/>
          <w:sz w:val="22"/>
          <w:lang w:val="en-US"/>
        </w:rPr>
      </w:pPr>
      <w:r w:rsidRPr="00051297">
        <w:rPr>
          <w:lang w:val="en-US"/>
        </w:rPr>
        <w:t xml:space="preserve">The Chardara dam, which encompasses the Golodniy steppe, the Arnasay depression, and the Syrdariya valley, is located in Kazakhstan's South-Kazakh region, at the end of the middle stream of the Syrdariya river, to the north of the Turkestan mountains </w:t>
      </w:r>
      <w:r w:rsidR="00275100">
        <w:rPr>
          <w:lang w:val="en-US"/>
        </w:rPr>
        <w:t>(</w:t>
      </w:r>
      <w:r w:rsidR="00275100">
        <w:rPr>
          <w:lang w:val="en-US"/>
        </w:rPr>
        <w:fldChar w:fldCharType="begin"/>
      </w:r>
      <w:r w:rsidR="00275100">
        <w:rPr>
          <w:lang w:val="en-US"/>
        </w:rPr>
        <w:instrText xml:space="preserve"> REF _Ref104480490 \h </w:instrText>
      </w:r>
      <w:r w:rsidR="00275100">
        <w:rPr>
          <w:lang w:val="en-US"/>
        </w:rPr>
      </w:r>
      <w:r w:rsidR="00275100">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21</w:t>
      </w:r>
      <w:r w:rsidR="00275100">
        <w:rPr>
          <w:lang w:val="en-US"/>
        </w:rPr>
        <w:fldChar w:fldCharType="end"/>
      </w:r>
      <w:r w:rsidR="00275100">
        <w:rPr>
          <w:lang w:val="en-US"/>
        </w:rPr>
        <w:t>)</w:t>
      </w:r>
      <w:r w:rsidRPr="00051297">
        <w:rPr>
          <w:lang w:val="en-US"/>
        </w:rPr>
        <w:t>. The Kyzyl-Kum canal receives agricultural water from the dam. The reservoir at the dam has a storage capacity of 5.7 billion m</w:t>
      </w:r>
      <w:r w:rsidRPr="00051297">
        <w:rPr>
          <w:vertAlign w:val="superscript"/>
          <w:lang w:val="en-US"/>
        </w:rPr>
        <w:t>3</w:t>
      </w:r>
      <w:r w:rsidRPr="00051297">
        <w:rPr>
          <w:lang w:val="en-US"/>
        </w:rPr>
        <w:t xml:space="preserve"> (4,600,000 acreft) and a surface area of 900 km</w:t>
      </w:r>
      <w:r w:rsidRPr="00051297">
        <w:rPr>
          <w:vertAlign w:val="superscript"/>
          <w:lang w:val="en-US"/>
        </w:rPr>
        <w:t>2</w:t>
      </w:r>
      <w:r w:rsidRPr="00051297">
        <w:rPr>
          <w:lang w:val="en-US"/>
        </w:rPr>
        <w:t xml:space="preserve"> (350 sq mi). The Central Asia department of Tashkent's "Hydroproject" Institute designed the dam between 1955 and 1967. The reservoir was entirely impounded in 1968, after construction was completed in October 1967.</w:t>
      </w:r>
    </w:p>
    <w:p w14:paraId="08244F62" w14:textId="2459CFC2" w:rsidR="00051297" w:rsidRPr="00275100" w:rsidRDefault="00051297" w:rsidP="00275100">
      <w:pPr>
        <w:rPr>
          <w:rFonts w:asciiTheme="minorHAnsi" w:hAnsiTheme="minorHAnsi"/>
          <w:sz w:val="22"/>
          <w:lang w:val="en-US"/>
        </w:rPr>
      </w:pPr>
      <w:r w:rsidRPr="00051297">
        <w:rPr>
          <w:lang w:val="en-US"/>
        </w:rPr>
        <w:t>The Chardara dam is made up of a hydraulic fill embankment, a channel-type power station with two sluices on the left and right sides of the power station, and a Kyzylkum regulator on the river's left bank</w:t>
      </w:r>
      <w:r w:rsidR="00275100">
        <w:rPr>
          <w:lang w:val="en-US"/>
        </w:rPr>
        <w:t xml:space="preserve"> (</w:t>
      </w:r>
      <w:r w:rsidR="00275100">
        <w:rPr>
          <w:lang w:val="en-US"/>
        </w:rPr>
        <w:fldChar w:fldCharType="begin"/>
      </w:r>
      <w:r w:rsidR="00275100">
        <w:rPr>
          <w:lang w:val="en-US"/>
        </w:rPr>
        <w:instrText xml:space="preserve"> REF _Ref104480490 \h </w:instrText>
      </w:r>
      <w:r w:rsidR="00275100">
        <w:rPr>
          <w:lang w:val="en-US"/>
        </w:rPr>
      </w:r>
      <w:r w:rsidR="00275100">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21</w:t>
      </w:r>
      <w:r w:rsidR="00275100">
        <w:rPr>
          <w:lang w:val="en-US"/>
        </w:rPr>
        <w:fldChar w:fldCharType="end"/>
      </w:r>
      <w:r w:rsidRPr="00051297">
        <w:rPr>
          <w:lang w:val="en-US"/>
        </w:rPr>
        <w:t xml:space="preserve">). The dam was built by filling it with hydraulic fluid from two sides. Reinforced concrete slabs were put on a gravel-sandy bed to enhance the embankment's upstream slope. A double-layer of the inverted filter was put at the concrete facing joints. Local silty-gravel material reinforces the downstream slope. At the bottom of the downstream slope, a pipe drain with a triple-layered inverted filter was built. There are relief wells and a drainage water conduit at the downstream toe. There is a 6m wide asphalt road at the dam crest. </w:t>
      </w:r>
      <w:r w:rsidRPr="00051297">
        <w:rPr>
          <w:lang w:val="en-US"/>
        </w:rPr>
        <w:fldChar w:fldCharType="begin"/>
      </w:r>
      <w:r w:rsidRPr="00051297">
        <w:rPr>
          <w:lang w:val="en-US"/>
        </w:rPr>
        <w:instrText xml:space="preserve"> REF _Ref98104643 \h </w:instrText>
      </w:r>
      <w:r w:rsidRPr="00051297">
        <w:rPr>
          <w:lang w:val="en-US"/>
        </w:rPr>
      </w:r>
      <w:r w:rsidRPr="00051297">
        <w:rPr>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2</w:t>
      </w:r>
      <w:r w:rsidR="004870F1" w:rsidRPr="00051297">
        <w:rPr>
          <w:rFonts w:cs="Times New Roman"/>
          <w:szCs w:val="24"/>
          <w:lang w:val="en-US" w:bidi="en-US"/>
        </w:rPr>
        <w:t>.</w:t>
      </w:r>
      <w:r w:rsidR="004870F1">
        <w:rPr>
          <w:rFonts w:cs="Times New Roman"/>
          <w:noProof/>
          <w:szCs w:val="24"/>
          <w:lang w:val="en-US" w:bidi="en-US"/>
        </w:rPr>
        <w:t>4</w:t>
      </w:r>
      <w:r w:rsidRPr="00051297">
        <w:rPr>
          <w:lang w:val="en-US"/>
        </w:rPr>
        <w:fldChar w:fldCharType="end"/>
      </w:r>
      <w:r w:rsidRPr="00051297">
        <w:rPr>
          <w:lang w:val="en-US"/>
        </w:rPr>
        <w:t xml:space="preserve"> presents the dimensions of the Chardara reservoir.</w:t>
      </w:r>
    </w:p>
    <w:p w14:paraId="74060F55" w14:textId="5F5595A2" w:rsidR="00051297" w:rsidRPr="00051297" w:rsidRDefault="00051297" w:rsidP="00051297">
      <w:pPr>
        <w:rPr>
          <w:rFonts w:cs="Times New Roman"/>
          <w:szCs w:val="24"/>
          <w:lang w:val="en-US" w:bidi="en-US"/>
        </w:rPr>
      </w:pPr>
      <w:bookmarkStart w:id="701" w:name="_Ref98104643"/>
      <w:bookmarkStart w:id="702" w:name="_Toc97077194"/>
      <w:bookmarkStart w:id="703" w:name="_Toc103544244"/>
      <w:bookmarkStart w:id="704" w:name="_Toc104985570"/>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2</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4</w:t>
      </w:r>
      <w:r w:rsidRPr="00051297">
        <w:rPr>
          <w:rFonts w:cs="Times New Roman"/>
          <w:szCs w:val="24"/>
          <w:lang w:val="en-US" w:bidi="en-US"/>
        </w:rPr>
        <w:fldChar w:fldCharType="end"/>
      </w:r>
      <w:bookmarkEnd w:id="701"/>
      <w:r w:rsidRPr="00051297">
        <w:rPr>
          <w:lang w:val="en-US"/>
        </w:rPr>
        <w:t xml:space="preserve"> </w:t>
      </w:r>
      <w:r w:rsidRPr="00051297">
        <w:rPr>
          <w:rFonts w:cs="Times New Roman"/>
          <w:szCs w:val="24"/>
          <w:lang w:val="en-US" w:bidi="en-US"/>
        </w:rPr>
        <w:t>– General dimensions of the Chardara reservoir</w:t>
      </w:r>
      <w:bookmarkEnd w:id="702"/>
      <w:bookmarkEnd w:id="703"/>
      <w:bookmarkEnd w:id="704"/>
    </w:p>
    <w:tbl>
      <w:tblPr>
        <w:tblStyle w:val="a8"/>
        <w:tblW w:w="0" w:type="auto"/>
        <w:jc w:val="center"/>
        <w:tblLook w:val="04A0" w:firstRow="1" w:lastRow="0" w:firstColumn="1" w:lastColumn="0" w:noHBand="0" w:noVBand="1"/>
      </w:tblPr>
      <w:tblGrid>
        <w:gridCol w:w="2664"/>
        <w:gridCol w:w="2664"/>
        <w:gridCol w:w="961"/>
        <w:gridCol w:w="961"/>
      </w:tblGrid>
      <w:tr w:rsidR="00051297" w:rsidRPr="00F727E3" w14:paraId="60D98FF0" w14:textId="77777777" w:rsidTr="00F727E3">
        <w:trPr>
          <w:trHeight w:val="170"/>
          <w:jc w:val="center"/>
        </w:trPr>
        <w:tc>
          <w:tcPr>
            <w:tcW w:w="2664" w:type="dxa"/>
            <w:noWrap/>
            <w:hideMark/>
          </w:tcPr>
          <w:p w14:paraId="27871A94" w14:textId="77777777" w:rsidR="00051297" w:rsidRPr="00F727E3" w:rsidRDefault="00051297" w:rsidP="00F727E3">
            <w:pPr>
              <w:spacing w:line="240" w:lineRule="auto"/>
              <w:ind w:firstLine="0"/>
              <w:jc w:val="center"/>
              <w:rPr>
                <w:sz w:val="20"/>
                <w:szCs w:val="20"/>
              </w:rPr>
            </w:pPr>
            <w:r w:rsidRPr="00F727E3">
              <w:rPr>
                <w:sz w:val="20"/>
                <w:szCs w:val="20"/>
              </w:rPr>
              <w:t>Parameter</w:t>
            </w:r>
          </w:p>
        </w:tc>
        <w:tc>
          <w:tcPr>
            <w:tcW w:w="2664" w:type="dxa"/>
            <w:noWrap/>
            <w:hideMark/>
          </w:tcPr>
          <w:p w14:paraId="05136C6C" w14:textId="77777777" w:rsidR="00051297" w:rsidRPr="00F727E3" w:rsidRDefault="00051297" w:rsidP="00F727E3">
            <w:pPr>
              <w:spacing w:line="240" w:lineRule="auto"/>
              <w:ind w:firstLine="0"/>
              <w:jc w:val="center"/>
              <w:rPr>
                <w:sz w:val="20"/>
                <w:szCs w:val="20"/>
              </w:rPr>
            </w:pPr>
            <w:r w:rsidRPr="00F727E3">
              <w:rPr>
                <w:sz w:val="20"/>
                <w:szCs w:val="20"/>
              </w:rPr>
              <w:t>Source</w:t>
            </w:r>
          </w:p>
        </w:tc>
        <w:tc>
          <w:tcPr>
            <w:tcW w:w="961" w:type="dxa"/>
            <w:noWrap/>
            <w:hideMark/>
          </w:tcPr>
          <w:p w14:paraId="553317BE" w14:textId="77777777" w:rsidR="00051297" w:rsidRPr="00F727E3" w:rsidRDefault="00051297" w:rsidP="00F727E3">
            <w:pPr>
              <w:spacing w:line="240" w:lineRule="auto"/>
              <w:ind w:firstLine="0"/>
              <w:jc w:val="center"/>
              <w:rPr>
                <w:sz w:val="20"/>
                <w:szCs w:val="20"/>
              </w:rPr>
            </w:pPr>
            <w:r w:rsidRPr="00F727E3">
              <w:rPr>
                <w:sz w:val="20"/>
                <w:szCs w:val="20"/>
              </w:rPr>
              <w:t>Unit</w:t>
            </w:r>
          </w:p>
        </w:tc>
        <w:tc>
          <w:tcPr>
            <w:tcW w:w="961" w:type="dxa"/>
            <w:noWrap/>
            <w:hideMark/>
          </w:tcPr>
          <w:p w14:paraId="2422A9D1" w14:textId="77777777" w:rsidR="00051297" w:rsidRPr="00F727E3" w:rsidRDefault="00051297" w:rsidP="00F727E3">
            <w:pPr>
              <w:spacing w:line="240" w:lineRule="auto"/>
              <w:ind w:firstLine="0"/>
              <w:jc w:val="center"/>
              <w:rPr>
                <w:sz w:val="20"/>
                <w:szCs w:val="20"/>
              </w:rPr>
            </w:pPr>
            <w:r w:rsidRPr="00F727E3">
              <w:rPr>
                <w:sz w:val="20"/>
                <w:szCs w:val="20"/>
              </w:rPr>
              <w:t>Value</w:t>
            </w:r>
          </w:p>
        </w:tc>
      </w:tr>
      <w:tr w:rsidR="00051297" w:rsidRPr="00F727E3" w14:paraId="59EA0A7C" w14:textId="77777777" w:rsidTr="00F727E3">
        <w:trPr>
          <w:trHeight w:val="216"/>
          <w:jc w:val="center"/>
        </w:trPr>
        <w:tc>
          <w:tcPr>
            <w:tcW w:w="2664" w:type="dxa"/>
            <w:vMerge w:val="restart"/>
            <w:hideMark/>
          </w:tcPr>
          <w:p w14:paraId="1573E24D" w14:textId="37EB7577" w:rsidR="00051297" w:rsidRPr="00F727E3" w:rsidRDefault="00051297" w:rsidP="00F727E3">
            <w:pPr>
              <w:spacing w:line="240" w:lineRule="auto"/>
              <w:ind w:firstLine="0"/>
              <w:jc w:val="center"/>
              <w:rPr>
                <w:sz w:val="20"/>
                <w:szCs w:val="20"/>
              </w:rPr>
            </w:pPr>
            <w:r w:rsidRPr="00F727E3">
              <w:rPr>
                <w:sz w:val="20"/>
                <w:szCs w:val="20"/>
              </w:rPr>
              <w:t>Total storage capacity</w:t>
            </w:r>
          </w:p>
        </w:tc>
        <w:tc>
          <w:tcPr>
            <w:tcW w:w="2664" w:type="dxa"/>
            <w:noWrap/>
            <w:hideMark/>
          </w:tcPr>
          <w:p w14:paraId="19BD5DF8" w14:textId="77777777" w:rsidR="00051297" w:rsidRPr="00F727E3" w:rsidRDefault="00051297" w:rsidP="00F727E3">
            <w:pPr>
              <w:spacing w:line="240" w:lineRule="auto"/>
              <w:ind w:firstLine="0"/>
              <w:jc w:val="center"/>
              <w:rPr>
                <w:sz w:val="20"/>
                <w:szCs w:val="20"/>
              </w:rPr>
            </w:pPr>
            <w:r w:rsidRPr="00F727E3">
              <w:rPr>
                <w:sz w:val="20"/>
                <w:szCs w:val="20"/>
              </w:rPr>
              <w:t>Design</w:t>
            </w:r>
          </w:p>
        </w:tc>
        <w:tc>
          <w:tcPr>
            <w:tcW w:w="961" w:type="dxa"/>
            <w:noWrap/>
            <w:hideMark/>
          </w:tcPr>
          <w:p w14:paraId="10CABD33" w14:textId="77777777" w:rsidR="00051297" w:rsidRPr="00F727E3" w:rsidRDefault="00051297" w:rsidP="00F727E3">
            <w:pPr>
              <w:spacing w:line="240" w:lineRule="auto"/>
              <w:ind w:firstLine="0"/>
              <w:jc w:val="center"/>
              <w:rPr>
                <w:sz w:val="20"/>
                <w:szCs w:val="20"/>
              </w:rPr>
            </w:pPr>
            <w:r w:rsidRPr="00F727E3">
              <w:rPr>
                <w:sz w:val="20"/>
                <w:szCs w:val="20"/>
              </w:rPr>
              <w:t>mm</w:t>
            </w:r>
            <w:r w:rsidRPr="00F727E3">
              <w:rPr>
                <w:sz w:val="20"/>
                <w:szCs w:val="20"/>
                <w:vertAlign w:val="superscript"/>
              </w:rPr>
              <w:t>3</w:t>
            </w:r>
          </w:p>
        </w:tc>
        <w:tc>
          <w:tcPr>
            <w:tcW w:w="961" w:type="dxa"/>
            <w:noWrap/>
            <w:hideMark/>
          </w:tcPr>
          <w:p w14:paraId="4CC919A7" w14:textId="77777777" w:rsidR="00051297" w:rsidRPr="00F727E3" w:rsidRDefault="00051297" w:rsidP="00F727E3">
            <w:pPr>
              <w:spacing w:line="240" w:lineRule="auto"/>
              <w:ind w:firstLine="0"/>
              <w:jc w:val="center"/>
              <w:rPr>
                <w:sz w:val="20"/>
                <w:szCs w:val="20"/>
              </w:rPr>
            </w:pPr>
            <w:r w:rsidRPr="00F727E3">
              <w:rPr>
                <w:sz w:val="20"/>
                <w:szCs w:val="20"/>
              </w:rPr>
              <w:t>5700</w:t>
            </w:r>
          </w:p>
        </w:tc>
      </w:tr>
      <w:tr w:rsidR="00051297" w:rsidRPr="00F727E3" w14:paraId="7EEA3C66" w14:textId="77777777" w:rsidTr="00F727E3">
        <w:trPr>
          <w:trHeight w:val="170"/>
          <w:jc w:val="center"/>
        </w:trPr>
        <w:tc>
          <w:tcPr>
            <w:tcW w:w="2664" w:type="dxa"/>
            <w:vMerge/>
            <w:hideMark/>
          </w:tcPr>
          <w:p w14:paraId="02A129B1" w14:textId="77777777" w:rsidR="00051297" w:rsidRPr="00F727E3" w:rsidRDefault="00051297" w:rsidP="00F727E3">
            <w:pPr>
              <w:spacing w:line="240" w:lineRule="auto"/>
              <w:ind w:firstLine="0"/>
              <w:jc w:val="center"/>
              <w:rPr>
                <w:sz w:val="20"/>
                <w:szCs w:val="20"/>
              </w:rPr>
            </w:pPr>
          </w:p>
        </w:tc>
        <w:tc>
          <w:tcPr>
            <w:tcW w:w="2664" w:type="dxa"/>
            <w:hideMark/>
          </w:tcPr>
          <w:p w14:paraId="7BC91B54" w14:textId="7D5DA6D6" w:rsidR="00051297" w:rsidRPr="00F727E3" w:rsidRDefault="00051297" w:rsidP="00F727E3">
            <w:pPr>
              <w:spacing w:line="240" w:lineRule="auto"/>
              <w:ind w:firstLine="0"/>
              <w:jc w:val="center"/>
              <w:rPr>
                <w:sz w:val="20"/>
                <w:szCs w:val="20"/>
              </w:rPr>
            </w:pPr>
            <w:r w:rsidRPr="00F727E3">
              <w:rPr>
                <w:sz w:val="20"/>
                <w:szCs w:val="20"/>
              </w:rPr>
              <w:t>1977 Survey</w:t>
            </w:r>
          </w:p>
        </w:tc>
        <w:tc>
          <w:tcPr>
            <w:tcW w:w="961" w:type="dxa"/>
            <w:noWrap/>
            <w:hideMark/>
          </w:tcPr>
          <w:p w14:paraId="6D2A4FEA" w14:textId="77777777" w:rsidR="00051297" w:rsidRPr="00F727E3" w:rsidRDefault="00051297" w:rsidP="00F727E3">
            <w:pPr>
              <w:spacing w:line="240" w:lineRule="auto"/>
              <w:ind w:firstLine="0"/>
              <w:jc w:val="center"/>
              <w:rPr>
                <w:sz w:val="20"/>
                <w:szCs w:val="20"/>
              </w:rPr>
            </w:pPr>
            <w:r w:rsidRPr="00F727E3">
              <w:rPr>
                <w:sz w:val="20"/>
                <w:szCs w:val="20"/>
              </w:rPr>
              <w:t>mm</w:t>
            </w:r>
            <w:r w:rsidRPr="00F727E3">
              <w:rPr>
                <w:sz w:val="20"/>
                <w:szCs w:val="20"/>
                <w:vertAlign w:val="superscript"/>
              </w:rPr>
              <w:t>3</w:t>
            </w:r>
          </w:p>
        </w:tc>
        <w:tc>
          <w:tcPr>
            <w:tcW w:w="961" w:type="dxa"/>
            <w:noWrap/>
            <w:hideMark/>
          </w:tcPr>
          <w:p w14:paraId="0B48B23B" w14:textId="77777777" w:rsidR="00051297" w:rsidRPr="00F727E3" w:rsidRDefault="00051297" w:rsidP="00F727E3">
            <w:pPr>
              <w:spacing w:line="240" w:lineRule="auto"/>
              <w:ind w:firstLine="0"/>
              <w:jc w:val="center"/>
              <w:rPr>
                <w:sz w:val="20"/>
                <w:szCs w:val="20"/>
              </w:rPr>
            </w:pPr>
            <w:r w:rsidRPr="00F727E3">
              <w:rPr>
                <w:sz w:val="20"/>
                <w:szCs w:val="20"/>
              </w:rPr>
              <w:t>5197</w:t>
            </w:r>
          </w:p>
        </w:tc>
      </w:tr>
      <w:tr w:rsidR="00051297" w:rsidRPr="00F727E3" w14:paraId="373C1986" w14:textId="77777777" w:rsidTr="00F727E3">
        <w:trPr>
          <w:trHeight w:val="170"/>
          <w:jc w:val="center"/>
        </w:trPr>
        <w:tc>
          <w:tcPr>
            <w:tcW w:w="2664" w:type="dxa"/>
            <w:vMerge w:val="restart"/>
            <w:noWrap/>
            <w:hideMark/>
          </w:tcPr>
          <w:p w14:paraId="7B1C1361" w14:textId="0CD668F0" w:rsidR="00051297" w:rsidRPr="00F727E3" w:rsidRDefault="00051297" w:rsidP="00F727E3">
            <w:pPr>
              <w:spacing w:line="240" w:lineRule="auto"/>
              <w:ind w:firstLine="0"/>
              <w:jc w:val="center"/>
              <w:rPr>
                <w:sz w:val="20"/>
                <w:szCs w:val="20"/>
              </w:rPr>
            </w:pPr>
            <w:r w:rsidRPr="00F727E3">
              <w:rPr>
                <w:sz w:val="20"/>
                <w:szCs w:val="20"/>
              </w:rPr>
              <w:t>Active storage capacity</w:t>
            </w:r>
          </w:p>
        </w:tc>
        <w:tc>
          <w:tcPr>
            <w:tcW w:w="2664" w:type="dxa"/>
            <w:hideMark/>
          </w:tcPr>
          <w:p w14:paraId="7F207A07" w14:textId="77777777" w:rsidR="00051297" w:rsidRPr="00F727E3" w:rsidRDefault="00051297" w:rsidP="00F727E3">
            <w:pPr>
              <w:spacing w:line="240" w:lineRule="auto"/>
              <w:ind w:firstLine="0"/>
              <w:jc w:val="center"/>
              <w:rPr>
                <w:sz w:val="20"/>
                <w:szCs w:val="20"/>
              </w:rPr>
            </w:pPr>
            <w:r w:rsidRPr="00F727E3">
              <w:rPr>
                <w:sz w:val="20"/>
                <w:szCs w:val="20"/>
              </w:rPr>
              <w:t>Design</w:t>
            </w:r>
          </w:p>
        </w:tc>
        <w:tc>
          <w:tcPr>
            <w:tcW w:w="961" w:type="dxa"/>
            <w:noWrap/>
            <w:hideMark/>
          </w:tcPr>
          <w:p w14:paraId="1BF6603F" w14:textId="77777777" w:rsidR="00051297" w:rsidRPr="00F727E3" w:rsidRDefault="00051297" w:rsidP="00F727E3">
            <w:pPr>
              <w:spacing w:line="240" w:lineRule="auto"/>
              <w:ind w:firstLine="0"/>
              <w:jc w:val="center"/>
              <w:rPr>
                <w:sz w:val="20"/>
                <w:szCs w:val="20"/>
              </w:rPr>
            </w:pPr>
            <w:r w:rsidRPr="00F727E3">
              <w:rPr>
                <w:sz w:val="20"/>
                <w:szCs w:val="20"/>
              </w:rPr>
              <w:t>mm</w:t>
            </w:r>
            <w:r w:rsidRPr="00F727E3">
              <w:rPr>
                <w:sz w:val="20"/>
                <w:szCs w:val="20"/>
                <w:vertAlign w:val="superscript"/>
              </w:rPr>
              <w:t>3</w:t>
            </w:r>
          </w:p>
        </w:tc>
        <w:tc>
          <w:tcPr>
            <w:tcW w:w="961" w:type="dxa"/>
            <w:noWrap/>
            <w:hideMark/>
          </w:tcPr>
          <w:p w14:paraId="55D7148C" w14:textId="77777777" w:rsidR="00051297" w:rsidRPr="00F727E3" w:rsidRDefault="00051297" w:rsidP="00F727E3">
            <w:pPr>
              <w:spacing w:line="240" w:lineRule="auto"/>
              <w:ind w:firstLine="0"/>
              <w:jc w:val="center"/>
              <w:rPr>
                <w:sz w:val="20"/>
                <w:szCs w:val="20"/>
              </w:rPr>
            </w:pPr>
            <w:r w:rsidRPr="00F727E3">
              <w:rPr>
                <w:sz w:val="20"/>
                <w:szCs w:val="20"/>
              </w:rPr>
              <w:t>4700</w:t>
            </w:r>
          </w:p>
        </w:tc>
      </w:tr>
      <w:tr w:rsidR="00051297" w:rsidRPr="00F727E3" w14:paraId="7B3126B0" w14:textId="77777777" w:rsidTr="00F727E3">
        <w:trPr>
          <w:trHeight w:val="170"/>
          <w:jc w:val="center"/>
        </w:trPr>
        <w:tc>
          <w:tcPr>
            <w:tcW w:w="2664" w:type="dxa"/>
            <w:vMerge/>
            <w:hideMark/>
          </w:tcPr>
          <w:p w14:paraId="17ABFB48" w14:textId="77777777" w:rsidR="00051297" w:rsidRPr="00F727E3" w:rsidRDefault="00051297" w:rsidP="00F727E3">
            <w:pPr>
              <w:spacing w:line="240" w:lineRule="auto"/>
              <w:ind w:firstLine="0"/>
              <w:jc w:val="center"/>
              <w:rPr>
                <w:sz w:val="20"/>
                <w:szCs w:val="20"/>
              </w:rPr>
            </w:pPr>
          </w:p>
        </w:tc>
        <w:tc>
          <w:tcPr>
            <w:tcW w:w="2664" w:type="dxa"/>
            <w:hideMark/>
          </w:tcPr>
          <w:p w14:paraId="3BD3A537" w14:textId="77777777" w:rsidR="00051297" w:rsidRPr="00F727E3" w:rsidRDefault="00051297" w:rsidP="00F727E3">
            <w:pPr>
              <w:spacing w:line="240" w:lineRule="auto"/>
              <w:ind w:firstLine="0"/>
              <w:jc w:val="center"/>
              <w:rPr>
                <w:sz w:val="20"/>
                <w:szCs w:val="20"/>
              </w:rPr>
            </w:pPr>
            <w:r w:rsidRPr="00F727E3">
              <w:rPr>
                <w:sz w:val="20"/>
                <w:szCs w:val="20"/>
              </w:rPr>
              <w:t>1977 Survey</w:t>
            </w:r>
          </w:p>
        </w:tc>
        <w:tc>
          <w:tcPr>
            <w:tcW w:w="961" w:type="dxa"/>
            <w:noWrap/>
            <w:hideMark/>
          </w:tcPr>
          <w:p w14:paraId="41760154" w14:textId="77777777" w:rsidR="00051297" w:rsidRPr="00F727E3" w:rsidRDefault="00051297" w:rsidP="00F727E3">
            <w:pPr>
              <w:spacing w:line="240" w:lineRule="auto"/>
              <w:ind w:firstLine="0"/>
              <w:jc w:val="center"/>
              <w:rPr>
                <w:sz w:val="20"/>
                <w:szCs w:val="20"/>
              </w:rPr>
            </w:pPr>
            <w:r w:rsidRPr="00F727E3">
              <w:rPr>
                <w:sz w:val="20"/>
                <w:szCs w:val="20"/>
              </w:rPr>
              <w:t>mm</w:t>
            </w:r>
            <w:r w:rsidRPr="00F727E3">
              <w:rPr>
                <w:sz w:val="20"/>
                <w:szCs w:val="20"/>
                <w:vertAlign w:val="superscript"/>
              </w:rPr>
              <w:t>3</w:t>
            </w:r>
          </w:p>
        </w:tc>
        <w:tc>
          <w:tcPr>
            <w:tcW w:w="961" w:type="dxa"/>
            <w:noWrap/>
            <w:hideMark/>
          </w:tcPr>
          <w:p w14:paraId="671DBEE4" w14:textId="77777777" w:rsidR="00051297" w:rsidRPr="00F727E3" w:rsidRDefault="00051297" w:rsidP="00F727E3">
            <w:pPr>
              <w:spacing w:line="240" w:lineRule="auto"/>
              <w:ind w:firstLine="0"/>
              <w:jc w:val="center"/>
              <w:rPr>
                <w:sz w:val="20"/>
                <w:szCs w:val="20"/>
              </w:rPr>
            </w:pPr>
            <w:r w:rsidRPr="00F727E3">
              <w:rPr>
                <w:sz w:val="20"/>
                <w:szCs w:val="20"/>
              </w:rPr>
              <w:t>4230</w:t>
            </w:r>
          </w:p>
        </w:tc>
      </w:tr>
      <w:tr w:rsidR="00051297" w:rsidRPr="00F727E3" w14:paraId="5E382852" w14:textId="77777777" w:rsidTr="00F727E3">
        <w:trPr>
          <w:trHeight w:val="170"/>
          <w:jc w:val="center"/>
        </w:trPr>
        <w:tc>
          <w:tcPr>
            <w:tcW w:w="2664" w:type="dxa"/>
            <w:vMerge w:val="restart"/>
            <w:noWrap/>
            <w:hideMark/>
          </w:tcPr>
          <w:p w14:paraId="27A6236D" w14:textId="77777777" w:rsidR="00051297" w:rsidRPr="00F727E3" w:rsidRDefault="00051297" w:rsidP="00F727E3">
            <w:pPr>
              <w:spacing w:line="240" w:lineRule="auto"/>
              <w:ind w:firstLine="0"/>
              <w:jc w:val="center"/>
              <w:rPr>
                <w:sz w:val="20"/>
                <w:szCs w:val="20"/>
              </w:rPr>
            </w:pPr>
            <w:r w:rsidRPr="00F727E3">
              <w:rPr>
                <w:sz w:val="20"/>
                <w:szCs w:val="20"/>
              </w:rPr>
              <w:t>Dead storage capacity</w:t>
            </w:r>
          </w:p>
        </w:tc>
        <w:tc>
          <w:tcPr>
            <w:tcW w:w="2664" w:type="dxa"/>
            <w:noWrap/>
            <w:hideMark/>
          </w:tcPr>
          <w:p w14:paraId="2BA9DF3F" w14:textId="18848925" w:rsidR="00051297" w:rsidRPr="00F727E3" w:rsidRDefault="00051297" w:rsidP="00F727E3">
            <w:pPr>
              <w:spacing w:line="240" w:lineRule="auto"/>
              <w:ind w:firstLine="0"/>
              <w:jc w:val="center"/>
              <w:rPr>
                <w:sz w:val="20"/>
                <w:szCs w:val="20"/>
              </w:rPr>
            </w:pPr>
            <w:r w:rsidRPr="00F727E3">
              <w:rPr>
                <w:sz w:val="20"/>
                <w:szCs w:val="20"/>
              </w:rPr>
              <w:t>Design</w:t>
            </w:r>
          </w:p>
        </w:tc>
        <w:tc>
          <w:tcPr>
            <w:tcW w:w="961" w:type="dxa"/>
            <w:noWrap/>
            <w:hideMark/>
          </w:tcPr>
          <w:p w14:paraId="2EE634C7" w14:textId="77777777" w:rsidR="00051297" w:rsidRPr="00F727E3" w:rsidRDefault="00051297" w:rsidP="00F727E3">
            <w:pPr>
              <w:spacing w:line="240" w:lineRule="auto"/>
              <w:ind w:firstLine="0"/>
              <w:jc w:val="center"/>
              <w:rPr>
                <w:sz w:val="20"/>
                <w:szCs w:val="20"/>
              </w:rPr>
            </w:pPr>
            <w:r w:rsidRPr="00F727E3">
              <w:rPr>
                <w:sz w:val="20"/>
                <w:szCs w:val="20"/>
              </w:rPr>
              <w:t>mm</w:t>
            </w:r>
            <w:r w:rsidRPr="00F727E3">
              <w:rPr>
                <w:sz w:val="20"/>
                <w:szCs w:val="20"/>
                <w:vertAlign w:val="superscript"/>
              </w:rPr>
              <w:t>3</w:t>
            </w:r>
          </w:p>
        </w:tc>
        <w:tc>
          <w:tcPr>
            <w:tcW w:w="961" w:type="dxa"/>
            <w:noWrap/>
            <w:hideMark/>
          </w:tcPr>
          <w:p w14:paraId="5083754F" w14:textId="77777777" w:rsidR="00051297" w:rsidRPr="00F727E3" w:rsidRDefault="00051297" w:rsidP="00F727E3">
            <w:pPr>
              <w:spacing w:line="240" w:lineRule="auto"/>
              <w:ind w:firstLine="0"/>
              <w:jc w:val="center"/>
              <w:rPr>
                <w:sz w:val="20"/>
                <w:szCs w:val="20"/>
              </w:rPr>
            </w:pPr>
            <w:r w:rsidRPr="00F727E3">
              <w:rPr>
                <w:sz w:val="20"/>
                <w:szCs w:val="20"/>
              </w:rPr>
              <w:t>1000</w:t>
            </w:r>
          </w:p>
        </w:tc>
      </w:tr>
      <w:tr w:rsidR="00051297" w:rsidRPr="00F727E3" w14:paraId="486FE424" w14:textId="77777777" w:rsidTr="00F727E3">
        <w:trPr>
          <w:trHeight w:val="170"/>
          <w:jc w:val="center"/>
        </w:trPr>
        <w:tc>
          <w:tcPr>
            <w:tcW w:w="2664" w:type="dxa"/>
            <w:vMerge/>
            <w:hideMark/>
          </w:tcPr>
          <w:p w14:paraId="2B6FBCB7" w14:textId="77777777" w:rsidR="00051297" w:rsidRPr="00F727E3" w:rsidRDefault="00051297" w:rsidP="00F727E3">
            <w:pPr>
              <w:spacing w:line="240" w:lineRule="auto"/>
              <w:ind w:firstLine="0"/>
              <w:jc w:val="center"/>
              <w:rPr>
                <w:sz w:val="20"/>
                <w:szCs w:val="20"/>
              </w:rPr>
            </w:pPr>
          </w:p>
        </w:tc>
        <w:tc>
          <w:tcPr>
            <w:tcW w:w="2664" w:type="dxa"/>
            <w:noWrap/>
            <w:hideMark/>
          </w:tcPr>
          <w:p w14:paraId="78A773AC" w14:textId="77777777" w:rsidR="00051297" w:rsidRPr="00F727E3" w:rsidRDefault="00051297" w:rsidP="00F727E3">
            <w:pPr>
              <w:spacing w:line="240" w:lineRule="auto"/>
              <w:ind w:firstLine="0"/>
              <w:jc w:val="center"/>
              <w:rPr>
                <w:sz w:val="20"/>
                <w:szCs w:val="20"/>
              </w:rPr>
            </w:pPr>
            <w:r w:rsidRPr="00F727E3">
              <w:rPr>
                <w:sz w:val="20"/>
                <w:szCs w:val="20"/>
              </w:rPr>
              <w:t>1977 Survey</w:t>
            </w:r>
          </w:p>
        </w:tc>
        <w:tc>
          <w:tcPr>
            <w:tcW w:w="961" w:type="dxa"/>
            <w:noWrap/>
            <w:hideMark/>
          </w:tcPr>
          <w:p w14:paraId="4B0D7A5B" w14:textId="77777777" w:rsidR="00051297" w:rsidRPr="00F727E3" w:rsidRDefault="00051297" w:rsidP="00F727E3">
            <w:pPr>
              <w:spacing w:line="240" w:lineRule="auto"/>
              <w:ind w:firstLine="0"/>
              <w:jc w:val="center"/>
              <w:rPr>
                <w:sz w:val="20"/>
                <w:szCs w:val="20"/>
              </w:rPr>
            </w:pPr>
            <w:r w:rsidRPr="00F727E3">
              <w:rPr>
                <w:sz w:val="20"/>
                <w:szCs w:val="20"/>
              </w:rPr>
              <w:t>mm</w:t>
            </w:r>
            <w:r w:rsidRPr="00F727E3">
              <w:rPr>
                <w:sz w:val="20"/>
                <w:szCs w:val="20"/>
                <w:vertAlign w:val="superscript"/>
              </w:rPr>
              <w:t>3</w:t>
            </w:r>
          </w:p>
        </w:tc>
        <w:tc>
          <w:tcPr>
            <w:tcW w:w="961" w:type="dxa"/>
            <w:noWrap/>
            <w:hideMark/>
          </w:tcPr>
          <w:p w14:paraId="5F1BCC0C" w14:textId="77777777" w:rsidR="00051297" w:rsidRPr="00F727E3" w:rsidRDefault="00051297" w:rsidP="00F727E3">
            <w:pPr>
              <w:spacing w:line="240" w:lineRule="auto"/>
              <w:ind w:firstLine="0"/>
              <w:jc w:val="center"/>
              <w:rPr>
                <w:sz w:val="20"/>
                <w:szCs w:val="20"/>
              </w:rPr>
            </w:pPr>
            <w:r w:rsidRPr="00F727E3">
              <w:rPr>
                <w:sz w:val="20"/>
                <w:szCs w:val="20"/>
              </w:rPr>
              <w:t>967</w:t>
            </w:r>
          </w:p>
        </w:tc>
      </w:tr>
      <w:tr w:rsidR="00051297" w:rsidRPr="00F727E3" w14:paraId="0E0E96D7" w14:textId="77777777" w:rsidTr="00F727E3">
        <w:trPr>
          <w:trHeight w:val="170"/>
          <w:jc w:val="center"/>
        </w:trPr>
        <w:tc>
          <w:tcPr>
            <w:tcW w:w="2664" w:type="dxa"/>
            <w:noWrap/>
            <w:hideMark/>
          </w:tcPr>
          <w:p w14:paraId="0790159E" w14:textId="77777777" w:rsidR="00051297" w:rsidRPr="00F727E3" w:rsidRDefault="00051297" w:rsidP="00F727E3">
            <w:pPr>
              <w:spacing w:line="240" w:lineRule="auto"/>
              <w:ind w:firstLine="0"/>
              <w:jc w:val="center"/>
              <w:rPr>
                <w:sz w:val="20"/>
                <w:szCs w:val="20"/>
              </w:rPr>
            </w:pPr>
            <w:r w:rsidRPr="00F727E3">
              <w:rPr>
                <w:sz w:val="20"/>
                <w:szCs w:val="20"/>
              </w:rPr>
              <w:t>Full storage level</w:t>
            </w:r>
          </w:p>
        </w:tc>
        <w:tc>
          <w:tcPr>
            <w:tcW w:w="2664" w:type="dxa"/>
            <w:noWrap/>
            <w:hideMark/>
          </w:tcPr>
          <w:p w14:paraId="3D9A0E63" w14:textId="0FE43BA7" w:rsidR="00051297" w:rsidRPr="00F727E3" w:rsidRDefault="009D76FB" w:rsidP="00F727E3">
            <w:pPr>
              <w:spacing w:line="240" w:lineRule="auto"/>
              <w:ind w:firstLine="0"/>
              <w:jc w:val="center"/>
              <w:rPr>
                <w:sz w:val="20"/>
                <w:szCs w:val="20"/>
              </w:rPr>
            </w:pPr>
            <w:r w:rsidRPr="00F727E3">
              <w:rPr>
                <w:sz w:val="20"/>
                <w:szCs w:val="20"/>
              </w:rPr>
              <w:t>Survey</w:t>
            </w:r>
          </w:p>
        </w:tc>
        <w:tc>
          <w:tcPr>
            <w:tcW w:w="961" w:type="dxa"/>
            <w:noWrap/>
            <w:hideMark/>
          </w:tcPr>
          <w:p w14:paraId="5A26CA73" w14:textId="59F1F662" w:rsidR="00051297" w:rsidRPr="00F727E3" w:rsidRDefault="009D76FB" w:rsidP="00F727E3">
            <w:pPr>
              <w:spacing w:line="240" w:lineRule="auto"/>
              <w:ind w:firstLine="0"/>
              <w:jc w:val="center"/>
              <w:rPr>
                <w:sz w:val="20"/>
                <w:szCs w:val="20"/>
              </w:rPr>
            </w:pPr>
            <w:r>
              <w:rPr>
                <w:sz w:val="20"/>
                <w:szCs w:val="20"/>
              </w:rPr>
              <w:t>m.a.s.l.</w:t>
            </w:r>
            <w:r w:rsidR="00051297" w:rsidRPr="00F727E3">
              <w:rPr>
                <w:sz w:val="20"/>
                <w:szCs w:val="20"/>
              </w:rPr>
              <w:t>.</w:t>
            </w:r>
          </w:p>
        </w:tc>
        <w:tc>
          <w:tcPr>
            <w:tcW w:w="961" w:type="dxa"/>
            <w:noWrap/>
            <w:hideMark/>
          </w:tcPr>
          <w:p w14:paraId="1D31797E" w14:textId="77777777" w:rsidR="00051297" w:rsidRPr="00F727E3" w:rsidRDefault="00051297" w:rsidP="00F727E3">
            <w:pPr>
              <w:spacing w:line="240" w:lineRule="auto"/>
              <w:ind w:firstLine="0"/>
              <w:jc w:val="center"/>
              <w:rPr>
                <w:sz w:val="20"/>
                <w:szCs w:val="20"/>
              </w:rPr>
            </w:pPr>
            <w:r w:rsidRPr="00F727E3">
              <w:rPr>
                <w:sz w:val="20"/>
                <w:szCs w:val="20"/>
              </w:rPr>
              <w:t>252</w:t>
            </w:r>
          </w:p>
        </w:tc>
      </w:tr>
      <w:tr w:rsidR="00051297" w:rsidRPr="00F727E3" w14:paraId="48F4DA89" w14:textId="77777777" w:rsidTr="00F727E3">
        <w:trPr>
          <w:trHeight w:val="20"/>
          <w:jc w:val="center"/>
        </w:trPr>
        <w:tc>
          <w:tcPr>
            <w:tcW w:w="2664" w:type="dxa"/>
            <w:noWrap/>
            <w:hideMark/>
          </w:tcPr>
          <w:p w14:paraId="60BD7532" w14:textId="77777777" w:rsidR="00051297" w:rsidRPr="00F727E3" w:rsidRDefault="00051297" w:rsidP="00F727E3">
            <w:pPr>
              <w:spacing w:line="240" w:lineRule="auto"/>
              <w:ind w:firstLine="0"/>
              <w:jc w:val="center"/>
              <w:rPr>
                <w:sz w:val="20"/>
                <w:szCs w:val="20"/>
              </w:rPr>
            </w:pPr>
            <w:r w:rsidRPr="00F727E3">
              <w:rPr>
                <w:sz w:val="20"/>
                <w:szCs w:val="20"/>
              </w:rPr>
              <w:t>Maximum water level</w:t>
            </w:r>
          </w:p>
        </w:tc>
        <w:tc>
          <w:tcPr>
            <w:tcW w:w="2664" w:type="dxa"/>
            <w:noWrap/>
            <w:hideMark/>
          </w:tcPr>
          <w:p w14:paraId="5F45D6C1" w14:textId="1259370A" w:rsidR="00051297" w:rsidRPr="00F727E3" w:rsidRDefault="009D76FB" w:rsidP="00F727E3">
            <w:pPr>
              <w:spacing w:line="240" w:lineRule="auto"/>
              <w:ind w:firstLine="0"/>
              <w:jc w:val="center"/>
              <w:rPr>
                <w:sz w:val="20"/>
                <w:szCs w:val="20"/>
              </w:rPr>
            </w:pPr>
            <w:r w:rsidRPr="00F727E3">
              <w:rPr>
                <w:sz w:val="20"/>
                <w:szCs w:val="20"/>
              </w:rPr>
              <w:t>Survey</w:t>
            </w:r>
          </w:p>
        </w:tc>
        <w:tc>
          <w:tcPr>
            <w:tcW w:w="961" w:type="dxa"/>
            <w:noWrap/>
            <w:hideMark/>
          </w:tcPr>
          <w:p w14:paraId="154C90EB" w14:textId="551296F9" w:rsidR="00051297" w:rsidRPr="00F727E3" w:rsidRDefault="009D76FB" w:rsidP="00F727E3">
            <w:pPr>
              <w:spacing w:line="240" w:lineRule="auto"/>
              <w:ind w:firstLine="0"/>
              <w:jc w:val="center"/>
              <w:rPr>
                <w:sz w:val="20"/>
                <w:szCs w:val="20"/>
              </w:rPr>
            </w:pPr>
            <w:r>
              <w:rPr>
                <w:sz w:val="20"/>
                <w:szCs w:val="20"/>
              </w:rPr>
              <w:t>m.a.s.l.</w:t>
            </w:r>
            <w:r w:rsidR="00051297" w:rsidRPr="00F727E3">
              <w:rPr>
                <w:sz w:val="20"/>
                <w:szCs w:val="20"/>
              </w:rPr>
              <w:t>.</w:t>
            </w:r>
          </w:p>
        </w:tc>
        <w:tc>
          <w:tcPr>
            <w:tcW w:w="961" w:type="dxa"/>
            <w:noWrap/>
            <w:hideMark/>
          </w:tcPr>
          <w:p w14:paraId="356042F1" w14:textId="77777777" w:rsidR="00051297" w:rsidRPr="00F727E3" w:rsidRDefault="00051297" w:rsidP="00F727E3">
            <w:pPr>
              <w:spacing w:line="240" w:lineRule="auto"/>
              <w:ind w:firstLine="0"/>
              <w:jc w:val="center"/>
              <w:rPr>
                <w:sz w:val="20"/>
                <w:szCs w:val="20"/>
              </w:rPr>
            </w:pPr>
            <w:r w:rsidRPr="00F727E3">
              <w:rPr>
                <w:sz w:val="20"/>
                <w:szCs w:val="20"/>
              </w:rPr>
              <w:t>253</w:t>
            </w:r>
          </w:p>
        </w:tc>
      </w:tr>
      <w:tr w:rsidR="00051297" w:rsidRPr="00F727E3" w14:paraId="7D87281D" w14:textId="77777777" w:rsidTr="00F727E3">
        <w:trPr>
          <w:trHeight w:val="170"/>
          <w:jc w:val="center"/>
        </w:trPr>
        <w:tc>
          <w:tcPr>
            <w:tcW w:w="2664" w:type="dxa"/>
            <w:noWrap/>
            <w:hideMark/>
          </w:tcPr>
          <w:p w14:paraId="7470A271" w14:textId="77777777" w:rsidR="00051297" w:rsidRPr="00F727E3" w:rsidRDefault="00051297" w:rsidP="00F727E3">
            <w:pPr>
              <w:spacing w:line="240" w:lineRule="auto"/>
              <w:ind w:firstLine="0"/>
              <w:jc w:val="center"/>
              <w:rPr>
                <w:sz w:val="20"/>
                <w:szCs w:val="20"/>
              </w:rPr>
            </w:pPr>
            <w:r w:rsidRPr="00F727E3">
              <w:rPr>
                <w:sz w:val="20"/>
                <w:szCs w:val="20"/>
              </w:rPr>
              <w:t>Dead storage level</w:t>
            </w:r>
          </w:p>
        </w:tc>
        <w:tc>
          <w:tcPr>
            <w:tcW w:w="2664" w:type="dxa"/>
            <w:noWrap/>
            <w:hideMark/>
          </w:tcPr>
          <w:p w14:paraId="2014BFBD" w14:textId="5B473C8B" w:rsidR="00051297" w:rsidRPr="00F727E3" w:rsidRDefault="009D76FB" w:rsidP="00F727E3">
            <w:pPr>
              <w:spacing w:line="240" w:lineRule="auto"/>
              <w:ind w:firstLine="0"/>
              <w:jc w:val="center"/>
              <w:rPr>
                <w:sz w:val="20"/>
                <w:szCs w:val="20"/>
              </w:rPr>
            </w:pPr>
            <w:r w:rsidRPr="00F727E3">
              <w:rPr>
                <w:sz w:val="20"/>
                <w:szCs w:val="20"/>
              </w:rPr>
              <w:t>Survey</w:t>
            </w:r>
          </w:p>
        </w:tc>
        <w:tc>
          <w:tcPr>
            <w:tcW w:w="961" w:type="dxa"/>
            <w:noWrap/>
            <w:hideMark/>
          </w:tcPr>
          <w:p w14:paraId="570C84B5" w14:textId="5ECEC72A" w:rsidR="00051297" w:rsidRPr="00F727E3" w:rsidRDefault="009D76FB" w:rsidP="00F727E3">
            <w:pPr>
              <w:spacing w:line="240" w:lineRule="auto"/>
              <w:ind w:firstLine="0"/>
              <w:jc w:val="center"/>
              <w:rPr>
                <w:sz w:val="20"/>
                <w:szCs w:val="20"/>
              </w:rPr>
            </w:pPr>
            <w:r>
              <w:rPr>
                <w:sz w:val="20"/>
                <w:szCs w:val="20"/>
              </w:rPr>
              <w:t>m.a.s.l.</w:t>
            </w:r>
            <w:r w:rsidR="00051297" w:rsidRPr="00F727E3">
              <w:rPr>
                <w:sz w:val="20"/>
                <w:szCs w:val="20"/>
              </w:rPr>
              <w:t>.</w:t>
            </w:r>
          </w:p>
        </w:tc>
        <w:tc>
          <w:tcPr>
            <w:tcW w:w="961" w:type="dxa"/>
            <w:noWrap/>
            <w:hideMark/>
          </w:tcPr>
          <w:p w14:paraId="164C05CC" w14:textId="77777777" w:rsidR="00051297" w:rsidRPr="00F727E3" w:rsidRDefault="00051297" w:rsidP="00F727E3">
            <w:pPr>
              <w:spacing w:line="240" w:lineRule="auto"/>
              <w:ind w:firstLine="0"/>
              <w:jc w:val="center"/>
              <w:rPr>
                <w:sz w:val="20"/>
                <w:szCs w:val="20"/>
              </w:rPr>
            </w:pPr>
            <w:r w:rsidRPr="00F727E3">
              <w:rPr>
                <w:sz w:val="20"/>
                <w:szCs w:val="20"/>
              </w:rPr>
              <w:t>244</w:t>
            </w:r>
          </w:p>
        </w:tc>
      </w:tr>
      <w:tr w:rsidR="00051297" w:rsidRPr="00F727E3" w14:paraId="656F2E0D" w14:textId="77777777" w:rsidTr="00F727E3">
        <w:trPr>
          <w:trHeight w:val="170"/>
          <w:jc w:val="center"/>
        </w:trPr>
        <w:tc>
          <w:tcPr>
            <w:tcW w:w="2664" w:type="dxa"/>
            <w:vMerge w:val="restart"/>
            <w:noWrap/>
            <w:hideMark/>
          </w:tcPr>
          <w:p w14:paraId="451AEBE7" w14:textId="77777777" w:rsidR="00051297" w:rsidRPr="00F727E3" w:rsidRDefault="00051297" w:rsidP="00F727E3">
            <w:pPr>
              <w:spacing w:line="240" w:lineRule="auto"/>
              <w:ind w:firstLine="0"/>
              <w:jc w:val="center"/>
              <w:rPr>
                <w:sz w:val="20"/>
                <w:szCs w:val="20"/>
                <w:lang w:val="en-US"/>
              </w:rPr>
            </w:pPr>
            <w:r w:rsidRPr="00F727E3">
              <w:rPr>
                <w:sz w:val="20"/>
                <w:szCs w:val="20"/>
                <w:lang w:val="en-US"/>
              </w:rPr>
              <w:t>The surface level at FSL</w:t>
            </w:r>
          </w:p>
        </w:tc>
        <w:tc>
          <w:tcPr>
            <w:tcW w:w="2664" w:type="dxa"/>
            <w:hideMark/>
          </w:tcPr>
          <w:p w14:paraId="34D8D110" w14:textId="77777777" w:rsidR="00051297" w:rsidRPr="00F727E3" w:rsidRDefault="00051297" w:rsidP="00F727E3">
            <w:pPr>
              <w:spacing w:line="240" w:lineRule="auto"/>
              <w:ind w:firstLine="0"/>
              <w:jc w:val="center"/>
              <w:rPr>
                <w:sz w:val="20"/>
                <w:szCs w:val="20"/>
              </w:rPr>
            </w:pPr>
            <w:r w:rsidRPr="00F727E3">
              <w:rPr>
                <w:sz w:val="20"/>
                <w:szCs w:val="20"/>
              </w:rPr>
              <w:t>Design</w:t>
            </w:r>
          </w:p>
        </w:tc>
        <w:tc>
          <w:tcPr>
            <w:tcW w:w="961" w:type="dxa"/>
            <w:noWrap/>
            <w:hideMark/>
          </w:tcPr>
          <w:p w14:paraId="7CD92BF9" w14:textId="77777777" w:rsidR="00051297" w:rsidRPr="00F727E3" w:rsidRDefault="00051297" w:rsidP="00F727E3">
            <w:pPr>
              <w:spacing w:line="240" w:lineRule="auto"/>
              <w:ind w:firstLine="0"/>
              <w:jc w:val="center"/>
              <w:rPr>
                <w:sz w:val="20"/>
                <w:szCs w:val="20"/>
              </w:rPr>
            </w:pPr>
            <w:r w:rsidRPr="00F727E3">
              <w:rPr>
                <w:sz w:val="20"/>
                <w:szCs w:val="20"/>
              </w:rPr>
              <w:t>km</w:t>
            </w:r>
            <w:r w:rsidRPr="00F727E3">
              <w:rPr>
                <w:sz w:val="20"/>
                <w:szCs w:val="20"/>
                <w:vertAlign w:val="superscript"/>
              </w:rPr>
              <w:t>2</w:t>
            </w:r>
          </w:p>
        </w:tc>
        <w:tc>
          <w:tcPr>
            <w:tcW w:w="961" w:type="dxa"/>
            <w:hideMark/>
          </w:tcPr>
          <w:p w14:paraId="3278F581" w14:textId="77777777" w:rsidR="00051297" w:rsidRPr="00F727E3" w:rsidRDefault="00051297" w:rsidP="00F727E3">
            <w:pPr>
              <w:spacing w:line="240" w:lineRule="auto"/>
              <w:ind w:firstLine="0"/>
              <w:jc w:val="center"/>
              <w:rPr>
                <w:sz w:val="20"/>
                <w:szCs w:val="20"/>
              </w:rPr>
            </w:pPr>
            <w:r w:rsidRPr="00F727E3">
              <w:rPr>
                <w:sz w:val="20"/>
                <w:szCs w:val="20"/>
              </w:rPr>
              <w:t>900</w:t>
            </w:r>
          </w:p>
        </w:tc>
      </w:tr>
      <w:tr w:rsidR="00051297" w:rsidRPr="00F727E3" w14:paraId="4227F898" w14:textId="77777777" w:rsidTr="00F727E3">
        <w:trPr>
          <w:trHeight w:val="170"/>
          <w:jc w:val="center"/>
        </w:trPr>
        <w:tc>
          <w:tcPr>
            <w:tcW w:w="2664" w:type="dxa"/>
            <w:vMerge/>
            <w:hideMark/>
          </w:tcPr>
          <w:p w14:paraId="7546A0E8" w14:textId="77777777" w:rsidR="00051297" w:rsidRPr="00F727E3" w:rsidRDefault="00051297" w:rsidP="00F727E3">
            <w:pPr>
              <w:spacing w:line="240" w:lineRule="auto"/>
              <w:ind w:firstLine="0"/>
              <w:jc w:val="center"/>
              <w:rPr>
                <w:sz w:val="20"/>
                <w:szCs w:val="20"/>
              </w:rPr>
            </w:pPr>
          </w:p>
        </w:tc>
        <w:tc>
          <w:tcPr>
            <w:tcW w:w="2664" w:type="dxa"/>
            <w:noWrap/>
            <w:hideMark/>
          </w:tcPr>
          <w:p w14:paraId="3197CB9C" w14:textId="77777777" w:rsidR="00051297" w:rsidRPr="00F727E3" w:rsidRDefault="00051297" w:rsidP="00F727E3">
            <w:pPr>
              <w:spacing w:line="240" w:lineRule="auto"/>
              <w:ind w:firstLine="0"/>
              <w:jc w:val="center"/>
              <w:rPr>
                <w:sz w:val="20"/>
                <w:szCs w:val="20"/>
              </w:rPr>
            </w:pPr>
            <w:r w:rsidRPr="00F727E3">
              <w:rPr>
                <w:sz w:val="20"/>
                <w:szCs w:val="20"/>
              </w:rPr>
              <w:t>1977 Survey</w:t>
            </w:r>
          </w:p>
        </w:tc>
        <w:tc>
          <w:tcPr>
            <w:tcW w:w="961" w:type="dxa"/>
            <w:noWrap/>
            <w:hideMark/>
          </w:tcPr>
          <w:p w14:paraId="276AE5BB" w14:textId="77777777" w:rsidR="00051297" w:rsidRPr="00F727E3" w:rsidRDefault="00051297" w:rsidP="00F727E3">
            <w:pPr>
              <w:spacing w:line="240" w:lineRule="auto"/>
              <w:ind w:firstLine="0"/>
              <w:jc w:val="center"/>
              <w:rPr>
                <w:sz w:val="20"/>
                <w:szCs w:val="20"/>
              </w:rPr>
            </w:pPr>
            <w:r w:rsidRPr="00F727E3">
              <w:rPr>
                <w:sz w:val="20"/>
                <w:szCs w:val="20"/>
              </w:rPr>
              <w:t>km</w:t>
            </w:r>
            <w:r w:rsidRPr="00F727E3">
              <w:rPr>
                <w:sz w:val="20"/>
                <w:szCs w:val="20"/>
                <w:vertAlign w:val="superscript"/>
              </w:rPr>
              <w:t>2</w:t>
            </w:r>
          </w:p>
        </w:tc>
        <w:tc>
          <w:tcPr>
            <w:tcW w:w="961" w:type="dxa"/>
            <w:noWrap/>
            <w:hideMark/>
          </w:tcPr>
          <w:p w14:paraId="4AFC0A67" w14:textId="77777777" w:rsidR="00051297" w:rsidRPr="00F727E3" w:rsidRDefault="00051297" w:rsidP="00F727E3">
            <w:pPr>
              <w:spacing w:line="240" w:lineRule="auto"/>
              <w:ind w:firstLine="0"/>
              <w:jc w:val="center"/>
              <w:rPr>
                <w:sz w:val="20"/>
                <w:szCs w:val="20"/>
              </w:rPr>
            </w:pPr>
            <w:r w:rsidRPr="00F727E3">
              <w:rPr>
                <w:sz w:val="20"/>
                <w:szCs w:val="20"/>
              </w:rPr>
              <w:t>783.4</w:t>
            </w:r>
          </w:p>
        </w:tc>
      </w:tr>
    </w:tbl>
    <w:p w14:paraId="3D0F9E3C" w14:textId="77777777" w:rsidR="00051297" w:rsidRPr="00051297" w:rsidRDefault="00051297" w:rsidP="00051297">
      <w:pPr>
        <w:rPr>
          <w:rFonts w:cs="Times New Roman"/>
          <w:szCs w:val="24"/>
          <w:lang w:val="en-US"/>
        </w:rPr>
      </w:pPr>
      <w:r w:rsidRPr="00051297">
        <w:rPr>
          <w:rFonts w:cs="Times New Roman"/>
          <w:szCs w:val="24"/>
          <w:lang w:val="en-US"/>
        </w:rPr>
        <w:lastRenderedPageBreak/>
        <w:t>The purpose of the water reservoir is:</w:t>
      </w:r>
    </w:p>
    <w:p w14:paraId="1B3627FC" w14:textId="77777777" w:rsidR="00051297" w:rsidRPr="00051297" w:rsidRDefault="00051297" w:rsidP="00051297">
      <w:pPr>
        <w:numPr>
          <w:ilvl w:val="0"/>
          <w:numId w:val="31"/>
        </w:numPr>
        <w:tabs>
          <w:tab w:val="left" w:pos="993"/>
        </w:tabs>
        <w:ind w:left="0" w:firstLine="709"/>
        <w:contextualSpacing/>
        <w:rPr>
          <w:rFonts w:cs="Times New Roman"/>
          <w:szCs w:val="24"/>
          <w:lang w:val="en-US"/>
        </w:rPr>
      </w:pPr>
      <w:r w:rsidRPr="00051297">
        <w:rPr>
          <w:rFonts w:cs="Times New Roman"/>
          <w:szCs w:val="24"/>
          <w:lang w:val="en-US"/>
        </w:rPr>
        <w:t>Distribution of winter runoff of Syrdariya river for summertime needs for irrigation of the area about 370 thousand hectares.</w:t>
      </w:r>
    </w:p>
    <w:p w14:paraId="07A8AD44" w14:textId="77777777" w:rsidR="00051297" w:rsidRPr="00051297" w:rsidRDefault="00051297" w:rsidP="00051297">
      <w:pPr>
        <w:numPr>
          <w:ilvl w:val="0"/>
          <w:numId w:val="31"/>
        </w:numPr>
        <w:tabs>
          <w:tab w:val="left" w:pos="993"/>
        </w:tabs>
        <w:ind w:left="0" w:firstLine="709"/>
        <w:contextualSpacing/>
        <w:rPr>
          <w:rFonts w:cs="Times New Roman"/>
          <w:szCs w:val="24"/>
          <w:lang w:val="en-US"/>
        </w:rPr>
      </w:pPr>
      <w:r w:rsidRPr="00051297">
        <w:rPr>
          <w:rFonts w:cs="Times New Roman"/>
          <w:szCs w:val="24"/>
          <w:lang w:val="en-US"/>
        </w:rPr>
        <w:t>Prevent dangerous summer and winter floods that cause flooding of populated areas, irrigated areas, and the railway line in Syrdariya valley.</w:t>
      </w:r>
    </w:p>
    <w:p w14:paraId="6D0BBE73" w14:textId="77777777" w:rsidR="00051297" w:rsidRPr="00051297" w:rsidRDefault="00051297" w:rsidP="00051297">
      <w:pPr>
        <w:numPr>
          <w:ilvl w:val="0"/>
          <w:numId w:val="31"/>
        </w:numPr>
        <w:tabs>
          <w:tab w:val="left" w:pos="993"/>
        </w:tabs>
        <w:ind w:left="0" w:firstLine="709"/>
        <w:contextualSpacing/>
        <w:rPr>
          <w:rFonts w:cs="Times New Roman"/>
          <w:szCs w:val="24"/>
        </w:rPr>
      </w:pPr>
      <w:r w:rsidRPr="00051297">
        <w:rPr>
          <w:rFonts w:cs="Times New Roman"/>
          <w:szCs w:val="24"/>
        </w:rPr>
        <w:t>Generation of electric power</w:t>
      </w:r>
      <w:r w:rsidRPr="00051297">
        <w:rPr>
          <w:rFonts w:cs="Times New Roman"/>
          <w:szCs w:val="24"/>
          <w:lang w:val="en-U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56432" w14:paraId="57C0F462" w14:textId="77777777" w:rsidTr="00E56432">
        <w:tc>
          <w:tcPr>
            <w:tcW w:w="9344" w:type="dxa"/>
          </w:tcPr>
          <w:p w14:paraId="67739250" w14:textId="206C2DF8" w:rsidR="00E56432" w:rsidRDefault="00E56432" w:rsidP="00E56432">
            <w:pPr>
              <w:spacing w:line="240" w:lineRule="auto"/>
              <w:ind w:firstLine="0"/>
              <w:jc w:val="center"/>
              <w:rPr>
                <w:rFonts w:cs="Times New Roman"/>
                <w:szCs w:val="24"/>
                <w:lang w:val="en-US" w:bidi="en-US"/>
              </w:rPr>
            </w:pPr>
            <w:bookmarkStart w:id="705" w:name="_Ref98104693"/>
            <w:bookmarkStart w:id="706" w:name="_Toc97428235"/>
            <w:bookmarkStart w:id="707" w:name="_Toc98085910"/>
            <w:bookmarkStart w:id="708" w:name="_Toc103544107"/>
            <w:r>
              <w:rPr>
                <w:rFonts w:cs="Times New Roman"/>
                <w:noProof/>
                <w:szCs w:val="24"/>
                <w:lang w:val="en-US" w:bidi="en-US"/>
              </w:rPr>
              <w:drawing>
                <wp:inline distT="0" distB="0" distL="0" distR="0" wp14:anchorId="712C38D1" wp14:editId="488C8CD5">
                  <wp:extent cx="4151630" cy="2962910"/>
                  <wp:effectExtent l="0" t="0" r="127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51630" cy="2962910"/>
                          </a:xfrm>
                          <a:prstGeom prst="rect">
                            <a:avLst/>
                          </a:prstGeom>
                          <a:noFill/>
                        </pic:spPr>
                      </pic:pic>
                    </a:graphicData>
                  </a:graphic>
                </wp:inline>
              </w:drawing>
            </w:r>
          </w:p>
        </w:tc>
      </w:tr>
    </w:tbl>
    <w:p w14:paraId="712B15B2" w14:textId="4CC70E8D" w:rsidR="00051297" w:rsidRPr="00051297" w:rsidRDefault="00051297" w:rsidP="00051297">
      <w:pPr>
        <w:ind w:firstLine="0"/>
        <w:jc w:val="center"/>
        <w:rPr>
          <w:rFonts w:cs="Times New Roman"/>
          <w:szCs w:val="24"/>
          <w:lang w:val="en-US" w:bidi="en-US"/>
        </w:rPr>
      </w:pPr>
      <w:bookmarkStart w:id="709" w:name="_Ref104480490"/>
      <w:bookmarkStart w:id="710" w:name="_Ref104480397"/>
      <w:bookmarkStart w:id="711" w:name="_Toc104985430"/>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21</w:t>
      </w:r>
      <w:r w:rsidR="00527861">
        <w:rPr>
          <w:rFonts w:cs="Times New Roman"/>
          <w:szCs w:val="24"/>
          <w:lang w:val="en-US" w:bidi="en-US"/>
        </w:rPr>
        <w:fldChar w:fldCharType="end"/>
      </w:r>
      <w:bookmarkEnd w:id="705"/>
      <w:bookmarkEnd w:id="709"/>
      <w:r w:rsidRPr="00051297">
        <w:t xml:space="preserve"> </w:t>
      </w:r>
      <w:r w:rsidRPr="00051297">
        <w:rPr>
          <w:rFonts w:cs="Times New Roman"/>
          <w:szCs w:val="24"/>
          <w:lang w:val="en-US" w:bidi="en-US"/>
        </w:rPr>
        <w:t>– Case study location</w:t>
      </w:r>
      <w:bookmarkEnd w:id="706"/>
      <w:bookmarkEnd w:id="707"/>
      <w:bookmarkEnd w:id="708"/>
      <w:bookmarkEnd w:id="710"/>
      <w:bookmarkEnd w:id="711"/>
    </w:p>
    <w:p w14:paraId="1CEC3465" w14:textId="73BB6E73" w:rsidR="00051297" w:rsidRPr="00051297" w:rsidRDefault="00051297" w:rsidP="00051297">
      <w:pPr>
        <w:keepNext/>
        <w:keepLines/>
        <w:numPr>
          <w:ilvl w:val="3"/>
          <w:numId w:val="1"/>
        </w:numPr>
        <w:outlineLvl w:val="3"/>
        <w:rPr>
          <w:rFonts w:eastAsiaTheme="majorEastAsia" w:cs="Times New Roman"/>
          <w:iCs/>
          <w:szCs w:val="24"/>
        </w:rPr>
      </w:pPr>
      <w:bookmarkStart w:id="712" w:name="_Toc97504803"/>
      <w:bookmarkStart w:id="713" w:name="_Toc103543937"/>
      <w:bookmarkStart w:id="714" w:name="_Toc104985262"/>
      <w:r w:rsidRPr="00051297">
        <w:rPr>
          <w:rFonts w:eastAsiaTheme="majorEastAsia" w:cs="Times New Roman"/>
          <w:iCs/>
          <w:szCs w:val="24"/>
        </w:rPr>
        <w:t>Catchment delineation</w:t>
      </w:r>
      <w:bookmarkEnd w:id="712"/>
      <w:bookmarkEnd w:id="713"/>
      <w:bookmarkEnd w:id="714"/>
    </w:p>
    <w:p w14:paraId="2CA2BB5E" w14:textId="39D4359A" w:rsidR="00051297" w:rsidRPr="00051297" w:rsidRDefault="00051297" w:rsidP="00051297">
      <w:pPr>
        <w:rPr>
          <w:rFonts w:cs="Times New Roman"/>
          <w:szCs w:val="24"/>
        </w:rPr>
      </w:pPr>
      <w:r w:rsidRPr="00051297">
        <w:rPr>
          <w:rFonts w:cs="Times New Roman"/>
          <w:szCs w:val="24"/>
          <w:lang w:val="en-US"/>
        </w:rPr>
        <w:t xml:space="preserve">The USGS website </w:t>
      </w:r>
      <w:r w:rsidRPr="00051297">
        <w:rPr>
          <w:rFonts w:cs="Times New Roman"/>
          <w:szCs w:val="24"/>
        </w:rPr>
        <w:fldChar w:fldCharType="begin" w:fldLock="1"/>
      </w:r>
      <w:r w:rsidR="0044426E">
        <w:rPr>
          <w:rFonts w:cs="Times New Roman"/>
          <w:szCs w:val="24"/>
          <w:lang w:val="en-US"/>
        </w:rPr>
        <w:instrText>ADDIN CSL_CITATION {"citationItems":[{"id":"ITEM-1","itemData":{"author":[{"dropping-particle":"","family":"U.S. Department of the Interior","given":"","non-dropping-particle":"","parse-names":false,"suffix":""}],"container-title":"The United States Geological Survey","id":"ITEM-1","issued":{"date-parts":[["2019"]]},"title":"EarthExplorer","type":"webpage"},"uris":["http://www.mendeley.com/documents/?uuid=44f229f9-245b-4126-a271-f5d98c470b06","http://www.mendeley.com/documents/?uuid=1dc79dc4-ba45-4099-959e-094dd8cac108"]}],"mendeley":{"formattedCitation":"[256]","plainTextFormattedCitation":"[256]","previouslyFormattedCitation":"[256]"},"properties":{"noteIndex":0},"schema":"https://github.com/citation-style-language/schema/raw/master/csl-citation.json"}</w:instrText>
      </w:r>
      <w:r w:rsidRPr="00051297">
        <w:rPr>
          <w:rFonts w:cs="Times New Roman"/>
          <w:szCs w:val="24"/>
        </w:rPr>
        <w:fldChar w:fldCharType="separate"/>
      </w:r>
      <w:r w:rsidR="00FA5896" w:rsidRPr="00FA5896">
        <w:rPr>
          <w:rFonts w:cs="Times New Roman"/>
          <w:noProof/>
          <w:szCs w:val="24"/>
          <w:lang w:val="en-US"/>
        </w:rPr>
        <w:t>[256]</w:t>
      </w:r>
      <w:r w:rsidRPr="00051297">
        <w:rPr>
          <w:rFonts w:cs="Times New Roman"/>
          <w:szCs w:val="24"/>
        </w:rPr>
        <w:fldChar w:fldCharType="end"/>
      </w:r>
      <w:r w:rsidRPr="00051297">
        <w:rPr>
          <w:rFonts w:cs="Times New Roman"/>
          <w:szCs w:val="24"/>
          <w:lang w:val="en-US"/>
        </w:rPr>
        <w:t xml:space="preserve"> provided the Digital Elevation Model used to outline the Chardara watershed. Users can search satellite and aerial image collections using the USGS Earth Explorer, which is similar to the USGS Global Visualization Viewer (GloVis); the USGS Earth Explorer is an updated and improved version of the previous version.  </w:t>
      </w:r>
      <w:r w:rsidRPr="00051297">
        <w:rPr>
          <w:rFonts w:cs="Times New Roman"/>
          <w:szCs w:val="24"/>
        </w:rPr>
        <w:fldChar w:fldCharType="begin"/>
      </w:r>
      <w:r w:rsidRPr="00051297">
        <w:rPr>
          <w:rFonts w:cs="Times New Roman"/>
          <w:szCs w:val="24"/>
          <w:lang w:val="en-US"/>
        </w:rPr>
        <w:instrText xml:space="preserve"> REF _Ref98104715 \h </w:instrText>
      </w:r>
      <w:r w:rsidRPr="00051297">
        <w:rPr>
          <w:rFonts w:cs="Times New Roman"/>
          <w:szCs w:val="24"/>
        </w:rPr>
      </w:r>
      <w:r w:rsidRPr="00051297">
        <w:rPr>
          <w:rFonts w:cs="Times New Roman"/>
          <w:szCs w:val="24"/>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22</w:t>
      </w:r>
      <w:r w:rsidRPr="00051297">
        <w:rPr>
          <w:rFonts w:cs="Times New Roman"/>
          <w:szCs w:val="24"/>
        </w:rPr>
        <w:fldChar w:fldCharType="end"/>
      </w:r>
      <w:r w:rsidRPr="00051297">
        <w:rPr>
          <w:rFonts w:cs="Times New Roman"/>
          <w:szCs w:val="24"/>
        </w:rPr>
        <w:t xml:space="preserve"> presents the clipped DEM for the Chardara catchment. </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2129"/>
      </w:tblGrid>
      <w:tr w:rsidR="00051297" w:rsidRPr="00051297" w14:paraId="010279C3" w14:textId="77777777" w:rsidTr="005F5229">
        <w:trPr>
          <w:jc w:val="center"/>
        </w:trPr>
        <w:tc>
          <w:tcPr>
            <w:tcW w:w="4675" w:type="dxa"/>
          </w:tcPr>
          <w:p w14:paraId="79FAD338" w14:textId="77777777" w:rsidR="00051297" w:rsidRPr="00051297" w:rsidRDefault="00051297" w:rsidP="00051297">
            <w:pPr>
              <w:ind w:firstLine="0"/>
              <w:contextualSpacing/>
              <w:rPr>
                <w:szCs w:val="24"/>
              </w:rPr>
            </w:pPr>
            <w:r w:rsidRPr="00051297">
              <w:rPr>
                <w:noProof/>
                <w:szCs w:val="24"/>
              </w:rPr>
              <w:drawing>
                <wp:inline distT="0" distB="0" distL="0" distR="0" wp14:anchorId="0CEA595C" wp14:editId="46EAE402">
                  <wp:extent cx="2773680" cy="2309919"/>
                  <wp:effectExtent l="0" t="0" r="762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5110" cy="2311110"/>
                          </a:xfrm>
                          <a:prstGeom prst="rect">
                            <a:avLst/>
                          </a:prstGeom>
                          <a:noFill/>
                          <a:ln>
                            <a:noFill/>
                          </a:ln>
                        </pic:spPr>
                      </pic:pic>
                    </a:graphicData>
                  </a:graphic>
                </wp:inline>
              </w:drawing>
            </w:r>
          </w:p>
        </w:tc>
        <w:tc>
          <w:tcPr>
            <w:tcW w:w="2129" w:type="dxa"/>
            <w:vAlign w:val="center"/>
          </w:tcPr>
          <w:p w14:paraId="268615E3" w14:textId="6D1E8C99" w:rsidR="00051297" w:rsidRPr="00051297" w:rsidRDefault="00196417" w:rsidP="00051297">
            <w:pPr>
              <w:keepNext/>
              <w:spacing w:after="200"/>
              <w:ind w:firstLine="0"/>
              <w:contextualSpacing/>
              <w:jc w:val="center"/>
              <w:rPr>
                <w:szCs w:val="24"/>
              </w:rPr>
            </w:pPr>
            <w:r>
              <w:rPr>
                <w:noProof/>
              </w:rPr>
              <w:drawing>
                <wp:inline distT="0" distB="0" distL="0" distR="0" wp14:anchorId="4804A8BE" wp14:editId="3197D9C0">
                  <wp:extent cx="981075" cy="69532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81075" cy="695325"/>
                          </a:xfrm>
                          <a:prstGeom prst="rect">
                            <a:avLst/>
                          </a:prstGeom>
                          <a:noFill/>
                          <a:ln>
                            <a:noFill/>
                          </a:ln>
                        </pic:spPr>
                      </pic:pic>
                    </a:graphicData>
                  </a:graphic>
                </wp:inline>
              </w:drawing>
            </w:r>
          </w:p>
        </w:tc>
      </w:tr>
    </w:tbl>
    <w:p w14:paraId="5705EE94" w14:textId="56B09F52" w:rsidR="00051297" w:rsidRPr="00051297" w:rsidRDefault="00051297" w:rsidP="00051297">
      <w:pPr>
        <w:ind w:firstLine="0"/>
        <w:jc w:val="center"/>
        <w:rPr>
          <w:rFonts w:cs="Times New Roman"/>
          <w:szCs w:val="24"/>
          <w:lang w:val="en-US" w:bidi="en-US"/>
        </w:rPr>
      </w:pPr>
      <w:bookmarkStart w:id="715" w:name="_Ref98104715"/>
      <w:bookmarkStart w:id="716" w:name="_Toc97428236"/>
      <w:bookmarkStart w:id="717" w:name="_Toc98085911"/>
      <w:bookmarkStart w:id="718" w:name="_Toc103544108"/>
      <w:bookmarkStart w:id="719" w:name="_Toc104985431"/>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22</w:t>
      </w:r>
      <w:r w:rsidR="00527861">
        <w:rPr>
          <w:rFonts w:cs="Times New Roman"/>
          <w:szCs w:val="24"/>
          <w:lang w:val="en-US" w:bidi="en-US"/>
        </w:rPr>
        <w:fldChar w:fldCharType="end"/>
      </w:r>
      <w:bookmarkEnd w:id="715"/>
      <w:r w:rsidRPr="00051297">
        <w:rPr>
          <w:lang w:val="en-US"/>
        </w:rPr>
        <w:t xml:space="preserve"> </w:t>
      </w:r>
      <w:r w:rsidRPr="00051297">
        <w:rPr>
          <w:rFonts w:cs="Times New Roman"/>
          <w:szCs w:val="24"/>
          <w:lang w:val="en-US" w:bidi="en-US"/>
        </w:rPr>
        <w:t>– Digital Elevation Model</w:t>
      </w:r>
      <w:bookmarkEnd w:id="716"/>
      <w:bookmarkEnd w:id="717"/>
      <w:bookmarkEnd w:id="718"/>
      <w:bookmarkEnd w:id="719"/>
    </w:p>
    <w:p w14:paraId="6FE98495" w14:textId="2D353C6F" w:rsidR="00051297" w:rsidRPr="00051297" w:rsidRDefault="00051297" w:rsidP="005F5229">
      <w:pPr>
        <w:rPr>
          <w:rFonts w:eastAsia="Calibri" w:cs="Times New Roman"/>
          <w:szCs w:val="24"/>
        </w:rPr>
      </w:pPr>
      <w:r w:rsidRPr="00051297">
        <w:rPr>
          <w:rFonts w:cs="Times New Roman"/>
          <w:szCs w:val="24"/>
          <w:lang w:val="en-US"/>
        </w:rPr>
        <w:lastRenderedPageBreak/>
        <w:t xml:space="preserve">By determining the flow direction using a combination of ArcHydro and Spatial Analyst tools in ArcGIS, the catchment boundaries and streams were identified from DEM. The Flow Direction tool was used to build a raster reflecting the flow direction to identify the contributing area. </w:t>
      </w:r>
      <w:r w:rsidRPr="00051297">
        <w:rPr>
          <w:rFonts w:cs="Times New Roman"/>
          <w:szCs w:val="24"/>
        </w:rPr>
        <w:fldChar w:fldCharType="begin"/>
      </w:r>
      <w:r w:rsidRPr="00051297">
        <w:rPr>
          <w:rFonts w:cs="Times New Roman"/>
          <w:szCs w:val="24"/>
          <w:lang w:val="en-US"/>
        </w:rPr>
        <w:instrText xml:space="preserve"> REF _Ref98104733 \h </w:instrText>
      </w:r>
      <w:r w:rsidRPr="00051297">
        <w:rPr>
          <w:rFonts w:cs="Times New Roman"/>
          <w:szCs w:val="24"/>
        </w:rPr>
      </w:r>
      <w:r w:rsidRPr="00051297">
        <w:rPr>
          <w:rFonts w:cs="Times New Roman"/>
          <w:szCs w:val="24"/>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23</w:t>
      </w:r>
      <w:r w:rsidRPr="00051297">
        <w:rPr>
          <w:rFonts w:cs="Times New Roman"/>
          <w:szCs w:val="24"/>
        </w:rPr>
        <w:fldChar w:fldCharType="end"/>
      </w:r>
      <w:r w:rsidRPr="00051297">
        <w:rPr>
          <w:rFonts w:cs="Times New Roman"/>
          <w:szCs w:val="24"/>
        </w:rPr>
        <w:t xml:space="preserve"> presents the delineated Chardara catchment from DEM.</w:t>
      </w:r>
    </w:p>
    <w:p w14:paraId="6C902A48" w14:textId="77777777" w:rsidR="00051297" w:rsidRPr="00051297" w:rsidRDefault="00051297" w:rsidP="00051297">
      <w:pPr>
        <w:keepNext/>
        <w:spacing w:after="200"/>
        <w:ind w:firstLine="0"/>
        <w:contextualSpacing/>
        <w:jc w:val="center"/>
        <w:rPr>
          <w:rFonts w:cs="Times New Roman"/>
          <w:szCs w:val="24"/>
        </w:rPr>
      </w:pPr>
      <w:r w:rsidRPr="00051297">
        <w:rPr>
          <w:rFonts w:cs="Times New Roman"/>
          <w:noProof/>
          <w:szCs w:val="24"/>
        </w:rPr>
        <w:drawing>
          <wp:inline distT="0" distB="0" distL="0" distR="0" wp14:anchorId="21FFA268" wp14:editId="12D77DCE">
            <wp:extent cx="3047048" cy="2520000"/>
            <wp:effectExtent l="0" t="0" r="127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7048" cy="2520000"/>
                    </a:xfrm>
                    <a:prstGeom prst="rect">
                      <a:avLst/>
                    </a:prstGeom>
                    <a:noFill/>
                    <a:ln>
                      <a:noFill/>
                    </a:ln>
                  </pic:spPr>
                </pic:pic>
              </a:graphicData>
            </a:graphic>
          </wp:inline>
        </w:drawing>
      </w:r>
    </w:p>
    <w:p w14:paraId="71B30A8F" w14:textId="3A9675FA" w:rsidR="00051297" w:rsidRPr="00051297" w:rsidRDefault="00051297" w:rsidP="00051297">
      <w:pPr>
        <w:ind w:firstLine="0"/>
        <w:jc w:val="center"/>
        <w:rPr>
          <w:rFonts w:cs="Times New Roman"/>
          <w:szCs w:val="24"/>
          <w:lang w:val="en-US" w:bidi="en-US"/>
        </w:rPr>
      </w:pPr>
      <w:bookmarkStart w:id="720" w:name="_Ref98104733"/>
      <w:bookmarkStart w:id="721" w:name="_Toc97428237"/>
      <w:bookmarkStart w:id="722" w:name="_Toc98085912"/>
      <w:bookmarkStart w:id="723" w:name="_Toc103544109"/>
      <w:bookmarkStart w:id="724" w:name="_Toc104985432"/>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23</w:t>
      </w:r>
      <w:r w:rsidR="00527861">
        <w:rPr>
          <w:rFonts w:cs="Times New Roman"/>
          <w:szCs w:val="24"/>
          <w:lang w:val="en-US" w:bidi="en-US"/>
        </w:rPr>
        <w:fldChar w:fldCharType="end"/>
      </w:r>
      <w:bookmarkEnd w:id="720"/>
      <w:r w:rsidRPr="00051297">
        <w:t xml:space="preserve"> </w:t>
      </w:r>
      <w:r w:rsidRPr="00051297">
        <w:rPr>
          <w:rFonts w:cs="Times New Roman"/>
          <w:szCs w:val="24"/>
          <w:lang w:val="en-US" w:bidi="en-US"/>
        </w:rPr>
        <w:t>– Delineated catchment</w:t>
      </w:r>
      <w:bookmarkEnd w:id="721"/>
      <w:bookmarkEnd w:id="722"/>
      <w:bookmarkEnd w:id="723"/>
      <w:bookmarkEnd w:id="724"/>
    </w:p>
    <w:p w14:paraId="7CA8FA45" w14:textId="1977F3D9" w:rsidR="00051297" w:rsidRPr="00051297" w:rsidRDefault="00051297" w:rsidP="00051297">
      <w:pPr>
        <w:keepNext/>
        <w:keepLines/>
        <w:numPr>
          <w:ilvl w:val="3"/>
          <w:numId w:val="1"/>
        </w:numPr>
        <w:outlineLvl w:val="3"/>
        <w:rPr>
          <w:rFonts w:eastAsiaTheme="majorEastAsia" w:cs="Times New Roman"/>
          <w:iCs/>
          <w:szCs w:val="24"/>
          <w:lang w:val="en-US"/>
        </w:rPr>
      </w:pPr>
      <w:bookmarkStart w:id="725" w:name="_Toc97504804"/>
      <w:bookmarkStart w:id="726" w:name="_Toc103543938"/>
      <w:bookmarkStart w:id="727" w:name="_Toc104985263"/>
      <w:r w:rsidRPr="00051297">
        <w:rPr>
          <w:rFonts w:eastAsiaTheme="majorEastAsia" w:cs="Times New Roman"/>
          <w:iCs/>
          <w:szCs w:val="24"/>
          <w:lang w:val="en-US"/>
        </w:rPr>
        <w:t>Land use and land cover change analysis</w:t>
      </w:r>
      <w:bookmarkEnd w:id="725"/>
      <w:bookmarkEnd w:id="726"/>
      <w:bookmarkEnd w:id="727"/>
    </w:p>
    <w:p w14:paraId="79961FAD" w14:textId="6C198EA2" w:rsidR="00051297" w:rsidRPr="00051297" w:rsidRDefault="00051297" w:rsidP="00051297">
      <w:pPr>
        <w:spacing w:after="200"/>
        <w:contextualSpacing/>
        <w:rPr>
          <w:rFonts w:eastAsia="Calibri" w:cs="Times New Roman"/>
          <w:szCs w:val="24"/>
          <w:lang w:val="en-US"/>
        </w:rPr>
      </w:pPr>
      <w:r w:rsidRPr="00051297">
        <w:rPr>
          <w:rFonts w:eastAsia="Calibri" w:cs="Times New Roman"/>
          <w:szCs w:val="24"/>
          <w:lang w:val="en-US"/>
        </w:rPr>
        <w:t xml:space="preserve">As previously mentioned, a land-use classification is a categorization that provides information on the land cover as well as the sorts of human activity that take place in that area. It may also make assessing environmental consequences on land, as well as possible or alternative uses of land, easier </w:t>
      </w:r>
      <w:r w:rsidRPr="00051297">
        <w:rPr>
          <w:rFonts w:eastAsia="Calibri" w:cs="Times New Roman"/>
          <w:szCs w:val="24"/>
        </w:rPr>
        <w:fldChar w:fldCharType="begin" w:fldLock="1"/>
      </w:r>
      <w:r w:rsidR="0044426E">
        <w:rPr>
          <w:rFonts w:eastAsia="Calibri" w:cs="Times New Roman"/>
          <w:szCs w:val="24"/>
          <w:lang w:val="en-US"/>
        </w:rPr>
        <w:instrText>ADDIN CSL_CITATION {"citationItems":[{"id":"ITEM-1","itemData":{"DOI":"10.3103/S0146411621040088","ISSN":"0146-4116","abstract":"Abstract: Convolutional neural networks (CNNs) have been used in several classification tasks. This study aims to evaluate the performance of CNN methods for land-use classification. CNN-based model was evaluated on aerial orthophoto data for land-use scene classification. Ground-truth data set containing 25 253 records with known land-use category were used to train the CNN model to solve a practical issue. The overall accuracy of the best model on the test data set was 94.00%. The obtained results indicated that CNN mode showed high accuracy and is suitable for land-use classification tasks.","author":[{"dropping-particle":"","family":"Stepchenko","given":"A. M.","non-dropping-particle":"","parse-names":false,"suffix":""}],"container-title":"Automatic Control and Computer Sciences","id":"ITEM-1","issue":"4","issued":{"date-parts":[["2021","7"]]},"page":"358-367","title":"Land-Use Classification Using Convolutional Neural Networks","type":"article-journal","volume":"55"},"uris":["http://www.mendeley.com/documents/?uuid=048d55e3-8edb-4b37-8627-2cf1808f134b","http://www.mendeley.com/documents/?uuid=f3138fb9-61c9-42af-8da7-153755236bba","http://www.mendeley.com/documents/?uuid=b6b24bc7-a0fe-42f3-b6a2-5ab17c7685a2"]}],"mendeley":{"formattedCitation":"[261]","plainTextFormattedCitation":"[261]","previouslyFormattedCitation":"[261]"},"properties":{"noteIndex":0},"schema":"https://github.com/citation-style-language/schema/raw/master/csl-citation.json"}</w:instrText>
      </w:r>
      <w:r w:rsidRPr="00051297">
        <w:rPr>
          <w:rFonts w:eastAsia="Calibri" w:cs="Times New Roman"/>
          <w:szCs w:val="24"/>
        </w:rPr>
        <w:fldChar w:fldCharType="separate"/>
      </w:r>
      <w:r w:rsidR="00FA5896" w:rsidRPr="00FA5896">
        <w:rPr>
          <w:rFonts w:eastAsia="Calibri" w:cs="Times New Roman"/>
          <w:noProof/>
          <w:szCs w:val="24"/>
          <w:lang w:val="en-US"/>
        </w:rPr>
        <w:t>[261]</w:t>
      </w:r>
      <w:r w:rsidRPr="00051297">
        <w:rPr>
          <w:rFonts w:eastAsia="Calibri" w:cs="Times New Roman"/>
          <w:szCs w:val="24"/>
        </w:rPr>
        <w:fldChar w:fldCharType="end"/>
      </w:r>
      <w:r w:rsidRPr="00051297">
        <w:rPr>
          <w:rFonts w:eastAsia="Calibri" w:cs="Times New Roman"/>
          <w:szCs w:val="24"/>
          <w:lang w:val="en-US"/>
        </w:rPr>
        <w:t>. Water, vegetation, developed low intensity, developed medium intensity, and developed high-intensity land use classifications were established as a result of the land use and land cover change analysis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_Ref98104743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24</w:t>
      </w:r>
      <w:r w:rsidRPr="00051297">
        <w:rPr>
          <w:rFonts w:eastAsia="Calibri" w:cs="Times New Roman"/>
          <w:szCs w:val="24"/>
          <w:lang w:val="en-US"/>
        </w:rPr>
        <w:fldChar w:fldCharType="end"/>
      </w:r>
      <w:r w:rsidRPr="00051297">
        <w:rPr>
          <w:rFonts w:eastAsia="Calibri" w:cs="Times New Roman"/>
          <w:szCs w:val="24"/>
          <w:lang w:val="en-US"/>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8"/>
        <w:gridCol w:w="3066"/>
      </w:tblGrid>
      <w:tr w:rsidR="00051297" w:rsidRPr="00051297" w14:paraId="0E5A21C2" w14:textId="77777777" w:rsidTr="00315352">
        <w:trPr>
          <w:trHeight w:val="3886"/>
        </w:trPr>
        <w:tc>
          <w:tcPr>
            <w:tcW w:w="6565" w:type="dxa"/>
          </w:tcPr>
          <w:p w14:paraId="0F4A1E5F" w14:textId="77777777" w:rsidR="00051297" w:rsidRPr="00051297" w:rsidRDefault="00051297" w:rsidP="00051297">
            <w:pPr>
              <w:spacing w:after="200"/>
              <w:ind w:firstLine="0"/>
              <w:contextualSpacing/>
              <w:rPr>
                <w:szCs w:val="24"/>
              </w:rPr>
            </w:pPr>
            <w:r w:rsidRPr="00051297">
              <w:rPr>
                <w:noProof/>
                <w:szCs w:val="24"/>
              </w:rPr>
              <w:drawing>
                <wp:inline distT="0" distB="0" distL="0" distR="0" wp14:anchorId="720A8691" wp14:editId="158A81BA">
                  <wp:extent cx="3267095" cy="28800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67095" cy="2880000"/>
                          </a:xfrm>
                          <a:prstGeom prst="rect">
                            <a:avLst/>
                          </a:prstGeom>
                          <a:noFill/>
                          <a:ln>
                            <a:noFill/>
                          </a:ln>
                        </pic:spPr>
                      </pic:pic>
                    </a:graphicData>
                  </a:graphic>
                </wp:inline>
              </w:drawing>
            </w:r>
          </w:p>
        </w:tc>
        <w:tc>
          <w:tcPr>
            <w:tcW w:w="2785" w:type="dxa"/>
            <w:vAlign w:val="center"/>
          </w:tcPr>
          <w:p w14:paraId="297BD2FE" w14:textId="5B639640" w:rsidR="00051297" w:rsidRPr="00051297" w:rsidRDefault="00E1691D" w:rsidP="00E1691D">
            <w:pPr>
              <w:keepNext/>
              <w:spacing w:after="200"/>
              <w:ind w:firstLine="0"/>
              <w:contextualSpacing/>
              <w:jc w:val="right"/>
              <w:rPr>
                <w:szCs w:val="24"/>
              </w:rPr>
            </w:pPr>
            <w:r>
              <w:rPr>
                <w:noProof/>
              </w:rPr>
              <w:drawing>
                <wp:inline distT="0" distB="0" distL="0" distR="0" wp14:anchorId="4E2B0CC3" wp14:editId="7D9F6AF3">
                  <wp:extent cx="1809750" cy="119062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9750" cy="1190625"/>
                          </a:xfrm>
                          <a:prstGeom prst="rect">
                            <a:avLst/>
                          </a:prstGeom>
                          <a:noFill/>
                          <a:ln>
                            <a:noFill/>
                          </a:ln>
                        </pic:spPr>
                      </pic:pic>
                    </a:graphicData>
                  </a:graphic>
                </wp:inline>
              </w:drawing>
            </w:r>
          </w:p>
        </w:tc>
      </w:tr>
    </w:tbl>
    <w:p w14:paraId="32CDCDE5" w14:textId="00AEC55A" w:rsidR="00051297" w:rsidRPr="00051297" w:rsidRDefault="00051297" w:rsidP="00051297">
      <w:pPr>
        <w:ind w:firstLine="0"/>
        <w:jc w:val="center"/>
        <w:rPr>
          <w:rFonts w:cs="Times New Roman"/>
          <w:szCs w:val="24"/>
          <w:lang w:val="en-US" w:bidi="en-US"/>
        </w:rPr>
      </w:pPr>
      <w:bookmarkStart w:id="728" w:name="_Ref98104743"/>
      <w:bookmarkStart w:id="729" w:name="_Toc97428238"/>
      <w:bookmarkStart w:id="730" w:name="_Toc98085913"/>
      <w:bookmarkStart w:id="731" w:name="_Toc103544110"/>
      <w:bookmarkStart w:id="732" w:name="_Toc104985433"/>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24</w:t>
      </w:r>
      <w:r w:rsidR="00527861">
        <w:rPr>
          <w:rFonts w:cs="Times New Roman"/>
          <w:szCs w:val="24"/>
          <w:lang w:val="en-US" w:bidi="en-US"/>
        </w:rPr>
        <w:fldChar w:fldCharType="end"/>
      </w:r>
      <w:bookmarkEnd w:id="728"/>
      <w:r w:rsidRPr="00051297">
        <w:rPr>
          <w:lang w:val="en-US"/>
        </w:rPr>
        <w:t xml:space="preserve"> </w:t>
      </w:r>
      <w:r w:rsidRPr="00051297">
        <w:rPr>
          <w:rFonts w:cs="Times New Roman"/>
          <w:szCs w:val="24"/>
          <w:lang w:val="en-US" w:bidi="en-US"/>
        </w:rPr>
        <w:t>– Classified land use and land cover from 2000 datasets</w:t>
      </w:r>
      <w:bookmarkEnd w:id="729"/>
      <w:bookmarkEnd w:id="730"/>
      <w:bookmarkEnd w:id="731"/>
      <w:bookmarkEnd w:id="732"/>
    </w:p>
    <w:p w14:paraId="1C60896F" w14:textId="7CFA6A88" w:rsidR="00051297" w:rsidRPr="00051297" w:rsidRDefault="00051297" w:rsidP="00051297">
      <w:pPr>
        <w:spacing w:after="200"/>
        <w:contextualSpacing/>
        <w:rPr>
          <w:rFonts w:eastAsia="Calibri" w:cs="Times New Roman"/>
          <w:szCs w:val="24"/>
          <w:lang w:val="en-US"/>
        </w:rPr>
      </w:pPr>
      <w:r w:rsidRPr="00051297">
        <w:rPr>
          <w:rFonts w:eastAsia="Calibri" w:cs="Times New Roman"/>
          <w:szCs w:val="24"/>
          <w:lang w:val="en-US"/>
        </w:rPr>
        <w:lastRenderedPageBreak/>
        <w:fldChar w:fldCharType="begin"/>
      </w:r>
      <w:r w:rsidRPr="00051297">
        <w:rPr>
          <w:rFonts w:eastAsia="Calibri" w:cs="Times New Roman"/>
          <w:szCs w:val="24"/>
          <w:lang w:val="en-US"/>
        </w:rPr>
        <w:instrText xml:space="preserve"> REF _Ref98102236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25</w:t>
      </w:r>
      <w:r w:rsidRPr="00051297">
        <w:rPr>
          <w:rFonts w:eastAsia="Calibri" w:cs="Times New Roman"/>
          <w:szCs w:val="24"/>
          <w:lang w:val="en-US"/>
        </w:rPr>
        <w:fldChar w:fldCharType="end"/>
      </w:r>
      <w:r w:rsidRPr="00051297">
        <w:rPr>
          <w:rFonts w:eastAsia="Calibri" w:cs="Times New Roman"/>
          <w:szCs w:val="24"/>
          <w:lang w:val="en-US"/>
        </w:rPr>
        <w:t xml:space="preserve"> shows that </w:t>
      </w:r>
      <w:bookmarkStart w:id="733" w:name="_Hlk98031243"/>
      <w:r w:rsidRPr="00051297">
        <w:rPr>
          <w:rFonts w:eastAsia="Calibri" w:cs="Times New Roman"/>
          <w:szCs w:val="24"/>
          <w:lang w:val="en-US"/>
        </w:rPr>
        <w:t>low-intensity development covered the majority of the Chardara catchment in 2000, accounting for approximately 36482.77 km</w:t>
      </w:r>
      <w:r w:rsidRPr="00051297">
        <w:rPr>
          <w:rFonts w:eastAsia="Calibri" w:cs="Times New Roman"/>
          <w:szCs w:val="24"/>
          <w:vertAlign w:val="superscript"/>
          <w:lang w:val="en-US"/>
        </w:rPr>
        <w:t>2</w:t>
      </w:r>
      <w:r w:rsidRPr="00051297">
        <w:rPr>
          <w:rFonts w:eastAsia="Calibri" w:cs="Times New Roman"/>
          <w:szCs w:val="24"/>
          <w:lang w:val="en-US"/>
        </w:rPr>
        <w:t xml:space="preserve"> of the catchment, followed by a relatively large area covered by vegetation cover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_Ref98102236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25</w:t>
      </w:r>
      <w:r w:rsidRPr="00051297">
        <w:rPr>
          <w:rFonts w:eastAsia="Calibri" w:cs="Times New Roman"/>
          <w:szCs w:val="24"/>
          <w:lang w:val="en-US"/>
        </w:rPr>
        <w:fldChar w:fldCharType="end"/>
      </w:r>
      <w:r w:rsidRPr="00051297">
        <w:rPr>
          <w:rFonts w:eastAsia="Calibri" w:cs="Times New Roman"/>
          <w:szCs w:val="24"/>
          <w:lang w:val="en-US"/>
        </w:rPr>
        <w:t>). It is also interesting to note that there were more areas covered by high-intensity development compared to that of medium-intensity development. The phenomenon suggests that the convention of the natural surface into high-intensity development is relatively high in the catchment.</w:t>
      </w:r>
      <w:bookmarkEnd w:id="733"/>
    </w:p>
    <w:p w14:paraId="3E85267D" w14:textId="77777777" w:rsidR="00051297" w:rsidRPr="00051297" w:rsidRDefault="00051297" w:rsidP="005F5229">
      <w:pPr>
        <w:keepNext/>
        <w:ind w:firstLine="0"/>
        <w:contextualSpacing/>
        <w:jc w:val="center"/>
        <w:rPr>
          <w:rFonts w:cs="Times New Roman"/>
          <w:szCs w:val="24"/>
        </w:rPr>
      </w:pPr>
      <w:r w:rsidRPr="00051297">
        <w:rPr>
          <w:noProof/>
        </w:rPr>
        <w:drawing>
          <wp:inline distT="0" distB="0" distL="0" distR="0" wp14:anchorId="439159B6" wp14:editId="67D6D6D3">
            <wp:extent cx="4572000" cy="2160000"/>
            <wp:effectExtent l="0" t="0" r="0" b="0"/>
            <wp:docPr id="472" name="Chart 472">
              <a:extLst xmlns:a="http://schemas.openxmlformats.org/drawingml/2006/main">
                <a:ext uri="{FF2B5EF4-FFF2-40B4-BE49-F238E27FC236}">
                  <a16:creationId xmlns:a16="http://schemas.microsoft.com/office/drawing/2014/main" id="{8C475A9C-AB47-4BE4-86CA-E517A4F891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52267F9" w14:textId="3976AA04" w:rsidR="00051297" w:rsidRPr="00051297" w:rsidRDefault="00051297" w:rsidP="00051297">
      <w:pPr>
        <w:ind w:firstLine="0"/>
        <w:jc w:val="center"/>
        <w:rPr>
          <w:rFonts w:cs="Times New Roman"/>
          <w:szCs w:val="24"/>
          <w:lang w:val="en-US" w:bidi="en-US"/>
        </w:rPr>
      </w:pPr>
      <w:bookmarkStart w:id="734" w:name="_Ref98102236"/>
      <w:bookmarkStart w:id="735" w:name="_Toc97428239"/>
      <w:bookmarkStart w:id="736" w:name="_Toc98085914"/>
      <w:bookmarkStart w:id="737" w:name="_Toc103544111"/>
      <w:bookmarkStart w:id="738" w:name="_Toc104985434"/>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25</w:t>
      </w:r>
      <w:r w:rsidR="00527861">
        <w:rPr>
          <w:rFonts w:cs="Times New Roman"/>
          <w:szCs w:val="24"/>
          <w:lang w:val="en-US" w:bidi="en-US"/>
        </w:rPr>
        <w:fldChar w:fldCharType="end"/>
      </w:r>
      <w:bookmarkEnd w:id="734"/>
      <w:r w:rsidRPr="00051297">
        <w:rPr>
          <w:lang w:val="en-US"/>
        </w:rPr>
        <w:t xml:space="preserve"> </w:t>
      </w:r>
      <w:r w:rsidRPr="00051297">
        <w:rPr>
          <w:rFonts w:cs="Times New Roman"/>
          <w:szCs w:val="24"/>
          <w:lang w:val="en-US" w:bidi="en-US"/>
        </w:rPr>
        <w:t>– Land use and land cover coverage in 2000</w:t>
      </w:r>
      <w:bookmarkEnd w:id="735"/>
      <w:bookmarkEnd w:id="736"/>
      <w:bookmarkEnd w:id="737"/>
      <w:bookmarkEnd w:id="738"/>
    </w:p>
    <w:p w14:paraId="63FB77C6" w14:textId="3C2B92E8" w:rsidR="00051297" w:rsidRPr="00051297" w:rsidRDefault="00051297" w:rsidP="00051297">
      <w:pPr>
        <w:rPr>
          <w:rFonts w:cs="Times New Roman"/>
          <w:szCs w:val="24"/>
          <w:lang w:val="en-US"/>
        </w:rPr>
      </w:pPr>
      <w:r w:rsidRPr="00051297">
        <w:rPr>
          <w:rFonts w:cs="Times New Roman"/>
          <w:szCs w:val="24"/>
          <w:lang w:val="en-US"/>
        </w:rPr>
        <w:t>It is also important to highlight that the cell is the fundamental unit of the raster data model. Cells store information about the conditions at a specific spot on the planet's surface. Cell values can be integers (whole numbers) or floating points, depending on the type of data being stored (numbers with decimals). Continuous data is stored in the form of a raster with floating-point cell values. Nondiscrete data, field data, and surface data are all terms used to describe this type of data. The data is well stored to allow a large number of significant digits as well as a wide range of values. Therefore, in this study, the classified map from the 2011 datasets was then stored in float type (</w:t>
      </w:r>
      <w:r w:rsidRPr="00051297">
        <w:rPr>
          <w:rFonts w:cs="Times New Roman"/>
          <w:szCs w:val="24"/>
          <w:lang w:val="en-US"/>
        </w:rPr>
        <w:fldChar w:fldCharType="begin"/>
      </w:r>
      <w:r w:rsidRPr="00051297">
        <w:rPr>
          <w:rFonts w:cs="Times New Roman"/>
          <w:szCs w:val="24"/>
          <w:lang w:val="en-US"/>
        </w:rPr>
        <w:instrText xml:space="preserve"> REF _Ref98104794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26</w:t>
      </w:r>
      <w:r w:rsidRPr="00051297">
        <w:rPr>
          <w:rFonts w:cs="Times New Roman"/>
          <w:szCs w:val="24"/>
          <w:lang w:val="en-US"/>
        </w:rPr>
        <w:fldChar w:fldCharType="end"/>
      </w:r>
      <w:r w:rsidRPr="00051297">
        <w:rPr>
          <w:rFonts w:cs="Times New Roman"/>
          <w:szCs w:val="24"/>
          <w:lang w:val="en-US"/>
        </w:rPr>
        <w:t xml:space="preserve"> (a)) and integer type (</w:t>
      </w:r>
      <w:r w:rsidRPr="00051297">
        <w:rPr>
          <w:rFonts w:cs="Times New Roman"/>
          <w:szCs w:val="24"/>
          <w:lang w:val="en-US"/>
        </w:rPr>
        <w:fldChar w:fldCharType="begin"/>
      </w:r>
      <w:r w:rsidRPr="00051297">
        <w:rPr>
          <w:rFonts w:cs="Times New Roman"/>
          <w:szCs w:val="24"/>
          <w:lang w:val="en-US"/>
        </w:rPr>
        <w:instrText xml:space="preserve"> REF _Ref98104794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26</w:t>
      </w:r>
      <w:r w:rsidRPr="00051297">
        <w:rPr>
          <w:rFonts w:cs="Times New Roman"/>
          <w:szCs w:val="24"/>
          <w:lang w:val="en-US"/>
        </w:rPr>
        <w:fldChar w:fldCharType="end"/>
      </w:r>
      <w:r w:rsidRPr="00051297">
        <w:rPr>
          <w:rFonts w:cs="Times New Roman"/>
          <w:szCs w:val="24"/>
          <w:lang w:val="en-US"/>
        </w:rPr>
        <w:t xml:space="preserve"> (b)).</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51297" w:rsidRPr="00051297" w14:paraId="072E033B" w14:textId="77777777" w:rsidTr="00D20B01">
        <w:tc>
          <w:tcPr>
            <w:tcW w:w="4675" w:type="dxa"/>
          </w:tcPr>
          <w:p w14:paraId="412EC93C" w14:textId="77777777" w:rsidR="00051297" w:rsidRPr="00051297" w:rsidRDefault="00051297" w:rsidP="00051297">
            <w:pPr>
              <w:ind w:firstLine="0"/>
              <w:jc w:val="center"/>
              <w:rPr>
                <w:szCs w:val="24"/>
              </w:rPr>
            </w:pPr>
            <w:r w:rsidRPr="00051297">
              <w:rPr>
                <w:noProof/>
                <w:szCs w:val="24"/>
              </w:rPr>
              <w:drawing>
                <wp:inline distT="0" distB="0" distL="0" distR="0" wp14:anchorId="2D332F35" wp14:editId="37FC41E2">
                  <wp:extent cx="2495383" cy="2160000"/>
                  <wp:effectExtent l="0" t="0" r="63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95383" cy="2160000"/>
                          </a:xfrm>
                          <a:prstGeom prst="rect">
                            <a:avLst/>
                          </a:prstGeom>
                          <a:noFill/>
                          <a:ln>
                            <a:noFill/>
                          </a:ln>
                        </pic:spPr>
                      </pic:pic>
                    </a:graphicData>
                  </a:graphic>
                </wp:inline>
              </w:drawing>
            </w:r>
          </w:p>
          <w:p w14:paraId="3AEAE8A0" w14:textId="77777777" w:rsidR="00051297" w:rsidRPr="00051297" w:rsidRDefault="00051297" w:rsidP="00051297">
            <w:pPr>
              <w:jc w:val="center"/>
              <w:rPr>
                <w:szCs w:val="24"/>
              </w:rPr>
            </w:pPr>
            <w:r w:rsidRPr="00051297">
              <w:rPr>
                <w:szCs w:val="24"/>
              </w:rPr>
              <w:t>(a)</w:t>
            </w:r>
          </w:p>
        </w:tc>
        <w:tc>
          <w:tcPr>
            <w:tcW w:w="4675" w:type="dxa"/>
          </w:tcPr>
          <w:p w14:paraId="60EB1631" w14:textId="77777777" w:rsidR="00051297" w:rsidRPr="00051297" w:rsidRDefault="00051297" w:rsidP="00051297">
            <w:pPr>
              <w:ind w:firstLine="0"/>
              <w:jc w:val="center"/>
              <w:rPr>
                <w:szCs w:val="24"/>
              </w:rPr>
            </w:pPr>
            <w:r w:rsidRPr="00051297">
              <w:rPr>
                <w:noProof/>
                <w:szCs w:val="24"/>
              </w:rPr>
              <w:drawing>
                <wp:inline distT="0" distB="0" distL="0" distR="0" wp14:anchorId="5DBD463F" wp14:editId="63783DC9">
                  <wp:extent cx="2727029" cy="21600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7339" b="5706"/>
                          <a:stretch/>
                        </pic:blipFill>
                        <pic:spPr bwMode="auto">
                          <a:xfrm>
                            <a:off x="0" y="0"/>
                            <a:ext cx="2727029"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5BF4E5D" w14:textId="77777777" w:rsidR="00051297" w:rsidRPr="00051297" w:rsidRDefault="00051297" w:rsidP="00051297">
            <w:pPr>
              <w:keepNext/>
              <w:jc w:val="center"/>
              <w:rPr>
                <w:szCs w:val="24"/>
              </w:rPr>
            </w:pPr>
            <w:r w:rsidRPr="00051297">
              <w:rPr>
                <w:szCs w:val="24"/>
              </w:rPr>
              <w:t>(b)</w:t>
            </w:r>
          </w:p>
        </w:tc>
      </w:tr>
    </w:tbl>
    <w:p w14:paraId="0B3E9FD1" w14:textId="7F50F429" w:rsidR="00051297" w:rsidRPr="00051297" w:rsidRDefault="00051297" w:rsidP="00051297">
      <w:pPr>
        <w:ind w:firstLine="0"/>
        <w:jc w:val="center"/>
        <w:rPr>
          <w:rFonts w:cs="Times New Roman"/>
          <w:szCs w:val="24"/>
          <w:lang w:val="en-US" w:bidi="en-US"/>
        </w:rPr>
      </w:pPr>
      <w:bookmarkStart w:id="739" w:name="_Ref98104794"/>
      <w:bookmarkStart w:id="740" w:name="_Toc97428240"/>
      <w:bookmarkStart w:id="741" w:name="_Toc98085915"/>
      <w:bookmarkStart w:id="742" w:name="_Toc103544112"/>
      <w:bookmarkStart w:id="743" w:name="_Toc104985435"/>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26</w:t>
      </w:r>
      <w:r w:rsidR="00527861">
        <w:rPr>
          <w:rFonts w:cs="Times New Roman"/>
          <w:szCs w:val="24"/>
          <w:lang w:val="en-US" w:bidi="en-US"/>
        </w:rPr>
        <w:fldChar w:fldCharType="end"/>
      </w:r>
      <w:bookmarkEnd w:id="739"/>
      <w:r w:rsidRPr="00051297">
        <w:rPr>
          <w:lang w:val="en-US"/>
        </w:rPr>
        <w:t xml:space="preserve"> </w:t>
      </w:r>
      <w:r w:rsidRPr="00051297">
        <w:rPr>
          <w:rFonts w:cs="Times New Roman"/>
          <w:szCs w:val="24"/>
          <w:lang w:val="en-US" w:bidi="en-US"/>
        </w:rPr>
        <w:t>– Raster to polygon: a) float type; b) integer type</w:t>
      </w:r>
      <w:bookmarkEnd w:id="740"/>
      <w:bookmarkEnd w:id="741"/>
      <w:bookmarkEnd w:id="742"/>
      <w:bookmarkEnd w:id="743"/>
    </w:p>
    <w:p w14:paraId="7C85BCEF" w14:textId="7600BC68" w:rsidR="00051297" w:rsidRPr="00051297" w:rsidRDefault="00051297" w:rsidP="00051297">
      <w:pPr>
        <w:rPr>
          <w:rFonts w:cs="Times New Roman"/>
          <w:szCs w:val="24"/>
          <w:lang w:val="en-US"/>
        </w:rPr>
      </w:pPr>
      <w:r w:rsidRPr="00051297">
        <w:rPr>
          <w:rFonts w:eastAsia="Calibri" w:cs="Times New Roman"/>
          <w:szCs w:val="24"/>
          <w:lang w:val="en-US"/>
        </w:rPr>
        <w:lastRenderedPageBreak/>
        <w:t>Also, water, vegetation, developed low intensity, developed medium intensity, and developed high-intensity land use classifications were established as a result of the land use and land cover change analysis for 2011 datasets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_Ref98104811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27</w:t>
      </w:r>
      <w:r w:rsidRPr="00051297">
        <w:rPr>
          <w:rFonts w:eastAsia="Calibri" w:cs="Times New Roman"/>
          <w:szCs w:val="24"/>
          <w:lang w:val="en-US"/>
        </w:rPr>
        <w:fldChar w:fldCharType="end"/>
      </w:r>
      <w:r w:rsidRPr="00051297">
        <w:rPr>
          <w:rFonts w:eastAsia="Calibri" w:cs="Times New Roman"/>
          <w:szCs w:val="24"/>
          <w:lang w:val="en-US"/>
        </w:rPr>
        <w:t>).</w:t>
      </w:r>
      <w:r w:rsidR="00B3337D">
        <w:rPr>
          <w:rFonts w:eastAsia="Calibri" w:cs="Times New Roman"/>
          <w:szCs w:val="24"/>
          <w:lang w:val="en-US"/>
        </w:rPr>
        <w:t xml:space="preserve"> Moreover, from the 2011 datasets, 56.28 was achieved as a composite curve number (CN56.28).</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6"/>
        <w:gridCol w:w="3066"/>
      </w:tblGrid>
      <w:tr w:rsidR="00051297" w:rsidRPr="00051297" w14:paraId="7DB40E38" w14:textId="77777777" w:rsidTr="005F5229">
        <w:trPr>
          <w:jc w:val="center"/>
        </w:trPr>
        <w:tc>
          <w:tcPr>
            <w:tcW w:w="5526" w:type="dxa"/>
          </w:tcPr>
          <w:p w14:paraId="7F96A78B" w14:textId="7665D38E" w:rsidR="00051297" w:rsidRPr="00051297" w:rsidRDefault="00051297" w:rsidP="005F5229">
            <w:pPr>
              <w:ind w:firstLine="0"/>
              <w:rPr>
                <w:szCs w:val="24"/>
              </w:rPr>
            </w:pPr>
            <w:r w:rsidRPr="00051297">
              <w:rPr>
                <w:noProof/>
                <w:szCs w:val="24"/>
              </w:rPr>
              <w:drawing>
                <wp:inline distT="0" distB="0" distL="0" distR="0" wp14:anchorId="52595FCD" wp14:editId="16E73B30">
                  <wp:extent cx="3364974" cy="2880000"/>
                  <wp:effectExtent l="0" t="0" r="698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64974" cy="2880000"/>
                          </a:xfrm>
                          <a:prstGeom prst="rect">
                            <a:avLst/>
                          </a:prstGeom>
                          <a:noFill/>
                          <a:ln>
                            <a:noFill/>
                          </a:ln>
                        </pic:spPr>
                      </pic:pic>
                    </a:graphicData>
                  </a:graphic>
                </wp:inline>
              </w:drawing>
            </w:r>
          </w:p>
        </w:tc>
        <w:tc>
          <w:tcPr>
            <w:tcW w:w="2974" w:type="dxa"/>
            <w:vAlign w:val="center"/>
          </w:tcPr>
          <w:p w14:paraId="51A68E75" w14:textId="67E5D03C" w:rsidR="00051297" w:rsidRPr="00051297" w:rsidRDefault="00E1691D" w:rsidP="00E1691D">
            <w:pPr>
              <w:keepNext/>
              <w:ind w:firstLine="0"/>
              <w:jc w:val="right"/>
              <w:rPr>
                <w:szCs w:val="24"/>
              </w:rPr>
            </w:pPr>
            <w:r>
              <w:rPr>
                <w:noProof/>
              </w:rPr>
              <w:drawing>
                <wp:inline distT="0" distB="0" distL="0" distR="0" wp14:anchorId="3657C412" wp14:editId="3FD65AE2">
                  <wp:extent cx="1809750" cy="119062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9750" cy="1190625"/>
                          </a:xfrm>
                          <a:prstGeom prst="rect">
                            <a:avLst/>
                          </a:prstGeom>
                          <a:noFill/>
                          <a:ln>
                            <a:noFill/>
                          </a:ln>
                        </pic:spPr>
                      </pic:pic>
                    </a:graphicData>
                  </a:graphic>
                </wp:inline>
              </w:drawing>
            </w:r>
          </w:p>
        </w:tc>
      </w:tr>
    </w:tbl>
    <w:p w14:paraId="7F9273E0" w14:textId="39FFE82F" w:rsidR="00051297" w:rsidRPr="00051297" w:rsidRDefault="00051297" w:rsidP="00051297">
      <w:pPr>
        <w:ind w:firstLine="0"/>
        <w:jc w:val="center"/>
        <w:rPr>
          <w:rFonts w:cs="Times New Roman"/>
          <w:szCs w:val="24"/>
          <w:lang w:val="en-US" w:bidi="en-US"/>
        </w:rPr>
      </w:pPr>
      <w:bookmarkStart w:id="744" w:name="_Ref98104811"/>
      <w:bookmarkStart w:id="745" w:name="_Toc97428241"/>
      <w:bookmarkStart w:id="746" w:name="_Toc98085916"/>
      <w:bookmarkStart w:id="747" w:name="_Toc103544113"/>
      <w:bookmarkStart w:id="748" w:name="_Toc104985436"/>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27</w:t>
      </w:r>
      <w:r w:rsidR="00527861">
        <w:rPr>
          <w:rFonts w:cs="Times New Roman"/>
          <w:szCs w:val="24"/>
          <w:lang w:val="en-US" w:bidi="en-US"/>
        </w:rPr>
        <w:fldChar w:fldCharType="end"/>
      </w:r>
      <w:bookmarkEnd w:id="744"/>
      <w:r w:rsidRPr="00051297">
        <w:rPr>
          <w:lang w:val="en-US"/>
        </w:rPr>
        <w:t xml:space="preserve"> </w:t>
      </w:r>
      <w:r w:rsidRPr="00051297">
        <w:rPr>
          <w:rFonts w:cs="Times New Roman"/>
          <w:szCs w:val="24"/>
          <w:lang w:val="en-US" w:bidi="en-US"/>
        </w:rPr>
        <w:t>– Classified land use and land cover from 2011 datasets</w:t>
      </w:r>
      <w:bookmarkEnd w:id="745"/>
      <w:bookmarkEnd w:id="746"/>
      <w:bookmarkEnd w:id="747"/>
      <w:bookmarkEnd w:id="748"/>
    </w:p>
    <w:p w14:paraId="784F1057" w14:textId="38BD305E" w:rsidR="00051297" w:rsidRPr="00051297" w:rsidRDefault="00051297" w:rsidP="00051297">
      <w:pPr>
        <w:rPr>
          <w:rFonts w:cs="Times New Roman"/>
          <w:szCs w:val="24"/>
          <w:lang w:val="en-US"/>
        </w:rPr>
      </w:pPr>
      <w:r w:rsidRPr="00051297">
        <w:rPr>
          <w:rFonts w:cs="Times New Roman"/>
          <w:szCs w:val="24"/>
          <w:lang w:val="en-US"/>
        </w:rPr>
        <w:t xml:space="preserve">From </w:t>
      </w:r>
      <w:r w:rsidRPr="00051297">
        <w:rPr>
          <w:rFonts w:cs="Times New Roman"/>
          <w:szCs w:val="24"/>
          <w:lang w:val="en-US"/>
        </w:rPr>
        <w:fldChar w:fldCharType="begin"/>
      </w:r>
      <w:r w:rsidRPr="00051297">
        <w:rPr>
          <w:rFonts w:cs="Times New Roman"/>
          <w:szCs w:val="24"/>
          <w:lang w:val="en-US"/>
        </w:rPr>
        <w:instrText xml:space="preserve"> REF _Ref98104826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28</w:t>
      </w:r>
      <w:r w:rsidRPr="00051297">
        <w:rPr>
          <w:rFonts w:cs="Times New Roman"/>
          <w:szCs w:val="24"/>
          <w:lang w:val="en-US"/>
        </w:rPr>
        <w:fldChar w:fldCharType="end"/>
      </w:r>
      <w:r w:rsidRPr="00051297">
        <w:rPr>
          <w:rFonts w:cs="Times New Roman"/>
          <w:szCs w:val="24"/>
          <w:lang w:val="en-US"/>
        </w:rPr>
        <w:t>, it can be observed that despite an increase in the areas covered by vegetation, there is a significant increase in the medium intensity development and high-intensity development compared to 2000.</w:t>
      </w:r>
    </w:p>
    <w:p w14:paraId="0C32D1F2" w14:textId="77777777" w:rsidR="00051297" w:rsidRPr="00051297" w:rsidRDefault="00051297" w:rsidP="00315352">
      <w:pPr>
        <w:keepNext/>
        <w:ind w:firstLine="0"/>
        <w:jc w:val="center"/>
        <w:rPr>
          <w:rFonts w:cs="Times New Roman"/>
          <w:szCs w:val="24"/>
        </w:rPr>
      </w:pPr>
      <w:r w:rsidRPr="00051297">
        <w:rPr>
          <w:rFonts w:cs="Times New Roman"/>
          <w:noProof/>
          <w:szCs w:val="24"/>
        </w:rPr>
        <w:drawing>
          <wp:inline distT="0" distB="0" distL="0" distR="0" wp14:anchorId="47D0A55F" wp14:editId="1D695DA8">
            <wp:extent cx="5372100" cy="2562225"/>
            <wp:effectExtent l="0" t="0" r="0" b="0"/>
            <wp:docPr id="219" name="Chart 219">
              <a:extLst xmlns:a="http://schemas.openxmlformats.org/drawingml/2006/main">
                <a:ext uri="{FF2B5EF4-FFF2-40B4-BE49-F238E27FC236}">
                  <a16:creationId xmlns:a16="http://schemas.microsoft.com/office/drawing/2014/main" id="{86B6E621-2778-4C1D-A000-EAF2624384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4ACD99A" w14:textId="64FABF7D" w:rsidR="00051297" w:rsidRPr="00051297" w:rsidRDefault="00051297" w:rsidP="00315352">
      <w:pPr>
        <w:ind w:firstLine="0"/>
        <w:jc w:val="center"/>
        <w:rPr>
          <w:rFonts w:cs="Times New Roman"/>
          <w:szCs w:val="24"/>
          <w:lang w:val="en-US" w:bidi="en-US"/>
        </w:rPr>
      </w:pPr>
      <w:bookmarkStart w:id="749" w:name="_Ref98104826"/>
      <w:bookmarkStart w:id="750" w:name="_Toc97428242"/>
      <w:bookmarkStart w:id="751" w:name="_Toc98085917"/>
      <w:bookmarkStart w:id="752" w:name="_Toc103544114"/>
      <w:bookmarkStart w:id="753" w:name="_Toc104985437"/>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28</w:t>
      </w:r>
      <w:r w:rsidR="00527861">
        <w:rPr>
          <w:rFonts w:cs="Times New Roman"/>
          <w:szCs w:val="24"/>
          <w:lang w:val="en-US" w:bidi="en-US"/>
        </w:rPr>
        <w:fldChar w:fldCharType="end"/>
      </w:r>
      <w:bookmarkEnd w:id="749"/>
      <w:r w:rsidRPr="00051297">
        <w:rPr>
          <w:lang w:val="en-US"/>
        </w:rPr>
        <w:t xml:space="preserve"> </w:t>
      </w:r>
      <w:r w:rsidRPr="00051297">
        <w:rPr>
          <w:rFonts w:cs="Times New Roman"/>
          <w:szCs w:val="24"/>
          <w:lang w:val="en-US" w:bidi="en-US"/>
        </w:rPr>
        <w:t>– Land use and land cover coverage in 2011</w:t>
      </w:r>
      <w:bookmarkEnd w:id="750"/>
      <w:bookmarkEnd w:id="751"/>
      <w:bookmarkEnd w:id="752"/>
      <w:bookmarkEnd w:id="753"/>
    </w:p>
    <w:p w14:paraId="4624B49F" w14:textId="23042AFE" w:rsidR="00051297" w:rsidRPr="00051297" w:rsidRDefault="00051297" w:rsidP="00051297">
      <w:pPr>
        <w:rPr>
          <w:rFonts w:cs="Times New Roman"/>
          <w:szCs w:val="24"/>
          <w:lang w:val="en-US"/>
        </w:rPr>
      </w:pPr>
      <w:r w:rsidRPr="00051297">
        <w:rPr>
          <w:rFonts w:cs="Times New Roman"/>
          <w:szCs w:val="24"/>
          <w:lang w:val="en-US"/>
        </w:rPr>
        <w:t>The classified map based on the identified land use and land cover types was then converted to polygon (</w:t>
      </w:r>
      <w:r w:rsidRPr="00051297">
        <w:rPr>
          <w:rFonts w:cs="Times New Roman"/>
          <w:szCs w:val="24"/>
          <w:lang w:val="en-US"/>
        </w:rPr>
        <w:fldChar w:fldCharType="begin"/>
      </w:r>
      <w:r w:rsidRPr="00051297">
        <w:rPr>
          <w:rFonts w:cs="Times New Roman"/>
          <w:szCs w:val="24"/>
          <w:lang w:val="en-US"/>
        </w:rPr>
        <w:instrText xml:space="preserve"> REF _Ref98104835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2</w:t>
      </w:r>
      <w:r w:rsidR="004870F1">
        <w:rPr>
          <w:rFonts w:cs="Times New Roman"/>
          <w:szCs w:val="24"/>
          <w:lang w:val="en-US" w:bidi="en-US"/>
        </w:rPr>
        <w:t>.</w:t>
      </w:r>
      <w:r w:rsidR="004870F1">
        <w:rPr>
          <w:rFonts w:cs="Times New Roman"/>
          <w:noProof/>
          <w:szCs w:val="24"/>
          <w:lang w:val="en-US" w:bidi="en-US"/>
        </w:rPr>
        <w:t>29</w:t>
      </w:r>
      <w:r w:rsidRPr="00051297">
        <w:rPr>
          <w:rFonts w:cs="Times New Roman"/>
          <w:szCs w:val="24"/>
          <w:lang w:val="en-US"/>
        </w:rPr>
        <w:fldChar w:fldCharType="end"/>
      </w:r>
      <w:r w:rsidRPr="00051297">
        <w:rPr>
          <w:rFonts w:cs="Times New Roman"/>
          <w:szCs w:val="24"/>
          <w:lang w:val="en-US"/>
        </w:rPr>
        <w:t xml:space="preserve">). Polygons were extracted from units in a raster map using the Raster to Polygons technique. The output polygon map had the same domain as the input raster map, which </w:t>
      </w:r>
      <w:r w:rsidRPr="00051297">
        <w:rPr>
          <w:rFonts w:cs="Times New Roman"/>
          <w:szCs w:val="24"/>
          <w:lang w:val="en-US"/>
        </w:rPr>
        <w:lastRenderedPageBreak/>
        <w:t>means that the polygons in the output polygon map had the same class names or identifications as the input raster map.</w:t>
      </w:r>
    </w:p>
    <w:p w14:paraId="09322323" w14:textId="77777777" w:rsidR="00051297" w:rsidRPr="00051297" w:rsidRDefault="00051297" w:rsidP="00051297">
      <w:pPr>
        <w:keepNext/>
        <w:ind w:firstLine="0"/>
        <w:jc w:val="center"/>
        <w:rPr>
          <w:rFonts w:cs="Times New Roman"/>
          <w:szCs w:val="24"/>
        </w:rPr>
      </w:pPr>
      <w:r w:rsidRPr="00051297">
        <w:rPr>
          <w:rFonts w:cs="Times New Roman"/>
          <w:noProof/>
          <w:szCs w:val="24"/>
        </w:rPr>
        <w:drawing>
          <wp:inline distT="0" distB="0" distL="0" distR="0" wp14:anchorId="7F650A0C" wp14:editId="6E3AA96E">
            <wp:extent cx="4364766" cy="37800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64766" cy="3780000"/>
                    </a:xfrm>
                    <a:prstGeom prst="rect">
                      <a:avLst/>
                    </a:prstGeom>
                    <a:noFill/>
                    <a:ln>
                      <a:noFill/>
                    </a:ln>
                  </pic:spPr>
                </pic:pic>
              </a:graphicData>
            </a:graphic>
          </wp:inline>
        </w:drawing>
      </w:r>
    </w:p>
    <w:p w14:paraId="637AB45A" w14:textId="3B5EE94E" w:rsidR="00051297" w:rsidRPr="00051297" w:rsidRDefault="00051297" w:rsidP="00051297">
      <w:pPr>
        <w:ind w:firstLine="0"/>
        <w:jc w:val="center"/>
        <w:rPr>
          <w:rFonts w:cs="Times New Roman"/>
          <w:i/>
          <w:iCs/>
          <w:szCs w:val="24"/>
          <w:lang w:val="en-US"/>
        </w:rPr>
      </w:pPr>
      <w:bookmarkStart w:id="754" w:name="_Ref98104835"/>
      <w:bookmarkStart w:id="755" w:name="_Toc97428243"/>
      <w:bookmarkStart w:id="756" w:name="_Toc98085918"/>
      <w:bookmarkStart w:id="757" w:name="_Toc103544115"/>
      <w:bookmarkStart w:id="758" w:name="_Toc104985438"/>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29</w:t>
      </w:r>
      <w:r w:rsidR="00527861">
        <w:rPr>
          <w:rFonts w:cs="Times New Roman"/>
          <w:szCs w:val="24"/>
          <w:lang w:val="en-US" w:bidi="en-US"/>
        </w:rPr>
        <w:fldChar w:fldCharType="end"/>
      </w:r>
      <w:bookmarkEnd w:id="754"/>
      <w:r w:rsidRPr="00051297">
        <w:rPr>
          <w:lang w:val="en-US"/>
        </w:rPr>
        <w:t xml:space="preserve"> </w:t>
      </w:r>
      <w:r w:rsidRPr="00051297">
        <w:rPr>
          <w:rFonts w:cs="Times New Roman"/>
          <w:szCs w:val="24"/>
          <w:lang w:val="en-US" w:bidi="en-US"/>
        </w:rPr>
        <w:t>– Raster to polygon output from 2011 datasets</w:t>
      </w:r>
      <w:bookmarkEnd w:id="755"/>
      <w:bookmarkEnd w:id="756"/>
      <w:bookmarkEnd w:id="757"/>
      <w:bookmarkEnd w:id="758"/>
    </w:p>
    <w:p w14:paraId="7565DB33" w14:textId="70AACA26" w:rsidR="00051297" w:rsidRPr="00051297" w:rsidRDefault="00051297" w:rsidP="005F5229">
      <w:pPr>
        <w:keepNext/>
        <w:keepLines/>
        <w:pageBreakBefore/>
        <w:ind w:firstLine="0"/>
        <w:jc w:val="center"/>
        <w:outlineLvl w:val="5"/>
        <w:rPr>
          <w:rFonts w:eastAsiaTheme="majorEastAsia" w:cstheme="majorBidi"/>
          <w:b/>
          <w:lang w:val="en-US"/>
        </w:rPr>
      </w:pPr>
      <w:bookmarkStart w:id="759" w:name="_Toc103543939"/>
      <w:bookmarkStart w:id="760" w:name="_Toc104985264"/>
      <w:r w:rsidRPr="00051297">
        <w:rPr>
          <w:rFonts w:eastAsiaTheme="majorEastAsia" w:cstheme="majorBidi"/>
          <w:b/>
          <w:lang w:val="en-US"/>
        </w:rPr>
        <w:lastRenderedPageBreak/>
        <w:t xml:space="preserve">Summary for chapter </w:t>
      </w:r>
      <w:bookmarkEnd w:id="759"/>
      <w:r w:rsidR="0015493A">
        <w:rPr>
          <w:rFonts w:eastAsiaTheme="majorEastAsia" w:cstheme="majorBidi"/>
          <w:b/>
          <w:lang w:val="en-US"/>
        </w:rPr>
        <w:t>two</w:t>
      </w:r>
      <w:bookmarkEnd w:id="760"/>
    </w:p>
    <w:p w14:paraId="5F97330E" w14:textId="77777777" w:rsidR="00051297" w:rsidRPr="00051297" w:rsidRDefault="00051297" w:rsidP="00051297">
      <w:pPr>
        <w:numPr>
          <w:ilvl w:val="0"/>
          <w:numId w:val="8"/>
        </w:numPr>
        <w:tabs>
          <w:tab w:val="left" w:pos="993"/>
        </w:tabs>
        <w:ind w:left="0" w:firstLine="709"/>
        <w:contextualSpacing/>
        <w:rPr>
          <w:lang w:val="en-US"/>
        </w:rPr>
      </w:pPr>
      <w:r w:rsidRPr="00051297">
        <w:rPr>
          <w:lang w:val="en-US"/>
        </w:rPr>
        <w:t xml:space="preserve">The purpose of this research was to integrate the use of DEM, Land use/land cover attributes, and HEC-GeoHMS as a plugin in the ArcGIS interface for watershed delineation and identifying prospective dam sites in a flood-affected catchment to see how GIS and RS may help with various engineering tasks. For the watershed delineation and development of a base map for candidate dam sites as flood control structures, this study used GIS-based methodologies using a 30m resolution DEM. </w:t>
      </w:r>
    </w:p>
    <w:p w14:paraId="468E7FEB" w14:textId="77777777" w:rsidR="00051297" w:rsidRPr="00051297" w:rsidRDefault="00051297" w:rsidP="00051297">
      <w:pPr>
        <w:numPr>
          <w:ilvl w:val="0"/>
          <w:numId w:val="8"/>
        </w:numPr>
        <w:tabs>
          <w:tab w:val="left" w:pos="993"/>
        </w:tabs>
        <w:ind w:left="0" w:firstLine="709"/>
        <w:contextualSpacing/>
        <w:rPr>
          <w:lang w:val="en-US"/>
        </w:rPr>
      </w:pPr>
      <w:r w:rsidRPr="00051297">
        <w:rPr>
          <w:lang w:val="en-US"/>
        </w:rPr>
        <w:t>A total area of 267.24 km</w:t>
      </w:r>
      <w:r w:rsidRPr="00051297">
        <w:rPr>
          <w:vertAlign w:val="superscript"/>
          <w:lang w:val="en-US"/>
        </w:rPr>
        <w:t>2</w:t>
      </w:r>
      <w:r w:rsidRPr="00051297">
        <w:rPr>
          <w:lang w:val="en-US"/>
        </w:rPr>
        <w:t xml:space="preserve"> has been defined. The study used Landsat and Google Earth pictures to assess the land surface features of the study catchment for runoff affecting elements, as well as to identify potential physical barriers on the ground for precise catchment delineation. A total of five land-use classes were chosen (water, developed high intensity, developed medium intensity, developed low intensity, and vegetation). The degree of development intensity increases downstream and decreases upstream of the catchment. This occurrence reflects the catchment's true state.</w:t>
      </w:r>
    </w:p>
    <w:p w14:paraId="63CE406C" w14:textId="77777777" w:rsidR="00051297" w:rsidRPr="00051297" w:rsidRDefault="00051297" w:rsidP="00051297">
      <w:pPr>
        <w:numPr>
          <w:ilvl w:val="0"/>
          <w:numId w:val="8"/>
        </w:numPr>
        <w:tabs>
          <w:tab w:val="left" w:pos="993"/>
        </w:tabs>
        <w:ind w:left="0" w:firstLine="709"/>
        <w:contextualSpacing/>
        <w:rPr>
          <w:lang w:val="en-US"/>
        </w:rPr>
      </w:pPr>
      <w:r w:rsidRPr="00051297">
        <w:rPr>
          <w:lang w:val="en-US"/>
        </w:rPr>
        <w:t>The Rational Method for Runoff Discharge Estimation was used to calculate the total possible runoff discharge in the watershed, as well as the discharge for each subbasin contributing to the potential dam sites. The total discharge from December 20, 2011, heavy rainfall event was predicted to be 8069.5 m</w:t>
      </w:r>
      <w:r w:rsidRPr="00051297">
        <w:rPr>
          <w:vertAlign w:val="superscript"/>
          <w:lang w:val="en-US"/>
        </w:rPr>
        <w:t>3</w:t>
      </w:r>
      <w:r w:rsidRPr="00051297">
        <w:rPr>
          <w:lang w:val="en-US"/>
        </w:rPr>
        <w:t>/s. This study's findings reveal the importance of RS and GIS-based approaches in the evaluation of potential dam sites as part of engineering, catchment management, and decision-making operations. The dam locations chosen could capture around 75.15% of the runoff generated in the watershed, which would then be released at a controlled pace based on the capacity and other needs of the downstream receiving stream.</w:t>
      </w:r>
    </w:p>
    <w:p w14:paraId="7A8A5835" w14:textId="77777777" w:rsidR="00051297" w:rsidRPr="00051297" w:rsidRDefault="00051297" w:rsidP="00051297">
      <w:pPr>
        <w:numPr>
          <w:ilvl w:val="0"/>
          <w:numId w:val="8"/>
        </w:numPr>
        <w:tabs>
          <w:tab w:val="left" w:pos="993"/>
        </w:tabs>
        <w:ind w:left="0" w:firstLine="709"/>
        <w:contextualSpacing/>
        <w:rPr>
          <w:lang w:val="en-US"/>
        </w:rPr>
      </w:pPr>
      <w:r w:rsidRPr="00051297">
        <w:rPr>
          <w:lang w:val="en-US"/>
        </w:rPr>
        <w:t>Wetlands covered the majority of the Ndembera catchment in 1990, accounting for 56.57% of the total area. The area covered by high-intensity development is just about 0.86 % of the overall area. This indicates that the majority of the catchment area was covered by more natural and less developed areas in 1990. In addition, photos from the Landsat satellite from 2011 were obtained and evaluated for land use and land cover. In just seven years, the medium intensity development rate has risen to over 54.71%, up from 25.91% in 2004.</w:t>
      </w:r>
    </w:p>
    <w:p w14:paraId="2866D574" w14:textId="77777777" w:rsidR="00051297" w:rsidRPr="00051297" w:rsidRDefault="00051297" w:rsidP="00051297">
      <w:pPr>
        <w:numPr>
          <w:ilvl w:val="0"/>
          <w:numId w:val="8"/>
        </w:numPr>
        <w:tabs>
          <w:tab w:val="left" w:pos="993"/>
        </w:tabs>
        <w:ind w:left="0" w:firstLine="709"/>
        <w:contextualSpacing/>
        <w:rPr>
          <w:lang w:val="en-US"/>
        </w:rPr>
      </w:pPr>
      <w:r w:rsidRPr="00051297">
        <w:rPr>
          <w:lang w:val="en-US"/>
        </w:rPr>
        <w:t>The majority of the Chardara catchment was covered by low-intensity development in 2000, accounting for approximately 36482.77 km</w:t>
      </w:r>
      <w:r w:rsidRPr="00051297">
        <w:rPr>
          <w:vertAlign w:val="superscript"/>
          <w:lang w:val="en-US"/>
        </w:rPr>
        <w:t>2</w:t>
      </w:r>
      <w:r w:rsidRPr="00051297">
        <w:rPr>
          <w:lang w:val="en-US"/>
        </w:rPr>
        <w:t xml:space="preserve"> of the catchment, followed by a comparatively substantial amount covered by a vegetative cover. It's also worth noting that areas covered by high-intensity development were larger than those covered by medium-intensity development. The phenomena show that in the watershed, the natural surface is rather well-suited to high-intensity development.</w:t>
      </w:r>
    </w:p>
    <w:p w14:paraId="0C1781B6" w14:textId="77777777" w:rsidR="00051297" w:rsidRPr="00051297" w:rsidRDefault="00051297" w:rsidP="00051297">
      <w:pPr>
        <w:numPr>
          <w:ilvl w:val="0"/>
          <w:numId w:val="8"/>
        </w:numPr>
        <w:tabs>
          <w:tab w:val="left" w:pos="993"/>
        </w:tabs>
        <w:ind w:left="0" w:firstLine="709"/>
        <w:contextualSpacing/>
        <w:rPr>
          <w:lang w:val="en-US"/>
        </w:rPr>
      </w:pPr>
      <w:r w:rsidRPr="00051297">
        <w:rPr>
          <w:lang w:val="en-US"/>
        </w:rPr>
        <w:lastRenderedPageBreak/>
        <w:t xml:space="preserve">Dams, when appropriately positioned and engineered, can play a vital engineering role in flood control. Dams in urban locations can also be used for recreation, micro-scale hydropower generation, soil erosion management, and extending river flow while preserving the ecosystem for intermittent flashy rivers. </w:t>
      </w:r>
    </w:p>
    <w:p w14:paraId="7CD7C9ED" w14:textId="77777777" w:rsidR="00051297" w:rsidRPr="00051297" w:rsidRDefault="00051297" w:rsidP="00051297">
      <w:pPr>
        <w:numPr>
          <w:ilvl w:val="0"/>
          <w:numId w:val="8"/>
        </w:numPr>
        <w:tabs>
          <w:tab w:val="left" w:pos="993"/>
        </w:tabs>
        <w:ind w:left="0" w:firstLine="709"/>
        <w:contextualSpacing/>
        <w:rPr>
          <w:lang w:val="en-US"/>
        </w:rPr>
      </w:pPr>
      <w:r w:rsidRPr="00051297">
        <w:rPr>
          <w:lang w:val="en-US"/>
        </w:rPr>
        <w:t>In general, based on the methodologies and findings of this study, a number of conclusions can be drawn:</w:t>
      </w:r>
    </w:p>
    <w:p w14:paraId="7D6A8CBE" w14:textId="77777777" w:rsidR="00051297" w:rsidRPr="00051297" w:rsidRDefault="00051297" w:rsidP="00051297">
      <w:pPr>
        <w:numPr>
          <w:ilvl w:val="0"/>
          <w:numId w:val="8"/>
        </w:numPr>
        <w:tabs>
          <w:tab w:val="left" w:pos="993"/>
        </w:tabs>
        <w:ind w:left="0" w:firstLine="709"/>
        <w:contextualSpacing/>
        <w:rPr>
          <w:lang w:val="en-US"/>
        </w:rPr>
      </w:pPr>
      <w:r w:rsidRPr="00051297">
        <w:rPr>
          <w:lang w:val="en-US"/>
        </w:rPr>
        <w:t>Using HEC-GeoHMS to install ArcHydro tools is also more efficient than manually searching for and installing ArcHydro tools.</w:t>
      </w:r>
    </w:p>
    <w:p w14:paraId="7BA65AC4" w14:textId="77777777" w:rsidR="00051297" w:rsidRPr="00051297" w:rsidRDefault="00051297" w:rsidP="00051297">
      <w:pPr>
        <w:numPr>
          <w:ilvl w:val="0"/>
          <w:numId w:val="8"/>
        </w:numPr>
        <w:tabs>
          <w:tab w:val="left" w:pos="993"/>
        </w:tabs>
        <w:ind w:left="0" w:firstLine="709"/>
        <w:contextualSpacing/>
        <w:rPr>
          <w:lang w:val="en-US"/>
        </w:rPr>
      </w:pPr>
      <w:r w:rsidRPr="00051297">
        <w:rPr>
          <w:lang w:val="en-US"/>
        </w:rPr>
        <w:t>The HEC-GeoHMS integrated work environment's catchment delineation appears to be robust and efficient.</w:t>
      </w:r>
    </w:p>
    <w:p w14:paraId="37F51A3F" w14:textId="77777777" w:rsidR="00051297" w:rsidRPr="00051297" w:rsidRDefault="00051297" w:rsidP="00051297">
      <w:pPr>
        <w:numPr>
          <w:ilvl w:val="0"/>
          <w:numId w:val="8"/>
        </w:numPr>
        <w:tabs>
          <w:tab w:val="left" w:pos="993"/>
        </w:tabs>
        <w:ind w:left="0" w:firstLine="709"/>
        <w:contextualSpacing/>
        <w:rPr>
          <w:lang w:val="en-US"/>
        </w:rPr>
      </w:pPr>
      <w:r w:rsidRPr="00051297">
        <w:rPr>
          <w:lang w:val="en-US"/>
        </w:rPr>
        <w:t>HEC-GeoHMS delivers extensive information during project development (creation of catchment border and streams).</w:t>
      </w:r>
    </w:p>
    <w:p w14:paraId="50FCC544" w14:textId="77777777" w:rsidR="00051297" w:rsidRPr="00051297" w:rsidRDefault="00051297" w:rsidP="00051297">
      <w:pPr>
        <w:numPr>
          <w:ilvl w:val="0"/>
          <w:numId w:val="8"/>
        </w:numPr>
        <w:tabs>
          <w:tab w:val="left" w:pos="993"/>
        </w:tabs>
        <w:ind w:left="0" w:firstLine="709"/>
        <w:contextualSpacing/>
        <w:rPr>
          <w:lang w:val="en-US"/>
        </w:rPr>
      </w:pPr>
      <w:r w:rsidRPr="00051297">
        <w:rPr>
          <w:lang w:val="en-US"/>
        </w:rPr>
        <w:t>Another effective method for dam site assessment and selection is to combine watershed delineation, land use/land cover research, and high-resolution, up-to-date imagery investigations.</w:t>
      </w:r>
    </w:p>
    <w:p w14:paraId="0C28AE81" w14:textId="11578CF9" w:rsidR="00051297" w:rsidRPr="00051297" w:rsidRDefault="00051297" w:rsidP="00315352">
      <w:pPr>
        <w:pStyle w:val="1"/>
        <w:rPr>
          <w:rFonts w:eastAsia="Calibri"/>
          <w:lang w:val="en-US"/>
        </w:rPr>
      </w:pPr>
      <w:bookmarkStart w:id="761" w:name="_Toc103543940"/>
      <w:bookmarkStart w:id="762" w:name="_Toc104985265"/>
      <w:r w:rsidRPr="00051297">
        <w:rPr>
          <w:rFonts w:eastAsia="Calibri"/>
          <w:lang w:val="en-US"/>
        </w:rPr>
        <w:lastRenderedPageBreak/>
        <w:t>Stormwater modeling</w:t>
      </w:r>
      <w:bookmarkEnd w:id="761"/>
      <w:bookmarkEnd w:id="762"/>
    </w:p>
    <w:p w14:paraId="0FBB3474" w14:textId="767D064E" w:rsidR="00051297" w:rsidRPr="00051297" w:rsidRDefault="00051297" w:rsidP="00315352">
      <w:pPr>
        <w:pStyle w:val="2"/>
      </w:pPr>
      <w:bookmarkStart w:id="763" w:name="_Toc97504807"/>
      <w:bookmarkStart w:id="764" w:name="_Toc103543941"/>
      <w:bookmarkStart w:id="765" w:name="_Toc104985266"/>
      <w:r w:rsidRPr="00051297">
        <w:t>Modeling approach</w:t>
      </w:r>
      <w:bookmarkEnd w:id="763"/>
      <w:bookmarkEnd w:id="764"/>
      <w:bookmarkEnd w:id="765"/>
      <w:r w:rsidRPr="00051297">
        <w:t xml:space="preserve"> </w:t>
      </w:r>
    </w:p>
    <w:p w14:paraId="1BD7F25A" w14:textId="329FB866" w:rsidR="00051297" w:rsidRPr="00051297" w:rsidRDefault="00051297" w:rsidP="00051297">
      <w:pPr>
        <w:rPr>
          <w:rFonts w:cs="Times New Roman"/>
          <w:szCs w:val="24"/>
          <w:lang w:val="en-US"/>
        </w:rPr>
      </w:pPr>
      <w:r w:rsidRPr="00051297">
        <w:rPr>
          <w:rFonts w:cs="Times New Roman"/>
          <w:szCs w:val="24"/>
          <w:lang w:val="en-US"/>
        </w:rPr>
        <w:t xml:space="preserve">This chapter aims to use the Soil Conservation Service Curve Number (SCS-CN) approach in conjunction with Geographic Information Techniques to determine runoff depth. It is also worth noting that a rainfall-runoff model is a mathematical representation of a catchment area's, drainage basin's, or watershed's rainfall-runoff relationships. Equations </w:t>
      </w:r>
      <w:r w:rsidRPr="00051297">
        <w:rPr>
          <w:rFonts w:cs="Times New Roman"/>
          <w:szCs w:val="24"/>
          <w:lang w:val="en-US"/>
        </w:rPr>
        <w:fldChar w:fldCharType="begin"/>
      </w:r>
      <w:r w:rsidRPr="00051297">
        <w:rPr>
          <w:rFonts w:cs="Times New Roman"/>
          <w:szCs w:val="24"/>
          <w:lang w:val="en-US"/>
        </w:rPr>
        <w:instrText xml:space="preserve"> REF _Ref103557512 \h </w:instrText>
      </w:r>
      <w:r w:rsidRPr="00051297">
        <w:rPr>
          <w:rFonts w:cs="Times New Roman"/>
          <w:szCs w:val="24"/>
          <w:lang w:val="en-US"/>
        </w:rPr>
      </w:r>
      <w:r w:rsidRPr="00051297">
        <w:rPr>
          <w:rFonts w:cs="Times New Roman"/>
          <w:szCs w:val="24"/>
          <w:lang w:val="en-US"/>
        </w:rPr>
        <w:fldChar w:fldCharType="separate"/>
      </w:r>
      <w:r w:rsidR="004870F1" w:rsidRPr="00CF2B2B">
        <w:rPr>
          <w:rFonts w:cs="Times New Roman"/>
          <w:szCs w:val="24"/>
          <w:lang w:val="en-US"/>
        </w:rPr>
        <w:t>(</w:t>
      </w:r>
      <w:r w:rsidR="004870F1" w:rsidRPr="00CF2B2B">
        <w:rPr>
          <w:rFonts w:cs="Times New Roman"/>
          <w:noProof/>
          <w:szCs w:val="24"/>
          <w:lang w:val="en-US"/>
        </w:rPr>
        <w:t>3</w:t>
      </w:r>
      <w:r w:rsidR="004870F1" w:rsidRPr="00CF2B2B">
        <w:rPr>
          <w:rFonts w:cs="Times New Roman"/>
          <w:szCs w:val="24"/>
          <w:lang w:val="en-US"/>
        </w:rPr>
        <w:t>.</w:t>
      </w:r>
      <w:r w:rsidR="004870F1" w:rsidRPr="00CF2B2B">
        <w:rPr>
          <w:rFonts w:cs="Times New Roman"/>
          <w:noProof/>
          <w:szCs w:val="24"/>
          <w:lang w:val="en-US"/>
        </w:rPr>
        <w:t>1</w:t>
      </w:r>
      <w:r w:rsidR="004870F1" w:rsidRPr="00CF2B2B">
        <w:rPr>
          <w:rFonts w:cs="Times New Roman"/>
          <w:szCs w:val="24"/>
          <w:lang w:val="en-US"/>
        </w:rPr>
        <w:t>)</w:t>
      </w:r>
      <w:r w:rsidRPr="00051297">
        <w:rPr>
          <w:rFonts w:cs="Times New Roman"/>
          <w:szCs w:val="24"/>
          <w:lang w:val="en-US"/>
        </w:rPr>
        <w:fldChar w:fldCharType="end"/>
      </w:r>
      <w:r w:rsidRPr="00051297">
        <w:rPr>
          <w:rFonts w:cs="Times New Roman"/>
          <w:szCs w:val="24"/>
          <w:lang w:val="en-US"/>
        </w:rPr>
        <w:t xml:space="preserve"> to </w:t>
      </w:r>
      <w:r w:rsidRPr="00051297">
        <w:rPr>
          <w:rFonts w:cs="Times New Roman"/>
          <w:szCs w:val="24"/>
          <w:lang w:val="en-US"/>
        </w:rPr>
        <w:fldChar w:fldCharType="begin"/>
      </w:r>
      <w:r w:rsidRPr="00051297">
        <w:rPr>
          <w:rFonts w:cs="Times New Roman"/>
          <w:szCs w:val="24"/>
          <w:lang w:val="en-US"/>
        </w:rPr>
        <w:instrText xml:space="preserve"> REF _Ref103557521 \h </w:instrText>
      </w:r>
      <w:r w:rsidRPr="00051297">
        <w:rPr>
          <w:rFonts w:cs="Times New Roman"/>
          <w:szCs w:val="24"/>
          <w:lang w:val="en-US"/>
        </w:rPr>
      </w:r>
      <w:r w:rsidRPr="00051297">
        <w:rPr>
          <w:rFonts w:cs="Times New Roman"/>
          <w:szCs w:val="24"/>
          <w:lang w:val="en-US"/>
        </w:rPr>
        <w:fldChar w:fldCharType="separate"/>
      </w:r>
      <w:r w:rsidR="004870F1" w:rsidRPr="00CF2B2B">
        <w:rPr>
          <w:szCs w:val="24"/>
          <w:lang w:val="en-US"/>
        </w:rPr>
        <w:t>(</w:t>
      </w:r>
      <w:r w:rsidR="004870F1" w:rsidRPr="00CF2B2B">
        <w:rPr>
          <w:noProof/>
          <w:szCs w:val="24"/>
          <w:lang w:val="en-US"/>
        </w:rPr>
        <w:t>3</w:t>
      </w:r>
      <w:r w:rsidR="004870F1" w:rsidRPr="00CF2B2B">
        <w:rPr>
          <w:szCs w:val="24"/>
          <w:lang w:val="en-US"/>
        </w:rPr>
        <w:t>.</w:t>
      </w:r>
      <w:r w:rsidR="004870F1" w:rsidRPr="00CF2B2B">
        <w:rPr>
          <w:noProof/>
          <w:szCs w:val="24"/>
          <w:lang w:val="en-US"/>
        </w:rPr>
        <w:t>5</w:t>
      </w:r>
      <w:r w:rsidR="004870F1" w:rsidRPr="00CF2B2B">
        <w:rPr>
          <w:szCs w:val="24"/>
          <w:lang w:val="en-US"/>
        </w:rPr>
        <w:t>)</w:t>
      </w:r>
      <w:r w:rsidRPr="00051297">
        <w:rPr>
          <w:rFonts w:cs="Times New Roman"/>
          <w:szCs w:val="24"/>
          <w:lang w:val="en-US"/>
        </w:rPr>
        <w:fldChar w:fldCharType="end"/>
      </w:r>
      <w:r w:rsidRPr="00051297">
        <w:rPr>
          <w:rFonts w:cs="Times New Roman"/>
          <w:szCs w:val="24"/>
          <w:lang w:val="en-US"/>
        </w:rPr>
        <w:t xml:space="preserve"> summarize the modeling approach used in this study.</w:t>
      </w:r>
    </w:p>
    <w:p w14:paraId="4679209D" w14:textId="4F689C44" w:rsidR="00051297" w:rsidRPr="00051297" w:rsidRDefault="00051297" w:rsidP="00051297">
      <w:pPr>
        <w:rPr>
          <w:rFonts w:cs="Times New Roman"/>
          <w:szCs w:val="24"/>
          <w:lang w:val="en-US"/>
        </w:rPr>
      </w:pPr>
      <w:r w:rsidRPr="00051297">
        <w:rPr>
          <w:rFonts w:cs="Times New Roman"/>
          <w:szCs w:val="24"/>
          <w:lang w:val="en-US"/>
        </w:rPr>
        <w:t xml:space="preserve">The first Equation </w:t>
      </w:r>
      <w:r w:rsidRPr="00051297">
        <w:rPr>
          <w:rFonts w:cs="Times New Roman"/>
          <w:szCs w:val="24"/>
          <w:lang w:val="en-US"/>
        </w:rPr>
        <w:fldChar w:fldCharType="begin"/>
      </w:r>
      <w:r w:rsidRPr="00051297">
        <w:rPr>
          <w:rFonts w:cs="Times New Roman"/>
          <w:szCs w:val="24"/>
          <w:lang w:val="en-US"/>
        </w:rPr>
        <w:instrText xml:space="preserve"> REF _Ref103557512 \h </w:instrText>
      </w:r>
      <w:r w:rsidRPr="00051297">
        <w:rPr>
          <w:rFonts w:cs="Times New Roman"/>
          <w:szCs w:val="24"/>
          <w:lang w:val="en-US"/>
        </w:rPr>
      </w:r>
      <w:r w:rsidRPr="00051297">
        <w:rPr>
          <w:rFonts w:cs="Times New Roman"/>
          <w:szCs w:val="24"/>
          <w:lang w:val="en-US"/>
        </w:rPr>
        <w:fldChar w:fldCharType="separate"/>
      </w:r>
      <w:r w:rsidR="004870F1" w:rsidRPr="00CF2B2B">
        <w:rPr>
          <w:rFonts w:cs="Times New Roman"/>
          <w:szCs w:val="24"/>
          <w:lang w:val="en-US"/>
        </w:rPr>
        <w:t>(</w:t>
      </w:r>
      <w:r w:rsidR="004870F1" w:rsidRPr="00CF2B2B">
        <w:rPr>
          <w:rFonts w:cs="Times New Roman"/>
          <w:noProof/>
          <w:szCs w:val="24"/>
          <w:lang w:val="en-US"/>
        </w:rPr>
        <w:t>3</w:t>
      </w:r>
      <w:r w:rsidR="004870F1" w:rsidRPr="00CF2B2B">
        <w:rPr>
          <w:rFonts w:cs="Times New Roman"/>
          <w:szCs w:val="24"/>
          <w:lang w:val="en-US"/>
        </w:rPr>
        <w:t>.</w:t>
      </w:r>
      <w:r w:rsidR="004870F1" w:rsidRPr="00CF2B2B">
        <w:rPr>
          <w:rFonts w:cs="Times New Roman"/>
          <w:noProof/>
          <w:szCs w:val="24"/>
          <w:lang w:val="en-US"/>
        </w:rPr>
        <w:t>1</w:t>
      </w:r>
      <w:r w:rsidR="004870F1" w:rsidRPr="00CF2B2B">
        <w:rPr>
          <w:rFonts w:cs="Times New Roman"/>
          <w:szCs w:val="24"/>
          <w:lang w:val="en-US"/>
        </w:rPr>
        <w:t>)</w:t>
      </w:r>
      <w:r w:rsidRPr="00051297">
        <w:rPr>
          <w:rFonts w:cs="Times New Roman"/>
          <w:szCs w:val="24"/>
          <w:lang w:val="en-US"/>
        </w:rPr>
        <w:fldChar w:fldCharType="end"/>
      </w:r>
      <w:r w:rsidRPr="00051297">
        <w:rPr>
          <w:rFonts w:cs="Times New Roman"/>
          <w:szCs w:val="24"/>
          <w:lang w:val="en-US"/>
        </w:rPr>
        <w:t xml:space="preserve"> is an empirical equation rather than a physically-based equation because it is based on trends detected in data from collected sites. The initial abstractions, I</w:t>
      </w:r>
      <w:r w:rsidRPr="00051297">
        <w:rPr>
          <w:rFonts w:cs="Times New Roman"/>
          <w:szCs w:val="24"/>
          <w:vertAlign w:val="subscript"/>
          <w:lang w:val="en-US"/>
        </w:rPr>
        <w:t>a</w:t>
      </w:r>
      <w:r w:rsidRPr="00051297">
        <w:rPr>
          <w:rFonts w:cs="Times New Roman"/>
          <w:szCs w:val="24"/>
          <w:lang w:val="en-US"/>
        </w:rPr>
        <w:t xml:space="preserve">, might be determined as a percentage of S after additional empirical examination of the trends in the database </w:t>
      </w:r>
      <w:r w:rsidRPr="00051297">
        <w:rPr>
          <w:rFonts w:cs="Times New Roman"/>
          <w:szCs w:val="24"/>
          <w:lang w:val="en-US"/>
        </w:rPr>
        <w:fldChar w:fldCharType="begin"/>
      </w:r>
      <w:r w:rsidRPr="00051297">
        <w:rPr>
          <w:rFonts w:cs="Times New Roman"/>
          <w:szCs w:val="24"/>
          <w:lang w:val="en-US"/>
        </w:rPr>
        <w:instrText xml:space="preserve"> REF _Ref103557572 \h </w:instrText>
      </w:r>
      <w:r w:rsidRPr="00051297">
        <w:rPr>
          <w:rFonts w:cs="Times New Roman"/>
          <w:szCs w:val="24"/>
          <w:lang w:val="en-US"/>
        </w:rPr>
      </w:r>
      <w:r w:rsidRPr="00051297">
        <w:rPr>
          <w:rFonts w:cs="Times New Roman"/>
          <w:szCs w:val="24"/>
          <w:lang w:val="en-US"/>
        </w:rPr>
        <w:fldChar w:fldCharType="separate"/>
      </w:r>
      <w:r w:rsidR="004870F1" w:rsidRPr="00CF2B2B">
        <w:rPr>
          <w:rFonts w:cs="Times New Roman"/>
          <w:szCs w:val="24"/>
          <w:lang w:val="en-US"/>
        </w:rPr>
        <w:t>(</w:t>
      </w:r>
      <w:r w:rsidR="004870F1" w:rsidRPr="00CF2B2B">
        <w:rPr>
          <w:rFonts w:cs="Times New Roman"/>
          <w:noProof/>
          <w:szCs w:val="24"/>
          <w:lang w:val="en-US"/>
        </w:rPr>
        <w:t>3</w:t>
      </w:r>
      <w:r w:rsidR="004870F1" w:rsidRPr="00CF2B2B">
        <w:rPr>
          <w:rFonts w:cs="Times New Roman"/>
          <w:szCs w:val="24"/>
          <w:lang w:val="en-US"/>
        </w:rPr>
        <w:t>.</w:t>
      </w:r>
      <w:r w:rsidR="004870F1" w:rsidRPr="00CF2B2B">
        <w:rPr>
          <w:rFonts w:cs="Times New Roman"/>
          <w:noProof/>
          <w:szCs w:val="24"/>
          <w:lang w:val="en-US"/>
        </w:rPr>
        <w:t>2</w:t>
      </w:r>
      <w:r w:rsidR="004870F1" w:rsidRPr="00CF2B2B">
        <w:rPr>
          <w:rFonts w:cs="Times New Roman"/>
          <w:szCs w:val="24"/>
          <w:lang w:val="en-US"/>
        </w:rPr>
        <w:t>)</w:t>
      </w:r>
      <w:r w:rsidRPr="00051297">
        <w:rPr>
          <w:rFonts w:cs="Times New Roman"/>
          <w:szCs w:val="24"/>
          <w:lang w:val="en-US"/>
        </w:rPr>
        <w:fldChar w:fldCharType="end"/>
      </w:r>
      <w:r w:rsidRPr="00051297">
        <w:rPr>
          <w:rFonts w:cs="Times New Roman"/>
          <w:szCs w:val="24"/>
          <w:lang w:val="en-US"/>
        </w:rPr>
        <w:t xml:space="preserve">. With this assumption, the equation </w:t>
      </w:r>
      <w:r w:rsidRPr="00051297">
        <w:rPr>
          <w:rFonts w:cs="Times New Roman"/>
          <w:szCs w:val="24"/>
          <w:lang w:val="en-US"/>
        </w:rPr>
        <w:fldChar w:fldCharType="begin"/>
      </w:r>
      <w:r w:rsidRPr="00051297">
        <w:rPr>
          <w:rFonts w:cs="Times New Roman"/>
          <w:szCs w:val="24"/>
          <w:lang w:val="en-US"/>
        </w:rPr>
        <w:instrText xml:space="preserve"> REF _Ref103557582 \h </w:instrText>
      </w:r>
      <w:r w:rsidRPr="00051297">
        <w:rPr>
          <w:rFonts w:cs="Times New Roman"/>
          <w:szCs w:val="24"/>
          <w:lang w:val="en-US"/>
        </w:rPr>
      </w:r>
      <w:r w:rsidRPr="00051297">
        <w:rPr>
          <w:rFonts w:cs="Times New Roman"/>
          <w:szCs w:val="24"/>
          <w:lang w:val="en-US"/>
        </w:rPr>
        <w:fldChar w:fldCharType="separate"/>
      </w:r>
      <w:r w:rsidR="004870F1" w:rsidRPr="00CF2B2B">
        <w:rPr>
          <w:rFonts w:cs="Times New Roman"/>
          <w:szCs w:val="24"/>
          <w:lang w:val="en-US"/>
        </w:rPr>
        <w:t>(</w:t>
      </w:r>
      <w:r w:rsidR="004870F1" w:rsidRPr="00CF2B2B">
        <w:rPr>
          <w:rFonts w:cs="Times New Roman"/>
          <w:noProof/>
          <w:szCs w:val="24"/>
          <w:lang w:val="en-US"/>
        </w:rPr>
        <w:t>3</w:t>
      </w:r>
      <w:r w:rsidR="004870F1" w:rsidRPr="00CF2B2B">
        <w:rPr>
          <w:rFonts w:cs="Times New Roman"/>
          <w:szCs w:val="24"/>
          <w:lang w:val="en-US"/>
        </w:rPr>
        <w:t>.</w:t>
      </w:r>
      <w:r w:rsidR="004870F1" w:rsidRPr="00CF2B2B">
        <w:rPr>
          <w:rFonts w:cs="Times New Roman"/>
          <w:noProof/>
          <w:szCs w:val="24"/>
          <w:lang w:val="en-US"/>
        </w:rPr>
        <w:t>3</w:t>
      </w:r>
      <w:r w:rsidR="004870F1" w:rsidRPr="00CF2B2B">
        <w:rPr>
          <w:rFonts w:cs="Times New Roman"/>
          <w:szCs w:val="24"/>
          <w:lang w:val="en-US"/>
        </w:rPr>
        <w:t>)</w:t>
      </w:r>
      <w:r w:rsidRPr="00051297">
        <w:rPr>
          <w:rFonts w:cs="Times New Roman"/>
          <w:szCs w:val="24"/>
          <w:lang w:val="en-US"/>
        </w:rPr>
        <w:fldChar w:fldCharType="end"/>
      </w:r>
      <w:r w:rsidRPr="00051297">
        <w:rPr>
          <w:rFonts w:cs="Times New Roman"/>
          <w:szCs w:val="24"/>
          <w:lang w:val="en-US"/>
        </w:rPr>
        <w:t xml:space="preserve"> might be reduced to just having three variables. The parameter CN is a transformation of S that is used to make operations like interpolation, averaging, and weighting more linear </w:t>
      </w:r>
      <w:r w:rsidRPr="00051297">
        <w:rPr>
          <w:rFonts w:cs="Times New Roman"/>
          <w:szCs w:val="24"/>
          <w:lang w:val="en-US"/>
        </w:rPr>
        <w:fldChar w:fldCharType="begin"/>
      </w:r>
      <w:r w:rsidRPr="00051297">
        <w:rPr>
          <w:rFonts w:cs="Times New Roman"/>
          <w:szCs w:val="24"/>
          <w:lang w:val="en-US"/>
        </w:rPr>
        <w:instrText xml:space="preserve"> REF _Ref103557592 \h </w:instrText>
      </w:r>
      <w:r w:rsidRPr="00051297">
        <w:rPr>
          <w:rFonts w:cs="Times New Roman"/>
          <w:szCs w:val="24"/>
          <w:lang w:val="en-US"/>
        </w:rPr>
      </w:r>
      <w:r w:rsidRPr="00051297">
        <w:rPr>
          <w:rFonts w:cs="Times New Roman"/>
          <w:szCs w:val="24"/>
          <w:lang w:val="en-US"/>
        </w:rPr>
        <w:fldChar w:fldCharType="separate"/>
      </w:r>
      <w:r w:rsidR="004870F1" w:rsidRPr="00CF2B2B">
        <w:rPr>
          <w:rFonts w:cs="Times New Roman"/>
          <w:szCs w:val="24"/>
          <w:lang w:val="en-US"/>
        </w:rPr>
        <w:t>(</w:t>
      </w:r>
      <w:r w:rsidR="004870F1" w:rsidRPr="00CF2B2B">
        <w:rPr>
          <w:rFonts w:cs="Times New Roman"/>
          <w:noProof/>
          <w:szCs w:val="24"/>
          <w:lang w:val="en-US"/>
        </w:rPr>
        <w:t>3</w:t>
      </w:r>
      <w:r w:rsidR="004870F1" w:rsidRPr="00CF2B2B">
        <w:rPr>
          <w:rFonts w:cs="Times New Roman"/>
          <w:szCs w:val="24"/>
          <w:lang w:val="en-US"/>
        </w:rPr>
        <w:t>.</w:t>
      </w:r>
      <w:r w:rsidR="004870F1" w:rsidRPr="00CF2B2B">
        <w:rPr>
          <w:rFonts w:cs="Times New Roman"/>
          <w:noProof/>
          <w:szCs w:val="24"/>
          <w:lang w:val="en-US"/>
        </w:rPr>
        <w:t>4</w:t>
      </w:r>
      <w:r w:rsidR="004870F1" w:rsidRPr="00CF2B2B">
        <w:rPr>
          <w:rFonts w:cs="Times New Roman"/>
          <w:szCs w:val="24"/>
          <w:lang w:val="en-US"/>
        </w:rPr>
        <w:t>)</w:t>
      </w:r>
      <w:r w:rsidRPr="00051297">
        <w:rPr>
          <w:rFonts w:cs="Times New Roman"/>
          <w:szCs w:val="24"/>
          <w:lang w:val="en-US"/>
        </w:rPr>
        <w:fldChar w:fldCharType="end"/>
      </w:r>
      <w:r w:rsidRPr="00051297">
        <w:rPr>
          <w:rFonts w:cs="Times New Roman"/>
          <w:szCs w:val="24"/>
          <w:lang w:val="en-US"/>
        </w:rPr>
        <w:t>.</w:t>
      </w:r>
    </w:p>
    <w:tbl>
      <w:tblPr>
        <w:tblStyle w:val="TableGrid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711"/>
        <w:gridCol w:w="1385"/>
      </w:tblGrid>
      <w:tr w:rsidR="00051297" w:rsidRPr="00051297" w14:paraId="1842BA5C" w14:textId="77777777" w:rsidTr="00D20B01">
        <w:tc>
          <w:tcPr>
            <w:tcW w:w="265" w:type="dxa"/>
          </w:tcPr>
          <w:p w14:paraId="2FE51089" w14:textId="77777777" w:rsidR="00051297" w:rsidRPr="00051297" w:rsidRDefault="00051297" w:rsidP="00051297">
            <w:pPr>
              <w:rPr>
                <w:rFonts w:cs="Times New Roman"/>
                <w:szCs w:val="24"/>
              </w:rPr>
            </w:pPr>
          </w:p>
        </w:tc>
        <w:tc>
          <w:tcPr>
            <w:tcW w:w="8820" w:type="dxa"/>
          </w:tcPr>
          <w:p w14:paraId="01B82806" w14:textId="77777777" w:rsidR="00051297" w:rsidRPr="00051297" w:rsidRDefault="00051297" w:rsidP="00051297">
            <w:pPr>
              <w:rPr>
                <w:rFonts w:eastAsiaTheme="minorEastAsia" w:cs="Times New Roman"/>
                <w:szCs w:val="24"/>
              </w:rPr>
            </w:pPr>
            <m:oMathPara>
              <m:oMath>
                <m:r>
                  <w:rPr>
                    <w:rFonts w:ascii="Cambria Math" w:hAnsi="Cambria Math" w:cs="Times New Roman"/>
                    <w:szCs w:val="24"/>
                  </w:rPr>
                  <m:t>Q=</m:t>
                </m:r>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szCs w:val="24"/>
                          </w:rPr>
                          <m:t>(P-</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a</m:t>
                            </m:r>
                          </m:sub>
                        </m:sSub>
                        <m:r>
                          <w:rPr>
                            <w:rFonts w:ascii="Cambria Math" w:hAnsi="Cambria Math" w:cs="Times New Roman"/>
                            <w:szCs w:val="24"/>
                          </w:rPr>
                          <m:t>)</m:t>
                        </m:r>
                      </m:e>
                      <m:sup>
                        <m:r>
                          <w:rPr>
                            <w:rFonts w:ascii="Cambria Math" w:hAnsi="Cambria Math" w:cs="Times New Roman"/>
                            <w:szCs w:val="24"/>
                          </w:rPr>
                          <m:t>2</m:t>
                        </m:r>
                      </m:sup>
                    </m:sSup>
                  </m:num>
                  <m:den>
                    <m:d>
                      <m:dPr>
                        <m:ctrlPr>
                          <w:rPr>
                            <w:rFonts w:ascii="Cambria Math" w:hAnsi="Cambria Math" w:cs="Times New Roman"/>
                            <w:i/>
                            <w:szCs w:val="24"/>
                          </w:rPr>
                        </m:ctrlPr>
                      </m:dPr>
                      <m:e>
                        <m:r>
                          <w:rPr>
                            <w:rFonts w:ascii="Cambria Math" w:hAnsi="Cambria Math" w:cs="Times New Roman"/>
                            <w:szCs w:val="24"/>
                          </w:rPr>
                          <m:t>P-</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a</m:t>
                            </m:r>
                          </m:sub>
                        </m:sSub>
                      </m:e>
                    </m:d>
                    <m:r>
                      <w:rPr>
                        <w:rFonts w:ascii="Cambria Math" w:hAnsi="Cambria Math" w:cs="Times New Roman"/>
                        <w:szCs w:val="24"/>
                      </w:rPr>
                      <m:t>+S</m:t>
                    </m:r>
                  </m:den>
                </m:f>
              </m:oMath>
            </m:oMathPara>
          </w:p>
        </w:tc>
        <w:tc>
          <w:tcPr>
            <w:tcW w:w="265" w:type="dxa"/>
          </w:tcPr>
          <w:p w14:paraId="10E40FE7" w14:textId="6377D892" w:rsidR="00051297" w:rsidRPr="00051297" w:rsidRDefault="00051297" w:rsidP="00051297">
            <w:pPr>
              <w:rPr>
                <w:rFonts w:cs="Times New Roman"/>
                <w:szCs w:val="24"/>
              </w:rPr>
            </w:pPr>
            <w:bookmarkStart w:id="766" w:name="_Ref103557512"/>
            <w:r w:rsidRPr="00051297">
              <w:rPr>
                <w:rFonts w:cs="Times New Roman"/>
                <w:szCs w:val="24"/>
              </w:rPr>
              <w:t>(</w:t>
            </w:r>
            <w:r w:rsidRPr="00051297">
              <w:rPr>
                <w:rFonts w:cs="Times New Roman"/>
                <w:szCs w:val="24"/>
              </w:rPr>
              <w:fldChar w:fldCharType="begin"/>
            </w:r>
            <w:r w:rsidRPr="00051297">
              <w:rPr>
                <w:rFonts w:cs="Times New Roman"/>
                <w:szCs w:val="24"/>
              </w:rPr>
              <w:instrText xml:space="preserve"> STYLEREF 1 \s </w:instrText>
            </w:r>
            <w:r w:rsidRPr="00051297">
              <w:rPr>
                <w:rFonts w:cs="Times New Roman"/>
                <w:szCs w:val="24"/>
              </w:rPr>
              <w:fldChar w:fldCharType="separate"/>
            </w:r>
            <w:r w:rsidR="004870F1">
              <w:rPr>
                <w:rFonts w:cs="Times New Roman"/>
                <w:noProof/>
                <w:szCs w:val="24"/>
              </w:rPr>
              <w:t>3</w:t>
            </w:r>
            <w:r w:rsidRPr="00051297">
              <w:rPr>
                <w:rFonts w:cs="Times New Roman"/>
                <w:szCs w:val="24"/>
              </w:rPr>
              <w:fldChar w:fldCharType="end"/>
            </w:r>
            <w:r w:rsidRPr="00051297">
              <w:rPr>
                <w:rFonts w:cs="Times New Roman"/>
                <w:szCs w:val="24"/>
              </w:rPr>
              <w:t>.</w:t>
            </w:r>
            <w:r w:rsidRPr="00051297">
              <w:rPr>
                <w:rFonts w:cs="Times New Roman"/>
                <w:szCs w:val="24"/>
              </w:rPr>
              <w:fldChar w:fldCharType="begin"/>
            </w:r>
            <w:r w:rsidRPr="00051297">
              <w:rPr>
                <w:rFonts w:cs="Times New Roman"/>
                <w:szCs w:val="24"/>
              </w:rPr>
              <w:instrText xml:space="preserve"> SEQ Equation \* ARABIC \s 1 </w:instrText>
            </w:r>
            <w:r w:rsidRPr="00051297">
              <w:rPr>
                <w:rFonts w:cs="Times New Roman"/>
                <w:szCs w:val="24"/>
              </w:rPr>
              <w:fldChar w:fldCharType="separate"/>
            </w:r>
            <w:r w:rsidR="004870F1">
              <w:rPr>
                <w:rFonts w:cs="Times New Roman"/>
                <w:noProof/>
                <w:szCs w:val="24"/>
              </w:rPr>
              <w:t>1</w:t>
            </w:r>
            <w:r w:rsidRPr="00051297">
              <w:rPr>
                <w:rFonts w:cs="Times New Roman"/>
                <w:szCs w:val="24"/>
              </w:rPr>
              <w:fldChar w:fldCharType="end"/>
            </w:r>
            <w:r w:rsidRPr="00051297">
              <w:rPr>
                <w:rFonts w:cs="Times New Roman"/>
                <w:szCs w:val="24"/>
              </w:rPr>
              <w:t>)</w:t>
            </w:r>
            <w:bookmarkEnd w:id="766"/>
          </w:p>
        </w:tc>
      </w:tr>
    </w:tbl>
    <w:p w14:paraId="52F410B2" w14:textId="77777777" w:rsidR="00051297" w:rsidRPr="00051297" w:rsidRDefault="00051297" w:rsidP="00051297">
      <w:pPr>
        <w:rPr>
          <w:rFonts w:eastAsiaTheme="minorEastAsia" w:cs="Times New Roman"/>
          <w:szCs w:val="24"/>
          <w:lang w:val="en-US"/>
        </w:rPr>
      </w:pPr>
      <w:r w:rsidRPr="00222B19">
        <w:rPr>
          <w:rFonts w:eastAsiaTheme="minorEastAsia" w:cs="Times New Roman"/>
          <w:szCs w:val="24"/>
          <w:lang w:val="en-US"/>
        </w:rPr>
        <w:t>Whereby</w:t>
      </w:r>
      <w:r w:rsidRPr="00051297">
        <w:rPr>
          <w:rFonts w:eastAsiaTheme="minorEastAsia" w:cs="Times New Roman"/>
          <w:szCs w:val="24"/>
          <w:lang w:val="en-US"/>
        </w:rPr>
        <w:t>:</w:t>
      </w:r>
    </w:p>
    <w:p w14:paraId="78315C1F" w14:textId="0BE4FF6B" w:rsidR="00051297" w:rsidRPr="00051297" w:rsidRDefault="00051297" w:rsidP="00051297">
      <w:pPr>
        <w:rPr>
          <w:rFonts w:eastAsiaTheme="minorEastAsia" w:cs="Times New Roman"/>
          <w:szCs w:val="24"/>
          <w:lang w:val="en-US"/>
        </w:rPr>
      </w:pPr>
      <w:r w:rsidRPr="00051297">
        <w:rPr>
          <w:rFonts w:eastAsiaTheme="minorEastAsia" w:cs="Times New Roman"/>
          <w:szCs w:val="24"/>
          <w:lang w:val="en-US"/>
        </w:rPr>
        <w:t xml:space="preserve">Q </w:t>
      </w:r>
      <w:r w:rsidRPr="00051297">
        <w:rPr>
          <w:rFonts w:cs="Times New Roman"/>
          <w:szCs w:val="24"/>
          <w:lang w:val="en-US"/>
        </w:rPr>
        <w:t xml:space="preserve">– </w:t>
      </w:r>
      <w:r w:rsidRPr="00051297">
        <w:rPr>
          <w:rFonts w:eastAsiaTheme="minorEastAsia" w:cs="Times New Roman"/>
          <w:szCs w:val="24"/>
          <w:lang w:val="en-US"/>
        </w:rPr>
        <w:t xml:space="preserve">is the runoff, P </w:t>
      </w:r>
      <w:r w:rsidRPr="00051297">
        <w:rPr>
          <w:rFonts w:cs="Times New Roman"/>
          <w:szCs w:val="24"/>
          <w:lang w:val="en-US"/>
        </w:rPr>
        <w:t xml:space="preserve">– </w:t>
      </w:r>
      <w:r w:rsidRPr="00051297">
        <w:rPr>
          <w:rFonts w:eastAsiaTheme="minorEastAsia" w:cs="Times New Roman"/>
          <w:szCs w:val="24"/>
          <w:lang w:val="en-US"/>
        </w:rPr>
        <w:t xml:space="preserve">is the precipitation, S </w:t>
      </w:r>
      <w:r w:rsidRPr="00051297">
        <w:rPr>
          <w:rFonts w:cs="Times New Roman"/>
          <w:szCs w:val="24"/>
          <w:lang w:val="en-US"/>
        </w:rPr>
        <w:t xml:space="preserve">– </w:t>
      </w:r>
      <w:r w:rsidRPr="00051297">
        <w:rPr>
          <w:rFonts w:eastAsiaTheme="minorEastAsia" w:cs="Times New Roman"/>
          <w:szCs w:val="24"/>
          <w:lang w:val="en-US"/>
        </w:rPr>
        <w:t>is the potential maximum retention after the runoff begins, and I</w:t>
      </w:r>
      <w:r w:rsidRPr="00051297">
        <w:rPr>
          <w:rFonts w:eastAsiaTheme="minorEastAsia" w:cs="Times New Roman"/>
          <w:szCs w:val="24"/>
          <w:vertAlign w:val="subscript"/>
          <w:lang w:val="en-US"/>
        </w:rPr>
        <w:t>a</w:t>
      </w:r>
      <w:r w:rsidRPr="00051297">
        <w:rPr>
          <w:rFonts w:eastAsiaTheme="minorEastAsia" w:cs="Times New Roman"/>
          <w:szCs w:val="24"/>
          <w:lang w:val="en-US"/>
        </w:rPr>
        <w:t xml:space="preserve"> </w:t>
      </w:r>
      <w:r w:rsidRPr="00051297">
        <w:rPr>
          <w:rFonts w:cs="Times New Roman"/>
          <w:szCs w:val="24"/>
          <w:lang w:val="en-US"/>
        </w:rPr>
        <w:t xml:space="preserve">– </w:t>
      </w:r>
      <w:r w:rsidRPr="00051297">
        <w:rPr>
          <w:rFonts w:eastAsiaTheme="minorEastAsia" w:cs="Times New Roman"/>
          <w:szCs w:val="24"/>
          <w:lang w:val="en-US"/>
        </w:rPr>
        <w:t xml:space="preserve">accounts for the initial abstractions. </w:t>
      </w:r>
    </w:p>
    <w:tbl>
      <w:tblPr>
        <w:tblStyle w:val="TableGrid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
        <w:gridCol w:w="7710"/>
        <w:gridCol w:w="1385"/>
      </w:tblGrid>
      <w:tr w:rsidR="00051297" w:rsidRPr="00051297" w14:paraId="226F5795" w14:textId="77777777" w:rsidTr="00D20B01">
        <w:tc>
          <w:tcPr>
            <w:tcW w:w="265" w:type="dxa"/>
          </w:tcPr>
          <w:p w14:paraId="18A7FAD7" w14:textId="77777777" w:rsidR="00051297" w:rsidRPr="00051297" w:rsidRDefault="00051297" w:rsidP="00051297">
            <w:pPr>
              <w:rPr>
                <w:rFonts w:cs="Times New Roman"/>
                <w:szCs w:val="24"/>
              </w:rPr>
            </w:pPr>
          </w:p>
        </w:tc>
        <w:tc>
          <w:tcPr>
            <w:tcW w:w="8820" w:type="dxa"/>
          </w:tcPr>
          <w:p w14:paraId="7F4EBB08" w14:textId="77777777" w:rsidR="00051297" w:rsidRPr="00051297" w:rsidRDefault="00536556" w:rsidP="00051297">
            <w:pPr>
              <w:rPr>
                <w:rFonts w:cs="Times New Roman"/>
                <w:szCs w:val="24"/>
              </w:rPr>
            </w:pPr>
            <m:oMathPara>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I</m:t>
                    </m:r>
                  </m:e>
                  <m:sub>
                    <m:r>
                      <w:rPr>
                        <w:rFonts w:ascii="Cambria Math" w:eastAsiaTheme="minorEastAsia" w:hAnsi="Cambria Math" w:cs="Times New Roman"/>
                        <w:szCs w:val="24"/>
                      </w:rPr>
                      <m:t>a</m:t>
                    </m:r>
                  </m:sub>
                </m:sSub>
                <m:r>
                  <w:rPr>
                    <w:rFonts w:ascii="Cambria Math" w:eastAsiaTheme="minorEastAsia" w:hAnsi="Cambria Math" w:cs="Times New Roman"/>
                    <w:szCs w:val="24"/>
                  </w:rPr>
                  <m:t>=0.2S</m:t>
                </m:r>
              </m:oMath>
            </m:oMathPara>
          </w:p>
        </w:tc>
        <w:tc>
          <w:tcPr>
            <w:tcW w:w="265" w:type="dxa"/>
          </w:tcPr>
          <w:p w14:paraId="0A6A1334" w14:textId="336E9E84" w:rsidR="00051297" w:rsidRPr="00051297" w:rsidRDefault="00051297" w:rsidP="00051297">
            <w:bookmarkStart w:id="767" w:name="_Ref103557572"/>
            <w:r w:rsidRPr="00051297">
              <w:rPr>
                <w:rFonts w:cs="Times New Roman"/>
                <w:szCs w:val="24"/>
              </w:rPr>
              <w:t>(</w:t>
            </w:r>
            <w:r w:rsidRPr="00051297">
              <w:rPr>
                <w:rFonts w:cs="Times New Roman"/>
                <w:szCs w:val="24"/>
              </w:rPr>
              <w:fldChar w:fldCharType="begin"/>
            </w:r>
            <w:r w:rsidRPr="00051297">
              <w:rPr>
                <w:rFonts w:cs="Times New Roman"/>
                <w:szCs w:val="24"/>
              </w:rPr>
              <w:instrText xml:space="preserve"> STYLEREF 1 \s </w:instrText>
            </w:r>
            <w:r w:rsidRPr="00051297">
              <w:rPr>
                <w:rFonts w:cs="Times New Roman"/>
                <w:szCs w:val="24"/>
              </w:rPr>
              <w:fldChar w:fldCharType="separate"/>
            </w:r>
            <w:r w:rsidR="004870F1">
              <w:rPr>
                <w:rFonts w:cs="Times New Roman"/>
                <w:noProof/>
                <w:szCs w:val="24"/>
              </w:rPr>
              <w:t>3</w:t>
            </w:r>
            <w:r w:rsidRPr="00051297">
              <w:rPr>
                <w:rFonts w:cs="Times New Roman"/>
                <w:szCs w:val="24"/>
              </w:rPr>
              <w:fldChar w:fldCharType="end"/>
            </w:r>
            <w:r w:rsidRPr="00051297">
              <w:rPr>
                <w:rFonts w:cs="Times New Roman"/>
                <w:szCs w:val="24"/>
              </w:rPr>
              <w:t>.</w:t>
            </w:r>
            <w:r w:rsidRPr="00051297">
              <w:rPr>
                <w:rFonts w:cs="Times New Roman"/>
                <w:szCs w:val="24"/>
              </w:rPr>
              <w:fldChar w:fldCharType="begin"/>
            </w:r>
            <w:r w:rsidRPr="00051297">
              <w:rPr>
                <w:rFonts w:cs="Times New Roman"/>
                <w:szCs w:val="24"/>
              </w:rPr>
              <w:instrText xml:space="preserve"> SEQ Equation \* ARABIC \s 1 </w:instrText>
            </w:r>
            <w:r w:rsidRPr="00051297">
              <w:rPr>
                <w:rFonts w:cs="Times New Roman"/>
                <w:szCs w:val="24"/>
              </w:rPr>
              <w:fldChar w:fldCharType="separate"/>
            </w:r>
            <w:r w:rsidR="004870F1">
              <w:rPr>
                <w:rFonts w:cs="Times New Roman"/>
                <w:noProof/>
                <w:szCs w:val="24"/>
              </w:rPr>
              <w:t>2</w:t>
            </w:r>
            <w:r w:rsidRPr="00051297">
              <w:rPr>
                <w:rFonts w:cs="Times New Roman"/>
                <w:szCs w:val="24"/>
              </w:rPr>
              <w:fldChar w:fldCharType="end"/>
            </w:r>
            <w:r w:rsidRPr="00051297">
              <w:rPr>
                <w:rFonts w:cs="Times New Roman"/>
                <w:szCs w:val="24"/>
              </w:rPr>
              <w:t>)</w:t>
            </w:r>
            <w:bookmarkEnd w:id="767"/>
          </w:p>
        </w:tc>
      </w:tr>
    </w:tbl>
    <w:p w14:paraId="247FB09E" w14:textId="77777777" w:rsidR="00051297" w:rsidRPr="00051297" w:rsidRDefault="00051297" w:rsidP="00051297">
      <w:pPr>
        <w:rPr>
          <w:rFonts w:eastAsiaTheme="minorEastAsia" w:cs="Times New Roman"/>
          <w:szCs w:val="24"/>
        </w:rPr>
      </w:pPr>
    </w:p>
    <w:tbl>
      <w:tblPr>
        <w:tblStyle w:val="TableGrid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711"/>
        <w:gridCol w:w="1385"/>
      </w:tblGrid>
      <w:tr w:rsidR="00051297" w:rsidRPr="00051297" w14:paraId="4751BE3E" w14:textId="77777777" w:rsidTr="00D20B01">
        <w:tc>
          <w:tcPr>
            <w:tcW w:w="265" w:type="dxa"/>
          </w:tcPr>
          <w:p w14:paraId="51A76DCC" w14:textId="77777777" w:rsidR="00051297" w:rsidRPr="00051297" w:rsidRDefault="00051297" w:rsidP="00051297">
            <w:pPr>
              <w:rPr>
                <w:rFonts w:cs="Times New Roman"/>
                <w:szCs w:val="24"/>
              </w:rPr>
            </w:pPr>
          </w:p>
        </w:tc>
        <w:tc>
          <w:tcPr>
            <w:tcW w:w="8820" w:type="dxa"/>
          </w:tcPr>
          <w:p w14:paraId="1F2C0121" w14:textId="77777777" w:rsidR="00051297" w:rsidRPr="00051297" w:rsidRDefault="00051297" w:rsidP="00051297">
            <w:pPr>
              <w:rPr>
                <w:rFonts w:cs="Times New Roman"/>
                <w:szCs w:val="24"/>
              </w:rPr>
            </w:pPr>
            <m:oMathPara>
              <m:oMath>
                <m:r>
                  <w:rPr>
                    <w:rFonts w:ascii="Cambria Math" w:eastAsiaTheme="minorEastAsia" w:hAnsi="Cambria Math" w:cs="Times New Roman"/>
                    <w:szCs w:val="24"/>
                  </w:rPr>
                  <m:t>Q=</m:t>
                </m:r>
                <m:f>
                  <m:fPr>
                    <m:ctrlPr>
                      <w:rPr>
                        <w:rFonts w:ascii="Cambria Math" w:eastAsiaTheme="minorEastAsia" w:hAnsi="Cambria Math" w:cs="Times New Roman"/>
                        <w:i/>
                        <w:szCs w:val="24"/>
                      </w:rPr>
                    </m:ctrlPr>
                  </m:fPr>
                  <m:num>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(P-0.2S)</m:t>
                        </m:r>
                      </m:e>
                      <m:sup>
                        <m:r>
                          <w:rPr>
                            <w:rFonts w:ascii="Cambria Math" w:eastAsiaTheme="minorEastAsia" w:hAnsi="Cambria Math" w:cs="Times New Roman"/>
                            <w:szCs w:val="24"/>
                          </w:rPr>
                          <m:t>2</m:t>
                        </m:r>
                      </m:sup>
                    </m:sSup>
                  </m:num>
                  <m:den>
                    <m:r>
                      <w:rPr>
                        <w:rFonts w:ascii="Cambria Math" w:eastAsiaTheme="minorEastAsia" w:hAnsi="Cambria Math" w:cs="Times New Roman"/>
                        <w:szCs w:val="24"/>
                      </w:rPr>
                      <m:t>P+0.8S</m:t>
                    </m:r>
                  </m:den>
                </m:f>
              </m:oMath>
            </m:oMathPara>
          </w:p>
        </w:tc>
        <w:tc>
          <w:tcPr>
            <w:tcW w:w="265" w:type="dxa"/>
          </w:tcPr>
          <w:p w14:paraId="7634168B" w14:textId="78171188" w:rsidR="00051297" w:rsidRPr="00051297" w:rsidRDefault="00051297" w:rsidP="00051297">
            <w:bookmarkStart w:id="768" w:name="_Ref103557582"/>
            <w:r w:rsidRPr="00051297">
              <w:rPr>
                <w:rFonts w:cs="Times New Roman"/>
                <w:szCs w:val="24"/>
              </w:rPr>
              <w:t>(</w:t>
            </w:r>
            <w:r w:rsidRPr="00051297">
              <w:rPr>
                <w:rFonts w:cs="Times New Roman"/>
                <w:szCs w:val="24"/>
              </w:rPr>
              <w:fldChar w:fldCharType="begin"/>
            </w:r>
            <w:r w:rsidRPr="00051297">
              <w:rPr>
                <w:rFonts w:cs="Times New Roman"/>
                <w:szCs w:val="24"/>
              </w:rPr>
              <w:instrText xml:space="preserve"> STYLEREF 1 \s </w:instrText>
            </w:r>
            <w:r w:rsidRPr="00051297">
              <w:rPr>
                <w:rFonts w:cs="Times New Roman"/>
                <w:szCs w:val="24"/>
              </w:rPr>
              <w:fldChar w:fldCharType="separate"/>
            </w:r>
            <w:r w:rsidR="004870F1">
              <w:rPr>
                <w:rFonts w:cs="Times New Roman"/>
                <w:noProof/>
                <w:szCs w:val="24"/>
              </w:rPr>
              <w:t>3</w:t>
            </w:r>
            <w:r w:rsidRPr="00051297">
              <w:rPr>
                <w:rFonts w:cs="Times New Roman"/>
                <w:szCs w:val="24"/>
              </w:rPr>
              <w:fldChar w:fldCharType="end"/>
            </w:r>
            <w:r w:rsidRPr="00051297">
              <w:rPr>
                <w:rFonts w:cs="Times New Roman"/>
                <w:szCs w:val="24"/>
              </w:rPr>
              <w:t>.</w:t>
            </w:r>
            <w:r w:rsidRPr="00051297">
              <w:rPr>
                <w:rFonts w:cs="Times New Roman"/>
                <w:szCs w:val="24"/>
              </w:rPr>
              <w:fldChar w:fldCharType="begin"/>
            </w:r>
            <w:r w:rsidRPr="00051297">
              <w:rPr>
                <w:rFonts w:cs="Times New Roman"/>
                <w:szCs w:val="24"/>
              </w:rPr>
              <w:instrText xml:space="preserve"> SEQ Equation \* ARABIC \s 1 </w:instrText>
            </w:r>
            <w:r w:rsidRPr="00051297">
              <w:rPr>
                <w:rFonts w:cs="Times New Roman"/>
                <w:szCs w:val="24"/>
              </w:rPr>
              <w:fldChar w:fldCharType="separate"/>
            </w:r>
            <w:r w:rsidR="004870F1">
              <w:rPr>
                <w:rFonts w:cs="Times New Roman"/>
                <w:noProof/>
                <w:szCs w:val="24"/>
              </w:rPr>
              <w:t>3</w:t>
            </w:r>
            <w:r w:rsidRPr="00051297">
              <w:rPr>
                <w:rFonts w:cs="Times New Roman"/>
                <w:szCs w:val="24"/>
              </w:rPr>
              <w:fldChar w:fldCharType="end"/>
            </w:r>
            <w:r w:rsidRPr="00051297">
              <w:rPr>
                <w:rFonts w:cs="Times New Roman"/>
                <w:szCs w:val="24"/>
              </w:rPr>
              <w:t>)</w:t>
            </w:r>
            <w:bookmarkEnd w:id="768"/>
          </w:p>
        </w:tc>
      </w:tr>
    </w:tbl>
    <w:p w14:paraId="25FC3228" w14:textId="77777777" w:rsidR="00051297" w:rsidRPr="00051297" w:rsidRDefault="00051297" w:rsidP="00051297">
      <w:pPr>
        <w:rPr>
          <w:rFonts w:eastAsiaTheme="minorEastAsia" w:cs="Times New Roman"/>
          <w:szCs w:val="24"/>
        </w:rPr>
      </w:pPr>
    </w:p>
    <w:tbl>
      <w:tblPr>
        <w:tblStyle w:val="TableGrid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
        <w:gridCol w:w="7710"/>
        <w:gridCol w:w="1385"/>
      </w:tblGrid>
      <w:tr w:rsidR="00051297" w:rsidRPr="00051297" w14:paraId="7BB5CDFF" w14:textId="77777777" w:rsidTr="00D20B01">
        <w:tc>
          <w:tcPr>
            <w:tcW w:w="265" w:type="dxa"/>
          </w:tcPr>
          <w:p w14:paraId="571CF602" w14:textId="77777777" w:rsidR="00051297" w:rsidRPr="00051297" w:rsidRDefault="00051297" w:rsidP="00051297">
            <w:pPr>
              <w:rPr>
                <w:rFonts w:cs="Times New Roman"/>
                <w:szCs w:val="24"/>
              </w:rPr>
            </w:pPr>
          </w:p>
        </w:tc>
        <w:tc>
          <w:tcPr>
            <w:tcW w:w="8820" w:type="dxa"/>
          </w:tcPr>
          <w:p w14:paraId="0D167D87" w14:textId="77777777" w:rsidR="00051297" w:rsidRPr="00051297" w:rsidRDefault="00051297" w:rsidP="00051297">
            <w:pPr>
              <w:spacing w:after="160"/>
              <w:rPr>
                <w:rFonts w:eastAsiaTheme="minorEastAsia" w:cs="Times New Roman"/>
                <w:szCs w:val="24"/>
              </w:rPr>
            </w:pPr>
            <m:oMathPara>
              <m:oMath>
                <m:r>
                  <w:rPr>
                    <w:rFonts w:ascii="Cambria Math" w:eastAsiaTheme="minorEastAsia" w:hAnsi="Cambria Math" w:cs="Times New Roman"/>
                    <w:szCs w:val="24"/>
                  </w:rPr>
                  <m:t>S=</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1000</m:t>
                    </m:r>
                  </m:num>
                  <m:den>
                    <m:r>
                      <w:rPr>
                        <w:rFonts w:ascii="Cambria Math" w:eastAsiaTheme="minorEastAsia" w:hAnsi="Cambria Math" w:cs="Times New Roman"/>
                        <w:szCs w:val="24"/>
                      </w:rPr>
                      <m:t>CN</m:t>
                    </m:r>
                  </m:den>
                </m:f>
                <m:r>
                  <w:rPr>
                    <w:rFonts w:ascii="Cambria Math" w:eastAsiaTheme="minorEastAsia" w:hAnsi="Cambria Math" w:cs="Times New Roman"/>
                    <w:szCs w:val="24"/>
                  </w:rPr>
                  <m:t>-10</m:t>
                </m:r>
              </m:oMath>
            </m:oMathPara>
          </w:p>
        </w:tc>
        <w:tc>
          <w:tcPr>
            <w:tcW w:w="265" w:type="dxa"/>
          </w:tcPr>
          <w:p w14:paraId="32DA4C81" w14:textId="7CB05C21" w:rsidR="00051297" w:rsidRPr="00051297" w:rsidRDefault="00051297" w:rsidP="00051297">
            <w:bookmarkStart w:id="769" w:name="_Ref103557592"/>
            <w:r w:rsidRPr="00051297">
              <w:rPr>
                <w:rFonts w:cs="Times New Roman"/>
                <w:szCs w:val="24"/>
              </w:rPr>
              <w:t>(</w:t>
            </w:r>
            <w:r w:rsidRPr="00051297">
              <w:rPr>
                <w:rFonts w:cs="Times New Roman"/>
                <w:szCs w:val="24"/>
              </w:rPr>
              <w:fldChar w:fldCharType="begin"/>
            </w:r>
            <w:r w:rsidRPr="00051297">
              <w:rPr>
                <w:rFonts w:cs="Times New Roman"/>
                <w:szCs w:val="24"/>
              </w:rPr>
              <w:instrText xml:space="preserve"> STYLEREF 1 \s </w:instrText>
            </w:r>
            <w:r w:rsidRPr="00051297">
              <w:rPr>
                <w:rFonts w:cs="Times New Roman"/>
                <w:szCs w:val="24"/>
              </w:rPr>
              <w:fldChar w:fldCharType="separate"/>
            </w:r>
            <w:r w:rsidR="004870F1">
              <w:rPr>
                <w:rFonts w:cs="Times New Roman"/>
                <w:noProof/>
                <w:szCs w:val="24"/>
              </w:rPr>
              <w:t>3</w:t>
            </w:r>
            <w:r w:rsidRPr="00051297">
              <w:rPr>
                <w:rFonts w:cs="Times New Roman"/>
                <w:szCs w:val="24"/>
              </w:rPr>
              <w:fldChar w:fldCharType="end"/>
            </w:r>
            <w:r w:rsidRPr="00051297">
              <w:rPr>
                <w:rFonts w:cs="Times New Roman"/>
                <w:szCs w:val="24"/>
              </w:rPr>
              <w:t>.</w:t>
            </w:r>
            <w:r w:rsidRPr="00051297">
              <w:rPr>
                <w:rFonts w:cs="Times New Roman"/>
                <w:szCs w:val="24"/>
              </w:rPr>
              <w:fldChar w:fldCharType="begin"/>
            </w:r>
            <w:r w:rsidRPr="00051297">
              <w:rPr>
                <w:rFonts w:cs="Times New Roman"/>
                <w:szCs w:val="24"/>
              </w:rPr>
              <w:instrText xml:space="preserve"> SEQ Equation \* ARABIC \s 1 </w:instrText>
            </w:r>
            <w:r w:rsidRPr="00051297">
              <w:rPr>
                <w:rFonts w:cs="Times New Roman"/>
                <w:szCs w:val="24"/>
              </w:rPr>
              <w:fldChar w:fldCharType="separate"/>
            </w:r>
            <w:r w:rsidR="004870F1">
              <w:rPr>
                <w:rFonts w:cs="Times New Roman"/>
                <w:noProof/>
                <w:szCs w:val="24"/>
              </w:rPr>
              <w:t>4</w:t>
            </w:r>
            <w:r w:rsidRPr="00051297">
              <w:rPr>
                <w:rFonts w:cs="Times New Roman"/>
                <w:szCs w:val="24"/>
              </w:rPr>
              <w:fldChar w:fldCharType="end"/>
            </w:r>
            <w:r w:rsidRPr="00051297">
              <w:rPr>
                <w:rFonts w:cs="Times New Roman"/>
                <w:szCs w:val="24"/>
              </w:rPr>
              <w:t>)</w:t>
            </w:r>
            <w:bookmarkEnd w:id="769"/>
          </w:p>
        </w:tc>
      </w:tr>
    </w:tbl>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7712"/>
        <w:gridCol w:w="1385"/>
      </w:tblGrid>
      <w:tr w:rsidR="00051297" w:rsidRPr="00051297" w14:paraId="54FF0FAB" w14:textId="77777777" w:rsidTr="00D20B01">
        <w:tc>
          <w:tcPr>
            <w:tcW w:w="262" w:type="dxa"/>
          </w:tcPr>
          <w:p w14:paraId="08ACA760" w14:textId="77777777" w:rsidR="00051297" w:rsidRPr="00051297" w:rsidRDefault="00051297" w:rsidP="00051297">
            <w:pPr>
              <w:rPr>
                <w:szCs w:val="24"/>
              </w:rPr>
            </w:pPr>
          </w:p>
        </w:tc>
        <w:tc>
          <w:tcPr>
            <w:tcW w:w="8422" w:type="dxa"/>
          </w:tcPr>
          <w:p w14:paraId="629DCB8A" w14:textId="77777777" w:rsidR="00051297" w:rsidRPr="00051297" w:rsidRDefault="00536556" w:rsidP="00051297">
            <w:pPr>
              <w:rPr>
                <w:szCs w:val="24"/>
              </w:rPr>
            </w:pPr>
            <m:oMathPara>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P-0.2 (</m:t>
                        </m:r>
                        <m:f>
                          <m:fPr>
                            <m:ctrlPr>
                              <w:rPr>
                                <w:rFonts w:ascii="Cambria Math" w:hAnsi="Cambria Math"/>
                                <w:i/>
                                <w:szCs w:val="24"/>
                              </w:rPr>
                            </m:ctrlPr>
                          </m:fPr>
                          <m:num>
                            <m:r>
                              <w:rPr>
                                <w:rFonts w:ascii="Cambria Math" w:hAnsi="Cambria Math"/>
                                <w:szCs w:val="24"/>
                              </w:rPr>
                              <m:t>1000</m:t>
                            </m:r>
                          </m:num>
                          <m:den>
                            <m:r>
                              <w:rPr>
                                <w:rFonts w:ascii="Cambria Math" w:hAnsi="Cambria Math"/>
                                <w:szCs w:val="24"/>
                              </w:rPr>
                              <m:t>CN</m:t>
                            </m:r>
                          </m:den>
                        </m:f>
                        <m:r>
                          <w:rPr>
                            <w:rFonts w:ascii="Cambria Math" w:hAnsi="Cambria Math"/>
                            <w:szCs w:val="24"/>
                          </w:rPr>
                          <m:t>-10)</m:t>
                        </m:r>
                      </m:e>
                      <m:sup>
                        <m:r>
                          <w:rPr>
                            <w:rFonts w:ascii="Cambria Math" w:hAnsi="Cambria Math"/>
                            <w:szCs w:val="24"/>
                          </w:rPr>
                          <m:t>2</m:t>
                        </m:r>
                      </m:sup>
                    </m:sSup>
                  </m:num>
                  <m:den>
                    <m:r>
                      <w:rPr>
                        <w:rFonts w:ascii="Cambria Math" w:hAnsi="Cambria Math"/>
                        <w:szCs w:val="24"/>
                      </w:rPr>
                      <m:t>P+0.8(</m:t>
                    </m:r>
                    <m:f>
                      <m:fPr>
                        <m:ctrlPr>
                          <w:rPr>
                            <w:rFonts w:ascii="Cambria Math" w:hAnsi="Cambria Math"/>
                            <w:i/>
                            <w:szCs w:val="24"/>
                          </w:rPr>
                        </m:ctrlPr>
                      </m:fPr>
                      <m:num>
                        <m:r>
                          <w:rPr>
                            <w:rFonts w:ascii="Cambria Math" w:hAnsi="Cambria Math"/>
                            <w:szCs w:val="24"/>
                          </w:rPr>
                          <m:t>1000</m:t>
                        </m:r>
                      </m:num>
                      <m:den>
                        <m:r>
                          <w:rPr>
                            <w:rFonts w:ascii="Cambria Math" w:hAnsi="Cambria Math"/>
                            <w:szCs w:val="24"/>
                          </w:rPr>
                          <m:t>CN</m:t>
                        </m:r>
                      </m:den>
                    </m:f>
                    <m:r>
                      <w:rPr>
                        <w:rFonts w:ascii="Cambria Math" w:hAnsi="Cambria Math"/>
                        <w:szCs w:val="24"/>
                      </w:rPr>
                      <m:t>-10)</m:t>
                    </m:r>
                  </m:den>
                </m:f>
              </m:oMath>
            </m:oMathPara>
          </w:p>
        </w:tc>
        <w:tc>
          <w:tcPr>
            <w:tcW w:w="676" w:type="dxa"/>
            <w:vAlign w:val="center"/>
          </w:tcPr>
          <w:p w14:paraId="5A9659C7" w14:textId="6BCAE4D1" w:rsidR="00051297" w:rsidRPr="00051297" w:rsidRDefault="00051297" w:rsidP="00051297">
            <w:pPr>
              <w:jc w:val="center"/>
            </w:pPr>
            <w:bookmarkStart w:id="770" w:name="_Ref103557521"/>
            <w:r w:rsidRPr="00051297">
              <w:rPr>
                <w:szCs w:val="24"/>
              </w:rPr>
              <w:t>(</w:t>
            </w:r>
            <w:r w:rsidRPr="00051297">
              <w:rPr>
                <w:szCs w:val="24"/>
              </w:rPr>
              <w:fldChar w:fldCharType="begin"/>
            </w:r>
            <w:r w:rsidRPr="00051297">
              <w:rPr>
                <w:szCs w:val="24"/>
              </w:rPr>
              <w:instrText xml:space="preserve"> STYLEREF 1 \s </w:instrText>
            </w:r>
            <w:r w:rsidRPr="00051297">
              <w:rPr>
                <w:szCs w:val="24"/>
              </w:rPr>
              <w:fldChar w:fldCharType="separate"/>
            </w:r>
            <w:r w:rsidR="004870F1">
              <w:rPr>
                <w:noProof/>
                <w:szCs w:val="24"/>
              </w:rPr>
              <w:t>3</w:t>
            </w:r>
            <w:r w:rsidRPr="00051297">
              <w:rPr>
                <w:szCs w:val="24"/>
              </w:rPr>
              <w:fldChar w:fldCharType="end"/>
            </w:r>
            <w:r w:rsidRPr="00051297">
              <w:rPr>
                <w:szCs w:val="24"/>
              </w:rPr>
              <w:t>.</w:t>
            </w:r>
            <w:r w:rsidRPr="00051297">
              <w:rPr>
                <w:szCs w:val="24"/>
              </w:rPr>
              <w:fldChar w:fldCharType="begin"/>
            </w:r>
            <w:r w:rsidRPr="00051297">
              <w:rPr>
                <w:szCs w:val="24"/>
              </w:rPr>
              <w:instrText xml:space="preserve"> SEQ Equation \* ARABIC \s 1 </w:instrText>
            </w:r>
            <w:r w:rsidRPr="00051297">
              <w:rPr>
                <w:szCs w:val="24"/>
              </w:rPr>
              <w:fldChar w:fldCharType="separate"/>
            </w:r>
            <w:r w:rsidR="004870F1">
              <w:rPr>
                <w:noProof/>
                <w:szCs w:val="24"/>
              </w:rPr>
              <w:t>5</w:t>
            </w:r>
            <w:r w:rsidRPr="00051297">
              <w:rPr>
                <w:szCs w:val="24"/>
              </w:rPr>
              <w:fldChar w:fldCharType="end"/>
            </w:r>
            <w:r w:rsidRPr="00051297">
              <w:rPr>
                <w:szCs w:val="24"/>
              </w:rPr>
              <w:t>)</w:t>
            </w:r>
            <w:bookmarkEnd w:id="770"/>
          </w:p>
        </w:tc>
      </w:tr>
    </w:tbl>
    <w:p w14:paraId="5808EDEF" w14:textId="776842C9" w:rsidR="00051297" w:rsidRPr="00051297" w:rsidRDefault="00051297" w:rsidP="00315352">
      <w:pPr>
        <w:pStyle w:val="2"/>
      </w:pPr>
      <w:bookmarkStart w:id="771" w:name="_Toc97504808"/>
      <w:bookmarkStart w:id="772" w:name="_Toc103543942"/>
      <w:bookmarkStart w:id="773" w:name="_Toc104985267"/>
      <w:r w:rsidRPr="00051297">
        <w:t>Ndembera catchment</w:t>
      </w:r>
      <w:bookmarkEnd w:id="771"/>
      <w:bookmarkEnd w:id="772"/>
      <w:bookmarkEnd w:id="773"/>
    </w:p>
    <w:p w14:paraId="699CC95B" w14:textId="77777777" w:rsidR="00051297" w:rsidRPr="00051297" w:rsidRDefault="00051297" w:rsidP="00051297">
      <w:pPr>
        <w:rPr>
          <w:rFonts w:cs="Times New Roman"/>
          <w:szCs w:val="24"/>
          <w:lang w:val="en-US"/>
        </w:rPr>
      </w:pPr>
      <w:r w:rsidRPr="00051297">
        <w:rPr>
          <w:rFonts w:cs="Times New Roman"/>
          <w:szCs w:val="24"/>
          <w:lang w:val="en-US"/>
        </w:rPr>
        <w:t xml:space="preserve">Impervious surfaces have the disadvantage of preventing rainwater from naturally soaking into the ground and gently seeping into streams. Instead, rainwater collects and quickly runs into storm drains. This causes significant harm to streams in three ways. Storm drains send huge volumes of water to streams much faster than would normally occur, resulting in flooding and bank erosion. </w:t>
      </w:r>
    </w:p>
    <w:p w14:paraId="3EE5989A" w14:textId="77777777" w:rsidR="00051297" w:rsidRPr="00051297" w:rsidRDefault="00051297" w:rsidP="00051297">
      <w:pPr>
        <w:rPr>
          <w:rFonts w:cs="Times New Roman"/>
          <w:szCs w:val="24"/>
          <w:lang w:val="en-US"/>
        </w:rPr>
      </w:pPr>
      <w:r w:rsidRPr="00051297">
        <w:rPr>
          <w:rFonts w:cs="Times New Roman"/>
          <w:szCs w:val="24"/>
          <w:lang w:val="en-US"/>
        </w:rPr>
        <w:lastRenderedPageBreak/>
        <w:t>In wooded watersheds, a considerable part of rainfall is absorbed into soils (infiltration), stored as groundwater, and slowly discharged to streams via seeps and springs. Flooding is less of a concern in these circumstances because some of the storm runoff is absorbed into the ground, reducing the amount of runoff into a stream. As watersheds become more urbanized, impermeable surfaces replace most of the vegetation, reducing the area where groundwater infiltration can occur. As a result, there is greater stormwater runoff, which requires substantial drainage systems that incorporate curbs, storm sewers, and ditches to transport stormwater runoff straight to streams.</w:t>
      </w:r>
    </w:p>
    <w:p w14:paraId="091C1F0B" w14:textId="77777777" w:rsidR="00051297" w:rsidRPr="00051297" w:rsidRDefault="00051297" w:rsidP="00051297">
      <w:pPr>
        <w:rPr>
          <w:rFonts w:cs="Times New Roman"/>
          <w:szCs w:val="24"/>
          <w:lang w:val="en-US"/>
        </w:rPr>
      </w:pPr>
      <w:r w:rsidRPr="00051297">
        <w:rPr>
          <w:rFonts w:cs="Times New Roman"/>
          <w:szCs w:val="24"/>
          <w:lang w:val="en-US"/>
        </w:rPr>
        <w:t>Simply said, in a developed watershed, a stream receives much more water much faster, resulting in a higher likelihood of more frequent and severe floods. Flooding is an issue for households as well as the local government, which is responsible for cleaning up the sand and debris left behind after a flood.</w:t>
      </w:r>
    </w:p>
    <w:p w14:paraId="16DFAD55" w14:textId="77777777" w:rsidR="00051297" w:rsidRPr="00051297" w:rsidRDefault="00051297" w:rsidP="00051297">
      <w:pPr>
        <w:rPr>
          <w:rFonts w:cs="Times New Roman"/>
          <w:szCs w:val="24"/>
          <w:lang w:val="en-US"/>
        </w:rPr>
      </w:pPr>
      <w:r w:rsidRPr="00051297">
        <w:rPr>
          <w:rFonts w:cs="Times New Roman"/>
          <w:szCs w:val="24"/>
          <w:lang w:val="en-US"/>
        </w:rPr>
        <w:t xml:space="preserve">Stream gages are used to measure stage and are made up of a structure that houses the equipment that are needed to measure, store, and transmit stream-stage data. Stage, also known as gage height, can be measured in a number of ways. A stilling well in the riverbank or attached to a bridge pier is a frequent method. Water from the river enters and exits the stilling well via underwater pipes, allowing the stilling well's water surface to be at the same elevation as the river's. The stage is then measured using a float or a pressure, optic, or acoustic sensor inside the stilling well. The measured stage value is saved in an electronic data recorder on a regular basis, usually every 15 minutes. </w:t>
      </w:r>
    </w:p>
    <w:p w14:paraId="1E096288" w14:textId="71D49C00" w:rsidR="00051297" w:rsidRPr="00051297" w:rsidRDefault="00051297" w:rsidP="00051297">
      <w:pPr>
        <w:rPr>
          <w:rFonts w:cs="Times New Roman"/>
          <w:szCs w:val="24"/>
          <w:lang w:val="en-US"/>
        </w:rPr>
      </w:pPr>
      <w:r w:rsidRPr="00051297">
        <w:rPr>
          <w:rFonts w:cs="Times New Roman"/>
          <w:szCs w:val="24"/>
          <w:lang w:val="en-US"/>
        </w:rPr>
        <w:t xml:space="preserve">In this study, the observed flow from streamflow measurement was used to validate the modeled flow. The observed or measured flow within the Ndemebera catchment is approximately 0.179 bcm/year, as seen in </w:t>
      </w:r>
      <w:r w:rsidR="00C208B8">
        <w:rPr>
          <w:rFonts w:cs="Times New Roman"/>
          <w:szCs w:val="24"/>
          <w:lang w:val="en-US"/>
        </w:rPr>
        <w:fldChar w:fldCharType="begin"/>
      </w:r>
      <w:r w:rsidR="00C208B8">
        <w:rPr>
          <w:rFonts w:cs="Times New Roman"/>
          <w:szCs w:val="24"/>
          <w:lang w:val="en-US"/>
        </w:rPr>
        <w:instrText xml:space="preserve"> REF _Ref98104875 \h </w:instrText>
      </w:r>
      <w:r w:rsidR="00C208B8">
        <w:rPr>
          <w:rFonts w:cs="Times New Roman"/>
          <w:szCs w:val="24"/>
          <w:lang w:val="en-US"/>
        </w:rPr>
      </w:r>
      <w:r w:rsidR="00C208B8">
        <w:rPr>
          <w:rFonts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3</w:t>
      </w:r>
      <w:r w:rsidR="004870F1" w:rsidRPr="00051297">
        <w:rPr>
          <w:rFonts w:cs="Times New Roman"/>
          <w:szCs w:val="24"/>
          <w:lang w:val="en-US" w:bidi="en-US"/>
        </w:rPr>
        <w:t>.</w:t>
      </w:r>
      <w:r w:rsidR="004870F1">
        <w:rPr>
          <w:rFonts w:cs="Times New Roman"/>
          <w:noProof/>
          <w:szCs w:val="24"/>
          <w:lang w:val="en-US" w:bidi="en-US"/>
        </w:rPr>
        <w:t>1</w:t>
      </w:r>
      <w:r w:rsidR="00C208B8">
        <w:rPr>
          <w:rFonts w:cs="Times New Roman"/>
          <w:szCs w:val="24"/>
          <w:lang w:val="en-US"/>
        </w:rPr>
        <w:fldChar w:fldCharType="end"/>
      </w:r>
      <w:r w:rsidRPr="00051297">
        <w:rPr>
          <w:rFonts w:cs="Times New Roman"/>
          <w:szCs w:val="24"/>
          <w:lang w:val="en-US"/>
        </w:rPr>
        <w:t xml:space="preserve">. However, based on the modeling, a flow of about 0.115 bcm/year was retrieved from 1990, which is equivalent to 36% less than the observed flow. This phenomenon is due to the fact that the land surface in 1990 was covered by a more natural landscape that allowed much of the precipitation to infiltrate to the ground, which in turn produced less runoff at a time. In Guzha's </w:t>
      </w:r>
      <w:r w:rsidRPr="00051297">
        <w:rPr>
          <w:rFonts w:cs="Times New Roman"/>
          <w:i/>
          <w:iCs/>
          <w:szCs w:val="24"/>
          <w:lang w:val="en-US"/>
        </w:rPr>
        <w:t xml:space="preserve">et al. </w:t>
      </w:r>
      <w:r w:rsidRPr="00051297">
        <w:rPr>
          <w:rFonts w:cs="Times New Roman"/>
          <w:szCs w:val="24"/>
          <w:lang w:val="en-US"/>
        </w:rPr>
        <w:t xml:space="preserve">investigation, a similar occurrence was discovered as well </w:t>
      </w:r>
      <w:r w:rsidRPr="00051297">
        <w:rPr>
          <w:rFonts w:cs="Times New Roman"/>
          <w:szCs w:val="24"/>
        </w:rPr>
        <w:fldChar w:fldCharType="begin" w:fldLock="1"/>
      </w:r>
      <w:r w:rsidR="0044426E">
        <w:rPr>
          <w:rFonts w:cs="Times New Roman"/>
          <w:szCs w:val="24"/>
          <w:lang w:val="en-US"/>
        </w:rPr>
        <w:instrText>ADDIN CSL_CITATION {"citationItems":[{"id":"ITEM-1","itemData":{"DOI":"10.1016/j.ejrh.2017.11.005","ISSN":"22145818","abstract":"Region East Africa. Focus A review of catchment studies (n = 37) conducted in East Africa evaluating the impacts of Land Use and Land Cover Changes (LULCC) on discharge, surface runoff, and low flows. New hydrological insights Forest cover loss is accompanied by increased stream discharges and surface runoff. No significant difference in stream discharge is observed between bamboo and pine plantation catchments, and between cultivated and tea plantation catchments. Trend analyses show that despite forest cover loss, 63% of the watersheds show non-significant changes in annual discharges while 31% show increasing trends. Half of the watersheds show non-significant trends in wet season flows and low flows while 35% reveal decreasing trends in low flows. Modeling studies estimate that forest cover loss increases annual discharges and surface runoff by 16 ± 5.5% and 45 ± 14%, respectively. Peak flows increased by a mean of 10 ± 2.8% while low flows decreased by a mean of 7 ± 5.3%. Increased forest cover decreases annual discharges and surface runoff by 13 ± 1.9% and 25 ± 5%, respectively. Weak correlations between forest cover and runoff (r = 0.42, p &lt; 0.05), mean discharge (r = 0.63, p &lt; 0.05) and peak discharge (r = 0.67, p &lt; 0.05) indicate that forest cover alone is not an accurate predictor of hydrological fluxes in East African catchments. The variability in these results supports the need for long-term field monitoring to better understand catchment responses and to improve the calibration of currently used simulation models.","author":[{"dropping-particle":"","family":"Guzha","given":"A. C.","non-dropping-particle":"","parse-names":false,"suffix":""},{"dropping-particle":"","family":"Rufino","given":"M. C.","non-dropping-particle":"","parse-names":false,"suffix":""},{"dropping-particle":"","family":"Okoth","given":"S.","non-dropping-particle":"","parse-names":false,"suffix":""},{"dropping-particle":"","family":"Jacobs","given":"S.","non-dropping-particle":"","parse-names":false,"suffix":""},{"dropping-particle":"","family":"Nóbrega","given":"R. L.B.","non-dropping-particle":"","parse-names":false,"suffix":""}],"container-title":"Journal of Hydrology: Regional Studies","id":"ITEM-1","issued":{"date-parts":[["2018"]]},"title":"Impacts of land use and land cover change on surface runoff, discharge and low flows: Evidence from East Africa","type":"article"},"uris":["http://www.mendeley.com/documents/?uuid=6c56e390-dfab-4b88-891b-e55c2b9b77fc","http://www.mendeley.com/documents/?uuid=93e89377-fb01-4734-952c-134bfb13c2bd"]}],"mendeley":{"formattedCitation":"[262]","plainTextFormattedCitation":"[262]","previouslyFormattedCitation":"[262]"},"properties":{"noteIndex":0},"schema":"https://github.com/citation-style-language/schema/raw/master/csl-citation.json"}</w:instrText>
      </w:r>
      <w:r w:rsidRPr="00051297">
        <w:rPr>
          <w:rFonts w:cs="Times New Roman"/>
          <w:szCs w:val="24"/>
        </w:rPr>
        <w:fldChar w:fldCharType="separate"/>
      </w:r>
      <w:r w:rsidR="00FA5896" w:rsidRPr="00FA5896">
        <w:rPr>
          <w:rFonts w:cs="Times New Roman"/>
          <w:noProof/>
          <w:szCs w:val="24"/>
          <w:lang w:val="en-US"/>
        </w:rPr>
        <w:t>[262]</w:t>
      </w:r>
      <w:r w:rsidRPr="00051297">
        <w:rPr>
          <w:rFonts w:cs="Times New Roman"/>
          <w:szCs w:val="24"/>
        </w:rPr>
        <w:fldChar w:fldCharType="end"/>
      </w:r>
      <w:r w:rsidRPr="00051297">
        <w:rPr>
          <w:rFonts w:cs="Times New Roman"/>
          <w:szCs w:val="24"/>
          <w:lang w:val="en-US"/>
        </w:rPr>
        <w:t>, on the evidence from East Africa on the effects of land use and land cover change on surface runoff, discharge, and low flows; whereby the authors observed that forest cover loss is estimated to increase annual flows and surface runoff by 16% and 45%, respectively, according to modeling studies. Also, according to the study, peak flows increased by an average of 10%, while low flows declined by an average of 7.3%; annual flows and surface runoff are reduced by 13% and 25.5%, respectively, when forest cover is increased.</w:t>
      </w:r>
    </w:p>
    <w:p w14:paraId="6915CE46" w14:textId="5D8BDFFB" w:rsidR="00051297" w:rsidRPr="00051297" w:rsidRDefault="00051297" w:rsidP="00051297">
      <w:pPr>
        <w:rPr>
          <w:rFonts w:cs="Times New Roman"/>
          <w:szCs w:val="24"/>
          <w:lang w:val="en-US"/>
        </w:rPr>
      </w:pPr>
      <w:r w:rsidRPr="00051297">
        <w:rPr>
          <w:rFonts w:cs="Times New Roman"/>
          <w:szCs w:val="24"/>
          <w:lang w:val="en-US"/>
        </w:rPr>
        <w:t xml:space="preserve">Climate factors that affect stream flows include air temperature, precipitation type, and precipitation and snowmelt timing. However, over the last three decades, human land and water resource management have had a greater impact on stream flows than climate change. Whereby </w:t>
      </w:r>
      <w:r w:rsidRPr="00051297">
        <w:rPr>
          <w:rFonts w:cs="Times New Roman"/>
          <w:szCs w:val="24"/>
          <w:lang w:val="en-US"/>
        </w:rPr>
        <w:lastRenderedPageBreak/>
        <w:t xml:space="preserve">in this study, it is revealed further that there are more effects when the changes in land surface cover are combined with extreme climatic conditions. From </w:t>
      </w:r>
      <w:r w:rsidRPr="00051297">
        <w:rPr>
          <w:rFonts w:cs="Times New Roman"/>
          <w:szCs w:val="24"/>
          <w:lang w:val="en-US"/>
        </w:rPr>
        <w:fldChar w:fldCharType="begin"/>
      </w:r>
      <w:r w:rsidRPr="00051297">
        <w:rPr>
          <w:rFonts w:cs="Times New Roman"/>
          <w:szCs w:val="24"/>
          <w:lang w:val="en-US"/>
        </w:rPr>
        <w:instrText xml:space="preserve"> REF _Ref98104875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3</w:t>
      </w:r>
      <w:r w:rsidR="004870F1" w:rsidRPr="00051297">
        <w:rPr>
          <w:rFonts w:cs="Times New Roman"/>
          <w:szCs w:val="24"/>
          <w:lang w:val="en-US" w:bidi="en-US"/>
        </w:rPr>
        <w:t>.</w:t>
      </w:r>
      <w:r w:rsidR="004870F1">
        <w:rPr>
          <w:rFonts w:cs="Times New Roman"/>
          <w:noProof/>
          <w:szCs w:val="24"/>
          <w:lang w:val="en-US" w:bidi="en-US"/>
        </w:rPr>
        <w:t>1</w:t>
      </w:r>
      <w:r w:rsidRPr="00051297">
        <w:rPr>
          <w:rFonts w:cs="Times New Roman"/>
          <w:szCs w:val="24"/>
          <w:lang w:val="en-US"/>
        </w:rPr>
        <w:fldChar w:fldCharType="end"/>
      </w:r>
      <w:r w:rsidRPr="00051297">
        <w:rPr>
          <w:rFonts w:cs="Times New Roman"/>
          <w:szCs w:val="24"/>
          <w:lang w:val="en-US"/>
        </w:rPr>
        <w:t xml:space="preserve">, it can be seen that when the modeling process combined the </w:t>
      </w:r>
      <w:r w:rsidR="00B3337D">
        <w:rPr>
          <w:rFonts w:cs="Times New Roman"/>
          <w:szCs w:val="24"/>
          <w:lang w:val="en-US"/>
        </w:rPr>
        <w:t>98 composite curve number (</w:t>
      </w:r>
      <w:r w:rsidRPr="00051297">
        <w:rPr>
          <w:rFonts w:cs="Times New Roman"/>
          <w:szCs w:val="24"/>
          <w:lang w:val="en-US"/>
        </w:rPr>
        <w:t>CN98</w:t>
      </w:r>
      <w:r w:rsidR="00B3337D">
        <w:rPr>
          <w:rFonts w:cs="Times New Roman"/>
          <w:szCs w:val="24"/>
          <w:lang w:val="en-US"/>
        </w:rPr>
        <w:t>)</w:t>
      </w:r>
      <w:r w:rsidRPr="00051297">
        <w:rPr>
          <w:rFonts w:cs="Times New Roman"/>
          <w:szCs w:val="24"/>
          <w:lang w:val="en-US"/>
        </w:rPr>
        <w:t xml:space="preserve"> and the extreme event, a flow of approximately 5.36 bcm/year was retrieved, which is equivalent to a 2884.821% increase from the observed or measured flow.</w:t>
      </w:r>
    </w:p>
    <w:p w14:paraId="04974F97" w14:textId="609445BC" w:rsidR="00051297" w:rsidRPr="00051297" w:rsidRDefault="00051297" w:rsidP="00051297">
      <w:pPr>
        <w:rPr>
          <w:rFonts w:cs="Times New Roman"/>
          <w:szCs w:val="24"/>
          <w:lang w:val="en-US" w:bidi="en-US"/>
        </w:rPr>
      </w:pPr>
      <w:bookmarkStart w:id="774" w:name="_Ref98104875"/>
      <w:bookmarkStart w:id="775" w:name="_Toc97077195"/>
      <w:bookmarkStart w:id="776" w:name="_Toc103544245"/>
      <w:bookmarkStart w:id="777" w:name="_Toc104985571"/>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3</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1</w:t>
      </w:r>
      <w:r w:rsidRPr="00051297">
        <w:rPr>
          <w:rFonts w:cs="Times New Roman"/>
          <w:szCs w:val="24"/>
          <w:lang w:val="en-US" w:bidi="en-US"/>
        </w:rPr>
        <w:fldChar w:fldCharType="end"/>
      </w:r>
      <w:bookmarkEnd w:id="774"/>
      <w:r w:rsidRPr="00051297">
        <w:t xml:space="preserve"> </w:t>
      </w:r>
      <w:r w:rsidRPr="00051297">
        <w:rPr>
          <w:rFonts w:cs="Times New Roman"/>
          <w:szCs w:val="24"/>
          <w:lang w:val="en-US" w:bidi="en-US"/>
        </w:rPr>
        <w:t>– Flow results</w:t>
      </w:r>
      <w:bookmarkEnd w:id="775"/>
      <w:bookmarkEnd w:id="776"/>
      <w:bookmarkEnd w:id="777"/>
    </w:p>
    <w:tbl>
      <w:tblPr>
        <w:tblStyle w:val="a8"/>
        <w:tblW w:w="0" w:type="auto"/>
        <w:jc w:val="center"/>
        <w:tblLook w:val="04A0" w:firstRow="1" w:lastRow="0" w:firstColumn="1" w:lastColumn="0" w:noHBand="0" w:noVBand="1"/>
      </w:tblPr>
      <w:tblGrid>
        <w:gridCol w:w="2695"/>
        <w:gridCol w:w="2017"/>
        <w:gridCol w:w="1943"/>
        <w:gridCol w:w="2430"/>
      </w:tblGrid>
      <w:tr w:rsidR="00051297" w:rsidRPr="005F5229" w14:paraId="736EFCD9" w14:textId="77777777" w:rsidTr="00D20B01">
        <w:trPr>
          <w:trHeight w:val="300"/>
          <w:jc w:val="center"/>
        </w:trPr>
        <w:tc>
          <w:tcPr>
            <w:tcW w:w="2695" w:type="dxa"/>
            <w:noWrap/>
            <w:hideMark/>
          </w:tcPr>
          <w:p w14:paraId="3BD50682" w14:textId="77777777" w:rsidR="00051297" w:rsidRPr="005F5229" w:rsidRDefault="00051297" w:rsidP="00051297">
            <w:pPr>
              <w:spacing w:line="240" w:lineRule="auto"/>
              <w:ind w:firstLine="0"/>
              <w:jc w:val="center"/>
              <w:rPr>
                <w:sz w:val="22"/>
                <w:szCs w:val="20"/>
              </w:rPr>
            </w:pPr>
            <w:r w:rsidRPr="005F5229">
              <w:rPr>
                <w:sz w:val="22"/>
                <w:szCs w:val="20"/>
              </w:rPr>
              <w:t>Parameter</w:t>
            </w:r>
          </w:p>
        </w:tc>
        <w:tc>
          <w:tcPr>
            <w:tcW w:w="2017" w:type="dxa"/>
            <w:noWrap/>
            <w:hideMark/>
          </w:tcPr>
          <w:p w14:paraId="76677AF8" w14:textId="77777777" w:rsidR="00051297" w:rsidRPr="005F5229" w:rsidRDefault="00051297" w:rsidP="00051297">
            <w:pPr>
              <w:spacing w:line="240" w:lineRule="auto"/>
              <w:ind w:firstLine="0"/>
              <w:jc w:val="center"/>
              <w:rPr>
                <w:sz w:val="22"/>
                <w:szCs w:val="20"/>
              </w:rPr>
            </w:pPr>
            <w:r w:rsidRPr="005F5229">
              <w:rPr>
                <w:sz w:val="22"/>
                <w:szCs w:val="20"/>
              </w:rPr>
              <w:t xml:space="preserve">Occurrence </w:t>
            </w:r>
          </w:p>
        </w:tc>
        <w:tc>
          <w:tcPr>
            <w:tcW w:w="1943" w:type="dxa"/>
            <w:noWrap/>
            <w:hideMark/>
          </w:tcPr>
          <w:p w14:paraId="7AE582D0" w14:textId="77777777" w:rsidR="00051297" w:rsidRPr="005F5229" w:rsidRDefault="00051297" w:rsidP="00051297">
            <w:pPr>
              <w:spacing w:line="240" w:lineRule="auto"/>
              <w:ind w:firstLine="0"/>
              <w:jc w:val="center"/>
              <w:rPr>
                <w:sz w:val="22"/>
                <w:szCs w:val="20"/>
              </w:rPr>
            </w:pPr>
            <w:r w:rsidRPr="005F5229">
              <w:rPr>
                <w:sz w:val="22"/>
                <w:szCs w:val="20"/>
              </w:rPr>
              <w:t>Flow (bcm/year)</w:t>
            </w:r>
          </w:p>
        </w:tc>
        <w:tc>
          <w:tcPr>
            <w:tcW w:w="2430" w:type="dxa"/>
            <w:noWrap/>
            <w:hideMark/>
          </w:tcPr>
          <w:p w14:paraId="51D8562E" w14:textId="77777777" w:rsidR="00051297" w:rsidRPr="005F5229" w:rsidRDefault="00051297" w:rsidP="00051297">
            <w:pPr>
              <w:spacing w:line="240" w:lineRule="auto"/>
              <w:ind w:firstLine="0"/>
              <w:jc w:val="center"/>
              <w:rPr>
                <w:sz w:val="22"/>
                <w:szCs w:val="20"/>
              </w:rPr>
            </w:pPr>
            <w:r w:rsidRPr="005F5229">
              <w:rPr>
                <w:sz w:val="22"/>
                <w:szCs w:val="20"/>
              </w:rPr>
              <w:t>Percent difference (%)</w:t>
            </w:r>
          </w:p>
        </w:tc>
      </w:tr>
      <w:tr w:rsidR="00051297" w:rsidRPr="005F5229" w14:paraId="599AFB92" w14:textId="77777777" w:rsidTr="00D20B01">
        <w:trPr>
          <w:trHeight w:val="300"/>
          <w:jc w:val="center"/>
        </w:trPr>
        <w:tc>
          <w:tcPr>
            <w:tcW w:w="2695" w:type="dxa"/>
            <w:noWrap/>
            <w:hideMark/>
          </w:tcPr>
          <w:p w14:paraId="03E6FE62" w14:textId="77777777" w:rsidR="00051297" w:rsidRPr="005F5229" w:rsidRDefault="00051297" w:rsidP="00051297">
            <w:pPr>
              <w:spacing w:line="240" w:lineRule="auto"/>
              <w:ind w:firstLine="0"/>
              <w:jc w:val="center"/>
              <w:rPr>
                <w:sz w:val="22"/>
                <w:szCs w:val="20"/>
              </w:rPr>
            </w:pPr>
            <w:r w:rsidRPr="005F5229">
              <w:rPr>
                <w:sz w:val="22"/>
                <w:szCs w:val="20"/>
              </w:rPr>
              <w:t>Observed flow</w:t>
            </w:r>
          </w:p>
        </w:tc>
        <w:tc>
          <w:tcPr>
            <w:tcW w:w="2017" w:type="dxa"/>
            <w:noWrap/>
            <w:hideMark/>
          </w:tcPr>
          <w:p w14:paraId="4FB9984B" w14:textId="77777777" w:rsidR="00051297" w:rsidRPr="005F5229" w:rsidRDefault="00051297" w:rsidP="00051297">
            <w:pPr>
              <w:spacing w:line="240" w:lineRule="auto"/>
              <w:ind w:firstLine="0"/>
              <w:jc w:val="center"/>
              <w:rPr>
                <w:sz w:val="22"/>
                <w:szCs w:val="20"/>
              </w:rPr>
            </w:pPr>
            <w:r w:rsidRPr="005F5229">
              <w:rPr>
                <w:sz w:val="22"/>
                <w:szCs w:val="20"/>
              </w:rPr>
              <w:t>2011</w:t>
            </w:r>
          </w:p>
        </w:tc>
        <w:tc>
          <w:tcPr>
            <w:tcW w:w="1943" w:type="dxa"/>
            <w:noWrap/>
            <w:hideMark/>
          </w:tcPr>
          <w:p w14:paraId="1E1452E9" w14:textId="77777777" w:rsidR="00051297" w:rsidRPr="005F5229" w:rsidRDefault="00051297" w:rsidP="00051297">
            <w:pPr>
              <w:spacing w:line="240" w:lineRule="auto"/>
              <w:ind w:firstLine="0"/>
              <w:jc w:val="center"/>
              <w:rPr>
                <w:sz w:val="22"/>
                <w:szCs w:val="20"/>
              </w:rPr>
            </w:pPr>
            <w:r w:rsidRPr="005F5229">
              <w:rPr>
                <w:sz w:val="22"/>
                <w:szCs w:val="20"/>
              </w:rPr>
              <w:t>0.179</w:t>
            </w:r>
          </w:p>
        </w:tc>
        <w:tc>
          <w:tcPr>
            <w:tcW w:w="2430" w:type="dxa"/>
            <w:noWrap/>
            <w:hideMark/>
          </w:tcPr>
          <w:p w14:paraId="0CBD6A12" w14:textId="77777777" w:rsidR="00051297" w:rsidRPr="005F5229" w:rsidRDefault="00051297" w:rsidP="00051297">
            <w:pPr>
              <w:spacing w:line="240" w:lineRule="auto"/>
              <w:ind w:firstLine="0"/>
              <w:jc w:val="center"/>
              <w:rPr>
                <w:sz w:val="22"/>
                <w:szCs w:val="20"/>
              </w:rPr>
            </w:pPr>
            <w:r w:rsidRPr="005F5229">
              <w:rPr>
                <w:sz w:val="22"/>
                <w:szCs w:val="20"/>
              </w:rPr>
              <w:t>0</w:t>
            </w:r>
          </w:p>
        </w:tc>
      </w:tr>
      <w:tr w:rsidR="00051297" w:rsidRPr="005F5229" w14:paraId="1B21E74B" w14:textId="77777777" w:rsidTr="00D20B01">
        <w:trPr>
          <w:trHeight w:val="300"/>
          <w:jc w:val="center"/>
        </w:trPr>
        <w:tc>
          <w:tcPr>
            <w:tcW w:w="2695" w:type="dxa"/>
            <w:noWrap/>
            <w:hideMark/>
          </w:tcPr>
          <w:p w14:paraId="29B1F15F" w14:textId="77777777" w:rsidR="00051297" w:rsidRPr="005F5229" w:rsidRDefault="00051297" w:rsidP="00051297">
            <w:pPr>
              <w:spacing w:line="240" w:lineRule="auto"/>
              <w:ind w:firstLine="0"/>
              <w:jc w:val="center"/>
              <w:rPr>
                <w:sz w:val="22"/>
                <w:szCs w:val="20"/>
              </w:rPr>
            </w:pPr>
            <w:r w:rsidRPr="005F5229">
              <w:rPr>
                <w:sz w:val="22"/>
                <w:szCs w:val="20"/>
              </w:rPr>
              <w:t>Modeled flow</w:t>
            </w:r>
          </w:p>
        </w:tc>
        <w:tc>
          <w:tcPr>
            <w:tcW w:w="2017" w:type="dxa"/>
            <w:noWrap/>
            <w:hideMark/>
          </w:tcPr>
          <w:p w14:paraId="2A85A17B" w14:textId="77777777" w:rsidR="00051297" w:rsidRPr="005F5229" w:rsidRDefault="00051297" w:rsidP="00051297">
            <w:pPr>
              <w:spacing w:line="240" w:lineRule="auto"/>
              <w:ind w:firstLine="0"/>
              <w:jc w:val="center"/>
              <w:rPr>
                <w:sz w:val="22"/>
                <w:szCs w:val="20"/>
              </w:rPr>
            </w:pPr>
            <w:r w:rsidRPr="005F5229">
              <w:rPr>
                <w:sz w:val="22"/>
                <w:szCs w:val="20"/>
              </w:rPr>
              <w:t>1990</w:t>
            </w:r>
          </w:p>
        </w:tc>
        <w:tc>
          <w:tcPr>
            <w:tcW w:w="1943" w:type="dxa"/>
            <w:noWrap/>
            <w:hideMark/>
          </w:tcPr>
          <w:p w14:paraId="6390A899" w14:textId="77777777" w:rsidR="00051297" w:rsidRPr="005F5229" w:rsidRDefault="00051297" w:rsidP="00051297">
            <w:pPr>
              <w:spacing w:line="240" w:lineRule="auto"/>
              <w:ind w:firstLine="0"/>
              <w:jc w:val="center"/>
              <w:rPr>
                <w:sz w:val="22"/>
                <w:szCs w:val="20"/>
                <w:lang w:val="en-US"/>
              </w:rPr>
            </w:pPr>
            <w:r w:rsidRPr="005F5229">
              <w:rPr>
                <w:sz w:val="22"/>
                <w:szCs w:val="20"/>
              </w:rPr>
              <w:t>0.11</w:t>
            </w:r>
            <w:r w:rsidRPr="005F5229">
              <w:rPr>
                <w:sz w:val="22"/>
                <w:szCs w:val="20"/>
                <w:lang w:val="en-US"/>
              </w:rPr>
              <w:t>5</w:t>
            </w:r>
          </w:p>
        </w:tc>
        <w:tc>
          <w:tcPr>
            <w:tcW w:w="2430" w:type="dxa"/>
            <w:noWrap/>
            <w:hideMark/>
          </w:tcPr>
          <w:p w14:paraId="3FA0E946" w14:textId="77777777" w:rsidR="00051297" w:rsidRPr="005F5229" w:rsidRDefault="00051297" w:rsidP="00051297">
            <w:pPr>
              <w:spacing w:line="240" w:lineRule="auto"/>
              <w:ind w:firstLine="0"/>
              <w:jc w:val="center"/>
              <w:rPr>
                <w:sz w:val="22"/>
                <w:szCs w:val="20"/>
              </w:rPr>
            </w:pPr>
            <w:r w:rsidRPr="005F5229">
              <w:rPr>
                <w:sz w:val="22"/>
                <w:szCs w:val="20"/>
              </w:rPr>
              <w:t>-36.049</w:t>
            </w:r>
          </w:p>
        </w:tc>
      </w:tr>
      <w:tr w:rsidR="00051297" w:rsidRPr="005F5229" w14:paraId="2B6868F9" w14:textId="77777777" w:rsidTr="00D20B01">
        <w:trPr>
          <w:trHeight w:val="300"/>
          <w:jc w:val="center"/>
        </w:trPr>
        <w:tc>
          <w:tcPr>
            <w:tcW w:w="2695" w:type="dxa"/>
            <w:noWrap/>
            <w:hideMark/>
          </w:tcPr>
          <w:p w14:paraId="7EB2D8F2" w14:textId="77777777" w:rsidR="00051297" w:rsidRPr="005F5229" w:rsidRDefault="00051297" w:rsidP="00051297">
            <w:pPr>
              <w:spacing w:line="240" w:lineRule="auto"/>
              <w:ind w:firstLine="0"/>
              <w:jc w:val="center"/>
              <w:rPr>
                <w:sz w:val="22"/>
                <w:szCs w:val="20"/>
              </w:rPr>
            </w:pPr>
            <w:r w:rsidRPr="005F5229">
              <w:rPr>
                <w:sz w:val="22"/>
                <w:szCs w:val="20"/>
              </w:rPr>
              <w:t>Modeled flow</w:t>
            </w:r>
          </w:p>
        </w:tc>
        <w:tc>
          <w:tcPr>
            <w:tcW w:w="2017" w:type="dxa"/>
            <w:noWrap/>
            <w:hideMark/>
          </w:tcPr>
          <w:p w14:paraId="2E39BEAA" w14:textId="77777777" w:rsidR="00051297" w:rsidRPr="005F5229" w:rsidRDefault="00051297" w:rsidP="00051297">
            <w:pPr>
              <w:spacing w:line="240" w:lineRule="auto"/>
              <w:ind w:firstLine="0"/>
              <w:jc w:val="center"/>
              <w:rPr>
                <w:sz w:val="22"/>
                <w:szCs w:val="20"/>
              </w:rPr>
            </w:pPr>
            <w:r w:rsidRPr="005F5229">
              <w:rPr>
                <w:sz w:val="22"/>
                <w:szCs w:val="20"/>
              </w:rPr>
              <w:t>1995</w:t>
            </w:r>
          </w:p>
        </w:tc>
        <w:tc>
          <w:tcPr>
            <w:tcW w:w="1943" w:type="dxa"/>
            <w:noWrap/>
            <w:hideMark/>
          </w:tcPr>
          <w:p w14:paraId="7854583F" w14:textId="77777777" w:rsidR="00051297" w:rsidRPr="005F5229" w:rsidRDefault="00051297" w:rsidP="00051297">
            <w:pPr>
              <w:spacing w:line="240" w:lineRule="auto"/>
              <w:ind w:firstLine="0"/>
              <w:jc w:val="center"/>
              <w:rPr>
                <w:sz w:val="22"/>
                <w:szCs w:val="20"/>
                <w:lang w:val="en-US"/>
              </w:rPr>
            </w:pPr>
            <w:r w:rsidRPr="005F5229">
              <w:rPr>
                <w:sz w:val="22"/>
                <w:szCs w:val="20"/>
              </w:rPr>
              <w:t>0.12</w:t>
            </w:r>
            <w:r w:rsidRPr="005F5229">
              <w:rPr>
                <w:sz w:val="22"/>
                <w:szCs w:val="20"/>
                <w:lang w:val="en-US"/>
              </w:rPr>
              <w:t>2</w:t>
            </w:r>
          </w:p>
        </w:tc>
        <w:tc>
          <w:tcPr>
            <w:tcW w:w="2430" w:type="dxa"/>
            <w:noWrap/>
            <w:hideMark/>
          </w:tcPr>
          <w:p w14:paraId="56CA5695" w14:textId="77777777" w:rsidR="00051297" w:rsidRPr="005F5229" w:rsidRDefault="00051297" w:rsidP="00051297">
            <w:pPr>
              <w:spacing w:line="240" w:lineRule="auto"/>
              <w:ind w:firstLine="0"/>
              <w:jc w:val="center"/>
              <w:rPr>
                <w:sz w:val="22"/>
                <w:szCs w:val="20"/>
                <w:lang w:val="en-US"/>
              </w:rPr>
            </w:pPr>
            <w:r w:rsidRPr="005F5229">
              <w:rPr>
                <w:sz w:val="22"/>
                <w:szCs w:val="20"/>
              </w:rPr>
              <w:t>-32.1</w:t>
            </w:r>
            <w:r w:rsidRPr="005F5229">
              <w:rPr>
                <w:sz w:val="22"/>
                <w:szCs w:val="20"/>
                <w:lang w:val="en-US"/>
              </w:rPr>
              <w:t>60</w:t>
            </w:r>
          </w:p>
        </w:tc>
      </w:tr>
      <w:tr w:rsidR="00051297" w:rsidRPr="005F5229" w14:paraId="46E79557" w14:textId="77777777" w:rsidTr="00D20B01">
        <w:trPr>
          <w:trHeight w:val="300"/>
          <w:jc w:val="center"/>
        </w:trPr>
        <w:tc>
          <w:tcPr>
            <w:tcW w:w="2695" w:type="dxa"/>
            <w:noWrap/>
            <w:hideMark/>
          </w:tcPr>
          <w:p w14:paraId="5F8FDFF0" w14:textId="77777777" w:rsidR="00051297" w:rsidRPr="005F5229" w:rsidRDefault="00051297" w:rsidP="00051297">
            <w:pPr>
              <w:spacing w:line="240" w:lineRule="auto"/>
              <w:ind w:firstLine="0"/>
              <w:jc w:val="center"/>
              <w:rPr>
                <w:sz w:val="22"/>
                <w:szCs w:val="20"/>
              </w:rPr>
            </w:pPr>
            <w:r w:rsidRPr="005F5229">
              <w:rPr>
                <w:sz w:val="22"/>
                <w:szCs w:val="20"/>
              </w:rPr>
              <w:t>Modeled flow</w:t>
            </w:r>
          </w:p>
        </w:tc>
        <w:tc>
          <w:tcPr>
            <w:tcW w:w="2017" w:type="dxa"/>
            <w:noWrap/>
            <w:hideMark/>
          </w:tcPr>
          <w:p w14:paraId="2D8EDEF8" w14:textId="77777777" w:rsidR="00051297" w:rsidRPr="005F5229" w:rsidRDefault="00051297" w:rsidP="00051297">
            <w:pPr>
              <w:spacing w:line="240" w:lineRule="auto"/>
              <w:ind w:firstLine="0"/>
              <w:jc w:val="center"/>
              <w:rPr>
                <w:sz w:val="22"/>
                <w:szCs w:val="20"/>
              </w:rPr>
            </w:pPr>
            <w:r w:rsidRPr="005F5229">
              <w:rPr>
                <w:sz w:val="22"/>
                <w:szCs w:val="20"/>
              </w:rPr>
              <w:t>2004</w:t>
            </w:r>
          </w:p>
        </w:tc>
        <w:tc>
          <w:tcPr>
            <w:tcW w:w="1943" w:type="dxa"/>
            <w:noWrap/>
            <w:hideMark/>
          </w:tcPr>
          <w:p w14:paraId="5D0C8F55" w14:textId="77777777" w:rsidR="00051297" w:rsidRPr="005F5229" w:rsidRDefault="00051297" w:rsidP="00051297">
            <w:pPr>
              <w:spacing w:line="240" w:lineRule="auto"/>
              <w:ind w:firstLine="0"/>
              <w:jc w:val="center"/>
              <w:rPr>
                <w:sz w:val="22"/>
                <w:szCs w:val="20"/>
              </w:rPr>
            </w:pPr>
            <w:r w:rsidRPr="005F5229">
              <w:rPr>
                <w:sz w:val="22"/>
                <w:szCs w:val="20"/>
              </w:rPr>
              <w:t>0.143</w:t>
            </w:r>
          </w:p>
        </w:tc>
        <w:tc>
          <w:tcPr>
            <w:tcW w:w="2430" w:type="dxa"/>
            <w:noWrap/>
            <w:hideMark/>
          </w:tcPr>
          <w:p w14:paraId="45E39568" w14:textId="77777777" w:rsidR="00051297" w:rsidRPr="005F5229" w:rsidRDefault="00051297" w:rsidP="00051297">
            <w:pPr>
              <w:spacing w:line="240" w:lineRule="auto"/>
              <w:ind w:firstLine="0"/>
              <w:jc w:val="center"/>
              <w:rPr>
                <w:sz w:val="22"/>
                <w:szCs w:val="20"/>
                <w:lang w:val="en-US"/>
              </w:rPr>
            </w:pPr>
            <w:r w:rsidRPr="005F5229">
              <w:rPr>
                <w:sz w:val="22"/>
                <w:szCs w:val="20"/>
              </w:rPr>
              <w:t>-20.28</w:t>
            </w:r>
            <w:r w:rsidRPr="005F5229">
              <w:rPr>
                <w:sz w:val="22"/>
                <w:szCs w:val="20"/>
                <w:lang w:val="en-US"/>
              </w:rPr>
              <w:t>5</w:t>
            </w:r>
          </w:p>
        </w:tc>
      </w:tr>
      <w:tr w:rsidR="00051297" w:rsidRPr="005F5229" w14:paraId="0C2E1350" w14:textId="77777777" w:rsidTr="00D20B01">
        <w:trPr>
          <w:trHeight w:val="300"/>
          <w:jc w:val="center"/>
        </w:trPr>
        <w:tc>
          <w:tcPr>
            <w:tcW w:w="2695" w:type="dxa"/>
            <w:noWrap/>
            <w:hideMark/>
          </w:tcPr>
          <w:p w14:paraId="3D590D49" w14:textId="77777777" w:rsidR="00051297" w:rsidRPr="005F5229" w:rsidRDefault="00051297" w:rsidP="00051297">
            <w:pPr>
              <w:spacing w:line="240" w:lineRule="auto"/>
              <w:ind w:firstLine="0"/>
              <w:jc w:val="center"/>
              <w:rPr>
                <w:sz w:val="22"/>
                <w:szCs w:val="20"/>
              </w:rPr>
            </w:pPr>
            <w:r w:rsidRPr="005F5229">
              <w:rPr>
                <w:sz w:val="22"/>
                <w:szCs w:val="20"/>
              </w:rPr>
              <w:t>Modeled flow</w:t>
            </w:r>
          </w:p>
        </w:tc>
        <w:tc>
          <w:tcPr>
            <w:tcW w:w="2017" w:type="dxa"/>
            <w:noWrap/>
            <w:hideMark/>
          </w:tcPr>
          <w:p w14:paraId="1C5F8BD4" w14:textId="77777777" w:rsidR="00051297" w:rsidRPr="005F5229" w:rsidRDefault="00051297" w:rsidP="00051297">
            <w:pPr>
              <w:spacing w:line="240" w:lineRule="auto"/>
              <w:ind w:firstLine="0"/>
              <w:jc w:val="center"/>
              <w:rPr>
                <w:sz w:val="22"/>
                <w:szCs w:val="20"/>
              </w:rPr>
            </w:pPr>
            <w:r w:rsidRPr="005F5229">
              <w:rPr>
                <w:sz w:val="22"/>
                <w:szCs w:val="20"/>
              </w:rPr>
              <w:t>2011</w:t>
            </w:r>
          </w:p>
        </w:tc>
        <w:tc>
          <w:tcPr>
            <w:tcW w:w="1943" w:type="dxa"/>
            <w:noWrap/>
            <w:hideMark/>
          </w:tcPr>
          <w:p w14:paraId="1884037C" w14:textId="77777777" w:rsidR="00051297" w:rsidRPr="005F5229" w:rsidRDefault="00051297" w:rsidP="00051297">
            <w:pPr>
              <w:spacing w:line="240" w:lineRule="auto"/>
              <w:ind w:firstLine="0"/>
              <w:jc w:val="center"/>
              <w:rPr>
                <w:sz w:val="22"/>
                <w:szCs w:val="20"/>
              </w:rPr>
            </w:pPr>
            <w:r w:rsidRPr="005F5229">
              <w:rPr>
                <w:sz w:val="22"/>
                <w:szCs w:val="20"/>
              </w:rPr>
              <w:t>0.181</w:t>
            </w:r>
          </w:p>
        </w:tc>
        <w:tc>
          <w:tcPr>
            <w:tcW w:w="2430" w:type="dxa"/>
            <w:noWrap/>
            <w:hideMark/>
          </w:tcPr>
          <w:p w14:paraId="1B8659C1" w14:textId="77777777" w:rsidR="00051297" w:rsidRPr="005F5229" w:rsidRDefault="00051297" w:rsidP="00051297">
            <w:pPr>
              <w:spacing w:line="240" w:lineRule="auto"/>
              <w:ind w:firstLine="0"/>
              <w:jc w:val="center"/>
              <w:rPr>
                <w:sz w:val="22"/>
                <w:szCs w:val="20"/>
              </w:rPr>
            </w:pPr>
            <w:r w:rsidRPr="005F5229">
              <w:rPr>
                <w:sz w:val="22"/>
                <w:szCs w:val="20"/>
              </w:rPr>
              <w:t>1.06</w:t>
            </w:r>
          </w:p>
        </w:tc>
      </w:tr>
      <w:tr w:rsidR="00051297" w:rsidRPr="005F5229" w14:paraId="6CEF7083" w14:textId="77777777" w:rsidTr="00D20B01">
        <w:trPr>
          <w:trHeight w:val="300"/>
          <w:jc w:val="center"/>
        </w:trPr>
        <w:tc>
          <w:tcPr>
            <w:tcW w:w="2695" w:type="dxa"/>
            <w:noWrap/>
            <w:hideMark/>
          </w:tcPr>
          <w:p w14:paraId="5EA7A181" w14:textId="77777777" w:rsidR="00051297" w:rsidRPr="005F5229" w:rsidRDefault="00051297" w:rsidP="00051297">
            <w:pPr>
              <w:spacing w:line="240" w:lineRule="auto"/>
              <w:ind w:firstLine="0"/>
              <w:jc w:val="center"/>
              <w:rPr>
                <w:sz w:val="22"/>
                <w:szCs w:val="20"/>
              </w:rPr>
            </w:pPr>
            <w:r w:rsidRPr="005F5229">
              <w:rPr>
                <w:sz w:val="22"/>
                <w:szCs w:val="20"/>
              </w:rPr>
              <w:t>Modeled at CN98</w:t>
            </w:r>
          </w:p>
        </w:tc>
        <w:tc>
          <w:tcPr>
            <w:tcW w:w="2017" w:type="dxa"/>
            <w:noWrap/>
            <w:hideMark/>
          </w:tcPr>
          <w:p w14:paraId="5FEBA99A" w14:textId="77777777" w:rsidR="00051297" w:rsidRPr="005F5229" w:rsidRDefault="00051297" w:rsidP="00051297">
            <w:pPr>
              <w:spacing w:line="240" w:lineRule="auto"/>
              <w:ind w:firstLine="0"/>
              <w:jc w:val="center"/>
              <w:rPr>
                <w:sz w:val="22"/>
                <w:szCs w:val="20"/>
              </w:rPr>
            </w:pPr>
            <w:r w:rsidRPr="005F5229">
              <w:rPr>
                <w:sz w:val="22"/>
                <w:szCs w:val="20"/>
              </w:rPr>
              <w:t>CN98</w:t>
            </w:r>
          </w:p>
        </w:tc>
        <w:tc>
          <w:tcPr>
            <w:tcW w:w="1943" w:type="dxa"/>
            <w:noWrap/>
            <w:hideMark/>
          </w:tcPr>
          <w:p w14:paraId="6ED66DAE" w14:textId="77777777" w:rsidR="00051297" w:rsidRPr="005F5229" w:rsidRDefault="00051297" w:rsidP="00051297">
            <w:pPr>
              <w:spacing w:line="240" w:lineRule="auto"/>
              <w:ind w:firstLine="0"/>
              <w:jc w:val="center"/>
              <w:rPr>
                <w:sz w:val="22"/>
                <w:szCs w:val="20"/>
              </w:rPr>
            </w:pPr>
            <w:r w:rsidRPr="005F5229">
              <w:rPr>
                <w:sz w:val="22"/>
                <w:szCs w:val="20"/>
              </w:rPr>
              <w:t>0.319</w:t>
            </w:r>
          </w:p>
        </w:tc>
        <w:tc>
          <w:tcPr>
            <w:tcW w:w="2430" w:type="dxa"/>
            <w:noWrap/>
            <w:hideMark/>
          </w:tcPr>
          <w:p w14:paraId="333AAC44" w14:textId="77777777" w:rsidR="00051297" w:rsidRPr="005F5229" w:rsidRDefault="00051297" w:rsidP="00051297">
            <w:pPr>
              <w:spacing w:line="240" w:lineRule="auto"/>
              <w:ind w:firstLine="0"/>
              <w:jc w:val="center"/>
              <w:rPr>
                <w:sz w:val="22"/>
                <w:szCs w:val="20"/>
              </w:rPr>
            </w:pPr>
            <w:r w:rsidRPr="005F5229">
              <w:rPr>
                <w:sz w:val="22"/>
                <w:szCs w:val="20"/>
              </w:rPr>
              <w:t>77.915</w:t>
            </w:r>
          </w:p>
        </w:tc>
      </w:tr>
      <w:tr w:rsidR="00051297" w:rsidRPr="005F5229" w14:paraId="35F2C132" w14:textId="77777777" w:rsidTr="00D20B01">
        <w:trPr>
          <w:trHeight w:val="300"/>
          <w:jc w:val="center"/>
        </w:trPr>
        <w:tc>
          <w:tcPr>
            <w:tcW w:w="2695" w:type="dxa"/>
            <w:noWrap/>
            <w:hideMark/>
          </w:tcPr>
          <w:p w14:paraId="38BC3A31" w14:textId="77777777" w:rsidR="00051297" w:rsidRPr="005F5229" w:rsidRDefault="00051297" w:rsidP="00051297">
            <w:pPr>
              <w:spacing w:line="240" w:lineRule="auto"/>
              <w:ind w:firstLine="0"/>
              <w:jc w:val="center"/>
              <w:rPr>
                <w:sz w:val="22"/>
                <w:szCs w:val="20"/>
              </w:rPr>
            </w:pPr>
            <w:r w:rsidRPr="005F5229">
              <w:rPr>
                <w:sz w:val="22"/>
                <w:szCs w:val="20"/>
              </w:rPr>
              <w:t>Modeled at extreme event</w:t>
            </w:r>
          </w:p>
        </w:tc>
        <w:tc>
          <w:tcPr>
            <w:tcW w:w="2017" w:type="dxa"/>
            <w:noWrap/>
            <w:hideMark/>
          </w:tcPr>
          <w:p w14:paraId="28113328" w14:textId="77777777" w:rsidR="00051297" w:rsidRPr="005F5229" w:rsidRDefault="00051297" w:rsidP="00051297">
            <w:pPr>
              <w:spacing w:line="240" w:lineRule="auto"/>
              <w:ind w:firstLine="0"/>
              <w:jc w:val="center"/>
              <w:rPr>
                <w:sz w:val="22"/>
                <w:szCs w:val="20"/>
              </w:rPr>
            </w:pPr>
            <w:r w:rsidRPr="005F5229">
              <w:rPr>
                <w:sz w:val="22"/>
                <w:szCs w:val="20"/>
              </w:rPr>
              <w:t>Extreme event</w:t>
            </w:r>
          </w:p>
        </w:tc>
        <w:tc>
          <w:tcPr>
            <w:tcW w:w="1943" w:type="dxa"/>
            <w:noWrap/>
            <w:hideMark/>
          </w:tcPr>
          <w:p w14:paraId="36E458B4" w14:textId="77777777" w:rsidR="00051297" w:rsidRPr="005F5229" w:rsidRDefault="00051297" w:rsidP="00051297">
            <w:pPr>
              <w:spacing w:line="240" w:lineRule="auto"/>
              <w:ind w:firstLine="0"/>
              <w:jc w:val="center"/>
              <w:rPr>
                <w:sz w:val="22"/>
                <w:szCs w:val="20"/>
              </w:rPr>
            </w:pPr>
            <w:r w:rsidRPr="005F5229">
              <w:rPr>
                <w:sz w:val="22"/>
                <w:szCs w:val="20"/>
              </w:rPr>
              <w:t>3.042</w:t>
            </w:r>
          </w:p>
        </w:tc>
        <w:tc>
          <w:tcPr>
            <w:tcW w:w="2430" w:type="dxa"/>
            <w:noWrap/>
            <w:hideMark/>
          </w:tcPr>
          <w:p w14:paraId="712BBCB1" w14:textId="77777777" w:rsidR="00051297" w:rsidRPr="005F5229" w:rsidRDefault="00051297" w:rsidP="00051297">
            <w:pPr>
              <w:spacing w:line="240" w:lineRule="auto"/>
              <w:ind w:firstLine="0"/>
              <w:jc w:val="center"/>
              <w:rPr>
                <w:sz w:val="22"/>
                <w:szCs w:val="20"/>
              </w:rPr>
            </w:pPr>
            <w:r w:rsidRPr="005F5229">
              <w:rPr>
                <w:sz w:val="22"/>
                <w:szCs w:val="20"/>
              </w:rPr>
              <w:t>1595.448</w:t>
            </w:r>
          </w:p>
        </w:tc>
      </w:tr>
      <w:tr w:rsidR="00051297" w:rsidRPr="005F5229" w14:paraId="2227330B" w14:textId="77777777" w:rsidTr="00D20B01">
        <w:trPr>
          <w:trHeight w:val="300"/>
          <w:jc w:val="center"/>
        </w:trPr>
        <w:tc>
          <w:tcPr>
            <w:tcW w:w="2695" w:type="dxa"/>
            <w:noWrap/>
            <w:hideMark/>
          </w:tcPr>
          <w:p w14:paraId="3CEA6E69" w14:textId="77777777" w:rsidR="00051297" w:rsidRPr="005F5229" w:rsidRDefault="00051297" w:rsidP="00051297">
            <w:pPr>
              <w:spacing w:line="240" w:lineRule="auto"/>
              <w:ind w:firstLine="0"/>
              <w:jc w:val="center"/>
              <w:rPr>
                <w:sz w:val="22"/>
                <w:szCs w:val="20"/>
                <w:lang w:val="en-US"/>
              </w:rPr>
            </w:pPr>
            <w:r w:rsidRPr="005F5229">
              <w:rPr>
                <w:sz w:val="22"/>
                <w:szCs w:val="20"/>
                <w:lang w:val="en-US"/>
              </w:rPr>
              <w:t>Modeled at CN98 and extreme event</w:t>
            </w:r>
          </w:p>
        </w:tc>
        <w:tc>
          <w:tcPr>
            <w:tcW w:w="2017" w:type="dxa"/>
            <w:noWrap/>
            <w:hideMark/>
          </w:tcPr>
          <w:p w14:paraId="089A846B" w14:textId="77777777" w:rsidR="00051297" w:rsidRPr="005F5229" w:rsidRDefault="00051297" w:rsidP="00051297">
            <w:pPr>
              <w:spacing w:line="240" w:lineRule="auto"/>
              <w:ind w:firstLine="0"/>
              <w:jc w:val="center"/>
              <w:rPr>
                <w:sz w:val="22"/>
                <w:szCs w:val="20"/>
                <w:lang w:val="en-US"/>
              </w:rPr>
            </w:pPr>
            <w:r w:rsidRPr="005F5229">
              <w:rPr>
                <w:sz w:val="22"/>
                <w:szCs w:val="20"/>
                <w:lang w:val="en-US"/>
              </w:rPr>
              <w:t>Extreme event and CN98 combined</w:t>
            </w:r>
          </w:p>
        </w:tc>
        <w:tc>
          <w:tcPr>
            <w:tcW w:w="1943" w:type="dxa"/>
            <w:noWrap/>
            <w:hideMark/>
          </w:tcPr>
          <w:p w14:paraId="2AD6C148" w14:textId="77777777" w:rsidR="00051297" w:rsidRPr="005F5229" w:rsidRDefault="00051297" w:rsidP="00051297">
            <w:pPr>
              <w:spacing w:line="240" w:lineRule="auto"/>
              <w:ind w:firstLine="0"/>
              <w:jc w:val="center"/>
              <w:rPr>
                <w:sz w:val="22"/>
                <w:szCs w:val="20"/>
                <w:lang w:val="en-US"/>
              </w:rPr>
            </w:pPr>
            <w:r w:rsidRPr="005F5229">
              <w:rPr>
                <w:sz w:val="22"/>
                <w:szCs w:val="20"/>
              </w:rPr>
              <w:t>5.35</w:t>
            </w:r>
            <w:r w:rsidRPr="005F5229">
              <w:rPr>
                <w:sz w:val="22"/>
                <w:szCs w:val="20"/>
                <w:lang w:val="en-US"/>
              </w:rPr>
              <w:t>6</w:t>
            </w:r>
          </w:p>
        </w:tc>
        <w:tc>
          <w:tcPr>
            <w:tcW w:w="2430" w:type="dxa"/>
            <w:noWrap/>
            <w:hideMark/>
          </w:tcPr>
          <w:p w14:paraId="0BC1BAC8" w14:textId="77777777" w:rsidR="00051297" w:rsidRPr="005F5229" w:rsidRDefault="00051297" w:rsidP="00051297">
            <w:pPr>
              <w:spacing w:line="240" w:lineRule="auto"/>
              <w:ind w:firstLine="0"/>
              <w:jc w:val="center"/>
              <w:rPr>
                <w:sz w:val="22"/>
                <w:szCs w:val="20"/>
              </w:rPr>
            </w:pPr>
            <w:r w:rsidRPr="005F5229">
              <w:rPr>
                <w:sz w:val="22"/>
                <w:szCs w:val="20"/>
              </w:rPr>
              <w:t>2884.821</w:t>
            </w:r>
          </w:p>
        </w:tc>
      </w:tr>
    </w:tbl>
    <w:p w14:paraId="54DE032A" w14:textId="77777777" w:rsidR="00051297" w:rsidRPr="00051297" w:rsidRDefault="00051297" w:rsidP="00051297">
      <w:pPr>
        <w:spacing w:after="200"/>
        <w:contextualSpacing/>
        <w:jc w:val="center"/>
        <w:rPr>
          <w:rFonts w:eastAsia="Calibri" w:cs="Times New Roman"/>
          <w:szCs w:val="24"/>
        </w:rPr>
      </w:pPr>
    </w:p>
    <w:p w14:paraId="642C37C0" w14:textId="2FDD7E7D" w:rsidR="00051297" w:rsidRPr="00051297" w:rsidRDefault="00051297" w:rsidP="00051297">
      <w:pPr>
        <w:spacing w:after="200"/>
        <w:contextualSpacing/>
        <w:rPr>
          <w:rFonts w:eastAsia="Calibri" w:cs="Times New Roman"/>
          <w:szCs w:val="24"/>
          <w:lang w:val="en-US"/>
        </w:rPr>
      </w:pPr>
      <w:r w:rsidRPr="00051297">
        <w:rPr>
          <w:rFonts w:eastAsia="Calibri" w:cs="Times New Roman"/>
          <w:szCs w:val="24"/>
          <w:lang w:val="en-US"/>
        </w:rPr>
        <w:t>The water level in naturally formed reservoirs is frequently observed by placing a monitoring system in a stilling tube positioned in an instrument tower near the water extraction pump. This instrument tower will be constructed with the least amount of water extraction possible or permissible. In this study, the Modeled reservoir depth from the 1990 datasets is approximately 17.8 m which is 10.03 less than the measured depth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_Ref98104919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3</w:t>
      </w:r>
      <w:r w:rsidR="004870F1" w:rsidRPr="00051297">
        <w:rPr>
          <w:rFonts w:cs="Times New Roman"/>
          <w:szCs w:val="24"/>
          <w:lang w:val="en-US" w:bidi="en-US"/>
        </w:rPr>
        <w:t>.</w:t>
      </w:r>
      <w:r w:rsidR="004870F1">
        <w:rPr>
          <w:rFonts w:cs="Times New Roman"/>
          <w:noProof/>
          <w:szCs w:val="24"/>
          <w:lang w:val="en-US" w:bidi="en-US"/>
        </w:rPr>
        <w:t>2</w:t>
      </w:r>
      <w:r w:rsidRPr="00051297">
        <w:rPr>
          <w:rFonts w:eastAsia="Calibri" w:cs="Times New Roman"/>
          <w:szCs w:val="24"/>
          <w:lang w:val="en-US"/>
        </w:rPr>
        <w:fldChar w:fldCharType="end"/>
      </w:r>
      <w:r w:rsidRPr="00051297">
        <w:rPr>
          <w:rFonts w:eastAsia="Calibri" w:cs="Times New Roman"/>
          <w:szCs w:val="24"/>
          <w:lang w:val="en-US"/>
        </w:rPr>
        <w:t>). Based on the mathematical modeling, the Modeled water depth retrieved from the 1990 datasets is a result of the computed runoff. However, the depth value obtained from the 1990 datasets can be highly affected by the fact that the SCS CN method is an event-based rainfall-runoff simulation method, whereby, over a long run during the entire year, can result in different depths.</w:t>
      </w:r>
    </w:p>
    <w:p w14:paraId="0F63A442" w14:textId="77777777" w:rsidR="00051297" w:rsidRPr="00051297" w:rsidRDefault="00051297" w:rsidP="00051297">
      <w:pPr>
        <w:spacing w:after="200"/>
        <w:contextualSpacing/>
        <w:rPr>
          <w:rFonts w:eastAsia="Calibri" w:cs="Times New Roman"/>
          <w:szCs w:val="24"/>
          <w:lang w:val="en-US"/>
        </w:rPr>
      </w:pPr>
      <w:r w:rsidRPr="00051297">
        <w:rPr>
          <w:rFonts w:eastAsia="Calibri" w:cs="Times New Roman"/>
          <w:szCs w:val="24"/>
          <w:lang w:val="en-US"/>
        </w:rPr>
        <w:t>Most notably, when the projected CN was combined with the extreme precipitation event, it resulted in roughly 830.68 m depth at a time, which might indicate a potential failure when such a depth is subjected to the dam embankment.</w:t>
      </w:r>
    </w:p>
    <w:p w14:paraId="7CA133D7" w14:textId="382E4F4E" w:rsidR="00051297" w:rsidRPr="00051297" w:rsidRDefault="00051297" w:rsidP="00051297">
      <w:pPr>
        <w:rPr>
          <w:rFonts w:cs="Times New Roman"/>
          <w:szCs w:val="24"/>
          <w:lang w:val="en-US" w:bidi="en-US"/>
        </w:rPr>
      </w:pPr>
      <w:bookmarkStart w:id="778" w:name="_Ref98104919"/>
      <w:bookmarkStart w:id="779" w:name="_Toc97077196"/>
      <w:bookmarkStart w:id="780" w:name="_Toc103544246"/>
      <w:bookmarkStart w:id="781" w:name="_Toc104985572"/>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3</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2</w:t>
      </w:r>
      <w:r w:rsidRPr="00051297">
        <w:rPr>
          <w:rFonts w:cs="Times New Roman"/>
          <w:szCs w:val="24"/>
          <w:lang w:val="en-US" w:bidi="en-US"/>
        </w:rPr>
        <w:fldChar w:fldCharType="end"/>
      </w:r>
      <w:bookmarkEnd w:id="778"/>
      <w:r w:rsidRPr="00051297">
        <w:t xml:space="preserve"> </w:t>
      </w:r>
      <w:r w:rsidRPr="00051297">
        <w:rPr>
          <w:rFonts w:cs="Times New Roman"/>
          <w:szCs w:val="24"/>
          <w:lang w:val="en-US" w:bidi="en-US"/>
        </w:rPr>
        <w:t>– Depth results</w:t>
      </w:r>
      <w:bookmarkEnd w:id="779"/>
      <w:bookmarkEnd w:id="780"/>
      <w:bookmarkEnd w:id="781"/>
    </w:p>
    <w:tbl>
      <w:tblPr>
        <w:tblStyle w:val="a8"/>
        <w:tblW w:w="0" w:type="auto"/>
        <w:jc w:val="center"/>
        <w:tblLook w:val="04A0" w:firstRow="1" w:lastRow="0" w:firstColumn="1" w:lastColumn="0" w:noHBand="0" w:noVBand="1"/>
      </w:tblPr>
      <w:tblGrid>
        <w:gridCol w:w="2965"/>
        <w:gridCol w:w="2562"/>
        <w:gridCol w:w="2658"/>
      </w:tblGrid>
      <w:tr w:rsidR="00051297" w:rsidRPr="005F5229" w14:paraId="03CF8184" w14:textId="77777777" w:rsidTr="00D20B01">
        <w:trPr>
          <w:trHeight w:val="300"/>
          <w:jc w:val="center"/>
        </w:trPr>
        <w:tc>
          <w:tcPr>
            <w:tcW w:w="2965" w:type="dxa"/>
            <w:noWrap/>
            <w:hideMark/>
          </w:tcPr>
          <w:p w14:paraId="4F4EC454" w14:textId="77777777" w:rsidR="00051297" w:rsidRPr="005F5229" w:rsidRDefault="00051297" w:rsidP="00051297">
            <w:pPr>
              <w:spacing w:line="240" w:lineRule="auto"/>
              <w:ind w:firstLine="0"/>
              <w:jc w:val="center"/>
              <w:rPr>
                <w:sz w:val="22"/>
                <w:szCs w:val="20"/>
              </w:rPr>
            </w:pPr>
            <w:r w:rsidRPr="005F5229">
              <w:rPr>
                <w:sz w:val="22"/>
                <w:szCs w:val="20"/>
              </w:rPr>
              <w:t>Parameter</w:t>
            </w:r>
          </w:p>
        </w:tc>
        <w:tc>
          <w:tcPr>
            <w:tcW w:w="2562" w:type="dxa"/>
            <w:noWrap/>
            <w:hideMark/>
          </w:tcPr>
          <w:p w14:paraId="1BCEA2DC" w14:textId="77777777" w:rsidR="00051297" w:rsidRPr="005F5229" w:rsidRDefault="00051297" w:rsidP="00051297">
            <w:pPr>
              <w:spacing w:line="240" w:lineRule="auto"/>
              <w:ind w:firstLine="0"/>
              <w:jc w:val="center"/>
              <w:rPr>
                <w:sz w:val="22"/>
                <w:szCs w:val="20"/>
              </w:rPr>
            </w:pPr>
            <w:r w:rsidRPr="005F5229">
              <w:rPr>
                <w:sz w:val="22"/>
                <w:szCs w:val="20"/>
              </w:rPr>
              <w:t>Occurrence</w:t>
            </w:r>
          </w:p>
        </w:tc>
        <w:tc>
          <w:tcPr>
            <w:tcW w:w="2658" w:type="dxa"/>
            <w:noWrap/>
            <w:hideMark/>
          </w:tcPr>
          <w:p w14:paraId="614A8B51" w14:textId="77777777" w:rsidR="00051297" w:rsidRPr="005F5229" w:rsidRDefault="00051297" w:rsidP="00051297">
            <w:pPr>
              <w:spacing w:line="240" w:lineRule="auto"/>
              <w:ind w:firstLine="0"/>
              <w:jc w:val="center"/>
              <w:rPr>
                <w:sz w:val="22"/>
                <w:szCs w:val="20"/>
              </w:rPr>
            </w:pPr>
            <w:r w:rsidRPr="005F5229">
              <w:rPr>
                <w:sz w:val="22"/>
                <w:szCs w:val="20"/>
              </w:rPr>
              <w:t>Depth (m)</w:t>
            </w:r>
          </w:p>
        </w:tc>
      </w:tr>
      <w:tr w:rsidR="00051297" w:rsidRPr="005F5229" w14:paraId="1233020C" w14:textId="77777777" w:rsidTr="00D20B01">
        <w:trPr>
          <w:trHeight w:val="300"/>
          <w:jc w:val="center"/>
        </w:trPr>
        <w:tc>
          <w:tcPr>
            <w:tcW w:w="2965" w:type="dxa"/>
            <w:noWrap/>
            <w:hideMark/>
          </w:tcPr>
          <w:p w14:paraId="4AA84552" w14:textId="77777777" w:rsidR="00051297" w:rsidRPr="005F5229" w:rsidRDefault="00051297" w:rsidP="00051297">
            <w:pPr>
              <w:spacing w:line="240" w:lineRule="auto"/>
              <w:ind w:firstLine="0"/>
              <w:jc w:val="center"/>
              <w:rPr>
                <w:sz w:val="22"/>
                <w:szCs w:val="20"/>
              </w:rPr>
            </w:pPr>
            <w:r w:rsidRPr="005F5229">
              <w:rPr>
                <w:sz w:val="22"/>
                <w:szCs w:val="20"/>
              </w:rPr>
              <w:t>Current</w:t>
            </w:r>
          </w:p>
        </w:tc>
        <w:tc>
          <w:tcPr>
            <w:tcW w:w="2562" w:type="dxa"/>
            <w:noWrap/>
            <w:hideMark/>
          </w:tcPr>
          <w:p w14:paraId="3478469D" w14:textId="77777777" w:rsidR="00051297" w:rsidRPr="005F5229" w:rsidRDefault="00051297" w:rsidP="00051297">
            <w:pPr>
              <w:spacing w:line="240" w:lineRule="auto"/>
              <w:ind w:firstLine="0"/>
              <w:jc w:val="center"/>
              <w:rPr>
                <w:sz w:val="22"/>
                <w:szCs w:val="20"/>
              </w:rPr>
            </w:pPr>
            <w:r w:rsidRPr="005F5229">
              <w:rPr>
                <w:sz w:val="22"/>
                <w:szCs w:val="20"/>
              </w:rPr>
              <w:t>Measured</w:t>
            </w:r>
          </w:p>
        </w:tc>
        <w:tc>
          <w:tcPr>
            <w:tcW w:w="2658" w:type="dxa"/>
            <w:noWrap/>
            <w:hideMark/>
          </w:tcPr>
          <w:p w14:paraId="0539B720" w14:textId="77777777" w:rsidR="00051297" w:rsidRPr="005F5229" w:rsidRDefault="00051297" w:rsidP="00051297">
            <w:pPr>
              <w:spacing w:line="240" w:lineRule="auto"/>
              <w:ind w:firstLine="0"/>
              <w:jc w:val="center"/>
              <w:rPr>
                <w:sz w:val="22"/>
                <w:szCs w:val="20"/>
              </w:rPr>
            </w:pPr>
            <w:r w:rsidRPr="005F5229">
              <w:rPr>
                <w:sz w:val="22"/>
                <w:szCs w:val="20"/>
              </w:rPr>
              <w:t>27.83</w:t>
            </w:r>
          </w:p>
        </w:tc>
      </w:tr>
      <w:tr w:rsidR="00051297" w:rsidRPr="005F5229" w14:paraId="7D6C2109" w14:textId="77777777" w:rsidTr="00D20B01">
        <w:trPr>
          <w:trHeight w:val="300"/>
          <w:jc w:val="center"/>
        </w:trPr>
        <w:tc>
          <w:tcPr>
            <w:tcW w:w="2965" w:type="dxa"/>
            <w:noWrap/>
            <w:hideMark/>
          </w:tcPr>
          <w:p w14:paraId="49E23B69" w14:textId="77777777" w:rsidR="00051297" w:rsidRPr="005F5229" w:rsidRDefault="00051297" w:rsidP="00051297">
            <w:pPr>
              <w:spacing w:line="240" w:lineRule="auto"/>
              <w:ind w:firstLine="0"/>
              <w:jc w:val="center"/>
              <w:rPr>
                <w:sz w:val="22"/>
                <w:szCs w:val="20"/>
              </w:rPr>
            </w:pPr>
            <w:r w:rsidRPr="005F5229">
              <w:rPr>
                <w:sz w:val="22"/>
                <w:szCs w:val="20"/>
              </w:rPr>
              <w:t>Modeled flow</w:t>
            </w:r>
          </w:p>
        </w:tc>
        <w:tc>
          <w:tcPr>
            <w:tcW w:w="2562" w:type="dxa"/>
            <w:noWrap/>
            <w:hideMark/>
          </w:tcPr>
          <w:p w14:paraId="070DF5B4" w14:textId="77777777" w:rsidR="00051297" w:rsidRPr="005F5229" w:rsidRDefault="00051297" w:rsidP="00051297">
            <w:pPr>
              <w:spacing w:line="240" w:lineRule="auto"/>
              <w:ind w:firstLine="0"/>
              <w:jc w:val="center"/>
              <w:rPr>
                <w:sz w:val="22"/>
                <w:szCs w:val="20"/>
              </w:rPr>
            </w:pPr>
            <w:r w:rsidRPr="005F5229">
              <w:rPr>
                <w:sz w:val="22"/>
                <w:szCs w:val="20"/>
              </w:rPr>
              <w:t>1990</w:t>
            </w:r>
          </w:p>
        </w:tc>
        <w:tc>
          <w:tcPr>
            <w:tcW w:w="2658" w:type="dxa"/>
            <w:noWrap/>
            <w:hideMark/>
          </w:tcPr>
          <w:p w14:paraId="3D97A39A" w14:textId="77777777" w:rsidR="00051297" w:rsidRPr="005F5229" w:rsidRDefault="00051297" w:rsidP="00051297">
            <w:pPr>
              <w:spacing w:line="240" w:lineRule="auto"/>
              <w:ind w:firstLine="0"/>
              <w:jc w:val="center"/>
              <w:rPr>
                <w:sz w:val="22"/>
                <w:szCs w:val="20"/>
              </w:rPr>
            </w:pPr>
            <w:r w:rsidRPr="005F5229">
              <w:rPr>
                <w:sz w:val="22"/>
                <w:szCs w:val="20"/>
              </w:rPr>
              <w:t>17.797</w:t>
            </w:r>
          </w:p>
        </w:tc>
      </w:tr>
      <w:tr w:rsidR="00051297" w:rsidRPr="005F5229" w14:paraId="12A12580" w14:textId="77777777" w:rsidTr="00D20B01">
        <w:trPr>
          <w:trHeight w:val="300"/>
          <w:jc w:val="center"/>
        </w:trPr>
        <w:tc>
          <w:tcPr>
            <w:tcW w:w="2965" w:type="dxa"/>
            <w:noWrap/>
            <w:hideMark/>
          </w:tcPr>
          <w:p w14:paraId="383C4B29" w14:textId="77777777" w:rsidR="00051297" w:rsidRPr="005F5229" w:rsidRDefault="00051297" w:rsidP="00051297">
            <w:pPr>
              <w:spacing w:line="240" w:lineRule="auto"/>
              <w:ind w:firstLine="0"/>
              <w:jc w:val="center"/>
              <w:rPr>
                <w:sz w:val="22"/>
                <w:szCs w:val="20"/>
              </w:rPr>
            </w:pPr>
            <w:r w:rsidRPr="005F5229">
              <w:rPr>
                <w:sz w:val="22"/>
                <w:szCs w:val="20"/>
              </w:rPr>
              <w:t>Modeled flow</w:t>
            </w:r>
          </w:p>
        </w:tc>
        <w:tc>
          <w:tcPr>
            <w:tcW w:w="2562" w:type="dxa"/>
            <w:noWrap/>
            <w:hideMark/>
          </w:tcPr>
          <w:p w14:paraId="7C1C2527" w14:textId="77777777" w:rsidR="00051297" w:rsidRPr="005F5229" w:rsidRDefault="00051297" w:rsidP="00051297">
            <w:pPr>
              <w:spacing w:line="240" w:lineRule="auto"/>
              <w:ind w:firstLine="0"/>
              <w:jc w:val="center"/>
              <w:rPr>
                <w:sz w:val="22"/>
                <w:szCs w:val="20"/>
              </w:rPr>
            </w:pPr>
            <w:r w:rsidRPr="005F5229">
              <w:rPr>
                <w:sz w:val="22"/>
                <w:szCs w:val="20"/>
              </w:rPr>
              <w:t>1995</w:t>
            </w:r>
          </w:p>
        </w:tc>
        <w:tc>
          <w:tcPr>
            <w:tcW w:w="2658" w:type="dxa"/>
            <w:noWrap/>
            <w:hideMark/>
          </w:tcPr>
          <w:p w14:paraId="5ECA5163" w14:textId="77777777" w:rsidR="00051297" w:rsidRPr="005F5229" w:rsidRDefault="00051297" w:rsidP="00051297">
            <w:pPr>
              <w:spacing w:line="240" w:lineRule="auto"/>
              <w:ind w:firstLine="0"/>
              <w:jc w:val="center"/>
              <w:rPr>
                <w:sz w:val="22"/>
                <w:szCs w:val="20"/>
                <w:lang w:val="en-US"/>
              </w:rPr>
            </w:pPr>
            <w:r w:rsidRPr="005F5229">
              <w:rPr>
                <w:sz w:val="22"/>
                <w:szCs w:val="20"/>
              </w:rPr>
              <w:t>18.8</w:t>
            </w:r>
            <w:r w:rsidRPr="005F5229">
              <w:rPr>
                <w:sz w:val="22"/>
                <w:szCs w:val="20"/>
                <w:lang w:val="en-US"/>
              </w:rPr>
              <w:t>80</w:t>
            </w:r>
          </w:p>
        </w:tc>
      </w:tr>
      <w:tr w:rsidR="00051297" w:rsidRPr="005F5229" w14:paraId="7A154BAE" w14:textId="77777777" w:rsidTr="00D20B01">
        <w:trPr>
          <w:trHeight w:val="300"/>
          <w:jc w:val="center"/>
        </w:trPr>
        <w:tc>
          <w:tcPr>
            <w:tcW w:w="2965" w:type="dxa"/>
            <w:noWrap/>
            <w:hideMark/>
          </w:tcPr>
          <w:p w14:paraId="4B284D81" w14:textId="77777777" w:rsidR="00051297" w:rsidRPr="005F5229" w:rsidRDefault="00051297" w:rsidP="00051297">
            <w:pPr>
              <w:spacing w:line="240" w:lineRule="auto"/>
              <w:ind w:firstLine="0"/>
              <w:jc w:val="center"/>
              <w:rPr>
                <w:sz w:val="22"/>
                <w:szCs w:val="20"/>
              </w:rPr>
            </w:pPr>
            <w:r w:rsidRPr="005F5229">
              <w:rPr>
                <w:sz w:val="22"/>
                <w:szCs w:val="20"/>
              </w:rPr>
              <w:t>Modeled flow</w:t>
            </w:r>
          </w:p>
        </w:tc>
        <w:tc>
          <w:tcPr>
            <w:tcW w:w="2562" w:type="dxa"/>
            <w:noWrap/>
            <w:hideMark/>
          </w:tcPr>
          <w:p w14:paraId="64323BEE" w14:textId="77777777" w:rsidR="00051297" w:rsidRPr="005F5229" w:rsidRDefault="00051297" w:rsidP="00051297">
            <w:pPr>
              <w:spacing w:line="240" w:lineRule="auto"/>
              <w:ind w:firstLine="0"/>
              <w:jc w:val="center"/>
              <w:rPr>
                <w:sz w:val="22"/>
                <w:szCs w:val="20"/>
              </w:rPr>
            </w:pPr>
            <w:r w:rsidRPr="005F5229">
              <w:rPr>
                <w:sz w:val="22"/>
                <w:szCs w:val="20"/>
              </w:rPr>
              <w:t>2004</w:t>
            </w:r>
          </w:p>
        </w:tc>
        <w:tc>
          <w:tcPr>
            <w:tcW w:w="2658" w:type="dxa"/>
            <w:noWrap/>
            <w:hideMark/>
          </w:tcPr>
          <w:p w14:paraId="76321324" w14:textId="77777777" w:rsidR="00051297" w:rsidRPr="005F5229" w:rsidRDefault="00051297" w:rsidP="00051297">
            <w:pPr>
              <w:spacing w:line="240" w:lineRule="auto"/>
              <w:ind w:firstLine="0"/>
              <w:jc w:val="center"/>
              <w:rPr>
                <w:sz w:val="22"/>
                <w:szCs w:val="20"/>
                <w:lang w:val="en-US"/>
              </w:rPr>
            </w:pPr>
            <w:r w:rsidRPr="005F5229">
              <w:rPr>
                <w:sz w:val="22"/>
                <w:szCs w:val="20"/>
              </w:rPr>
              <w:t>22.18</w:t>
            </w:r>
            <w:r w:rsidRPr="005F5229">
              <w:rPr>
                <w:sz w:val="22"/>
                <w:szCs w:val="20"/>
                <w:lang w:val="en-US"/>
              </w:rPr>
              <w:t>5</w:t>
            </w:r>
          </w:p>
        </w:tc>
      </w:tr>
      <w:tr w:rsidR="00051297" w:rsidRPr="005F5229" w14:paraId="06F48CA0" w14:textId="77777777" w:rsidTr="00D20B01">
        <w:trPr>
          <w:trHeight w:val="300"/>
          <w:jc w:val="center"/>
        </w:trPr>
        <w:tc>
          <w:tcPr>
            <w:tcW w:w="2965" w:type="dxa"/>
            <w:noWrap/>
            <w:hideMark/>
          </w:tcPr>
          <w:p w14:paraId="1E0538F1" w14:textId="77777777" w:rsidR="00051297" w:rsidRPr="005F5229" w:rsidRDefault="00051297" w:rsidP="00051297">
            <w:pPr>
              <w:spacing w:line="240" w:lineRule="auto"/>
              <w:ind w:firstLine="0"/>
              <w:jc w:val="center"/>
              <w:rPr>
                <w:sz w:val="22"/>
                <w:szCs w:val="20"/>
              </w:rPr>
            </w:pPr>
            <w:r w:rsidRPr="005F5229">
              <w:rPr>
                <w:sz w:val="22"/>
                <w:szCs w:val="20"/>
              </w:rPr>
              <w:t>Modeled flow</w:t>
            </w:r>
          </w:p>
        </w:tc>
        <w:tc>
          <w:tcPr>
            <w:tcW w:w="2562" w:type="dxa"/>
            <w:noWrap/>
            <w:hideMark/>
          </w:tcPr>
          <w:p w14:paraId="49662A3A" w14:textId="77777777" w:rsidR="00051297" w:rsidRPr="005F5229" w:rsidRDefault="00051297" w:rsidP="00051297">
            <w:pPr>
              <w:spacing w:line="240" w:lineRule="auto"/>
              <w:ind w:firstLine="0"/>
              <w:jc w:val="center"/>
              <w:rPr>
                <w:sz w:val="22"/>
                <w:szCs w:val="20"/>
              </w:rPr>
            </w:pPr>
            <w:r w:rsidRPr="005F5229">
              <w:rPr>
                <w:sz w:val="22"/>
                <w:szCs w:val="20"/>
              </w:rPr>
              <w:t>2011</w:t>
            </w:r>
          </w:p>
        </w:tc>
        <w:tc>
          <w:tcPr>
            <w:tcW w:w="2658" w:type="dxa"/>
            <w:noWrap/>
            <w:hideMark/>
          </w:tcPr>
          <w:p w14:paraId="6F6EC125" w14:textId="77777777" w:rsidR="00051297" w:rsidRPr="005F5229" w:rsidRDefault="00051297" w:rsidP="00051297">
            <w:pPr>
              <w:spacing w:line="240" w:lineRule="auto"/>
              <w:ind w:firstLine="0"/>
              <w:jc w:val="center"/>
              <w:rPr>
                <w:sz w:val="22"/>
                <w:szCs w:val="20"/>
              </w:rPr>
            </w:pPr>
            <w:r w:rsidRPr="005F5229">
              <w:rPr>
                <w:sz w:val="22"/>
                <w:szCs w:val="20"/>
              </w:rPr>
              <w:t>28.125</w:t>
            </w:r>
          </w:p>
        </w:tc>
      </w:tr>
      <w:tr w:rsidR="00051297" w:rsidRPr="005F5229" w14:paraId="715E0C9A" w14:textId="77777777" w:rsidTr="00D20B01">
        <w:trPr>
          <w:trHeight w:val="300"/>
          <w:jc w:val="center"/>
        </w:trPr>
        <w:tc>
          <w:tcPr>
            <w:tcW w:w="2965" w:type="dxa"/>
            <w:noWrap/>
            <w:hideMark/>
          </w:tcPr>
          <w:p w14:paraId="6EC3840E" w14:textId="77777777" w:rsidR="00051297" w:rsidRPr="005F5229" w:rsidRDefault="00051297" w:rsidP="00051297">
            <w:pPr>
              <w:spacing w:line="240" w:lineRule="auto"/>
              <w:ind w:firstLine="0"/>
              <w:jc w:val="center"/>
              <w:rPr>
                <w:sz w:val="22"/>
                <w:szCs w:val="20"/>
              </w:rPr>
            </w:pPr>
            <w:r w:rsidRPr="005F5229">
              <w:rPr>
                <w:sz w:val="22"/>
                <w:szCs w:val="20"/>
              </w:rPr>
              <w:t>Modeled at CN98</w:t>
            </w:r>
          </w:p>
        </w:tc>
        <w:tc>
          <w:tcPr>
            <w:tcW w:w="2562" w:type="dxa"/>
            <w:noWrap/>
            <w:hideMark/>
          </w:tcPr>
          <w:p w14:paraId="5DADF430" w14:textId="77777777" w:rsidR="00051297" w:rsidRPr="005F5229" w:rsidRDefault="00051297" w:rsidP="00051297">
            <w:pPr>
              <w:spacing w:line="240" w:lineRule="auto"/>
              <w:ind w:firstLine="0"/>
              <w:jc w:val="center"/>
              <w:rPr>
                <w:sz w:val="22"/>
                <w:szCs w:val="20"/>
              </w:rPr>
            </w:pPr>
            <w:r w:rsidRPr="005F5229">
              <w:rPr>
                <w:sz w:val="22"/>
                <w:szCs w:val="20"/>
              </w:rPr>
              <w:t>CN98</w:t>
            </w:r>
          </w:p>
        </w:tc>
        <w:tc>
          <w:tcPr>
            <w:tcW w:w="2658" w:type="dxa"/>
            <w:noWrap/>
            <w:hideMark/>
          </w:tcPr>
          <w:p w14:paraId="757DACE0" w14:textId="77777777" w:rsidR="00051297" w:rsidRPr="005F5229" w:rsidRDefault="00051297" w:rsidP="00051297">
            <w:pPr>
              <w:spacing w:line="240" w:lineRule="auto"/>
              <w:ind w:firstLine="0"/>
              <w:jc w:val="center"/>
              <w:rPr>
                <w:sz w:val="22"/>
                <w:szCs w:val="20"/>
              </w:rPr>
            </w:pPr>
            <w:r w:rsidRPr="005F5229">
              <w:rPr>
                <w:sz w:val="22"/>
                <w:szCs w:val="20"/>
              </w:rPr>
              <w:t>49.5138</w:t>
            </w:r>
          </w:p>
        </w:tc>
      </w:tr>
      <w:tr w:rsidR="00051297" w:rsidRPr="005F5229" w14:paraId="00C80B08" w14:textId="77777777" w:rsidTr="00D20B01">
        <w:trPr>
          <w:trHeight w:val="300"/>
          <w:jc w:val="center"/>
        </w:trPr>
        <w:tc>
          <w:tcPr>
            <w:tcW w:w="2965" w:type="dxa"/>
            <w:noWrap/>
            <w:hideMark/>
          </w:tcPr>
          <w:p w14:paraId="40165A45" w14:textId="77777777" w:rsidR="00051297" w:rsidRPr="005F5229" w:rsidRDefault="00051297" w:rsidP="00051297">
            <w:pPr>
              <w:spacing w:line="240" w:lineRule="auto"/>
              <w:ind w:firstLine="0"/>
              <w:jc w:val="center"/>
              <w:rPr>
                <w:sz w:val="22"/>
                <w:szCs w:val="20"/>
              </w:rPr>
            </w:pPr>
            <w:r w:rsidRPr="005F5229">
              <w:rPr>
                <w:sz w:val="22"/>
                <w:szCs w:val="20"/>
              </w:rPr>
              <w:t>Modeled at extreme event</w:t>
            </w:r>
          </w:p>
        </w:tc>
        <w:tc>
          <w:tcPr>
            <w:tcW w:w="2562" w:type="dxa"/>
            <w:noWrap/>
            <w:hideMark/>
          </w:tcPr>
          <w:p w14:paraId="3491D951" w14:textId="77777777" w:rsidR="00051297" w:rsidRPr="005F5229" w:rsidRDefault="00051297" w:rsidP="00051297">
            <w:pPr>
              <w:spacing w:line="240" w:lineRule="auto"/>
              <w:ind w:firstLine="0"/>
              <w:jc w:val="center"/>
              <w:rPr>
                <w:sz w:val="22"/>
                <w:szCs w:val="20"/>
              </w:rPr>
            </w:pPr>
            <w:r w:rsidRPr="005F5229">
              <w:rPr>
                <w:sz w:val="22"/>
                <w:szCs w:val="20"/>
              </w:rPr>
              <w:t>Extreme event</w:t>
            </w:r>
          </w:p>
        </w:tc>
        <w:tc>
          <w:tcPr>
            <w:tcW w:w="2658" w:type="dxa"/>
            <w:noWrap/>
            <w:hideMark/>
          </w:tcPr>
          <w:p w14:paraId="5A4AC081" w14:textId="77777777" w:rsidR="00051297" w:rsidRPr="005F5229" w:rsidRDefault="00051297" w:rsidP="00051297">
            <w:pPr>
              <w:spacing w:line="240" w:lineRule="auto"/>
              <w:ind w:firstLine="0"/>
              <w:jc w:val="center"/>
              <w:rPr>
                <w:sz w:val="22"/>
                <w:szCs w:val="20"/>
              </w:rPr>
            </w:pPr>
            <w:r w:rsidRPr="005F5229">
              <w:rPr>
                <w:sz w:val="22"/>
                <w:szCs w:val="20"/>
              </w:rPr>
              <w:t>471.843</w:t>
            </w:r>
          </w:p>
        </w:tc>
      </w:tr>
      <w:tr w:rsidR="00051297" w:rsidRPr="005F5229" w14:paraId="104FD952" w14:textId="77777777" w:rsidTr="00D20B01">
        <w:trPr>
          <w:trHeight w:val="300"/>
          <w:jc w:val="center"/>
        </w:trPr>
        <w:tc>
          <w:tcPr>
            <w:tcW w:w="2965" w:type="dxa"/>
            <w:noWrap/>
            <w:hideMark/>
          </w:tcPr>
          <w:p w14:paraId="155BD02E" w14:textId="77777777" w:rsidR="00051297" w:rsidRPr="005F5229" w:rsidRDefault="00051297" w:rsidP="00051297">
            <w:pPr>
              <w:spacing w:line="240" w:lineRule="auto"/>
              <w:ind w:firstLine="0"/>
              <w:jc w:val="center"/>
              <w:rPr>
                <w:sz w:val="22"/>
                <w:szCs w:val="20"/>
                <w:lang w:val="en-US"/>
              </w:rPr>
            </w:pPr>
            <w:r w:rsidRPr="005F5229">
              <w:rPr>
                <w:sz w:val="22"/>
                <w:szCs w:val="20"/>
                <w:lang w:val="en-US"/>
              </w:rPr>
              <w:t>Modeled at CN98 and extreme event</w:t>
            </w:r>
          </w:p>
        </w:tc>
        <w:tc>
          <w:tcPr>
            <w:tcW w:w="2562" w:type="dxa"/>
            <w:noWrap/>
            <w:hideMark/>
          </w:tcPr>
          <w:p w14:paraId="7E4E36DF" w14:textId="77777777" w:rsidR="00051297" w:rsidRPr="005F5229" w:rsidRDefault="00051297" w:rsidP="00051297">
            <w:pPr>
              <w:spacing w:line="240" w:lineRule="auto"/>
              <w:ind w:firstLine="0"/>
              <w:jc w:val="center"/>
              <w:rPr>
                <w:sz w:val="22"/>
                <w:szCs w:val="20"/>
                <w:lang w:val="en-US"/>
              </w:rPr>
            </w:pPr>
            <w:r w:rsidRPr="005F5229">
              <w:rPr>
                <w:sz w:val="22"/>
                <w:szCs w:val="20"/>
                <w:lang w:val="en-US"/>
              </w:rPr>
              <w:t>Extreme event and CN98 combined</w:t>
            </w:r>
          </w:p>
        </w:tc>
        <w:tc>
          <w:tcPr>
            <w:tcW w:w="2658" w:type="dxa"/>
            <w:noWrap/>
            <w:hideMark/>
          </w:tcPr>
          <w:p w14:paraId="199BFD44" w14:textId="77777777" w:rsidR="00051297" w:rsidRPr="005F5229" w:rsidRDefault="00051297" w:rsidP="00051297">
            <w:pPr>
              <w:spacing w:line="240" w:lineRule="auto"/>
              <w:ind w:firstLine="0"/>
              <w:jc w:val="center"/>
              <w:rPr>
                <w:sz w:val="22"/>
                <w:szCs w:val="20"/>
                <w:lang w:val="en-US"/>
              </w:rPr>
            </w:pPr>
            <w:r w:rsidRPr="005F5229">
              <w:rPr>
                <w:sz w:val="22"/>
                <w:szCs w:val="20"/>
              </w:rPr>
              <w:t>830.67</w:t>
            </w:r>
            <w:r w:rsidRPr="005F5229">
              <w:rPr>
                <w:sz w:val="22"/>
                <w:szCs w:val="20"/>
                <w:lang w:val="en-US"/>
              </w:rPr>
              <w:t>6</w:t>
            </w:r>
          </w:p>
        </w:tc>
      </w:tr>
    </w:tbl>
    <w:p w14:paraId="52D89E47" w14:textId="22A220BE" w:rsidR="00051297" w:rsidRPr="00051297" w:rsidRDefault="00051297" w:rsidP="00315352">
      <w:pPr>
        <w:pStyle w:val="2"/>
        <w:rPr>
          <w:rFonts w:eastAsia="Calibri"/>
        </w:rPr>
      </w:pPr>
      <w:bookmarkStart w:id="782" w:name="_Toc97504809"/>
      <w:bookmarkStart w:id="783" w:name="_Toc103543943"/>
      <w:bookmarkStart w:id="784" w:name="_Toc104985268"/>
      <w:r w:rsidRPr="00315352">
        <w:lastRenderedPageBreak/>
        <w:t>Chardara</w:t>
      </w:r>
      <w:r w:rsidRPr="00051297">
        <w:rPr>
          <w:rFonts w:eastAsia="Calibri"/>
        </w:rPr>
        <w:t xml:space="preserve"> catchment</w:t>
      </w:r>
      <w:bookmarkEnd w:id="782"/>
      <w:bookmarkEnd w:id="783"/>
      <w:bookmarkEnd w:id="784"/>
    </w:p>
    <w:p w14:paraId="5B3CEE58" w14:textId="6CDBBABD" w:rsidR="00051297" w:rsidRPr="00051297" w:rsidRDefault="00051297" w:rsidP="00051297">
      <w:pPr>
        <w:spacing w:after="200"/>
        <w:contextualSpacing/>
        <w:rPr>
          <w:rFonts w:eastAsia="Calibri" w:cs="Times New Roman"/>
          <w:szCs w:val="24"/>
          <w:lang w:val="en-US"/>
        </w:rPr>
      </w:pPr>
      <w:r w:rsidRPr="00051297">
        <w:rPr>
          <w:rFonts w:cs="Times New Roman"/>
          <w:szCs w:val="24"/>
          <w:lang w:val="en-US"/>
        </w:rPr>
        <w:t xml:space="preserve">From </w:t>
      </w:r>
      <w:r w:rsidRPr="00051297">
        <w:rPr>
          <w:rFonts w:cs="Times New Roman"/>
          <w:szCs w:val="24"/>
          <w:lang w:val="en-US"/>
        </w:rPr>
        <w:fldChar w:fldCharType="begin"/>
      </w:r>
      <w:r w:rsidRPr="00051297">
        <w:rPr>
          <w:rFonts w:cs="Times New Roman"/>
          <w:szCs w:val="24"/>
          <w:lang w:val="en-US"/>
        </w:rPr>
        <w:instrText xml:space="preserve"> REF _Ref98104961 \h </w:instrText>
      </w:r>
      <w:r w:rsidRPr="00051297">
        <w:rPr>
          <w:rFonts w:cs="Times New Roman"/>
          <w:szCs w:val="24"/>
          <w:lang w:val="en-US"/>
        </w:rPr>
      </w:r>
      <w:r w:rsidRPr="00051297">
        <w:rPr>
          <w:rFonts w:cs="Times New Roman"/>
          <w:szCs w:val="24"/>
          <w:lang w:val="en-US"/>
        </w:rPr>
        <w:fldChar w:fldCharType="separate"/>
      </w:r>
      <w:r w:rsidR="004870F1" w:rsidRPr="00CF2B2B">
        <w:rPr>
          <w:lang w:val="en-US"/>
        </w:rPr>
        <w:t xml:space="preserve">Table </w:t>
      </w:r>
      <w:r w:rsidR="004870F1" w:rsidRPr="00CF2B2B">
        <w:rPr>
          <w:noProof/>
          <w:lang w:val="en-US"/>
        </w:rPr>
        <w:t>3</w:t>
      </w:r>
      <w:r w:rsidR="004870F1" w:rsidRPr="00CF2B2B">
        <w:rPr>
          <w:lang w:val="en-US"/>
        </w:rPr>
        <w:t>.</w:t>
      </w:r>
      <w:r w:rsidR="004870F1" w:rsidRPr="00CF2B2B">
        <w:rPr>
          <w:noProof/>
          <w:lang w:val="en-US"/>
        </w:rPr>
        <w:t>3</w:t>
      </w:r>
      <w:r w:rsidRPr="00051297">
        <w:rPr>
          <w:rFonts w:cs="Times New Roman"/>
          <w:szCs w:val="24"/>
          <w:lang w:val="en-US"/>
        </w:rPr>
        <w:fldChar w:fldCharType="end"/>
      </w:r>
      <w:r w:rsidRPr="00051297">
        <w:rPr>
          <w:rFonts w:cs="Times New Roman"/>
          <w:szCs w:val="24"/>
          <w:lang w:val="en-US"/>
        </w:rPr>
        <w:t>, it can be observed that the observed or measured flow within the Chardara catchment is approximately 1180 m</w:t>
      </w:r>
      <w:r w:rsidRPr="00051297">
        <w:rPr>
          <w:rFonts w:cs="Times New Roman"/>
          <w:szCs w:val="24"/>
          <w:vertAlign w:val="superscript"/>
          <w:lang w:val="en-US"/>
        </w:rPr>
        <w:t>3</w:t>
      </w:r>
      <w:r w:rsidRPr="00051297">
        <w:rPr>
          <w:rFonts w:cs="Times New Roman"/>
          <w:szCs w:val="24"/>
          <w:lang w:val="en-US"/>
        </w:rPr>
        <w:t>/s. However, based on the modeling, a flow of about 1209.382 m</w:t>
      </w:r>
      <w:r w:rsidRPr="00051297">
        <w:rPr>
          <w:rFonts w:cs="Times New Roman"/>
          <w:szCs w:val="24"/>
          <w:vertAlign w:val="superscript"/>
          <w:lang w:val="en-US"/>
        </w:rPr>
        <w:t>3</w:t>
      </w:r>
      <w:r w:rsidRPr="00051297">
        <w:rPr>
          <w:rFonts w:cs="Times New Roman"/>
          <w:szCs w:val="24"/>
          <w:lang w:val="en-US"/>
        </w:rPr>
        <w:t>/s was retrieved from 2011</w:t>
      </w:r>
      <w:r w:rsidR="00E63B51">
        <w:rPr>
          <w:rFonts w:cs="Times New Roman"/>
          <w:szCs w:val="24"/>
          <w:lang w:val="en-US"/>
        </w:rPr>
        <w:t xml:space="preserve"> (CN56.28)</w:t>
      </w:r>
      <w:r w:rsidRPr="00051297">
        <w:rPr>
          <w:rFonts w:cs="Times New Roman"/>
          <w:szCs w:val="24"/>
          <w:lang w:val="en-US"/>
        </w:rPr>
        <w:t>, which is equivalent to a 2.49% difference from the observed flow. This phenomenon is due to the fact that the land surface in 1990 was covered by a more natural landscape that allowed much of the precipitation to infiltrate to the ground, which in turn produced less runoff at a time.</w:t>
      </w:r>
    </w:p>
    <w:p w14:paraId="4B909D08" w14:textId="507535C5" w:rsidR="00051297" w:rsidRPr="00051297" w:rsidRDefault="00051297" w:rsidP="00051297">
      <w:bookmarkStart w:id="785" w:name="_Ref98104961"/>
      <w:bookmarkStart w:id="786" w:name="_Toc97077197"/>
      <w:bookmarkStart w:id="787" w:name="_Toc103544247"/>
      <w:bookmarkStart w:id="788" w:name="_Toc104985573"/>
      <w:r w:rsidRPr="00051297">
        <w:t xml:space="preserve">Table </w:t>
      </w:r>
      <w:r w:rsidR="00536556">
        <w:fldChar w:fldCharType="begin"/>
      </w:r>
      <w:r w:rsidR="00536556">
        <w:instrText xml:space="preserve"> STYLEREF 1 \s </w:instrText>
      </w:r>
      <w:r w:rsidR="00536556">
        <w:fldChar w:fldCharType="separate"/>
      </w:r>
      <w:r w:rsidR="004870F1">
        <w:rPr>
          <w:noProof/>
        </w:rPr>
        <w:t>3</w:t>
      </w:r>
      <w:r w:rsidR="00536556">
        <w:rPr>
          <w:noProof/>
        </w:rPr>
        <w:fldChar w:fldCharType="end"/>
      </w:r>
      <w:r w:rsidRPr="00051297">
        <w:t>.</w:t>
      </w:r>
      <w:r w:rsidR="00536556">
        <w:fldChar w:fldCharType="begin"/>
      </w:r>
      <w:r w:rsidR="00536556">
        <w:instrText xml:space="preserve"> SEQ Table \* ARABIC \s 1 </w:instrText>
      </w:r>
      <w:r w:rsidR="00536556">
        <w:fldChar w:fldCharType="separate"/>
      </w:r>
      <w:r w:rsidR="004870F1">
        <w:rPr>
          <w:noProof/>
        </w:rPr>
        <w:t>3</w:t>
      </w:r>
      <w:r w:rsidR="00536556">
        <w:rPr>
          <w:noProof/>
        </w:rPr>
        <w:fldChar w:fldCharType="end"/>
      </w:r>
      <w:bookmarkEnd w:id="785"/>
      <w:r w:rsidRPr="00051297">
        <w:t xml:space="preserve"> – Flow characteristics</w:t>
      </w:r>
      <w:bookmarkEnd w:id="786"/>
      <w:bookmarkEnd w:id="787"/>
      <w:bookmarkEnd w:id="788"/>
    </w:p>
    <w:tbl>
      <w:tblPr>
        <w:tblStyle w:val="a8"/>
        <w:tblW w:w="0" w:type="auto"/>
        <w:jc w:val="center"/>
        <w:tblLook w:val="04A0" w:firstRow="1" w:lastRow="0" w:firstColumn="1" w:lastColumn="0" w:noHBand="0" w:noVBand="1"/>
      </w:tblPr>
      <w:tblGrid>
        <w:gridCol w:w="3325"/>
        <w:gridCol w:w="2149"/>
        <w:gridCol w:w="1710"/>
        <w:gridCol w:w="2160"/>
      </w:tblGrid>
      <w:tr w:rsidR="00051297" w:rsidRPr="00051297" w14:paraId="297A3928" w14:textId="77777777" w:rsidTr="005F5229">
        <w:trPr>
          <w:trHeight w:val="517"/>
          <w:jc w:val="center"/>
        </w:trPr>
        <w:tc>
          <w:tcPr>
            <w:tcW w:w="3325" w:type="dxa"/>
            <w:noWrap/>
            <w:vAlign w:val="center"/>
            <w:hideMark/>
          </w:tcPr>
          <w:p w14:paraId="05E50770" w14:textId="77777777" w:rsidR="00051297" w:rsidRPr="00051297" w:rsidRDefault="00051297" w:rsidP="005F5229">
            <w:pPr>
              <w:spacing w:line="240" w:lineRule="auto"/>
              <w:ind w:firstLine="0"/>
              <w:jc w:val="center"/>
            </w:pPr>
            <w:r w:rsidRPr="00051297">
              <w:t>Parameter</w:t>
            </w:r>
          </w:p>
        </w:tc>
        <w:tc>
          <w:tcPr>
            <w:tcW w:w="2155" w:type="dxa"/>
            <w:vAlign w:val="center"/>
          </w:tcPr>
          <w:p w14:paraId="3E5B0AC3" w14:textId="77777777" w:rsidR="00051297" w:rsidRPr="00051297" w:rsidRDefault="00051297" w:rsidP="005F5229">
            <w:pPr>
              <w:spacing w:line="240" w:lineRule="auto"/>
              <w:ind w:firstLine="0"/>
              <w:jc w:val="center"/>
            </w:pPr>
            <w:r w:rsidRPr="00051297">
              <w:t>Occurrence</w:t>
            </w:r>
          </w:p>
        </w:tc>
        <w:tc>
          <w:tcPr>
            <w:tcW w:w="1710" w:type="dxa"/>
            <w:noWrap/>
            <w:vAlign w:val="center"/>
            <w:hideMark/>
          </w:tcPr>
          <w:p w14:paraId="45B8A1B9" w14:textId="77777777" w:rsidR="00051297" w:rsidRPr="00051297" w:rsidRDefault="00051297" w:rsidP="005F5229">
            <w:pPr>
              <w:spacing w:line="240" w:lineRule="auto"/>
              <w:ind w:firstLine="0"/>
              <w:jc w:val="center"/>
            </w:pPr>
            <w:r w:rsidRPr="00051297">
              <w:t>Flow (m</w:t>
            </w:r>
            <w:r w:rsidRPr="00051297">
              <w:rPr>
                <w:vertAlign w:val="superscript"/>
              </w:rPr>
              <w:t>3</w:t>
            </w:r>
            <w:r w:rsidRPr="00051297">
              <w:t>/s)</w:t>
            </w:r>
          </w:p>
        </w:tc>
        <w:tc>
          <w:tcPr>
            <w:tcW w:w="2160" w:type="dxa"/>
            <w:noWrap/>
            <w:vAlign w:val="center"/>
            <w:hideMark/>
          </w:tcPr>
          <w:p w14:paraId="5721099A" w14:textId="77777777" w:rsidR="00051297" w:rsidRPr="00051297" w:rsidRDefault="00051297" w:rsidP="005F5229">
            <w:pPr>
              <w:spacing w:line="240" w:lineRule="auto"/>
              <w:ind w:firstLine="0"/>
              <w:jc w:val="center"/>
            </w:pPr>
            <w:r w:rsidRPr="00051297">
              <w:t>Percent change (%)</w:t>
            </w:r>
          </w:p>
        </w:tc>
      </w:tr>
      <w:tr w:rsidR="00051297" w:rsidRPr="00051297" w14:paraId="185ACC23" w14:textId="77777777" w:rsidTr="00D20B01">
        <w:trPr>
          <w:trHeight w:val="300"/>
          <w:jc w:val="center"/>
        </w:trPr>
        <w:tc>
          <w:tcPr>
            <w:tcW w:w="3325" w:type="dxa"/>
            <w:noWrap/>
            <w:hideMark/>
          </w:tcPr>
          <w:p w14:paraId="50EF6FB3" w14:textId="77777777" w:rsidR="00051297" w:rsidRPr="00051297" w:rsidRDefault="00051297" w:rsidP="00051297">
            <w:pPr>
              <w:spacing w:line="240" w:lineRule="auto"/>
              <w:ind w:firstLine="0"/>
              <w:jc w:val="center"/>
            </w:pPr>
            <w:r w:rsidRPr="00051297">
              <w:t>Observed flow</w:t>
            </w:r>
          </w:p>
        </w:tc>
        <w:tc>
          <w:tcPr>
            <w:tcW w:w="2155" w:type="dxa"/>
          </w:tcPr>
          <w:p w14:paraId="0C9CFA66" w14:textId="77777777" w:rsidR="00051297" w:rsidRPr="00051297" w:rsidRDefault="00051297" w:rsidP="00051297">
            <w:pPr>
              <w:spacing w:line="240" w:lineRule="auto"/>
              <w:ind w:firstLine="0"/>
              <w:jc w:val="center"/>
            </w:pPr>
            <w:r w:rsidRPr="00051297">
              <w:t>Measured</w:t>
            </w:r>
          </w:p>
        </w:tc>
        <w:tc>
          <w:tcPr>
            <w:tcW w:w="1710" w:type="dxa"/>
            <w:noWrap/>
            <w:hideMark/>
          </w:tcPr>
          <w:p w14:paraId="7D3EE2C2" w14:textId="77777777" w:rsidR="00051297" w:rsidRPr="00051297" w:rsidRDefault="00051297" w:rsidP="00051297">
            <w:pPr>
              <w:spacing w:line="240" w:lineRule="auto"/>
              <w:ind w:firstLine="0"/>
              <w:jc w:val="center"/>
            </w:pPr>
            <w:r w:rsidRPr="00051297">
              <w:t>1180</w:t>
            </w:r>
          </w:p>
        </w:tc>
        <w:tc>
          <w:tcPr>
            <w:tcW w:w="2160" w:type="dxa"/>
            <w:noWrap/>
            <w:hideMark/>
          </w:tcPr>
          <w:p w14:paraId="708E2628" w14:textId="77777777" w:rsidR="00051297" w:rsidRPr="00051297" w:rsidRDefault="00051297" w:rsidP="00051297">
            <w:pPr>
              <w:spacing w:line="240" w:lineRule="auto"/>
              <w:ind w:firstLine="0"/>
              <w:jc w:val="center"/>
            </w:pPr>
            <w:r w:rsidRPr="00051297">
              <w:t>0</w:t>
            </w:r>
          </w:p>
        </w:tc>
      </w:tr>
      <w:tr w:rsidR="00051297" w:rsidRPr="00051297" w14:paraId="1B8C02D3" w14:textId="77777777" w:rsidTr="00D20B01">
        <w:trPr>
          <w:trHeight w:val="300"/>
          <w:jc w:val="center"/>
        </w:trPr>
        <w:tc>
          <w:tcPr>
            <w:tcW w:w="3325" w:type="dxa"/>
            <w:noWrap/>
            <w:hideMark/>
          </w:tcPr>
          <w:p w14:paraId="6E561B13" w14:textId="2828EE32" w:rsidR="00051297" w:rsidRPr="00051297" w:rsidRDefault="00051297" w:rsidP="00051297">
            <w:pPr>
              <w:spacing w:line="240" w:lineRule="auto"/>
              <w:ind w:firstLine="0"/>
              <w:jc w:val="center"/>
            </w:pPr>
            <w:r w:rsidRPr="00051297">
              <w:t>Modeled at CN</w:t>
            </w:r>
            <w:r w:rsidR="00B3337D">
              <w:rPr>
                <w:lang w:val="en-US"/>
              </w:rPr>
              <w:t xml:space="preserve"> = </w:t>
            </w:r>
            <w:r w:rsidRPr="00051297">
              <w:t>56.28</w:t>
            </w:r>
          </w:p>
        </w:tc>
        <w:tc>
          <w:tcPr>
            <w:tcW w:w="2155" w:type="dxa"/>
          </w:tcPr>
          <w:p w14:paraId="7859A93A" w14:textId="77777777" w:rsidR="00051297" w:rsidRPr="00051297" w:rsidRDefault="00051297" w:rsidP="00051297">
            <w:pPr>
              <w:spacing w:line="240" w:lineRule="auto"/>
              <w:ind w:firstLine="0"/>
              <w:jc w:val="center"/>
            </w:pPr>
            <w:r w:rsidRPr="00051297">
              <w:t>2011</w:t>
            </w:r>
          </w:p>
        </w:tc>
        <w:tc>
          <w:tcPr>
            <w:tcW w:w="1710" w:type="dxa"/>
            <w:noWrap/>
            <w:hideMark/>
          </w:tcPr>
          <w:p w14:paraId="22BE03B1" w14:textId="77777777" w:rsidR="00051297" w:rsidRPr="00051297" w:rsidRDefault="00051297" w:rsidP="00051297">
            <w:pPr>
              <w:spacing w:line="240" w:lineRule="auto"/>
              <w:ind w:firstLine="0"/>
              <w:jc w:val="center"/>
            </w:pPr>
            <w:r w:rsidRPr="00051297">
              <w:t>1209.382</w:t>
            </w:r>
          </w:p>
        </w:tc>
        <w:tc>
          <w:tcPr>
            <w:tcW w:w="2160" w:type="dxa"/>
            <w:noWrap/>
            <w:hideMark/>
          </w:tcPr>
          <w:p w14:paraId="6EA06D3F" w14:textId="77777777" w:rsidR="00051297" w:rsidRPr="00051297" w:rsidRDefault="00051297" w:rsidP="00051297">
            <w:pPr>
              <w:spacing w:line="240" w:lineRule="auto"/>
              <w:ind w:firstLine="0"/>
              <w:jc w:val="center"/>
            </w:pPr>
            <w:r w:rsidRPr="00051297">
              <w:t>2.49</w:t>
            </w:r>
          </w:p>
        </w:tc>
      </w:tr>
      <w:tr w:rsidR="00051297" w:rsidRPr="00051297" w14:paraId="068E851D" w14:textId="77777777" w:rsidTr="00D20B01">
        <w:trPr>
          <w:trHeight w:val="300"/>
          <w:jc w:val="center"/>
        </w:trPr>
        <w:tc>
          <w:tcPr>
            <w:tcW w:w="3325" w:type="dxa"/>
            <w:noWrap/>
            <w:hideMark/>
          </w:tcPr>
          <w:p w14:paraId="655512B8" w14:textId="77777777" w:rsidR="00051297" w:rsidRPr="00051297" w:rsidRDefault="00051297" w:rsidP="00051297">
            <w:pPr>
              <w:spacing w:line="240" w:lineRule="auto"/>
              <w:ind w:firstLine="0"/>
              <w:jc w:val="center"/>
            </w:pPr>
            <w:r w:rsidRPr="00051297">
              <w:t>Modeled at CN98</w:t>
            </w:r>
          </w:p>
        </w:tc>
        <w:tc>
          <w:tcPr>
            <w:tcW w:w="2155" w:type="dxa"/>
          </w:tcPr>
          <w:p w14:paraId="0BBC1448" w14:textId="77777777" w:rsidR="00051297" w:rsidRPr="00051297" w:rsidRDefault="00051297" w:rsidP="00051297">
            <w:pPr>
              <w:spacing w:line="240" w:lineRule="auto"/>
              <w:ind w:firstLine="0"/>
              <w:jc w:val="center"/>
            </w:pPr>
            <w:r w:rsidRPr="00051297">
              <w:t>Projected</w:t>
            </w:r>
          </w:p>
        </w:tc>
        <w:tc>
          <w:tcPr>
            <w:tcW w:w="1710" w:type="dxa"/>
            <w:noWrap/>
            <w:hideMark/>
          </w:tcPr>
          <w:p w14:paraId="4962D629" w14:textId="77777777" w:rsidR="00051297" w:rsidRPr="00051297" w:rsidRDefault="00051297" w:rsidP="00051297">
            <w:pPr>
              <w:spacing w:line="240" w:lineRule="auto"/>
              <w:ind w:firstLine="0"/>
              <w:jc w:val="center"/>
            </w:pPr>
            <w:r w:rsidRPr="00051297">
              <w:t>2041.423</w:t>
            </w:r>
          </w:p>
        </w:tc>
        <w:tc>
          <w:tcPr>
            <w:tcW w:w="2160" w:type="dxa"/>
            <w:noWrap/>
            <w:hideMark/>
          </w:tcPr>
          <w:p w14:paraId="6FBED216" w14:textId="77777777" w:rsidR="00051297" w:rsidRPr="00051297" w:rsidRDefault="00051297" w:rsidP="00051297">
            <w:pPr>
              <w:spacing w:line="240" w:lineRule="auto"/>
              <w:ind w:firstLine="0"/>
              <w:jc w:val="center"/>
            </w:pPr>
            <w:r w:rsidRPr="00051297">
              <w:t>73.002</w:t>
            </w:r>
          </w:p>
        </w:tc>
      </w:tr>
      <w:tr w:rsidR="00051297" w:rsidRPr="00051297" w14:paraId="7932F9FE" w14:textId="77777777" w:rsidTr="00D20B01">
        <w:trPr>
          <w:trHeight w:val="300"/>
          <w:jc w:val="center"/>
        </w:trPr>
        <w:tc>
          <w:tcPr>
            <w:tcW w:w="3325" w:type="dxa"/>
            <w:noWrap/>
            <w:hideMark/>
          </w:tcPr>
          <w:p w14:paraId="24956B66" w14:textId="77777777" w:rsidR="00051297" w:rsidRPr="00051297" w:rsidRDefault="00051297" w:rsidP="00051297">
            <w:pPr>
              <w:spacing w:line="240" w:lineRule="auto"/>
              <w:ind w:firstLine="0"/>
              <w:jc w:val="center"/>
            </w:pPr>
            <w:r w:rsidRPr="00051297">
              <w:t>Modeled at extreme event</w:t>
            </w:r>
          </w:p>
        </w:tc>
        <w:tc>
          <w:tcPr>
            <w:tcW w:w="2155" w:type="dxa"/>
          </w:tcPr>
          <w:p w14:paraId="1345F4EF" w14:textId="77777777" w:rsidR="00051297" w:rsidRPr="00051297" w:rsidRDefault="00051297" w:rsidP="00051297">
            <w:pPr>
              <w:spacing w:line="240" w:lineRule="auto"/>
              <w:ind w:firstLine="0"/>
              <w:jc w:val="center"/>
            </w:pPr>
            <w:r w:rsidRPr="00051297">
              <w:t>Extreme event</w:t>
            </w:r>
          </w:p>
        </w:tc>
        <w:tc>
          <w:tcPr>
            <w:tcW w:w="1710" w:type="dxa"/>
            <w:noWrap/>
            <w:hideMark/>
          </w:tcPr>
          <w:p w14:paraId="7DD2363C" w14:textId="77777777" w:rsidR="00051297" w:rsidRPr="00051297" w:rsidRDefault="00051297" w:rsidP="00051297">
            <w:pPr>
              <w:spacing w:line="240" w:lineRule="auto"/>
              <w:ind w:firstLine="0"/>
              <w:jc w:val="center"/>
            </w:pPr>
            <w:r w:rsidRPr="00051297">
              <w:t>1798.095</w:t>
            </w:r>
          </w:p>
        </w:tc>
        <w:tc>
          <w:tcPr>
            <w:tcW w:w="2160" w:type="dxa"/>
            <w:noWrap/>
            <w:hideMark/>
          </w:tcPr>
          <w:p w14:paraId="04778B98" w14:textId="77777777" w:rsidR="00051297" w:rsidRPr="00051297" w:rsidRDefault="00051297" w:rsidP="00051297">
            <w:pPr>
              <w:spacing w:line="240" w:lineRule="auto"/>
              <w:ind w:firstLine="0"/>
              <w:jc w:val="center"/>
              <w:rPr>
                <w:lang w:val="en-US"/>
              </w:rPr>
            </w:pPr>
            <w:r w:rsidRPr="00051297">
              <w:t>52.38</w:t>
            </w:r>
            <w:r w:rsidRPr="00051297">
              <w:rPr>
                <w:lang w:val="en-US"/>
              </w:rPr>
              <w:t>1</w:t>
            </w:r>
          </w:p>
        </w:tc>
      </w:tr>
      <w:tr w:rsidR="00051297" w:rsidRPr="00051297" w14:paraId="121982D4" w14:textId="77777777" w:rsidTr="00D20B01">
        <w:trPr>
          <w:trHeight w:val="300"/>
          <w:jc w:val="center"/>
        </w:trPr>
        <w:tc>
          <w:tcPr>
            <w:tcW w:w="3325" w:type="dxa"/>
            <w:noWrap/>
            <w:hideMark/>
          </w:tcPr>
          <w:p w14:paraId="33AD72D2" w14:textId="77777777" w:rsidR="00051297" w:rsidRPr="00051297" w:rsidRDefault="00051297" w:rsidP="00051297">
            <w:pPr>
              <w:spacing w:line="240" w:lineRule="auto"/>
              <w:ind w:firstLine="0"/>
              <w:jc w:val="center"/>
              <w:rPr>
                <w:lang w:val="en-US"/>
              </w:rPr>
            </w:pPr>
            <w:r w:rsidRPr="00051297">
              <w:rPr>
                <w:lang w:val="en-US"/>
              </w:rPr>
              <w:t>Modeled at the extreme event and CN98</w:t>
            </w:r>
          </w:p>
        </w:tc>
        <w:tc>
          <w:tcPr>
            <w:tcW w:w="2155" w:type="dxa"/>
          </w:tcPr>
          <w:p w14:paraId="201AAB59" w14:textId="77777777" w:rsidR="00051297" w:rsidRPr="00051297" w:rsidRDefault="00051297" w:rsidP="00051297">
            <w:pPr>
              <w:spacing w:line="240" w:lineRule="auto"/>
              <w:ind w:firstLine="0"/>
              <w:jc w:val="center"/>
              <w:rPr>
                <w:lang w:val="en-US"/>
              </w:rPr>
            </w:pPr>
            <w:r w:rsidRPr="00051297">
              <w:rPr>
                <w:lang w:val="en-US"/>
              </w:rPr>
              <w:t>Extreme event and CN98 combined</w:t>
            </w:r>
          </w:p>
        </w:tc>
        <w:tc>
          <w:tcPr>
            <w:tcW w:w="1710" w:type="dxa"/>
            <w:noWrap/>
            <w:hideMark/>
          </w:tcPr>
          <w:p w14:paraId="3A2C2CA1" w14:textId="77777777" w:rsidR="00051297" w:rsidRPr="00051297" w:rsidRDefault="00051297" w:rsidP="00051297">
            <w:pPr>
              <w:spacing w:line="240" w:lineRule="auto"/>
              <w:ind w:firstLine="0"/>
              <w:jc w:val="center"/>
            </w:pPr>
            <w:r w:rsidRPr="00051297">
              <w:t>3035.164</w:t>
            </w:r>
          </w:p>
        </w:tc>
        <w:tc>
          <w:tcPr>
            <w:tcW w:w="2160" w:type="dxa"/>
            <w:noWrap/>
            <w:hideMark/>
          </w:tcPr>
          <w:p w14:paraId="4BB8F846" w14:textId="77777777" w:rsidR="00051297" w:rsidRPr="00051297" w:rsidRDefault="00051297" w:rsidP="00051297">
            <w:pPr>
              <w:spacing w:line="240" w:lineRule="auto"/>
              <w:ind w:firstLine="0"/>
              <w:jc w:val="center"/>
            </w:pPr>
            <w:r w:rsidRPr="00051297">
              <w:t>157.217</w:t>
            </w:r>
          </w:p>
        </w:tc>
      </w:tr>
    </w:tbl>
    <w:p w14:paraId="77BCB9FB" w14:textId="77777777" w:rsidR="00051297" w:rsidRPr="00051297" w:rsidRDefault="00051297" w:rsidP="00051297">
      <w:pPr>
        <w:spacing w:after="200"/>
        <w:contextualSpacing/>
        <w:rPr>
          <w:rFonts w:eastAsia="Calibri" w:cs="Times New Roman"/>
          <w:szCs w:val="24"/>
        </w:rPr>
      </w:pPr>
    </w:p>
    <w:p w14:paraId="1E37D084" w14:textId="7B28FF59" w:rsidR="00051297" w:rsidRPr="00051297" w:rsidRDefault="00051297" w:rsidP="00051297">
      <w:pPr>
        <w:spacing w:after="200"/>
        <w:contextualSpacing/>
        <w:rPr>
          <w:rFonts w:cs="Times New Roman"/>
          <w:szCs w:val="24"/>
          <w:lang w:val="en-US"/>
        </w:rPr>
      </w:pPr>
      <w:r w:rsidRPr="00051297">
        <w:rPr>
          <w:rFonts w:eastAsia="Calibri" w:cs="Times New Roman"/>
          <w:szCs w:val="24"/>
          <w:lang w:val="en-US"/>
        </w:rPr>
        <w:t xml:space="preserve">It is also important to highlight that, during the wet season, the reservoir holds storm-generated runoff and releases it during low-flow regimes or dry spells. The reservoir/dam scheme's implementation and construction both necessitate precise engineering planning and precision. Despite the fact that the dam structure is being planned with engineering caution, it may face an acceptable risk of failure. From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_Ref98104983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3</w:t>
      </w:r>
      <w:r w:rsidR="004870F1" w:rsidRPr="00051297">
        <w:rPr>
          <w:rFonts w:cs="Times New Roman"/>
          <w:szCs w:val="24"/>
          <w:lang w:val="en-US" w:bidi="en-US"/>
        </w:rPr>
        <w:t>.</w:t>
      </w:r>
      <w:r w:rsidR="004870F1">
        <w:rPr>
          <w:rFonts w:cs="Times New Roman"/>
          <w:noProof/>
          <w:szCs w:val="24"/>
          <w:lang w:val="en-US" w:bidi="en-US"/>
        </w:rPr>
        <w:t>4</w:t>
      </w:r>
      <w:r w:rsidRPr="00051297">
        <w:rPr>
          <w:rFonts w:eastAsia="Calibri" w:cs="Times New Roman"/>
          <w:szCs w:val="24"/>
          <w:lang w:val="en-US"/>
        </w:rPr>
        <w:fldChar w:fldCharType="end"/>
      </w:r>
      <w:r w:rsidRPr="00051297">
        <w:rPr>
          <w:rFonts w:eastAsia="Calibri" w:cs="Times New Roman"/>
          <w:szCs w:val="24"/>
          <w:lang w:val="en-US"/>
        </w:rPr>
        <w:t xml:space="preserve">, it can be seen that the Modeled depth at CN98 </w:t>
      </w:r>
      <w:r w:rsidR="00911DDF">
        <w:rPr>
          <w:rFonts w:eastAsia="Calibri" w:cs="Times New Roman"/>
          <w:szCs w:val="24"/>
          <w:lang w:val="en-US"/>
        </w:rPr>
        <w:t>is</w:t>
      </w:r>
      <w:r w:rsidRPr="00051297">
        <w:rPr>
          <w:rFonts w:eastAsia="Calibri" w:cs="Times New Roman"/>
          <w:szCs w:val="24"/>
          <w:lang w:val="en-US"/>
        </w:rPr>
        <w:t xml:space="preserve"> 43.8877 m which is approximately 68.8% more compared to the current reservoir depth.</w:t>
      </w:r>
      <w:r w:rsidRPr="00051297">
        <w:rPr>
          <w:rFonts w:cs="Times New Roman"/>
          <w:szCs w:val="24"/>
          <w:lang w:val="en-US"/>
        </w:rPr>
        <w:t xml:space="preserve"> Moreover, following a combination of extreme events and CN98, the Modeled reservoir depth becomes 105.94% more than the measured depth. In such a scenario, there is a high chance that the embankment will be subjected to runoff resulting from CN98 and extreme event due to both overtopping and slope failure under rapid drawdown scenarios.</w:t>
      </w:r>
    </w:p>
    <w:p w14:paraId="5E471505" w14:textId="09DBF2E9" w:rsidR="00051297" w:rsidRPr="00051297" w:rsidRDefault="00051297" w:rsidP="00051297">
      <w:pPr>
        <w:spacing w:after="200"/>
        <w:contextualSpacing/>
        <w:rPr>
          <w:rFonts w:eastAsia="Calibri" w:cs="Times New Roman"/>
          <w:szCs w:val="24"/>
          <w:lang w:val="en-US"/>
        </w:rPr>
      </w:pPr>
      <w:r w:rsidRPr="00051297">
        <w:rPr>
          <w:rFonts w:eastAsia="Calibri" w:cs="Times New Roman"/>
          <w:szCs w:val="24"/>
          <w:lang w:val="en-US"/>
        </w:rPr>
        <w:t xml:space="preserve">According to Xiajing Lin </w:t>
      </w:r>
      <w:r w:rsidRPr="00051297">
        <w:rPr>
          <w:rFonts w:eastAsia="Calibri" w:cs="Times New Roman"/>
          <w:i/>
          <w:iCs/>
          <w:szCs w:val="24"/>
          <w:lang w:val="en-US"/>
        </w:rPr>
        <w:t>et al.</w:t>
      </w:r>
      <w:r w:rsidRPr="00051297">
        <w:rPr>
          <w:rFonts w:eastAsia="Calibri" w:cs="Times New Roman"/>
          <w:i/>
          <w:iCs/>
          <w:szCs w:val="24"/>
        </w:rPr>
        <w:fldChar w:fldCharType="begin" w:fldLock="1"/>
      </w:r>
      <w:r w:rsidR="0044426E">
        <w:rPr>
          <w:rFonts w:eastAsia="Calibri" w:cs="Times New Roman"/>
          <w:i/>
          <w:iCs/>
          <w:szCs w:val="24"/>
          <w:lang w:val="en-US"/>
        </w:rPr>
        <w:instrText>ADDIN CSL_CITATION {"citationItems":[{"id":"ITEM-1","itemData":{"DOI":"10.3389/fenvs.2021.742901","ISSN":"2296-665X","abstract":"In recent years, as a result of increasingly intensive rainfall events, the associated water erosion and corrosion have led to the increase in breach risk of aging dams in the United States. In this study, a hydrodynamic model was used to the inundation simulation under three hypothetical extreme precipitation-induced homogeneous concrete dam-breach scenarios. All hydraulic variables, including water depth, flow velocity, and flood arriving time over separated nine cross-sections in the Catawba River, were calculated. The hypothetical simulation results illustrate that the impact of Hurricane Florence’s rainfall is far more severe over the downstream of hydraulic facilities than that of the Once-in-a-century storm rainfall event. Although Hurricane Florence’s rainfall observed in Wilmington had not historically happened near the MI Dam site, the river basin has a higher probability to be attacked by such storm rainfall if more extreme weather events would be generated under future warming conditions. Besides, the time for floodwaters to reach cross-section 6 under the Hurricane Gustav scenario is shorter than that under the Once-in-a-century rainfall scenario, making the downstream be inundated in short minutes. Since the probability can be quantitatively evaluated, it is of great worth assessing the risk of dam-break floods in coastal cities where human lives are at a vulnerable stage.","author":[{"dropping-particle":"","family":"Lin","given":"Xiajing","non-dropping-particle":"","parse-names":false,"suffix":""},{"dropping-particle":"","family":"Huang","given":"Guohe","non-dropping-particle":"","parse-names":false,"suffix":""},{"dropping-particle":"","family":"Wang","given":"Guoqing","non-dropping-particle":"","parse-names":false,"suffix":""},{"dropping-particle":"","family":"Yan","given":"Denghua","non-dropping-particle":"","parse-names":false,"suffix":""},{"dropping-particle":"","family":"Zhou","given":"Xiong","non-dropping-particle":"","parse-names":false,"suffix":""}],"container-title":"Frontiers in Environmental Science","id":"ITEM-1","issued":{"date-parts":[["2021","10"]]},"title":"Risk Assessment of Dam-Breach Flood Under Extreme Storm Events","type":"article-journal","volume":"9"},"uris":["http://www.mendeley.com/documents/?uuid=845a0d46-1b1a-45b4-b26b-935806c7aaba","http://www.mendeley.com/documents/?uuid=cbafee2b-3218-456c-9f7a-26cd0e2becc3","http://www.mendeley.com/documents/?uuid=569fed20-d546-46ac-9caf-9c279e911b87"]}],"mendeley":{"formattedCitation":"[263]","plainTextFormattedCitation":"[263]","previouslyFormattedCitation":"[263]"},"properties":{"noteIndex":0},"schema":"https://github.com/citation-style-language/schema/raw/master/csl-citation.json"}</w:instrText>
      </w:r>
      <w:r w:rsidRPr="00051297">
        <w:rPr>
          <w:rFonts w:eastAsia="Calibri" w:cs="Times New Roman"/>
          <w:i/>
          <w:iCs/>
          <w:szCs w:val="24"/>
        </w:rPr>
        <w:fldChar w:fldCharType="separate"/>
      </w:r>
      <w:r w:rsidR="00FA5896" w:rsidRPr="00FA5896">
        <w:rPr>
          <w:rFonts w:eastAsia="Calibri" w:cs="Times New Roman"/>
          <w:iCs/>
          <w:noProof/>
          <w:szCs w:val="24"/>
          <w:lang w:val="en-US"/>
        </w:rPr>
        <w:t>[263]</w:t>
      </w:r>
      <w:r w:rsidRPr="00051297">
        <w:rPr>
          <w:rFonts w:eastAsia="Calibri" w:cs="Times New Roman"/>
          <w:i/>
          <w:iCs/>
          <w:szCs w:val="24"/>
        </w:rPr>
        <w:fldChar w:fldCharType="end"/>
      </w:r>
      <w:r w:rsidRPr="00051297">
        <w:rPr>
          <w:rFonts w:eastAsia="Calibri" w:cs="Times New Roman"/>
          <w:szCs w:val="24"/>
          <w:lang w:val="en-US"/>
        </w:rPr>
        <w:t>, the accompanying water erosion and corrosion have increased the vulnerability of aging dams in the United States in recent years as a result of increasingly intense rainstorm events.</w:t>
      </w:r>
    </w:p>
    <w:p w14:paraId="67FE3C14" w14:textId="54EF53AD" w:rsidR="00051297" w:rsidRPr="00051297" w:rsidRDefault="00051297" w:rsidP="00051297">
      <w:pPr>
        <w:rPr>
          <w:rFonts w:cs="Times New Roman"/>
          <w:szCs w:val="24"/>
          <w:lang w:val="en-US" w:bidi="en-US"/>
        </w:rPr>
      </w:pPr>
      <w:bookmarkStart w:id="789" w:name="_Ref98104983"/>
      <w:bookmarkStart w:id="790" w:name="_Toc97077198"/>
      <w:bookmarkStart w:id="791" w:name="_Toc103544248"/>
      <w:bookmarkStart w:id="792" w:name="_Toc104985574"/>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3</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4</w:t>
      </w:r>
      <w:r w:rsidRPr="00051297">
        <w:rPr>
          <w:rFonts w:cs="Times New Roman"/>
          <w:szCs w:val="24"/>
          <w:lang w:val="en-US" w:bidi="en-US"/>
        </w:rPr>
        <w:fldChar w:fldCharType="end"/>
      </w:r>
      <w:bookmarkEnd w:id="789"/>
      <w:r w:rsidRPr="00051297">
        <w:t xml:space="preserve"> </w:t>
      </w:r>
      <w:r w:rsidRPr="00051297">
        <w:rPr>
          <w:rFonts w:cs="Times New Roman"/>
          <w:szCs w:val="24"/>
          <w:lang w:val="en-US" w:bidi="en-US"/>
        </w:rPr>
        <w:t>– Depth characteristics</w:t>
      </w:r>
      <w:bookmarkEnd w:id="790"/>
      <w:bookmarkEnd w:id="791"/>
      <w:bookmarkEnd w:id="792"/>
    </w:p>
    <w:tbl>
      <w:tblPr>
        <w:tblStyle w:val="a8"/>
        <w:tblW w:w="0" w:type="auto"/>
        <w:jc w:val="center"/>
        <w:tblLook w:val="04A0" w:firstRow="1" w:lastRow="0" w:firstColumn="1" w:lastColumn="0" w:noHBand="0" w:noVBand="1"/>
      </w:tblPr>
      <w:tblGrid>
        <w:gridCol w:w="4405"/>
        <w:gridCol w:w="2160"/>
      </w:tblGrid>
      <w:tr w:rsidR="00051297" w:rsidRPr="00051297" w14:paraId="731994BB" w14:textId="77777777" w:rsidTr="005F5229">
        <w:trPr>
          <w:trHeight w:val="455"/>
          <w:jc w:val="center"/>
        </w:trPr>
        <w:tc>
          <w:tcPr>
            <w:tcW w:w="4405" w:type="dxa"/>
            <w:noWrap/>
            <w:vAlign w:val="center"/>
            <w:hideMark/>
          </w:tcPr>
          <w:p w14:paraId="1F53AE40" w14:textId="77777777" w:rsidR="00051297" w:rsidRPr="00051297" w:rsidRDefault="00051297" w:rsidP="005F5229">
            <w:pPr>
              <w:spacing w:line="240" w:lineRule="auto"/>
              <w:ind w:firstLine="0"/>
              <w:jc w:val="center"/>
            </w:pPr>
            <w:r w:rsidRPr="00051297">
              <w:t>Parameter</w:t>
            </w:r>
          </w:p>
        </w:tc>
        <w:tc>
          <w:tcPr>
            <w:tcW w:w="2160" w:type="dxa"/>
            <w:noWrap/>
            <w:vAlign w:val="center"/>
            <w:hideMark/>
          </w:tcPr>
          <w:p w14:paraId="68507EB3" w14:textId="77777777" w:rsidR="00051297" w:rsidRPr="00051297" w:rsidRDefault="00051297" w:rsidP="005F5229">
            <w:pPr>
              <w:spacing w:line="240" w:lineRule="auto"/>
              <w:ind w:firstLine="0"/>
              <w:jc w:val="center"/>
            </w:pPr>
            <w:r w:rsidRPr="00051297">
              <w:t>Depth (m)</w:t>
            </w:r>
          </w:p>
        </w:tc>
      </w:tr>
      <w:tr w:rsidR="00051297" w:rsidRPr="00051297" w14:paraId="5F274554" w14:textId="77777777" w:rsidTr="00D20B01">
        <w:trPr>
          <w:trHeight w:val="300"/>
          <w:jc w:val="center"/>
        </w:trPr>
        <w:tc>
          <w:tcPr>
            <w:tcW w:w="4405" w:type="dxa"/>
            <w:noWrap/>
            <w:hideMark/>
          </w:tcPr>
          <w:p w14:paraId="376BC5DE" w14:textId="77777777" w:rsidR="00051297" w:rsidRPr="00051297" w:rsidRDefault="00051297" w:rsidP="00051297">
            <w:pPr>
              <w:spacing w:line="240" w:lineRule="auto"/>
              <w:ind w:firstLine="0"/>
              <w:jc w:val="center"/>
            </w:pPr>
            <w:r w:rsidRPr="00051297">
              <w:t>Observed flow</w:t>
            </w:r>
          </w:p>
        </w:tc>
        <w:tc>
          <w:tcPr>
            <w:tcW w:w="2160" w:type="dxa"/>
            <w:noWrap/>
            <w:hideMark/>
          </w:tcPr>
          <w:p w14:paraId="3C9299E9" w14:textId="77777777" w:rsidR="00051297" w:rsidRPr="00051297" w:rsidRDefault="00051297" w:rsidP="00051297">
            <w:pPr>
              <w:spacing w:line="240" w:lineRule="auto"/>
              <w:ind w:firstLine="0"/>
              <w:jc w:val="center"/>
            </w:pPr>
            <w:r w:rsidRPr="00051297">
              <w:t>26</w:t>
            </w:r>
          </w:p>
        </w:tc>
      </w:tr>
      <w:tr w:rsidR="00051297" w:rsidRPr="00051297" w14:paraId="09DE947C" w14:textId="77777777" w:rsidTr="00D20B01">
        <w:trPr>
          <w:trHeight w:val="300"/>
          <w:jc w:val="center"/>
        </w:trPr>
        <w:tc>
          <w:tcPr>
            <w:tcW w:w="4405" w:type="dxa"/>
            <w:noWrap/>
            <w:hideMark/>
          </w:tcPr>
          <w:p w14:paraId="009B7E83" w14:textId="77777777" w:rsidR="00051297" w:rsidRPr="00051297" w:rsidRDefault="00051297" w:rsidP="00051297">
            <w:pPr>
              <w:spacing w:line="240" w:lineRule="auto"/>
              <w:ind w:firstLine="0"/>
              <w:jc w:val="center"/>
            </w:pPr>
            <w:r w:rsidRPr="00051297">
              <w:t>Modeled at CN98</w:t>
            </w:r>
          </w:p>
        </w:tc>
        <w:tc>
          <w:tcPr>
            <w:tcW w:w="2160" w:type="dxa"/>
            <w:noWrap/>
            <w:hideMark/>
          </w:tcPr>
          <w:p w14:paraId="685116A5" w14:textId="77777777" w:rsidR="00051297" w:rsidRPr="00051297" w:rsidRDefault="00051297" w:rsidP="00051297">
            <w:pPr>
              <w:spacing w:line="240" w:lineRule="auto"/>
              <w:ind w:firstLine="0"/>
              <w:jc w:val="center"/>
              <w:rPr>
                <w:lang w:val="en-US"/>
              </w:rPr>
            </w:pPr>
            <w:r w:rsidRPr="00051297">
              <w:t>43.88</w:t>
            </w:r>
            <w:r w:rsidRPr="00051297">
              <w:rPr>
                <w:lang w:val="en-US"/>
              </w:rPr>
              <w:t>8</w:t>
            </w:r>
          </w:p>
        </w:tc>
      </w:tr>
      <w:tr w:rsidR="00051297" w:rsidRPr="00051297" w14:paraId="5012E514" w14:textId="77777777" w:rsidTr="00D20B01">
        <w:trPr>
          <w:trHeight w:val="300"/>
          <w:jc w:val="center"/>
        </w:trPr>
        <w:tc>
          <w:tcPr>
            <w:tcW w:w="4405" w:type="dxa"/>
            <w:noWrap/>
            <w:hideMark/>
          </w:tcPr>
          <w:p w14:paraId="3AF2FE23" w14:textId="77777777" w:rsidR="00051297" w:rsidRPr="00051297" w:rsidRDefault="00051297" w:rsidP="00051297">
            <w:pPr>
              <w:spacing w:line="240" w:lineRule="auto"/>
              <w:ind w:firstLine="0"/>
              <w:jc w:val="center"/>
            </w:pPr>
            <w:r w:rsidRPr="00051297">
              <w:t>Modeled at extreme event</w:t>
            </w:r>
          </w:p>
        </w:tc>
        <w:tc>
          <w:tcPr>
            <w:tcW w:w="2160" w:type="dxa"/>
            <w:noWrap/>
            <w:hideMark/>
          </w:tcPr>
          <w:p w14:paraId="170C5B2F" w14:textId="77777777" w:rsidR="00051297" w:rsidRPr="00051297" w:rsidRDefault="00051297" w:rsidP="00051297">
            <w:pPr>
              <w:spacing w:line="240" w:lineRule="auto"/>
              <w:ind w:firstLine="0"/>
              <w:jc w:val="center"/>
              <w:rPr>
                <w:lang w:val="en-US"/>
              </w:rPr>
            </w:pPr>
            <w:r w:rsidRPr="00051297">
              <w:t>31.72</w:t>
            </w:r>
            <w:r w:rsidRPr="00051297">
              <w:rPr>
                <w:lang w:val="en-US"/>
              </w:rPr>
              <w:t>1</w:t>
            </w:r>
          </w:p>
        </w:tc>
      </w:tr>
      <w:tr w:rsidR="00051297" w:rsidRPr="00051297" w14:paraId="29F2C719" w14:textId="77777777" w:rsidTr="00D20B01">
        <w:trPr>
          <w:trHeight w:val="300"/>
          <w:jc w:val="center"/>
        </w:trPr>
        <w:tc>
          <w:tcPr>
            <w:tcW w:w="4405" w:type="dxa"/>
            <w:noWrap/>
            <w:hideMark/>
          </w:tcPr>
          <w:p w14:paraId="7FEB0348" w14:textId="77777777" w:rsidR="00051297" w:rsidRPr="00051297" w:rsidRDefault="00051297" w:rsidP="00051297">
            <w:pPr>
              <w:spacing w:line="240" w:lineRule="auto"/>
              <w:ind w:firstLine="0"/>
              <w:jc w:val="center"/>
              <w:rPr>
                <w:lang w:val="en-US"/>
              </w:rPr>
            </w:pPr>
            <w:r w:rsidRPr="00051297">
              <w:rPr>
                <w:lang w:val="en-US"/>
              </w:rPr>
              <w:t>Modeled at the extreme event and CN98</w:t>
            </w:r>
          </w:p>
        </w:tc>
        <w:tc>
          <w:tcPr>
            <w:tcW w:w="2160" w:type="dxa"/>
            <w:noWrap/>
            <w:hideMark/>
          </w:tcPr>
          <w:p w14:paraId="75E9EB3F" w14:textId="77777777" w:rsidR="00051297" w:rsidRPr="00051297" w:rsidRDefault="00051297" w:rsidP="00051297">
            <w:pPr>
              <w:spacing w:line="240" w:lineRule="auto"/>
              <w:ind w:firstLine="0"/>
              <w:jc w:val="center"/>
            </w:pPr>
            <w:r w:rsidRPr="00051297">
              <w:t>53.544</w:t>
            </w:r>
          </w:p>
        </w:tc>
      </w:tr>
    </w:tbl>
    <w:p w14:paraId="0C4526ED" w14:textId="0134A04A" w:rsidR="00051297" w:rsidRPr="00051297" w:rsidRDefault="00051297" w:rsidP="005F5229">
      <w:pPr>
        <w:keepNext/>
        <w:keepLines/>
        <w:pageBreakBefore/>
        <w:ind w:firstLine="0"/>
        <w:jc w:val="center"/>
        <w:outlineLvl w:val="5"/>
        <w:rPr>
          <w:rFonts w:eastAsiaTheme="majorEastAsia" w:cstheme="majorBidi"/>
          <w:b/>
          <w:lang w:val="en-US"/>
        </w:rPr>
      </w:pPr>
      <w:bookmarkStart w:id="793" w:name="_Toc103543944"/>
      <w:bookmarkStart w:id="794" w:name="_Toc104985269"/>
      <w:r w:rsidRPr="00051297">
        <w:rPr>
          <w:rFonts w:eastAsiaTheme="majorEastAsia" w:cstheme="majorBidi"/>
          <w:b/>
          <w:lang w:val="en-US"/>
        </w:rPr>
        <w:lastRenderedPageBreak/>
        <w:t xml:space="preserve">Summary of chapter </w:t>
      </w:r>
      <w:bookmarkEnd w:id="793"/>
      <w:r w:rsidR="0015493A">
        <w:rPr>
          <w:rFonts w:eastAsiaTheme="majorEastAsia" w:cstheme="majorBidi"/>
          <w:b/>
          <w:lang w:val="en-US"/>
        </w:rPr>
        <w:t>three</w:t>
      </w:r>
      <w:bookmarkEnd w:id="794"/>
    </w:p>
    <w:p w14:paraId="53F3159B" w14:textId="77777777" w:rsidR="00051297" w:rsidRPr="00051297" w:rsidRDefault="00051297" w:rsidP="00051297">
      <w:pPr>
        <w:rPr>
          <w:lang w:val="en-US"/>
        </w:rPr>
      </w:pPr>
      <w:r w:rsidRPr="00051297">
        <w:rPr>
          <w:lang w:val="en-US"/>
        </w:rPr>
        <w:t xml:space="preserve">In this chapter, the Soil Conservation Service Curve Number (SCS-CN) method was employed for the estimation of runoff depth within two study catchments (Ndembera in Tanzania and Chardara in Kazakhstan). </w:t>
      </w:r>
    </w:p>
    <w:p w14:paraId="2F90CE66" w14:textId="77777777" w:rsidR="00051297" w:rsidRPr="00051297" w:rsidRDefault="00051297" w:rsidP="00051297">
      <w:pPr>
        <w:rPr>
          <w:lang w:val="en-US"/>
        </w:rPr>
      </w:pPr>
      <w:r w:rsidRPr="00051297">
        <w:rPr>
          <w:lang w:val="en-US"/>
        </w:rPr>
        <w:t>The results then observed that the measured flow within the Ndemebera catchment is approximately 0.179 bcm/year. However, based on the modeling, a flow of about 0.115 bcm/year was retrieved from 1990, which is equivalent to 36% less than the observed flow. This phenomenon is due to the fact that the land surface in 1990 was covered by a more natural landscape that allowed much of the precipitation to infiltrate to the ground, which in turn produced less runoff at a time. Also, from the modeling process that combined the CN98 and the extreme event, a flow of approximately 5.36 bcm/year was retrieved, which is equivalent to a 2884.821% increase from the observed or measured flow.</w:t>
      </w:r>
    </w:p>
    <w:p w14:paraId="614AF8E4" w14:textId="77777777" w:rsidR="00051297" w:rsidRPr="00051297" w:rsidRDefault="00051297" w:rsidP="00051297">
      <w:pPr>
        <w:spacing w:after="200"/>
        <w:contextualSpacing/>
        <w:rPr>
          <w:rFonts w:eastAsia="Calibri" w:cs="Times New Roman"/>
          <w:szCs w:val="24"/>
          <w:lang w:val="en-US"/>
        </w:rPr>
      </w:pPr>
      <w:r w:rsidRPr="00051297">
        <w:rPr>
          <w:rFonts w:cs="Times New Roman"/>
          <w:szCs w:val="24"/>
          <w:lang w:val="en-US"/>
        </w:rPr>
        <w:t>Moreover, it was observed that the measured flow within the Chardara catchment is approximately 1180 m</w:t>
      </w:r>
      <w:r w:rsidRPr="00051297">
        <w:rPr>
          <w:rFonts w:cs="Times New Roman"/>
          <w:szCs w:val="24"/>
          <w:vertAlign w:val="superscript"/>
          <w:lang w:val="en-US"/>
        </w:rPr>
        <w:t>3</w:t>
      </w:r>
      <w:r w:rsidRPr="00051297">
        <w:rPr>
          <w:rFonts w:cs="Times New Roman"/>
          <w:szCs w:val="24"/>
          <w:lang w:val="en-US"/>
        </w:rPr>
        <w:t>/s. However, based on the modeling, a flow of about 1209.382 m</w:t>
      </w:r>
      <w:r w:rsidRPr="00051297">
        <w:rPr>
          <w:rFonts w:cs="Times New Roman"/>
          <w:szCs w:val="24"/>
          <w:vertAlign w:val="superscript"/>
          <w:lang w:val="en-US"/>
        </w:rPr>
        <w:t>3</w:t>
      </w:r>
      <w:r w:rsidRPr="00051297">
        <w:rPr>
          <w:rFonts w:cs="Times New Roman"/>
          <w:szCs w:val="24"/>
          <w:lang w:val="en-US"/>
        </w:rPr>
        <w:t>/s was retrieved from 2011, which is equivalent to a 2.49% difference from the observed flow. This phenomenon is due to the fact that the land surface in 1990 was covered by a more natural landscape that allowed much of the precipitation to infiltrate to the ground, which in turn produced less runoff at a time.</w:t>
      </w:r>
    </w:p>
    <w:p w14:paraId="143B3ADE" w14:textId="77777777" w:rsidR="00051297" w:rsidRPr="00051297" w:rsidRDefault="00051297" w:rsidP="00051297">
      <w:pPr>
        <w:rPr>
          <w:lang w:val="en-US"/>
        </w:rPr>
      </w:pPr>
    </w:p>
    <w:p w14:paraId="3F4E09AD" w14:textId="7FA1E57D" w:rsidR="00051297" w:rsidRPr="00051297" w:rsidRDefault="00051297" w:rsidP="00973C1E">
      <w:pPr>
        <w:pStyle w:val="1"/>
        <w:rPr>
          <w:lang w:val="en-US"/>
        </w:rPr>
      </w:pPr>
      <w:bookmarkStart w:id="795" w:name="_Toc103543945"/>
      <w:bookmarkStart w:id="796" w:name="_Toc104985270"/>
      <w:r w:rsidRPr="00051297">
        <w:rPr>
          <w:lang w:val="en-US"/>
        </w:rPr>
        <w:lastRenderedPageBreak/>
        <w:t>Seepage and slope stability analysis based on virtual models</w:t>
      </w:r>
      <w:bookmarkEnd w:id="795"/>
      <w:bookmarkEnd w:id="796"/>
    </w:p>
    <w:p w14:paraId="2FD60013" w14:textId="7B7D9EE9" w:rsidR="00051297" w:rsidRPr="00F97DFC" w:rsidRDefault="00051297" w:rsidP="00973C1E">
      <w:pPr>
        <w:pStyle w:val="2"/>
        <w:rPr>
          <w:lang w:val="en-US"/>
        </w:rPr>
      </w:pPr>
      <w:bookmarkStart w:id="797" w:name="_Toc97504812"/>
      <w:bookmarkStart w:id="798" w:name="_Toc103543946"/>
      <w:bookmarkStart w:id="799" w:name="_Toc104985271"/>
      <w:r w:rsidRPr="00F97DFC">
        <w:rPr>
          <w:lang w:val="en-US"/>
        </w:rPr>
        <w:t>Homogeneous case with water level</w:t>
      </w:r>
      <w:bookmarkStart w:id="800" w:name="_Hlk74178160"/>
      <w:r w:rsidRPr="00F97DFC">
        <w:rPr>
          <w:lang w:val="en-US"/>
        </w:rPr>
        <w:t>: The potential effects caused by long-term water level changes on embankment slope stability under rapid drawdown</w:t>
      </w:r>
      <w:bookmarkEnd w:id="797"/>
      <w:bookmarkEnd w:id="798"/>
      <w:bookmarkEnd w:id="799"/>
      <w:bookmarkEnd w:id="800"/>
    </w:p>
    <w:p w14:paraId="3FCDA4A8" w14:textId="2489E22C" w:rsidR="00051297" w:rsidRPr="00051297" w:rsidRDefault="00051297" w:rsidP="00973C1E">
      <w:pPr>
        <w:pStyle w:val="3"/>
        <w:rPr>
          <w:lang w:bidi="en-US"/>
        </w:rPr>
      </w:pPr>
      <w:bookmarkStart w:id="801" w:name="_Toc97504813"/>
      <w:bookmarkStart w:id="802" w:name="_Toc103543947"/>
      <w:bookmarkStart w:id="803" w:name="_Toc104985272"/>
      <w:r w:rsidRPr="00051297">
        <w:rPr>
          <w:lang w:bidi="en-US"/>
        </w:rPr>
        <w:t>Materials and methods</w:t>
      </w:r>
      <w:bookmarkEnd w:id="801"/>
      <w:bookmarkEnd w:id="802"/>
      <w:bookmarkEnd w:id="803"/>
    </w:p>
    <w:p w14:paraId="4F328D02" w14:textId="06089A36" w:rsidR="00051297" w:rsidRPr="00051297" w:rsidRDefault="00051297" w:rsidP="00973C1E">
      <w:pPr>
        <w:pStyle w:val="4"/>
        <w:rPr>
          <w:lang w:val="en-US" w:bidi="en-US"/>
        </w:rPr>
      </w:pPr>
      <w:bookmarkStart w:id="804" w:name="_Toc97504814"/>
      <w:bookmarkStart w:id="805" w:name="_Toc103543948"/>
      <w:bookmarkStart w:id="806" w:name="_Toc104985273"/>
      <w:r w:rsidRPr="00051297">
        <w:rPr>
          <w:lang w:val="en-US" w:bidi="en-US"/>
        </w:rPr>
        <w:t>General description of the numerical simulation</w:t>
      </w:r>
      <w:bookmarkEnd w:id="804"/>
      <w:bookmarkEnd w:id="805"/>
      <w:bookmarkEnd w:id="806"/>
    </w:p>
    <w:p w14:paraId="6158669B" w14:textId="50056CA5" w:rsidR="00051297" w:rsidRPr="00051297" w:rsidRDefault="00051297" w:rsidP="00051297">
      <w:pPr>
        <w:ind w:firstLine="567"/>
        <w:rPr>
          <w:rFonts w:cs="Times New Roman"/>
          <w:szCs w:val="24"/>
          <w:lang w:val="en-US" w:bidi="en-US"/>
        </w:rPr>
      </w:pPr>
      <w:r w:rsidRPr="00051297">
        <w:rPr>
          <w:rFonts w:cs="Times New Roman"/>
          <w:szCs w:val="24"/>
          <w:lang w:val="en-US" w:bidi="en-US"/>
        </w:rPr>
        <w:t>To investigate the influence of a rapid drawdown on the slopes, FEM analyses were performed for three different cases as determined by the initial maximum water levels (</w:t>
      </w:r>
      <w:r w:rsidRPr="00051297">
        <w:rPr>
          <w:rFonts w:cs="Times New Roman"/>
          <w:szCs w:val="24"/>
          <w:lang w:val="en-US" w:bidi="en-US"/>
        </w:rPr>
        <w:fldChar w:fldCharType="begin"/>
      </w:r>
      <w:r w:rsidRPr="00051297">
        <w:rPr>
          <w:rFonts w:cs="Times New Roman"/>
          <w:szCs w:val="24"/>
          <w:lang w:val="en-US" w:bidi="en-US"/>
        </w:rPr>
        <w:instrText xml:space="preserve"> REF _Ref98104997 \h </w:instrText>
      </w:r>
      <w:r w:rsidRPr="00051297">
        <w:rPr>
          <w:rFonts w:cs="Times New Roman"/>
          <w:szCs w:val="24"/>
          <w:lang w:val="en-US" w:bidi="en-US"/>
        </w:rPr>
      </w:r>
      <w:r w:rsidRPr="00051297">
        <w:rPr>
          <w:rFonts w:cs="Times New Roman"/>
          <w:szCs w:val="24"/>
          <w:lang w:val="en-US" w:bidi="en-US"/>
        </w:rPr>
        <w:fldChar w:fldCharType="separate"/>
      </w:r>
      <w:r w:rsidR="004870F1" w:rsidRPr="00F97DFC">
        <w:rPr>
          <w:lang w:val="en-US"/>
        </w:rPr>
        <w:t xml:space="preserve">Table </w:t>
      </w:r>
      <w:r w:rsidR="004870F1">
        <w:rPr>
          <w:noProof/>
          <w:lang w:val="en-US"/>
        </w:rPr>
        <w:t>4</w:t>
      </w:r>
      <w:r w:rsidR="004870F1" w:rsidRPr="00F97DFC">
        <w:rPr>
          <w:lang w:val="en-US"/>
        </w:rPr>
        <w:t>.</w:t>
      </w:r>
      <w:r w:rsidR="004870F1">
        <w:rPr>
          <w:noProof/>
          <w:lang w:val="en-US"/>
        </w:rPr>
        <w:t>1</w:t>
      </w:r>
      <w:r w:rsidRPr="00051297">
        <w:rPr>
          <w:rFonts w:cs="Times New Roman"/>
          <w:szCs w:val="24"/>
          <w:lang w:val="en-US" w:bidi="en-US"/>
        </w:rPr>
        <w:fldChar w:fldCharType="end"/>
      </w:r>
      <w:r w:rsidRPr="00051297">
        <w:rPr>
          <w:rFonts w:cs="Times New Roman"/>
          <w:szCs w:val="24"/>
          <w:lang w:val="en-US" w:bidi="en-US"/>
        </w:rPr>
        <w:t>). The modeling process in this study was achieved using the GeoStudio software packages (GeoStudio 2018 R2 v9.1.1.16749). Mainly SEEP/W and SLOPE/W sub-units were used for the seepage analysis and slope stability analysis, respectively.</w:t>
      </w:r>
    </w:p>
    <w:p w14:paraId="17654332" w14:textId="227F5138" w:rsidR="00051297" w:rsidRPr="00F97DFC" w:rsidRDefault="00051297" w:rsidP="00051297">
      <w:pPr>
        <w:rPr>
          <w:lang w:val="en-US" w:bidi="en-US"/>
        </w:rPr>
      </w:pPr>
      <w:bookmarkStart w:id="807" w:name="_Ref98104997"/>
      <w:bookmarkStart w:id="808" w:name="_Toc97077199"/>
      <w:bookmarkStart w:id="809" w:name="_Toc103544249"/>
      <w:bookmarkStart w:id="810" w:name="_Toc104985575"/>
      <w:r w:rsidRPr="00F97DFC">
        <w:rPr>
          <w:lang w:val="en-US"/>
        </w:rPr>
        <w:t xml:space="preserve">Table </w:t>
      </w:r>
      <w:r w:rsidR="00BF3324">
        <w:fldChar w:fldCharType="begin"/>
      </w:r>
      <w:r w:rsidR="00BF3324" w:rsidRPr="00F97DFC">
        <w:rPr>
          <w:lang w:val="en-US"/>
        </w:rPr>
        <w:instrText xml:space="preserve"> STYLEREF 1 \s </w:instrText>
      </w:r>
      <w:r w:rsidR="00BF3324">
        <w:fldChar w:fldCharType="separate"/>
      </w:r>
      <w:r w:rsidR="004870F1">
        <w:rPr>
          <w:noProof/>
          <w:lang w:val="en-US"/>
        </w:rPr>
        <w:t>4</w:t>
      </w:r>
      <w:r w:rsidR="00BF3324">
        <w:rPr>
          <w:noProof/>
        </w:rPr>
        <w:fldChar w:fldCharType="end"/>
      </w:r>
      <w:r w:rsidRPr="00F97DFC">
        <w:rPr>
          <w:lang w:val="en-US"/>
        </w:rPr>
        <w:t>.</w:t>
      </w:r>
      <w:r w:rsidR="00BF3324">
        <w:fldChar w:fldCharType="begin"/>
      </w:r>
      <w:r w:rsidR="00BF3324" w:rsidRPr="00F97DFC">
        <w:rPr>
          <w:lang w:val="en-US"/>
        </w:rPr>
        <w:instrText xml:space="preserve"> SEQ Table \* ARABIC \s 1 </w:instrText>
      </w:r>
      <w:r w:rsidR="00BF3324">
        <w:fldChar w:fldCharType="separate"/>
      </w:r>
      <w:r w:rsidR="004870F1">
        <w:rPr>
          <w:noProof/>
          <w:lang w:val="en-US"/>
        </w:rPr>
        <w:t>1</w:t>
      </w:r>
      <w:r w:rsidR="00BF3324">
        <w:rPr>
          <w:noProof/>
        </w:rPr>
        <w:fldChar w:fldCharType="end"/>
      </w:r>
      <w:bookmarkEnd w:id="807"/>
      <w:r w:rsidRPr="00F97DFC">
        <w:rPr>
          <w:b/>
          <w:bCs/>
          <w:lang w:val="en-US" w:bidi="en-US"/>
        </w:rPr>
        <w:t xml:space="preserve"> </w:t>
      </w:r>
      <w:r w:rsidRPr="00F97DFC">
        <w:rPr>
          <w:lang w:val="en-US" w:bidi="en-US"/>
        </w:rPr>
        <w:t>– General cases of the investigation</w:t>
      </w:r>
      <w:bookmarkEnd w:id="808"/>
      <w:bookmarkEnd w:id="809"/>
      <w:bookmarkEnd w:id="81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3115"/>
        <w:gridCol w:w="3115"/>
      </w:tblGrid>
      <w:tr w:rsidR="00051297" w:rsidRPr="00051297" w14:paraId="3D757B73" w14:textId="77777777" w:rsidTr="00D20B01">
        <w:trPr>
          <w:jc w:val="center"/>
        </w:trPr>
        <w:tc>
          <w:tcPr>
            <w:tcW w:w="3116" w:type="dxa"/>
          </w:tcPr>
          <w:p w14:paraId="22CF8472" w14:textId="77777777" w:rsidR="00051297" w:rsidRPr="00051297" w:rsidRDefault="00051297" w:rsidP="00051297">
            <w:pPr>
              <w:spacing w:line="240" w:lineRule="auto"/>
              <w:ind w:firstLine="0"/>
              <w:jc w:val="center"/>
            </w:pPr>
            <w:r w:rsidRPr="00051297">
              <w:t>Study</w:t>
            </w:r>
          </w:p>
        </w:tc>
        <w:tc>
          <w:tcPr>
            <w:tcW w:w="3117" w:type="dxa"/>
          </w:tcPr>
          <w:p w14:paraId="0E18D47F" w14:textId="77777777" w:rsidR="00051297" w:rsidRPr="00051297" w:rsidRDefault="00051297" w:rsidP="00051297">
            <w:pPr>
              <w:spacing w:line="240" w:lineRule="auto"/>
              <w:ind w:firstLine="0"/>
              <w:jc w:val="center"/>
            </w:pPr>
            <w:r w:rsidRPr="00051297">
              <w:t>Maximum water level (m)</w:t>
            </w:r>
          </w:p>
        </w:tc>
        <w:tc>
          <w:tcPr>
            <w:tcW w:w="3117" w:type="dxa"/>
          </w:tcPr>
          <w:p w14:paraId="699CBFC3" w14:textId="77777777" w:rsidR="00051297" w:rsidRPr="00051297" w:rsidRDefault="00051297" w:rsidP="00051297">
            <w:pPr>
              <w:spacing w:line="240" w:lineRule="auto"/>
              <w:ind w:firstLine="0"/>
              <w:jc w:val="center"/>
            </w:pPr>
            <w:r w:rsidRPr="00051297">
              <w:t>Freeboard (m)</w:t>
            </w:r>
          </w:p>
        </w:tc>
      </w:tr>
      <w:tr w:rsidR="00051297" w:rsidRPr="00051297" w14:paraId="6AB32B2A" w14:textId="77777777" w:rsidTr="00D20B01">
        <w:trPr>
          <w:jc w:val="center"/>
        </w:trPr>
        <w:tc>
          <w:tcPr>
            <w:tcW w:w="3116" w:type="dxa"/>
          </w:tcPr>
          <w:p w14:paraId="5F0DBBEC" w14:textId="77777777" w:rsidR="00051297" w:rsidRPr="00051297" w:rsidRDefault="00051297" w:rsidP="00051297">
            <w:pPr>
              <w:spacing w:line="240" w:lineRule="auto"/>
              <w:ind w:firstLine="0"/>
              <w:jc w:val="center"/>
            </w:pPr>
            <w:r w:rsidRPr="00051297">
              <w:t>Case I</w:t>
            </w:r>
          </w:p>
        </w:tc>
        <w:tc>
          <w:tcPr>
            <w:tcW w:w="3117" w:type="dxa"/>
          </w:tcPr>
          <w:p w14:paraId="2CEF4213" w14:textId="77777777" w:rsidR="00051297" w:rsidRPr="00051297" w:rsidRDefault="00051297" w:rsidP="00051297">
            <w:pPr>
              <w:spacing w:line="240" w:lineRule="auto"/>
              <w:ind w:firstLine="0"/>
              <w:jc w:val="center"/>
            </w:pPr>
            <w:r w:rsidRPr="00051297">
              <w:t>10</w:t>
            </w:r>
          </w:p>
        </w:tc>
        <w:tc>
          <w:tcPr>
            <w:tcW w:w="3117" w:type="dxa"/>
          </w:tcPr>
          <w:p w14:paraId="71C6979C" w14:textId="77777777" w:rsidR="00051297" w:rsidRPr="00051297" w:rsidRDefault="00051297" w:rsidP="00051297">
            <w:pPr>
              <w:spacing w:line="240" w:lineRule="auto"/>
              <w:ind w:firstLine="0"/>
              <w:jc w:val="center"/>
            </w:pPr>
            <w:r w:rsidRPr="00051297">
              <w:t>3</w:t>
            </w:r>
          </w:p>
        </w:tc>
      </w:tr>
      <w:tr w:rsidR="00051297" w:rsidRPr="00051297" w14:paraId="7FA97519" w14:textId="77777777" w:rsidTr="00D20B01">
        <w:trPr>
          <w:jc w:val="center"/>
        </w:trPr>
        <w:tc>
          <w:tcPr>
            <w:tcW w:w="3116" w:type="dxa"/>
          </w:tcPr>
          <w:p w14:paraId="768BCEE2" w14:textId="77777777" w:rsidR="00051297" w:rsidRPr="00051297" w:rsidRDefault="00051297" w:rsidP="00051297">
            <w:pPr>
              <w:spacing w:line="240" w:lineRule="auto"/>
              <w:ind w:firstLine="0"/>
              <w:jc w:val="center"/>
            </w:pPr>
            <w:r w:rsidRPr="00051297">
              <w:t>Case II</w:t>
            </w:r>
          </w:p>
        </w:tc>
        <w:tc>
          <w:tcPr>
            <w:tcW w:w="3117" w:type="dxa"/>
          </w:tcPr>
          <w:p w14:paraId="6C8CB221" w14:textId="77777777" w:rsidR="00051297" w:rsidRPr="00051297" w:rsidRDefault="00051297" w:rsidP="00051297">
            <w:pPr>
              <w:spacing w:line="240" w:lineRule="auto"/>
              <w:ind w:firstLine="0"/>
              <w:jc w:val="center"/>
            </w:pPr>
            <w:r w:rsidRPr="00051297">
              <w:t>8</w:t>
            </w:r>
          </w:p>
        </w:tc>
        <w:tc>
          <w:tcPr>
            <w:tcW w:w="3117" w:type="dxa"/>
          </w:tcPr>
          <w:p w14:paraId="6C9A89E8" w14:textId="77777777" w:rsidR="00051297" w:rsidRPr="00051297" w:rsidRDefault="00051297" w:rsidP="00051297">
            <w:pPr>
              <w:spacing w:line="240" w:lineRule="auto"/>
              <w:ind w:firstLine="0"/>
              <w:jc w:val="center"/>
            </w:pPr>
            <w:r w:rsidRPr="00051297">
              <w:t>5</w:t>
            </w:r>
          </w:p>
        </w:tc>
      </w:tr>
      <w:tr w:rsidR="00051297" w:rsidRPr="00051297" w14:paraId="043C56AA" w14:textId="77777777" w:rsidTr="00D20B01">
        <w:trPr>
          <w:jc w:val="center"/>
        </w:trPr>
        <w:tc>
          <w:tcPr>
            <w:tcW w:w="3116" w:type="dxa"/>
          </w:tcPr>
          <w:p w14:paraId="22FE4EF9" w14:textId="77777777" w:rsidR="00051297" w:rsidRPr="00051297" w:rsidRDefault="00051297" w:rsidP="00051297">
            <w:pPr>
              <w:spacing w:line="240" w:lineRule="auto"/>
              <w:ind w:firstLine="0"/>
              <w:jc w:val="center"/>
            </w:pPr>
            <w:r w:rsidRPr="00051297">
              <w:t>Case III</w:t>
            </w:r>
          </w:p>
        </w:tc>
        <w:tc>
          <w:tcPr>
            <w:tcW w:w="3117" w:type="dxa"/>
          </w:tcPr>
          <w:p w14:paraId="112868EC" w14:textId="77777777" w:rsidR="00051297" w:rsidRPr="00051297" w:rsidRDefault="00051297" w:rsidP="00051297">
            <w:pPr>
              <w:spacing w:line="240" w:lineRule="auto"/>
              <w:ind w:firstLine="0"/>
              <w:jc w:val="center"/>
            </w:pPr>
            <w:r w:rsidRPr="00051297">
              <w:t>6</w:t>
            </w:r>
          </w:p>
        </w:tc>
        <w:tc>
          <w:tcPr>
            <w:tcW w:w="3117" w:type="dxa"/>
          </w:tcPr>
          <w:p w14:paraId="564DDDA1" w14:textId="77777777" w:rsidR="00051297" w:rsidRPr="00051297" w:rsidRDefault="00051297" w:rsidP="00051297">
            <w:pPr>
              <w:spacing w:line="240" w:lineRule="auto"/>
              <w:ind w:firstLine="0"/>
              <w:jc w:val="center"/>
            </w:pPr>
            <w:r w:rsidRPr="00051297">
              <w:t>7</w:t>
            </w:r>
          </w:p>
        </w:tc>
      </w:tr>
    </w:tbl>
    <w:p w14:paraId="19D55DD3" w14:textId="77777777" w:rsidR="00051297" w:rsidRPr="00051297" w:rsidRDefault="00051297" w:rsidP="00051297">
      <w:pPr>
        <w:ind w:firstLine="706"/>
        <w:rPr>
          <w:rFonts w:cs="Times New Roman"/>
          <w:szCs w:val="24"/>
        </w:rPr>
      </w:pPr>
    </w:p>
    <w:p w14:paraId="297D259F" w14:textId="7968E838" w:rsidR="00051297" w:rsidRPr="00051297" w:rsidRDefault="00051297" w:rsidP="00973C1E">
      <w:pPr>
        <w:pStyle w:val="4"/>
        <w:rPr>
          <w:lang w:bidi="en-US"/>
        </w:rPr>
      </w:pPr>
      <w:bookmarkStart w:id="811" w:name="_Toc103543949"/>
      <w:bookmarkStart w:id="812" w:name="_Toc104985274"/>
      <w:r w:rsidRPr="00051297">
        <w:rPr>
          <w:lang w:bidi="en-US"/>
        </w:rPr>
        <w:t>The geometry of the embankment</w:t>
      </w:r>
      <w:bookmarkEnd w:id="811"/>
      <w:bookmarkEnd w:id="812"/>
    </w:p>
    <w:p w14:paraId="4119008E" w14:textId="365F4DFF" w:rsidR="00051297" w:rsidRPr="00051297" w:rsidRDefault="00051297" w:rsidP="00051297">
      <w:pPr>
        <w:ind w:firstLine="706"/>
        <w:rPr>
          <w:rFonts w:cs="Times New Roman"/>
          <w:szCs w:val="24"/>
          <w:lang w:val="en-US" w:bidi="en-US"/>
        </w:rPr>
      </w:pPr>
      <w:r w:rsidRPr="00051297">
        <w:rPr>
          <w:rFonts w:cs="Times New Roman"/>
          <w:szCs w:val="24"/>
          <w:lang w:val="en-US" w:bidi="en-US"/>
        </w:rPr>
        <w:t>While modifying the starting maximum water levels in the reservoir, the shape of the embankment was kept constant in all three primary experiments. The embankment width was approximately 59 m wide at the base and 7 m at the top, and 13 m high (</w:t>
      </w:r>
      <w:r w:rsidRPr="00051297">
        <w:rPr>
          <w:rFonts w:cs="Times New Roman"/>
          <w:szCs w:val="24"/>
          <w:lang w:val="en-US" w:bidi="en-US"/>
        </w:rPr>
        <w:fldChar w:fldCharType="begin"/>
      </w:r>
      <w:r w:rsidRPr="00051297">
        <w:rPr>
          <w:rFonts w:cs="Times New Roman"/>
          <w:szCs w:val="24"/>
          <w:lang w:val="en-US" w:bidi="en-US"/>
        </w:rPr>
        <w:instrText xml:space="preserve"> REF _Ref98105017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w:t>
      </w:r>
      <w:r w:rsidRPr="00051297">
        <w:rPr>
          <w:rFonts w:cs="Times New Roman"/>
          <w:szCs w:val="24"/>
          <w:lang w:val="en-US" w:bidi="en-US"/>
        </w:rPr>
        <w:fldChar w:fldCharType="end"/>
      </w:r>
      <w:r w:rsidRPr="00051297">
        <w:rPr>
          <w:rFonts w:cs="Times New Roman"/>
          <w:szCs w:val="24"/>
          <w:lang w:val="en-US" w:bidi="en-US"/>
        </w:rPr>
        <w:t xml:space="preserve">). Also, the embankment was provided with a toe drain to prevent water from exiting along the downstream slope face. The heads in the reservoir before drawdown were 10 m, 8 m, and 6 m. </w:t>
      </w:r>
    </w:p>
    <w:p w14:paraId="77371F79" w14:textId="77777777" w:rsidR="00051297" w:rsidRPr="00051297" w:rsidRDefault="00051297" w:rsidP="00051297">
      <w:pPr>
        <w:ind w:firstLine="706"/>
        <w:rPr>
          <w:rFonts w:cs="Times New Roman"/>
          <w:szCs w:val="24"/>
          <w:lang w:val="en-US" w:bidi="en-US"/>
        </w:rPr>
      </w:pPr>
      <w:r w:rsidRPr="00051297">
        <w:rPr>
          <w:rFonts w:cs="Times New Roman"/>
          <w:szCs w:val="24"/>
          <w:lang w:val="en-US" w:bidi="en-US"/>
        </w:rPr>
        <w:t xml:space="preserve">To simulate the toe drain, a zero-pressure head boundary condition was applied to the toe drain region. The results from steady-state Parent Analysis were used as the initial conditions for the Instantaneous drawdown and the 5-day drawdown. </w:t>
      </w:r>
    </w:p>
    <w:p w14:paraId="18BF67A2" w14:textId="0016930B" w:rsidR="00051297" w:rsidRPr="00051297" w:rsidRDefault="00051297" w:rsidP="00051297">
      <w:pPr>
        <w:ind w:firstLine="706"/>
        <w:rPr>
          <w:rFonts w:cs="Times New Roman"/>
          <w:szCs w:val="24"/>
          <w:lang w:val="en-US" w:bidi="en-US"/>
        </w:rPr>
      </w:pPr>
      <w:r w:rsidRPr="00051297">
        <w:rPr>
          <w:rFonts w:cs="Times New Roman"/>
          <w:szCs w:val="24"/>
          <w:lang w:val="en-US" w:bidi="en-US"/>
        </w:rPr>
        <w:t xml:space="preserve">The top width is an important parameter when designing an earthen dam and is a function of its height. Normally, the minimum top width should be designed in such a way that it can provide a safe percolation gradient at full reservoir operating conditions. Equation </w:t>
      </w:r>
      <w:r w:rsidRPr="00051297">
        <w:rPr>
          <w:rFonts w:cs="Times New Roman"/>
          <w:szCs w:val="24"/>
          <w:lang w:val="en-US" w:bidi="en-US"/>
        </w:rPr>
        <w:fldChar w:fldCharType="begin"/>
      </w:r>
      <w:r w:rsidRPr="00051297">
        <w:rPr>
          <w:rFonts w:cs="Times New Roman"/>
          <w:szCs w:val="24"/>
          <w:lang w:val="en-US" w:bidi="en-US"/>
        </w:rPr>
        <w:instrText xml:space="preserve"> REF _Ref103555526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pl-PL"/>
        </w:rPr>
        <w:t>(</w:t>
      </w:r>
      <w:r w:rsidR="004870F1">
        <w:rPr>
          <w:rFonts w:cs="Times New Roman"/>
          <w:noProof/>
          <w:szCs w:val="24"/>
          <w:lang w:val="pl-PL"/>
        </w:rPr>
        <w:t>4</w:t>
      </w:r>
      <w:r w:rsidR="004870F1" w:rsidRPr="00051297">
        <w:rPr>
          <w:rFonts w:cs="Times New Roman"/>
          <w:szCs w:val="24"/>
          <w:lang w:val="pl-PL"/>
        </w:rPr>
        <w:t>.</w:t>
      </w:r>
      <w:r w:rsidR="004870F1">
        <w:rPr>
          <w:rFonts w:cs="Times New Roman"/>
          <w:noProof/>
          <w:szCs w:val="24"/>
          <w:lang w:val="pl-PL"/>
        </w:rPr>
        <w:t>1</w:t>
      </w:r>
      <w:r w:rsidR="004870F1" w:rsidRPr="00051297">
        <w:rPr>
          <w:rFonts w:cs="Times New Roman"/>
          <w:szCs w:val="24"/>
          <w:lang w:val="pl-PL"/>
        </w:rPr>
        <w:t>)</w:t>
      </w:r>
      <w:r w:rsidRPr="00051297">
        <w:rPr>
          <w:rFonts w:cs="Times New Roman"/>
          <w:szCs w:val="24"/>
          <w:lang w:val="en-US" w:bidi="en-US"/>
        </w:rPr>
        <w:fldChar w:fldCharType="end"/>
      </w:r>
      <w:r w:rsidRPr="00051297">
        <w:rPr>
          <w:rFonts w:cs="Times New Roman"/>
          <w:szCs w:val="24"/>
          <w:lang w:val="en-US" w:bidi="en-US"/>
        </w:rPr>
        <w:t xml:space="preserve"> provides a summary of the formula used in the estimation of the minimum top width of the study embankment.</w:t>
      </w:r>
    </w:p>
    <w:tbl>
      <w:tblPr>
        <w:tblW w:w="0" w:type="auto"/>
        <w:tblLook w:val="04A0" w:firstRow="1" w:lastRow="0" w:firstColumn="1" w:lastColumn="0" w:noHBand="0" w:noVBand="1"/>
      </w:tblPr>
      <w:tblGrid>
        <w:gridCol w:w="259"/>
        <w:gridCol w:w="7713"/>
        <w:gridCol w:w="1382"/>
      </w:tblGrid>
      <w:tr w:rsidR="00051297" w:rsidRPr="00051297" w14:paraId="42A53E5A" w14:textId="77777777" w:rsidTr="00D20B01">
        <w:tc>
          <w:tcPr>
            <w:tcW w:w="260" w:type="dxa"/>
          </w:tcPr>
          <w:p w14:paraId="01F7834D" w14:textId="77777777" w:rsidR="00051297" w:rsidRPr="00051297" w:rsidRDefault="00051297" w:rsidP="00051297">
            <w:pPr>
              <w:ind w:firstLine="706"/>
              <w:rPr>
                <w:rFonts w:cs="Times New Roman"/>
                <w:szCs w:val="24"/>
                <w:lang w:val="pl-PL"/>
              </w:rPr>
            </w:pPr>
          </w:p>
        </w:tc>
        <w:tc>
          <w:tcPr>
            <w:tcW w:w="7915" w:type="dxa"/>
          </w:tcPr>
          <w:p w14:paraId="0F74E576" w14:textId="77777777" w:rsidR="00051297" w:rsidRPr="00051297" w:rsidRDefault="00051297" w:rsidP="00051297">
            <w:pPr>
              <w:rPr>
                <w:rFonts w:cs="Times New Roman"/>
                <w:szCs w:val="24"/>
                <w:lang w:val="pl-PL"/>
              </w:rPr>
            </w:pPr>
            <m:oMathPara>
              <m:oMathParaPr>
                <m:jc m:val="center"/>
              </m:oMathParaPr>
              <m:oMath>
                <m:r>
                  <w:rPr>
                    <w:rFonts w:ascii="Cambria Math" w:hAnsi="Cambria Math" w:cs="Times New Roman"/>
                    <w:szCs w:val="24"/>
                    <w:lang w:val="pl-PL"/>
                  </w:rPr>
                  <m:t>W</m:t>
                </m:r>
                <m:r>
                  <m:rPr>
                    <m:sty m:val="p"/>
                  </m:rPr>
                  <w:rPr>
                    <w:rFonts w:ascii="Cambria Math" w:hAnsi="Cambria Math" w:cs="Times New Roman"/>
                    <w:szCs w:val="24"/>
                    <w:lang w:val="pl-PL"/>
                  </w:rPr>
                  <m:t>=</m:t>
                </m:r>
                <m:sSup>
                  <m:sSupPr>
                    <m:ctrlPr>
                      <w:rPr>
                        <w:rFonts w:ascii="Cambria Math" w:hAnsi="Cambria Math" w:cs="Times New Roman"/>
                        <w:szCs w:val="24"/>
                        <w:lang w:val="pl-PL"/>
                      </w:rPr>
                    </m:ctrlPr>
                  </m:sSupPr>
                  <m:e>
                    <m:r>
                      <m:rPr>
                        <m:sty m:val="p"/>
                      </m:rPr>
                      <w:rPr>
                        <w:rFonts w:ascii="Cambria Math" w:hAnsi="Cambria Math" w:cs="Times New Roman"/>
                        <w:szCs w:val="24"/>
                        <w:lang w:val="pl-PL"/>
                      </w:rPr>
                      <m:t>1.65(</m:t>
                    </m:r>
                    <m:r>
                      <w:rPr>
                        <w:rFonts w:ascii="Cambria Math" w:hAnsi="Cambria Math" w:cs="Times New Roman"/>
                        <w:szCs w:val="24"/>
                        <w:lang w:val="pl-PL"/>
                      </w:rPr>
                      <m:t>H</m:t>
                    </m:r>
                    <m:r>
                      <m:rPr>
                        <m:sty m:val="p"/>
                      </m:rPr>
                      <w:rPr>
                        <w:rFonts w:ascii="Cambria Math" w:hAnsi="Cambria Math" w:cs="Times New Roman"/>
                        <w:szCs w:val="24"/>
                        <w:lang w:val="pl-PL"/>
                      </w:rPr>
                      <m:t>+1.5)</m:t>
                    </m:r>
                  </m:e>
                  <m:sup>
                    <m:f>
                      <m:fPr>
                        <m:ctrlPr>
                          <w:rPr>
                            <w:rFonts w:ascii="Cambria Math" w:hAnsi="Cambria Math" w:cs="Times New Roman"/>
                            <w:szCs w:val="24"/>
                            <w:lang w:val="pl-PL"/>
                          </w:rPr>
                        </m:ctrlPr>
                      </m:fPr>
                      <m:num>
                        <m:r>
                          <m:rPr>
                            <m:sty m:val="p"/>
                          </m:rPr>
                          <w:rPr>
                            <w:rFonts w:ascii="Cambria Math" w:hAnsi="Cambria Math" w:cs="Times New Roman"/>
                            <w:szCs w:val="24"/>
                            <w:lang w:val="pl-PL"/>
                          </w:rPr>
                          <m:t>1</m:t>
                        </m:r>
                      </m:num>
                      <m:den>
                        <m:r>
                          <m:rPr>
                            <m:sty m:val="p"/>
                          </m:rPr>
                          <w:rPr>
                            <w:rFonts w:ascii="Cambria Math" w:hAnsi="Cambria Math" w:cs="Times New Roman"/>
                            <w:szCs w:val="24"/>
                            <w:lang w:val="pl-PL"/>
                          </w:rPr>
                          <m:t>2</m:t>
                        </m:r>
                      </m:den>
                    </m:f>
                  </m:sup>
                </m:sSup>
              </m:oMath>
            </m:oMathPara>
          </w:p>
        </w:tc>
        <w:tc>
          <w:tcPr>
            <w:tcW w:w="1179" w:type="dxa"/>
          </w:tcPr>
          <w:p w14:paraId="12939419" w14:textId="6FA9D78F" w:rsidR="00051297" w:rsidRPr="00051297" w:rsidRDefault="00051297" w:rsidP="00051297">
            <w:pPr>
              <w:ind w:firstLine="706"/>
            </w:pPr>
            <w:bookmarkStart w:id="813" w:name="_Ref103555526"/>
            <w:r w:rsidRPr="00051297">
              <w:rPr>
                <w:rFonts w:cs="Times New Roman"/>
                <w:szCs w:val="24"/>
                <w:lang w:val="pl-PL"/>
              </w:rPr>
              <w:t>(</w:t>
            </w:r>
            <w:r w:rsidRPr="00051297">
              <w:rPr>
                <w:rFonts w:cs="Times New Roman"/>
                <w:szCs w:val="24"/>
                <w:lang w:val="pl-PL"/>
              </w:rPr>
              <w:fldChar w:fldCharType="begin"/>
            </w:r>
            <w:r w:rsidRPr="00051297">
              <w:rPr>
                <w:rFonts w:cs="Times New Roman"/>
                <w:szCs w:val="24"/>
                <w:lang w:val="pl-PL"/>
              </w:rPr>
              <w:instrText xml:space="preserve"> STYLEREF 1 \s </w:instrText>
            </w:r>
            <w:r w:rsidRPr="00051297">
              <w:rPr>
                <w:rFonts w:cs="Times New Roman"/>
                <w:szCs w:val="24"/>
                <w:lang w:val="pl-PL"/>
              </w:rPr>
              <w:fldChar w:fldCharType="separate"/>
            </w:r>
            <w:r w:rsidR="004870F1">
              <w:rPr>
                <w:rFonts w:cs="Times New Roman"/>
                <w:noProof/>
                <w:szCs w:val="24"/>
                <w:lang w:val="pl-PL"/>
              </w:rPr>
              <w:t>4</w:t>
            </w:r>
            <w:r w:rsidRPr="00051297">
              <w:rPr>
                <w:rFonts w:cs="Times New Roman"/>
                <w:szCs w:val="24"/>
                <w:lang w:val="pl-PL"/>
              </w:rPr>
              <w:fldChar w:fldCharType="end"/>
            </w:r>
            <w:r w:rsidRPr="00051297">
              <w:rPr>
                <w:rFonts w:cs="Times New Roman"/>
                <w:szCs w:val="24"/>
                <w:lang w:val="pl-PL"/>
              </w:rPr>
              <w:t>.</w:t>
            </w:r>
            <w:r w:rsidRPr="00051297">
              <w:rPr>
                <w:rFonts w:cs="Times New Roman"/>
                <w:szCs w:val="24"/>
                <w:lang w:val="pl-PL"/>
              </w:rPr>
              <w:fldChar w:fldCharType="begin"/>
            </w:r>
            <w:r w:rsidRPr="00051297">
              <w:rPr>
                <w:rFonts w:cs="Times New Roman"/>
                <w:szCs w:val="24"/>
                <w:lang w:val="pl-PL"/>
              </w:rPr>
              <w:instrText xml:space="preserve"> SEQ Equation \* ARABIC \s 1 </w:instrText>
            </w:r>
            <w:r w:rsidRPr="00051297">
              <w:rPr>
                <w:rFonts w:cs="Times New Roman"/>
                <w:szCs w:val="24"/>
                <w:lang w:val="pl-PL"/>
              </w:rPr>
              <w:fldChar w:fldCharType="separate"/>
            </w:r>
            <w:r w:rsidR="004870F1">
              <w:rPr>
                <w:rFonts w:cs="Times New Roman"/>
                <w:noProof/>
                <w:szCs w:val="24"/>
                <w:lang w:val="pl-PL"/>
              </w:rPr>
              <w:t>1</w:t>
            </w:r>
            <w:r w:rsidRPr="00051297">
              <w:rPr>
                <w:rFonts w:cs="Times New Roman"/>
                <w:szCs w:val="24"/>
                <w:lang w:val="pl-PL"/>
              </w:rPr>
              <w:fldChar w:fldCharType="end"/>
            </w:r>
            <w:r w:rsidRPr="00051297">
              <w:rPr>
                <w:rFonts w:cs="Times New Roman"/>
                <w:szCs w:val="24"/>
                <w:lang w:val="pl-PL"/>
              </w:rPr>
              <w:t>)</w:t>
            </w:r>
            <w:bookmarkEnd w:id="813"/>
          </w:p>
        </w:tc>
      </w:tr>
    </w:tbl>
    <w:p w14:paraId="5855D02C" w14:textId="77777777" w:rsidR="00051297" w:rsidRPr="00051297" w:rsidRDefault="00051297" w:rsidP="00051297">
      <w:pPr>
        <w:spacing w:before="120"/>
        <w:ind w:firstLine="567"/>
        <w:rPr>
          <w:rFonts w:cs="Times New Roman"/>
          <w:szCs w:val="24"/>
          <w:lang w:val="en-US" w:bidi="en-US"/>
        </w:rPr>
      </w:pPr>
      <w:r w:rsidRPr="00051297">
        <w:rPr>
          <w:rFonts w:cs="Times New Roman"/>
          <w:szCs w:val="24"/>
          <w:lang w:val="en-US" w:bidi="en-US"/>
        </w:rPr>
        <w:t xml:space="preserve">Whereby: </w:t>
      </w:r>
    </w:p>
    <w:p w14:paraId="6F1FFAC7" w14:textId="77777777" w:rsidR="00051297" w:rsidRPr="00051297" w:rsidRDefault="00051297" w:rsidP="00051297">
      <w:pPr>
        <w:spacing w:before="120"/>
        <w:ind w:firstLine="567"/>
        <w:rPr>
          <w:rFonts w:cs="Times New Roman"/>
          <w:szCs w:val="24"/>
          <w:lang w:val="en-US" w:bidi="en-US"/>
        </w:rPr>
      </w:pPr>
      <w:r w:rsidRPr="00051297">
        <w:rPr>
          <w:rFonts w:cs="Times New Roman"/>
          <w:szCs w:val="24"/>
          <w:lang w:val="en-US" w:bidi="en-US"/>
        </w:rPr>
        <w:t xml:space="preserve">W – Top width of the dam, m; H – Height of the dam, m. </w:t>
      </w:r>
    </w:p>
    <w:p w14:paraId="38E4997B" w14:textId="77777777" w:rsidR="00051297" w:rsidRPr="00051297" w:rsidRDefault="00051297" w:rsidP="00051297">
      <w:pPr>
        <w:ind w:firstLine="706"/>
        <w:rPr>
          <w:rFonts w:cs="Times New Roman"/>
          <w:szCs w:val="24"/>
          <w:lang w:val="en-US"/>
        </w:rPr>
      </w:pPr>
    </w:p>
    <w:p w14:paraId="34E0E0D2" w14:textId="2BE2FD3B" w:rsidR="00051297" w:rsidRPr="00051297" w:rsidRDefault="00E87BB7" w:rsidP="00051297">
      <w:pPr>
        <w:keepNext/>
        <w:ind w:firstLine="0"/>
        <w:jc w:val="center"/>
        <w:rPr>
          <w:rFonts w:cs="Times New Roman"/>
          <w:szCs w:val="24"/>
        </w:rPr>
      </w:pPr>
      <w:r>
        <w:rPr>
          <w:noProof/>
        </w:rPr>
        <w:lastRenderedPageBreak/>
        <w:drawing>
          <wp:inline distT="0" distB="0" distL="0" distR="0" wp14:anchorId="08733362" wp14:editId="5B82D207">
            <wp:extent cx="5939790" cy="1856105"/>
            <wp:effectExtent l="0" t="0" r="381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9790" cy="1856105"/>
                    </a:xfrm>
                    <a:prstGeom prst="rect">
                      <a:avLst/>
                    </a:prstGeom>
                    <a:noFill/>
                    <a:ln>
                      <a:noFill/>
                    </a:ln>
                  </pic:spPr>
                </pic:pic>
              </a:graphicData>
            </a:graphic>
          </wp:inline>
        </w:drawing>
      </w:r>
    </w:p>
    <w:p w14:paraId="321DA9AA" w14:textId="4816C45F" w:rsidR="00051297" w:rsidRPr="00051297" w:rsidRDefault="00051297" w:rsidP="00051297">
      <w:pPr>
        <w:ind w:firstLine="0"/>
        <w:jc w:val="center"/>
        <w:rPr>
          <w:rFonts w:cs="Times New Roman"/>
          <w:i/>
          <w:iCs/>
          <w:szCs w:val="24"/>
          <w:lang w:val="en-US"/>
        </w:rPr>
      </w:pPr>
      <w:bookmarkStart w:id="814" w:name="_Ref98105017"/>
      <w:bookmarkStart w:id="815" w:name="_Toc97428244"/>
      <w:bookmarkStart w:id="816" w:name="_Toc98085919"/>
      <w:bookmarkStart w:id="817" w:name="_Toc103544116"/>
      <w:bookmarkStart w:id="818" w:name="_Toc104985439"/>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bookmarkEnd w:id="814"/>
      <w:r w:rsidRPr="00051297">
        <w:rPr>
          <w:lang w:val="en-US"/>
        </w:rPr>
        <w:t xml:space="preserve"> </w:t>
      </w:r>
      <w:r w:rsidRPr="00051297">
        <w:rPr>
          <w:rFonts w:cs="Times New Roman"/>
          <w:szCs w:val="24"/>
          <w:lang w:val="en-US" w:bidi="en-US"/>
        </w:rPr>
        <w:t>– General embankment geometry used in the numerical modeling</w:t>
      </w:r>
      <w:bookmarkEnd w:id="815"/>
      <w:bookmarkEnd w:id="816"/>
      <w:bookmarkEnd w:id="817"/>
      <w:bookmarkEnd w:id="818"/>
    </w:p>
    <w:p w14:paraId="37029C46" w14:textId="75951313" w:rsidR="00051297" w:rsidRPr="00051297" w:rsidRDefault="00051297" w:rsidP="00973C1E">
      <w:pPr>
        <w:pStyle w:val="4"/>
        <w:rPr>
          <w:lang w:bidi="en-US"/>
        </w:rPr>
      </w:pPr>
      <w:bookmarkStart w:id="819" w:name="_Toc97504816"/>
      <w:bookmarkStart w:id="820" w:name="_Toc103543950"/>
      <w:bookmarkStart w:id="821" w:name="_Toc104985275"/>
      <w:r w:rsidRPr="00051297">
        <w:rPr>
          <w:lang w:bidi="en-US"/>
        </w:rPr>
        <w:t>Seepage analysis</w:t>
      </w:r>
      <w:bookmarkEnd w:id="819"/>
      <w:bookmarkEnd w:id="820"/>
      <w:bookmarkEnd w:id="821"/>
      <w:r w:rsidRPr="00051297">
        <w:rPr>
          <w:lang w:bidi="en-US"/>
        </w:rPr>
        <w:t xml:space="preserve"> </w:t>
      </w:r>
    </w:p>
    <w:p w14:paraId="7A320823" w14:textId="345B51B8" w:rsidR="00051297" w:rsidRPr="00051297" w:rsidRDefault="00051297" w:rsidP="00051297">
      <w:pPr>
        <w:ind w:firstLine="567"/>
        <w:rPr>
          <w:rFonts w:cs="Times New Roman"/>
          <w:i/>
          <w:szCs w:val="24"/>
          <w:lang w:val="en-US" w:bidi="en-US"/>
        </w:rPr>
      </w:pPr>
      <w:r w:rsidRPr="00051297">
        <w:rPr>
          <w:rFonts w:cs="Times New Roman"/>
          <w:szCs w:val="24"/>
          <w:lang w:val="en-US" w:bidi="en-US"/>
        </w:rPr>
        <w:t>The SEEP/W water transfer analysis was used to evaluate changing pore-water pressure conditions after the reservoir had been drained. It was in the interest of this study to investigate the worst case where the reservoir is drained instantaneously. However, more realistically, the reservoir was drained over 5 days (</w:t>
      </w:r>
      <w:r w:rsidRPr="00051297">
        <w:rPr>
          <w:rFonts w:cs="Times New Roman"/>
          <w:szCs w:val="24"/>
          <w:lang w:val="en-US" w:bidi="en-US"/>
        </w:rPr>
        <w:fldChar w:fldCharType="begin"/>
      </w:r>
      <w:r w:rsidRPr="00051297">
        <w:rPr>
          <w:rFonts w:cs="Times New Roman"/>
          <w:szCs w:val="24"/>
          <w:lang w:val="en-US" w:bidi="en-US"/>
        </w:rPr>
        <w:instrText xml:space="preserve"> REF _Ref98105030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2</w:t>
      </w:r>
      <w:r w:rsidRPr="00051297">
        <w:rPr>
          <w:rFonts w:cs="Times New Roman"/>
          <w:szCs w:val="24"/>
          <w:lang w:val="en-US" w:bidi="en-US"/>
        </w:rPr>
        <w:fldChar w:fldCharType="end"/>
      </w:r>
      <w:r w:rsidRPr="00051297">
        <w:rPr>
          <w:rFonts w:cs="Times New Roman"/>
          <w:szCs w:val="24"/>
          <w:lang w:val="en-US" w:bidi="en-US"/>
        </w:rPr>
        <w:t xml:space="preserve">). Initially, a transient seepage analysis is done to get seepage-induced pore pressures and free groundwater surface for various drawdown rates and drawdown ratios in the modeling of slope drawdown behavior. </w:t>
      </w:r>
    </w:p>
    <w:p w14:paraId="6C6F1754" w14:textId="4C53AD00" w:rsidR="00051297" w:rsidRPr="00051297" w:rsidRDefault="00E00728" w:rsidP="00051297">
      <w:pPr>
        <w:keepNext/>
        <w:ind w:firstLine="0"/>
        <w:jc w:val="center"/>
        <w:rPr>
          <w:rFonts w:cs="Times New Roman"/>
          <w:szCs w:val="24"/>
        </w:rPr>
      </w:pPr>
      <w:r w:rsidRPr="00E00728">
        <w:rPr>
          <w:rFonts w:cs="Times New Roman"/>
          <w:noProof/>
          <w:szCs w:val="24"/>
        </w:rPr>
        <w:drawing>
          <wp:inline distT="0" distB="0" distL="0" distR="0" wp14:anchorId="1BD8C7DA" wp14:editId="0D779994">
            <wp:extent cx="2933700" cy="3171906"/>
            <wp:effectExtent l="0" t="0" r="0" b="952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46484" cy="3185728"/>
                    </a:xfrm>
                    <a:prstGeom prst="rect">
                      <a:avLst/>
                    </a:prstGeom>
                    <a:noFill/>
                    <a:ln>
                      <a:noFill/>
                    </a:ln>
                  </pic:spPr>
                </pic:pic>
              </a:graphicData>
            </a:graphic>
          </wp:inline>
        </w:drawing>
      </w:r>
    </w:p>
    <w:p w14:paraId="7CDEF204" w14:textId="2387A99E" w:rsidR="00051297" w:rsidRPr="00051297" w:rsidRDefault="00051297" w:rsidP="00051297">
      <w:pPr>
        <w:ind w:firstLine="0"/>
        <w:jc w:val="center"/>
        <w:rPr>
          <w:rFonts w:cs="Times New Roman"/>
          <w:szCs w:val="24"/>
          <w:lang w:val="en-US" w:bidi="en-US"/>
        </w:rPr>
      </w:pPr>
      <w:bookmarkStart w:id="822" w:name="_Ref98105030"/>
      <w:bookmarkStart w:id="823" w:name="_Toc97428245"/>
      <w:bookmarkStart w:id="824" w:name="_Toc98085920"/>
      <w:bookmarkStart w:id="825" w:name="_Toc103544117"/>
      <w:bookmarkStart w:id="826" w:name="_Toc104985440"/>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bookmarkEnd w:id="822"/>
      <w:r w:rsidRPr="00051297">
        <w:rPr>
          <w:lang w:val="en-US"/>
        </w:rPr>
        <w:t xml:space="preserve"> </w:t>
      </w:r>
      <w:r w:rsidRPr="00051297">
        <w:rPr>
          <w:rFonts w:cs="Times New Roman"/>
          <w:szCs w:val="24"/>
          <w:lang w:val="en-US" w:bidi="en-US"/>
        </w:rPr>
        <w:t>– Water total head function</w:t>
      </w:r>
      <w:bookmarkEnd w:id="823"/>
      <w:bookmarkEnd w:id="824"/>
      <w:bookmarkEnd w:id="825"/>
      <w:bookmarkEnd w:id="826"/>
    </w:p>
    <w:p w14:paraId="0FF77114" w14:textId="66687147" w:rsidR="00051297" w:rsidRPr="00051297" w:rsidRDefault="00051297" w:rsidP="00973C1E">
      <w:pPr>
        <w:pStyle w:val="4"/>
        <w:rPr>
          <w:lang w:bidi="en-US"/>
        </w:rPr>
      </w:pPr>
      <w:bookmarkStart w:id="827" w:name="_Toc97504817"/>
      <w:bookmarkStart w:id="828" w:name="_Toc103543951"/>
      <w:bookmarkStart w:id="829" w:name="_Toc104985276"/>
      <w:r w:rsidRPr="00051297">
        <w:rPr>
          <w:lang w:bidi="en-US"/>
        </w:rPr>
        <w:t>Slope stability analysis</w:t>
      </w:r>
      <w:bookmarkEnd w:id="827"/>
      <w:bookmarkEnd w:id="828"/>
      <w:bookmarkEnd w:id="829"/>
      <w:r w:rsidRPr="00051297">
        <w:rPr>
          <w:lang w:bidi="en-US"/>
        </w:rPr>
        <w:t xml:space="preserve"> </w:t>
      </w:r>
    </w:p>
    <w:p w14:paraId="22B9B5DA" w14:textId="541A06FD" w:rsidR="00051297" w:rsidRPr="00051297" w:rsidRDefault="00051297" w:rsidP="00051297">
      <w:pPr>
        <w:ind w:firstLine="567"/>
        <w:rPr>
          <w:rFonts w:cs="Times New Roman"/>
          <w:szCs w:val="24"/>
          <w:lang w:val="en-US"/>
        </w:rPr>
      </w:pPr>
      <w:r w:rsidRPr="00051297">
        <w:rPr>
          <w:rFonts w:cs="Times New Roman"/>
          <w:szCs w:val="24"/>
          <w:lang w:val="en-US" w:bidi="en-US"/>
        </w:rPr>
        <w:t xml:space="preserve">The stability analysis was performed using the SLOPE/W unit of the GeoStudio with the help of the Spencer method. According to slope stability analysis, if the forces resisting embankment movement are larger than the forces causing the movement, the embankment slope is considered stable. When analyzing slope stability, a factor of safety (FS) is derived by dividing the resistance by the driving forces. A factor of safety larger than one indicates that the slope is </w:t>
      </w:r>
      <w:r w:rsidRPr="00051297">
        <w:rPr>
          <w:rFonts w:cs="Times New Roman"/>
          <w:szCs w:val="24"/>
          <w:lang w:val="en-US" w:bidi="en-US"/>
        </w:rPr>
        <w:lastRenderedPageBreak/>
        <w:t xml:space="preserve">steady in this circumstance. The Spencer approach, which was utilized in this study, allows for unrestricted slip plains and, as a result, can be used to calculate the FS along any slip surface. According to the literature, rigid equilibrium and an unrestricted slip surface produce more exact safety factors than the other approaches </w:t>
      </w:r>
      <w:r w:rsidR="00794897" w:rsidRPr="00051297">
        <w:rPr>
          <w:rFonts w:cs="Times New Roman"/>
          <w:szCs w:val="24"/>
        </w:rPr>
        <w:fldChar w:fldCharType="begin" w:fldLock="1"/>
      </w:r>
      <w:r w:rsidR="00FA5896">
        <w:rPr>
          <w:rFonts w:cs="Times New Roman"/>
          <w:szCs w:val="24"/>
          <w:lang w:val="en-US"/>
        </w:rPr>
        <w:instrText>ADDIN CSL_CITATION {"citationItems":[{"id":"ITEM-1","itemData":{"DOI":"10.1680/geot.1967.17.1.11","ISSN":"0016-8505","abstract":"Synopsis","author":[{"dropping-particle":"","family":"Spencer","given":"E","non-dropping-particle":"","parse-names":false,"suffix":""}],"container-title":"Géotechnique","id":"ITEM-1","issue":"1","issued":{"date-parts":[["1967","3"]]},"page":"11-26","title":"A Method of analysis of the Stability of Embankments Assuming Parallel Inter-Slice Forces","type":"article-journal","volume":"17"},"uris":["http://www.mendeley.com/documents/?uuid=502b264c-6829-4848-bca5-5e05bc27b973","http://www.mendeley.com/documents/?uuid=9cc38f8b-f416-404d-b157-0c8fac403c46"]}],"mendeley":{"formattedCitation":"[162]","plainTextFormattedCitation":"[162]","previouslyFormattedCitation":"[162]"},"properties":{"noteIndex":0},"schema":"https://github.com/citation-style-language/schema/raw/master/csl-citation.json"}</w:instrText>
      </w:r>
      <w:r w:rsidR="00794897" w:rsidRPr="00051297">
        <w:rPr>
          <w:rFonts w:cs="Times New Roman"/>
          <w:szCs w:val="24"/>
        </w:rPr>
        <w:fldChar w:fldCharType="separate"/>
      </w:r>
      <w:r w:rsidR="00794897" w:rsidRPr="0032684D">
        <w:rPr>
          <w:rFonts w:cs="Times New Roman"/>
          <w:noProof/>
          <w:szCs w:val="24"/>
          <w:lang w:val="en-US"/>
        </w:rPr>
        <w:t>[162]</w:t>
      </w:r>
      <w:r w:rsidR="00794897" w:rsidRPr="00051297">
        <w:rPr>
          <w:rFonts w:cs="Times New Roman"/>
          <w:szCs w:val="24"/>
        </w:rPr>
        <w:fldChar w:fldCharType="end"/>
      </w:r>
      <w:r w:rsidRPr="00051297">
        <w:rPr>
          <w:rFonts w:cs="Times New Roman"/>
          <w:szCs w:val="24"/>
          <w:lang w:val="en-US" w:bidi="en-US"/>
        </w:rPr>
        <w:t>.</w:t>
      </w:r>
    </w:p>
    <w:p w14:paraId="49823EC4" w14:textId="75204D00" w:rsidR="00051297" w:rsidRPr="00051297" w:rsidRDefault="00051297" w:rsidP="00973C1E">
      <w:pPr>
        <w:pStyle w:val="4"/>
        <w:rPr>
          <w:lang w:bidi="en-US"/>
        </w:rPr>
      </w:pPr>
      <w:bookmarkStart w:id="830" w:name="_Toc97504818"/>
      <w:bookmarkStart w:id="831" w:name="_Toc103543952"/>
      <w:bookmarkStart w:id="832" w:name="_Toc104985277"/>
      <w:r w:rsidRPr="00051297">
        <w:rPr>
          <w:lang w:bidi="en-US"/>
        </w:rPr>
        <w:t>Soil material characteristics</w:t>
      </w:r>
      <w:bookmarkEnd w:id="830"/>
      <w:bookmarkEnd w:id="831"/>
      <w:bookmarkEnd w:id="832"/>
      <w:r w:rsidRPr="00051297">
        <w:rPr>
          <w:lang w:bidi="en-US"/>
        </w:rPr>
        <w:t xml:space="preserve"> </w:t>
      </w:r>
    </w:p>
    <w:p w14:paraId="24AEC57D" w14:textId="2B5FA402" w:rsidR="00051297" w:rsidRPr="00051297" w:rsidRDefault="00051297" w:rsidP="00051297">
      <w:pPr>
        <w:ind w:firstLine="567"/>
        <w:rPr>
          <w:rFonts w:cs="Times New Roman"/>
          <w:i/>
          <w:szCs w:val="24"/>
          <w:lang w:val="en-US" w:bidi="en-US"/>
        </w:rPr>
      </w:pPr>
      <w:r w:rsidRPr="00051297">
        <w:rPr>
          <w:rFonts w:cs="Times New Roman"/>
          <w:szCs w:val="24"/>
          <w:lang w:val="en-US" w:bidi="en-US"/>
        </w:rPr>
        <w:t xml:space="preserve">In terms of soil parameters, the embankment evaluated in this study is believed to be homogeneous. In addition, the soil material specifications for the embankment were held constant during all three study sessions to eliminate any fluctuation in the data that was not caused by variations in beginning maximum water levels. </w:t>
      </w:r>
      <w:r w:rsidRPr="00051297">
        <w:rPr>
          <w:rFonts w:cs="Times New Roman"/>
          <w:szCs w:val="24"/>
          <w:lang w:val="en-US" w:bidi="en-US"/>
        </w:rPr>
        <w:fldChar w:fldCharType="begin"/>
      </w:r>
      <w:r w:rsidRPr="00051297">
        <w:rPr>
          <w:rFonts w:cs="Times New Roman"/>
          <w:szCs w:val="24"/>
          <w:lang w:val="en-US" w:bidi="en-US"/>
        </w:rPr>
        <w:instrText xml:space="preserve"> REF _Ref98105048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4</w:t>
      </w:r>
      <w:r w:rsidR="004870F1" w:rsidRPr="00051297">
        <w:rPr>
          <w:rFonts w:cs="Times New Roman"/>
          <w:szCs w:val="24"/>
          <w:lang w:val="en-US" w:bidi="en-US"/>
        </w:rPr>
        <w:t>.</w:t>
      </w:r>
      <w:r w:rsidR="004870F1">
        <w:rPr>
          <w:rFonts w:cs="Times New Roman"/>
          <w:noProof/>
          <w:szCs w:val="24"/>
          <w:lang w:val="en-US" w:bidi="en-US"/>
        </w:rPr>
        <w:t>2</w:t>
      </w:r>
      <w:r w:rsidRPr="00051297">
        <w:rPr>
          <w:rFonts w:cs="Times New Roman"/>
          <w:szCs w:val="24"/>
          <w:lang w:val="en-US" w:bidi="en-US"/>
        </w:rPr>
        <w:fldChar w:fldCharType="end"/>
      </w:r>
      <w:r w:rsidRPr="00051297">
        <w:rPr>
          <w:rFonts w:cs="Times New Roman"/>
          <w:szCs w:val="24"/>
          <w:lang w:val="en-US" w:bidi="en-US"/>
        </w:rPr>
        <w:t xml:space="preserve"> provides a summary of the main soil material properties used in this study. </w:t>
      </w:r>
    </w:p>
    <w:p w14:paraId="5FDB0F8B" w14:textId="59C7C42E" w:rsidR="00051297" w:rsidRPr="00051297" w:rsidRDefault="00051297" w:rsidP="00051297">
      <w:pPr>
        <w:rPr>
          <w:rFonts w:cs="Times New Roman"/>
          <w:szCs w:val="24"/>
          <w:lang w:val="en-US" w:bidi="en-US"/>
        </w:rPr>
      </w:pPr>
      <w:bookmarkStart w:id="833" w:name="_Ref98105048"/>
      <w:bookmarkStart w:id="834" w:name="_Toc97077200"/>
      <w:bookmarkStart w:id="835" w:name="_Toc103544250"/>
      <w:bookmarkStart w:id="836" w:name="_Toc104985576"/>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4</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2</w:t>
      </w:r>
      <w:r w:rsidRPr="00051297">
        <w:rPr>
          <w:rFonts w:cs="Times New Roman"/>
          <w:szCs w:val="24"/>
          <w:lang w:val="en-US" w:bidi="en-US"/>
        </w:rPr>
        <w:fldChar w:fldCharType="end"/>
      </w:r>
      <w:bookmarkEnd w:id="833"/>
      <w:r w:rsidRPr="00051297">
        <w:t xml:space="preserve"> </w:t>
      </w:r>
      <w:r w:rsidRPr="00051297">
        <w:rPr>
          <w:rFonts w:cs="Times New Roman"/>
          <w:szCs w:val="24"/>
          <w:lang w:val="en-US" w:bidi="en-US"/>
        </w:rPr>
        <w:t>– Soil properties</w:t>
      </w:r>
      <w:bookmarkEnd w:id="834"/>
      <w:bookmarkEnd w:id="835"/>
      <w:bookmarkEnd w:id="836"/>
      <w:r w:rsidRPr="00051297">
        <w:rPr>
          <w:rFonts w:cs="Times New Roman"/>
          <w:szCs w:val="24"/>
          <w:lang w:val="en-US" w:bidi="en-U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633"/>
        <w:gridCol w:w="1607"/>
        <w:gridCol w:w="1350"/>
      </w:tblGrid>
      <w:tr w:rsidR="00051297" w:rsidRPr="005F5229" w14:paraId="76590162" w14:textId="77777777" w:rsidTr="00D20B01">
        <w:trPr>
          <w:trHeight w:val="300"/>
          <w:jc w:val="center"/>
        </w:trPr>
        <w:tc>
          <w:tcPr>
            <w:tcW w:w="3870" w:type="dxa"/>
            <w:noWrap/>
            <w:hideMark/>
          </w:tcPr>
          <w:p w14:paraId="71F03E1B"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Soil material properties</w:t>
            </w:r>
          </w:p>
        </w:tc>
        <w:tc>
          <w:tcPr>
            <w:tcW w:w="1633" w:type="dxa"/>
            <w:noWrap/>
            <w:hideMark/>
          </w:tcPr>
          <w:p w14:paraId="288B8041"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Symbol</w:t>
            </w:r>
          </w:p>
        </w:tc>
        <w:tc>
          <w:tcPr>
            <w:tcW w:w="1607" w:type="dxa"/>
            <w:noWrap/>
            <w:hideMark/>
          </w:tcPr>
          <w:p w14:paraId="0AC40D91"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Unit</w:t>
            </w:r>
          </w:p>
        </w:tc>
        <w:tc>
          <w:tcPr>
            <w:tcW w:w="1350" w:type="dxa"/>
            <w:noWrap/>
            <w:hideMark/>
          </w:tcPr>
          <w:p w14:paraId="1E491FE3"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Value</w:t>
            </w:r>
          </w:p>
        </w:tc>
      </w:tr>
      <w:tr w:rsidR="00051297" w:rsidRPr="005F5229" w14:paraId="59337BD0" w14:textId="77777777" w:rsidTr="00D20B01">
        <w:trPr>
          <w:trHeight w:val="300"/>
          <w:jc w:val="center"/>
        </w:trPr>
        <w:tc>
          <w:tcPr>
            <w:tcW w:w="3870" w:type="dxa"/>
            <w:noWrap/>
            <w:hideMark/>
          </w:tcPr>
          <w:p w14:paraId="4F96F61A"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Saturated water content</w:t>
            </w:r>
          </w:p>
        </w:tc>
        <w:tc>
          <w:tcPr>
            <w:tcW w:w="1633" w:type="dxa"/>
            <w:noWrap/>
            <w:hideMark/>
          </w:tcPr>
          <w:p w14:paraId="6D6C13B1" w14:textId="77777777" w:rsidR="00051297" w:rsidRPr="005F5229" w:rsidRDefault="00536556" w:rsidP="00051297">
            <w:pPr>
              <w:spacing w:line="240" w:lineRule="auto"/>
              <w:ind w:firstLine="0"/>
              <w:jc w:val="center"/>
              <w:rPr>
                <w:rFonts w:cs="Times New Roman"/>
                <w:sz w:val="20"/>
                <w:szCs w:val="18"/>
                <w:lang w:val="en-US"/>
              </w:rPr>
            </w:pPr>
            <m:oMathPara>
              <m:oMath>
                <m:sSub>
                  <m:sSubPr>
                    <m:ctrlPr>
                      <w:rPr>
                        <w:rFonts w:ascii="Cambria Math" w:hAnsi="Cambria Math" w:cs="Times New Roman"/>
                        <w:sz w:val="20"/>
                        <w:szCs w:val="18"/>
                        <w:lang w:val="en-US"/>
                      </w:rPr>
                    </m:ctrlPr>
                  </m:sSubPr>
                  <m:e>
                    <m:r>
                      <w:rPr>
                        <w:rFonts w:ascii="Cambria Math" w:hAnsi="Cambria Math" w:cs="Times New Roman"/>
                        <w:sz w:val="20"/>
                        <w:szCs w:val="18"/>
                        <w:lang w:val="en-US"/>
                      </w:rPr>
                      <m:t>θ</m:t>
                    </m:r>
                  </m:e>
                  <m:sub>
                    <m:r>
                      <w:rPr>
                        <w:rFonts w:ascii="Cambria Math" w:hAnsi="Cambria Math" w:cs="Times New Roman"/>
                        <w:sz w:val="20"/>
                        <w:szCs w:val="18"/>
                        <w:lang w:val="en-US"/>
                      </w:rPr>
                      <m:t>s</m:t>
                    </m:r>
                  </m:sub>
                </m:sSub>
              </m:oMath>
            </m:oMathPara>
          </w:p>
        </w:tc>
        <w:tc>
          <w:tcPr>
            <w:tcW w:w="1607" w:type="dxa"/>
            <w:noWrap/>
            <w:hideMark/>
          </w:tcPr>
          <w:p w14:paraId="663C5BBE" w14:textId="77777777" w:rsidR="00051297" w:rsidRPr="005F5229" w:rsidRDefault="00051297" w:rsidP="00051297">
            <w:pPr>
              <w:spacing w:line="240" w:lineRule="auto"/>
              <w:ind w:firstLine="0"/>
              <w:jc w:val="center"/>
              <w:rPr>
                <w:rFonts w:cs="Times New Roman"/>
                <w:sz w:val="20"/>
                <w:szCs w:val="18"/>
                <w:lang w:val="en-US"/>
              </w:rPr>
            </w:pPr>
            <m:oMathPara>
              <m:oMath>
                <m:r>
                  <m:rPr>
                    <m:sty m:val="p"/>
                  </m:rPr>
                  <w:rPr>
                    <w:rFonts w:ascii="Cambria Math" w:hAnsi="Cambria Math" w:cs="Times New Roman"/>
                    <w:sz w:val="20"/>
                    <w:szCs w:val="18"/>
                    <w:lang w:val="en-US"/>
                  </w:rPr>
                  <m:t>%</m:t>
                </m:r>
              </m:oMath>
            </m:oMathPara>
          </w:p>
        </w:tc>
        <w:tc>
          <w:tcPr>
            <w:tcW w:w="1350" w:type="dxa"/>
            <w:noWrap/>
            <w:hideMark/>
          </w:tcPr>
          <w:p w14:paraId="34987E56"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43</w:t>
            </w:r>
          </w:p>
        </w:tc>
      </w:tr>
      <w:tr w:rsidR="00051297" w:rsidRPr="005F5229" w14:paraId="44D66185" w14:textId="77777777" w:rsidTr="00D20B01">
        <w:trPr>
          <w:trHeight w:val="300"/>
          <w:jc w:val="center"/>
        </w:trPr>
        <w:tc>
          <w:tcPr>
            <w:tcW w:w="3870" w:type="dxa"/>
            <w:noWrap/>
            <w:hideMark/>
          </w:tcPr>
          <w:p w14:paraId="2721BAD9"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Coefficient of volume compressibility</w:t>
            </w:r>
          </w:p>
        </w:tc>
        <w:tc>
          <w:tcPr>
            <w:tcW w:w="1633" w:type="dxa"/>
            <w:noWrap/>
            <w:hideMark/>
          </w:tcPr>
          <w:p w14:paraId="5409D9F8" w14:textId="77777777" w:rsidR="00051297" w:rsidRPr="005F5229" w:rsidRDefault="00536556" w:rsidP="00051297">
            <w:pPr>
              <w:spacing w:line="240" w:lineRule="auto"/>
              <w:ind w:firstLine="0"/>
              <w:jc w:val="center"/>
              <w:rPr>
                <w:rFonts w:cs="Times New Roman"/>
                <w:sz w:val="20"/>
                <w:szCs w:val="18"/>
                <w:lang w:val="en-US"/>
              </w:rPr>
            </w:pPr>
            <m:oMathPara>
              <m:oMath>
                <m:sSub>
                  <m:sSubPr>
                    <m:ctrlPr>
                      <w:rPr>
                        <w:rFonts w:ascii="Cambria Math" w:hAnsi="Cambria Math" w:cs="Times New Roman"/>
                        <w:sz w:val="20"/>
                        <w:szCs w:val="18"/>
                        <w:lang w:val="en-US"/>
                      </w:rPr>
                    </m:ctrlPr>
                  </m:sSubPr>
                  <m:e>
                    <m:r>
                      <w:rPr>
                        <w:rFonts w:ascii="Cambria Math" w:hAnsi="Cambria Math" w:cs="Times New Roman"/>
                        <w:sz w:val="20"/>
                        <w:szCs w:val="18"/>
                        <w:lang w:val="en-US"/>
                      </w:rPr>
                      <m:t>M</m:t>
                    </m:r>
                  </m:e>
                  <m:sub>
                    <m:r>
                      <w:rPr>
                        <w:rFonts w:ascii="Cambria Math" w:hAnsi="Cambria Math" w:cs="Times New Roman"/>
                        <w:sz w:val="20"/>
                        <w:szCs w:val="18"/>
                        <w:lang w:val="en-US"/>
                      </w:rPr>
                      <m:t>v</m:t>
                    </m:r>
                  </m:sub>
                </m:sSub>
              </m:oMath>
            </m:oMathPara>
          </w:p>
        </w:tc>
        <w:tc>
          <w:tcPr>
            <w:tcW w:w="1607" w:type="dxa"/>
            <w:noWrap/>
            <w:hideMark/>
          </w:tcPr>
          <w:p w14:paraId="18FBCF58" w14:textId="77777777" w:rsidR="00051297" w:rsidRPr="005F5229" w:rsidRDefault="00536556" w:rsidP="00051297">
            <w:pPr>
              <w:spacing w:line="240" w:lineRule="auto"/>
              <w:ind w:firstLine="0"/>
              <w:jc w:val="center"/>
              <w:rPr>
                <w:rFonts w:cs="Times New Roman"/>
                <w:sz w:val="20"/>
                <w:szCs w:val="18"/>
                <w:lang w:val="en-US"/>
              </w:rPr>
            </w:pPr>
            <m:oMathPara>
              <m:oMath>
                <m:sSup>
                  <m:sSupPr>
                    <m:ctrlPr>
                      <w:rPr>
                        <w:rFonts w:ascii="Cambria Math" w:hAnsi="Cambria Math" w:cs="Times New Roman"/>
                        <w:sz w:val="20"/>
                        <w:szCs w:val="18"/>
                        <w:lang w:val="en-US"/>
                      </w:rPr>
                    </m:ctrlPr>
                  </m:sSupPr>
                  <m:e>
                    <m:r>
                      <m:rPr>
                        <m:sty m:val="p"/>
                      </m:rPr>
                      <w:rPr>
                        <w:rFonts w:ascii="Cambria Math" w:hAnsi="Cambria Math" w:cs="Times New Roman"/>
                        <w:sz w:val="20"/>
                        <w:szCs w:val="18"/>
                        <w:lang w:val="en-US"/>
                      </w:rPr>
                      <m:t>m</m:t>
                    </m:r>
                  </m:e>
                  <m:sup>
                    <m:r>
                      <m:rPr>
                        <m:sty m:val="p"/>
                      </m:rPr>
                      <w:rPr>
                        <w:rFonts w:ascii="Cambria Math" w:hAnsi="Cambria Math" w:cs="Times New Roman"/>
                        <w:sz w:val="20"/>
                        <w:szCs w:val="18"/>
                        <w:lang w:val="en-US"/>
                      </w:rPr>
                      <m:t>2</m:t>
                    </m:r>
                  </m:sup>
                </m:sSup>
                <m:r>
                  <m:rPr>
                    <m:sty m:val="p"/>
                  </m:rPr>
                  <w:rPr>
                    <w:rFonts w:ascii="Cambria Math" w:hAnsi="Cambria Math" w:cs="Times New Roman"/>
                    <w:sz w:val="20"/>
                    <w:szCs w:val="18"/>
                    <w:lang w:val="en-US"/>
                  </w:rPr>
                  <m:t>/kN</m:t>
                </m:r>
              </m:oMath>
            </m:oMathPara>
          </w:p>
        </w:tc>
        <w:tc>
          <w:tcPr>
            <w:tcW w:w="1350" w:type="dxa"/>
            <w:noWrap/>
            <w:hideMark/>
          </w:tcPr>
          <w:p w14:paraId="0F4E2B0E" w14:textId="77777777" w:rsidR="00051297" w:rsidRPr="005F5229" w:rsidRDefault="00536556" w:rsidP="00051297">
            <w:pPr>
              <w:spacing w:line="240" w:lineRule="auto"/>
              <w:ind w:firstLine="0"/>
              <w:jc w:val="center"/>
              <w:rPr>
                <w:rFonts w:cs="Times New Roman"/>
                <w:sz w:val="20"/>
                <w:szCs w:val="18"/>
                <w:lang w:val="en-US"/>
              </w:rPr>
            </w:pPr>
            <m:oMathPara>
              <m:oMath>
                <m:sSup>
                  <m:sSupPr>
                    <m:ctrlPr>
                      <w:rPr>
                        <w:rFonts w:ascii="Cambria Math" w:hAnsi="Cambria Math" w:cs="Times New Roman"/>
                        <w:sz w:val="20"/>
                        <w:szCs w:val="18"/>
                        <w:lang w:val="en-US"/>
                      </w:rPr>
                    </m:ctrlPr>
                  </m:sSupPr>
                  <m:e>
                    <m:r>
                      <m:rPr>
                        <m:sty m:val="p"/>
                      </m:rPr>
                      <w:rPr>
                        <w:rFonts w:ascii="Cambria Math" w:hAnsi="Cambria Math" w:cs="Times New Roman"/>
                        <w:sz w:val="20"/>
                        <w:szCs w:val="18"/>
                        <w:lang w:val="en-US"/>
                      </w:rPr>
                      <m:t>2×10</m:t>
                    </m:r>
                  </m:e>
                  <m:sup>
                    <m:r>
                      <m:rPr>
                        <m:sty m:val="p"/>
                      </m:rPr>
                      <w:rPr>
                        <w:rFonts w:ascii="Cambria Math" w:hAnsi="Cambria Math" w:cs="Times New Roman"/>
                        <w:sz w:val="20"/>
                        <w:szCs w:val="18"/>
                        <w:lang w:val="en-US"/>
                      </w:rPr>
                      <m:t>-4</m:t>
                    </m:r>
                  </m:sup>
                </m:sSup>
              </m:oMath>
            </m:oMathPara>
          </w:p>
        </w:tc>
      </w:tr>
      <w:tr w:rsidR="00051297" w:rsidRPr="005F5229" w14:paraId="437AADBF" w14:textId="77777777" w:rsidTr="00D20B01">
        <w:trPr>
          <w:trHeight w:val="300"/>
          <w:jc w:val="center"/>
        </w:trPr>
        <w:tc>
          <w:tcPr>
            <w:tcW w:w="3870" w:type="dxa"/>
            <w:noWrap/>
            <w:hideMark/>
          </w:tcPr>
          <w:p w14:paraId="6F681650"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Saturated conductivity</w:t>
            </w:r>
          </w:p>
        </w:tc>
        <w:tc>
          <w:tcPr>
            <w:tcW w:w="1633" w:type="dxa"/>
            <w:noWrap/>
            <w:hideMark/>
          </w:tcPr>
          <w:p w14:paraId="072CE397" w14:textId="77777777" w:rsidR="00051297" w:rsidRPr="005F5229" w:rsidRDefault="00536556" w:rsidP="00051297">
            <w:pPr>
              <w:spacing w:line="240" w:lineRule="auto"/>
              <w:ind w:firstLine="0"/>
              <w:jc w:val="center"/>
              <w:rPr>
                <w:rFonts w:cs="Times New Roman"/>
                <w:sz w:val="20"/>
                <w:szCs w:val="18"/>
                <w:lang w:val="en-US"/>
              </w:rPr>
            </w:pPr>
            <m:oMathPara>
              <m:oMath>
                <m:sSub>
                  <m:sSubPr>
                    <m:ctrlPr>
                      <w:rPr>
                        <w:rFonts w:ascii="Cambria Math" w:hAnsi="Cambria Math" w:cs="Times New Roman"/>
                        <w:sz w:val="20"/>
                        <w:szCs w:val="18"/>
                        <w:lang w:val="en-US"/>
                      </w:rPr>
                    </m:ctrlPr>
                  </m:sSubPr>
                  <m:e>
                    <m:r>
                      <w:rPr>
                        <w:rFonts w:ascii="Cambria Math" w:hAnsi="Cambria Math" w:cs="Times New Roman"/>
                        <w:sz w:val="20"/>
                        <w:szCs w:val="18"/>
                        <w:lang w:val="en-US"/>
                      </w:rPr>
                      <m:t>K</m:t>
                    </m:r>
                  </m:e>
                  <m:sub>
                    <m:r>
                      <w:rPr>
                        <w:rFonts w:ascii="Cambria Math" w:hAnsi="Cambria Math" w:cs="Times New Roman"/>
                        <w:sz w:val="20"/>
                        <w:szCs w:val="18"/>
                        <w:lang w:val="en-US"/>
                      </w:rPr>
                      <m:t>sat</m:t>
                    </m:r>
                  </m:sub>
                </m:sSub>
              </m:oMath>
            </m:oMathPara>
          </w:p>
        </w:tc>
        <w:tc>
          <w:tcPr>
            <w:tcW w:w="1607" w:type="dxa"/>
            <w:noWrap/>
            <w:hideMark/>
          </w:tcPr>
          <w:p w14:paraId="6023DA51" w14:textId="77777777" w:rsidR="00051297" w:rsidRPr="005F5229" w:rsidRDefault="00051297" w:rsidP="00051297">
            <w:pPr>
              <w:spacing w:line="240" w:lineRule="auto"/>
              <w:ind w:firstLine="0"/>
              <w:jc w:val="center"/>
              <w:rPr>
                <w:rFonts w:cs="Times New Roman"/>
                <w:sz w:val="20"/>
                <w:szCs w:val="18"/>
                <w:lang w:val="en-US"/>
              </w:rPr>
            </w:pPr>
            <m:oMathPara>
              <m:oMath>
                <m:r>
                  <m:rPr>
                    <m:sty m:val="p"/>
                  </m:rPr>
                  <w:rPr>
                    <w:rFonts w:ascii="Cambria Math" w:hAnsi="Cambria Math" w:cs="Times New Roman"/>
                    <w:sz w:val="20"/>
                    <w:szCs w:val="18"/>
                    <w:lang w:val="en-US"/>
                  </w:rPr>
                  <m:t>m/s</m:t>
                </m:r>
              </m:oMath>
            </m:oMathPara>
          </w:p>
        </w:tc>
        <w:tc>
          <w:tcPr>
            <w:tcW w:w="1350" w:type="dxa"/>
            <w:noWrap/>
            <w:hideMark/>
          </w:tcPr>
          <w:p w14:paraId="5A7B33AF" w14:textId="77777777" w:rsidR="00051297" w:rsidRPr="005F5229" w:rsidRDefault="00536556" w:rsidP="00051297">
            <w:pPr>
              <w:spacing w:line="240" w:lineRule="auto"/>
              <w:ind w:firstLine="0"/>
              <w:jc w:val="center"/>
              <w:rPr>
                <w:rFonts w:cs="Times New Roman"/>
                <w:sz w:val="20"/>
                <w:szCs w:val="18"/>
                <w:lang w:val="en-US"/>
              </w:rPr>
            </w:pPr>
            <m:oMathPara>
              <m:oMath>
                <m:sSup>
                  <m:sSupPr>
                    <m:ctrlPr>
                      <w:rPr>
                        <w:rFonts w:ascii="Cambria Math" w:hAnsi="Cambria Math" w:cs="Times New Roman"/>
                        <w:sz w:val="20"/>
                        <w:szCs w:val="18"/>
                        <w:lang w:val="en-US"/>
                      </w:rPr>
                    </m:ctrlPr>
                  </m:sSupPr>
                  <m:e>
                    <m:r>
                      <m:rPr>
                        <m:sty m:val="p"/>
                      </m:rPr>
                      <w:rPr>
                        <w:rFonts w:ascii="Cambria Math" w:hAnsi="Cambria Math" w:cs="Times New Roman"/>
                        <w:sz w:val="20"/>
                        <w:szCs w:val="18"/>
                        <w:lang w:val="en-US"/>
                      </w:rPr>
                      <m:t>1×10</m:t>
                    </m:r>
                  </m:e>
                  <m:sup>
                    <m:r>
                      <m:rPr>
                        <m:sty m:val="p"/>
                      </m:rPr>
                      <w:rPr>
                        <w:rFonts w:ascii="Cambria Math" w:hAnsi="Cambria Math" w:cs="Times New Roman"/>
                        <w:sz w:val="20"/>
                        <w:szCs w:val="18"/>
                        <w:lang w:val="en-US"/>
                      </w:rPr>
                      <m:t>-6</m:t>
                    </m:r>
                  </m:sup>
                </m:sSup>
              </m:oMath>
            </m:oMathPara>
          </w:p>
        </w:tc>
      </w:tr>
      <w:tr w:rsidR="00051297" w:rsidRPr="005F5229" w14:paraId="345E2F00" w14:textId="77777777" w:rsidTr="00D20B01">
        <w:trPr>
          <w:trHeight w:val="300"/>
          <w:jc w:val="center"/>
        </w:trPr>
        <w:tc>
          <w:tcPr>
            <w:tcW w:w="3870" w:type="dxa"/>
            <w:noWrap/>
            <w:hideMark/>
          </w:tcPr>
          <w:p w14:paraId="546844D0"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Residual water content</w:t>
            </w:r>
          </w:p>
        </w:tc>
        <w:tc>
          <w:tcPr>
            <w:tcW w:w="1633" w:type="dxa"/>
            <w:noWrap/>
            <w:hideMark/>
          </w:tcPr>
          <w:p w14:paraId="3F24C3E4" w14:textId="77777777" w:rsidR="00051297" w:rsidRPr="005F5229" w:rsidRDefault="00536556" w:rsidP="00051297">
            <w:pPr>
              <w:spacing w:line="240" w:lineRule="auto"/>
              <w:ind w:firstLine="0"/>
              <w:jc w:val="center"/>
              <w:rPr>
                <w:rFonts w:cs="Times New Roman"/>
                <w:sz w:val="20"/>
                <w:szCs w:val="18"/>
                <w:lang w:val="en-US"/>
              </w:rPr>
            </w:pPr>
            <m:oMathPara>
              <m:oMath>
                <m:sSub>
                  <m:sSubPr>
                    <m:ctrlPr>
                      <w:rPr>
                        <w:rFonts w:ascii="Cambria Math" w:hAnsi="Cambria Math" w:cs="Times New Roman"/>
                        <w:sz w:val="20"/>
                        <w:szCs w:val="18"/>
                        <w:lang w:val="en-US"/>
                      </w:rPr>
                    </m:ctrlPr>
                  </m:sSubPr>
                  <m:e>
                    <m:r>
                      <w:rPr>
                        <w:rFonts w:ascii="Cambria Math" w:hAnsi="Cambria Math" w:cs="Times New Roman"/>
                        <w:sz w:val="20"/>
                        <w:szCs w:val="18"/>
                        <w:lang w:val="en-US"/>
                      </w:rPr>
                      <m:t>θ</m:t>
                    </m:r>
                  </m:e>
                  <m:sub>
                    <m:r>
                      <w:rPr>
                        <w:rFonts w:ascii="Cambria Math" w:hAnsi="Cambria Math" w:cs="Times New Roman"/>
                        <w:sz w:val="20"/>
                        <w:szCs w:val="18"/>
                        <w:lang w:val="en-US"/>
                      </w:rPr>
                      <m:t>r</m:t>
                    </m:r>
                  </m:sub>
                </m:sSub>
              </m:oMath>
            </m:oMathPara>
          </w:p>
        </w:tc>
        <w:tc>
          <w:tcPr>
            <w:tcW w:w="1607" w:type="dxa"/>
            <w:noWrap/>
            <w:hideMark/>
          </w:tcPr>
          <w:p w14:paraId="007BE3FD" w14:textId="77777777" w:rsidR="00051297" w:rsidRPr="005F5229" w:rsidRDefault="00051297" w:rsidP="00051297">
            <w:pPr>
              <w:spacing w:line="240" w:lineRule="auto"/>
              <w:ind w:firstLine="0"/>
              <w:jc w:val="center"/>
              <w:rPr>
                <w:rFonts w:cs="Times New Roman"/>
                <w:sz w:val="20"/>
                <w:szCs w:val="18"/>
                <w:lang w:val="en-US"/>
              </w:rPr>
            </w:pPr>
            <m:oMathPara>
              <m:oMath>
                <m:r>
                  <m:rPr>
                    <m:sty m:val="p"/>
                  </m:rPr>
                  <w:rPr>
                    <w:rFonts w:ascii="Cambria Math" w:hAnsi="Cambria Math" w:cs="Times New Roman"/>
                    <w:sz w:val="20"/>
                    <w:szCs w:val="18"/>
                    <w:lang w:val="en-US"/>
                  </w:rPr>
                  <m:t>%</m:t>
                </m:r>
              </m:oMath>
            </m:oMathPara>
          </w:p>
        </w:tc>
        <w:tc>
          <w:tcPr>
            <w:tcW w:w="1350" w:type="dxa"/>
            <w:noWrap/>
            <w:hideMark/>
          </w:tcPr>
          <w:p w14:paraId="2BE61270"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5.5</w:t>
            </w:r>
          </w:p>
        </w:tc>
      </w:tr>
      <w:tr w:rsidR="00051297" w:rsidRPr="005F5229" w14:paraId="5AA0150A" w14:textId="77777777" w:rsidTr="00D20B01">
        <w:trPr>
          <w:trHeight w:val="300"/>
          <w:jc w:val="center"/>
        </w:trPr>
        <w:tc>
          <w:tcPr>
            <w:tcW w:w="3870" w:type="dxa"/>
            <w:noWrap/>
            <w:hideMark/>
          </w:tcPr>
          <w:p w14:paraId="1C3DEFF3"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Soil unit weight</w:t>
            </w:r>
          </w:p>
        </w:tc>
        <w:tc>
          <w:tcPr>
            <w:tcW w:w="1633" w:type="dxa"/>
            <w:noWrap/>
            <w:hideMark/>
          </w:tcPr>
          <w:p w14:paraId="0F2B106A" w14:textId="77777777" w:rsidR="00051297" w:rsidRPr="005F5229" w:rsidRDefault="00051297" w:rsidP="00051297">
            <w:pPr>
              <w:spacing w:line="240" w:lineRule="auto"/>
              <w:ind w:firstLine="0"/>
              <w:jc w:val="center"/>
              <w:rPr>
                <w:rFonts w:cs="Times New Roman"/>
                <w:sz w:val="20"/>
                <w:szCs w:val="18"/>
                <w:lang w:val="en-US"/>
              </w:rPr>
            </w:pPr>
            <m:oMathPara>
              <m:oMath>
                <m:r>
                  <w:rPr>
                    <w:rFonts w:ascii="Cambria Math" w:hAnsi="Cambria Math" w:cs="Times New Roman"/>
                    <w:sz w:val="20"/>
                    <w:szCs w:val="18"/>
                    <w:lang w:val="en-US"/>
                  </w:rPr>
                  <m:t>γ</m:t>
                </m:r>
              </m:oMath>
            </m:oMathPara>
          </w:p>
        </w:tc>
        <w:tc>
          <w:tcPr>
            <w:tcW w:w="1607" w:type="dxa"/>
            <w:noWrap/>
            <w:hideMark/>
          </w:tcPr>
          <w:p w14:paraId="02216726" w14:textId="77777777" w:rsidR="00051297" w:rsidRPr="005F5229" w:rsidRDefault="00536556" w:rsidP="00051297">
            <w:pPr>
              <w:spacing w:line="240" w:lineRule="auto"/>
              <w:ind w:firstLine="0"/>
              <w:jc w:val="center"/>
              <w:rPr>
                <w:rFonts w:cs="Times New Roman"/>
                <w:sz w:val="20"/>
                <w:szCs w:val="18"/>
                <w:lang w:val="en-US"/>
              </w:rPr>
            </w:pPr>
            <m:oMathPara>
              <m:oMath>
                <m:sSup>
                  <m:sSupPr>
                    <m:ctrlPr>
                      <w:rPr>
                        <w:rFonts w:ascii="Cambria Math" w:hAnsi="Cambria Math" w:cs="Times New Roman"/>
                        <w:sz w:val="20"/>
                        <w:szCs w:val="18"/>
                        <w:lang w:val="en-US"/>
                      </w:rPr>
                    </m:ctrlPr>
                  </m:sSupPr>
                  <m:e>
                    <m:r>
                      <m:rPr>
                        <m:sty m:val="p"/>
                      </m:rPr>
                      <w:rPr>
                        <w:rFonts w:ascii="Cambria Math" w:hAnsi="Cambria Math" w:cs="Times New Roman"/>
                        <w:sz w:val="20"/>
                        <w:szCs w:val="18"/>
                        <w:lang w:val="en-US"/>
                      </w:rPr>
                      <m:t>kN/m</m:t>
                    </m:r>
                  </m:e>
                  <m:sup>
                    <m:r>
                      <m:rPr>
                        <m:sty m:val="p"/>
                      </m:rPr>
                      <w:rPr>
                        <w:rFonts w:ascii="Cambria Math" w:hAnsi="Cambria Math" w:cs="Times New Roman"/>
                        <w:sz w:val="20"/>
                        <w:szCs w:val="18"/>
                        <w:lang w:val="en-US"/>
                      </w:rPr>
                      <m:t>3</m:t>
                    </m:r>
                  </m:sup>
                </m:sSup>
              </m:oMath>
            </m:oMathPara>
          </w:p>
        </w:tc>
        <w:tc>
          <w:tcPr>
            <w:tcW w:w="1350" w:type="dxa"/>
            <w:noWrap/>
            <w:hideMark/>
          </w:tcPr>
          <w:p w14:paraId="567ED437"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20</w:t>
            </w:r>
          </w:p>
        </w:tc>
      </w:tr>
      <w:tr w:rsidR="00051297" w:rsidRPr="005F5229" w14:paraId="6A2B21FB" w14:textId="77777777" w:rsidTr="00D20B01">
        <w:trPr>
          <w:trHeight w:val="300"/>
          <w:jc w:val="center"/>
        </w:trPr>
        <w:tc>
          <w:tcPr>
            <w:tcW w:w="3870" w:type="dxa"/>
            <w:noWrap/>
            <w:hideMark/>
          </w:tcPr>
          <w:p w14:paraId="4A540BA1"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Cohesion</w:t>
            </w:r>
          </w:p>
        </w:tc>
        <w:tc>
          <w:tcPr>
            <w:tcW w:w="1633" w:type="dxa"/>
            <w:noWrap/>
            <w:hideMark/>
          </w:tcPr>
          <w:p w14:paraId="154F0804" w14:textId="77777777" w:rsidR="00051297" w:rsidRPr="005F5229" w:rsidRDefault="00536556" w:rsidP="00051297">
            <w:pPr>
              <w:spacing w:line="240" w:lineRule="auto"/>
              <w:ind w:firstLine="0"/>
              <w:jc w:val="center"/>
              <w:rPr>
                <w:rFonts w:cs="Times New Roman"/>
                <w:sz w:val="20"/>
                <w:szCs w:val="18"/>
                <w:lang w:val="en-US"/>
              </w:rPr>
            </w:pPr>
            <m:oMathPara>
              <m:oMath>
                <m:sSup>
                  <m:sSupPr>
                    <m:ctrlPr>
                      <w:rPr>
                        <w:rFonts w:ascii="Cambria Math" w:hAnsi="Cambria Math" w:cs="Times New Roman"/>
                        <w:sz w:val="20"/>
                        <w:szCs w:val="18"/>
                        <w:lang w:val="en-US"/>
                      </w:rPr>
                    </m:ctrlPr>
                  </m:sSupPr>
                  <m:e>
                    <m:r>
                      <w:rPr>
                        <w:rFonts w:ascii="Cambria Math" w:hAnsi="Cambria Math" w:cs="Times New Roman"/>
                        <w:sz w:val="20"/>
                        <w:szCs w:val="18"/>
                        <w:lang w:val="en-US"/>
                      </w:rPr>
                      <m:t>c</m:t>
                    </m:r>
                  </m:e>
                  <m:sup>
                    <m:r>
                      <m:rPr>
                        <m:sty m:val="p"/>
                      </m:rPr>
                      <w:rPr>
                        <w:rFonts w:ascii="Cambria Math" w:hAnsi="Cambria Math" w:cs="Times New Roman"/>
                        <w:sz w:val="20"/>
                        <w:szCs w:val="18"/>
                        <w:lang w:val="en-US"/>
                      </w:rPr>
                      <m:t>'</m:t>
                    </m:r>
                  </m:sup>
                </m:sSup>
              </m:oMath>
            </m:oMathPara>
          </w:p>
        </w:tc>
        <w:tc>
          <w:tcPr>
            <w:tcW w:w="1607" w:type="dxa"/>
            <w:noWrap/>
            <w:hideMark/>
          </w:tcPr>
          <w:p w14:paraId="13F343D8" w14:textId="77777777" w:rsidR="00051297" w:rsidRPr="005F5229" w:rsidRDefault="00536556" w:rsidP="00051297">
            <w:pPr>
              <w:spacing w:line="240" w:lineRule="auto"/>
              <w:ind w:firstLine="0"/>
              <w:jc w:val="center"/>
              <w:rPr>
                <w:rFonts w:cs="Times New Roman"/>
                <w:sz w:val="20"/>
                <w:szCs w:val="18"/>
                <w:lang w:val="en-US"/>
              </w:rPr>
            </w:pPr>
            <m:oMathPara>
              <m:oMath>
                <m:sSup>
                  <m:sSupPr>
                    <m:ctrlPr>
                      <w:rPr>
                        <w:rFonts w:ascii="Cambria Math" w:hAnsi="Cambria Math" w:cs="Times New Roman"/>
                        <w:sz w:val="20"/>
                        <w:szCs w:val="18"/>
                        <w:lang w:val="en-US"/>
                      </w:rPr>
                    </m:ctrlPr>
                  </m:sSupPr>
                  <m:e>
                    <m:r>
                      <m:rPr>
                        <m:sty m:val="p"/>
                      </m:rPr>
                      <w:rPr>
                        <w:rFonts w:ascii="Cambria Math" w:hAnsi="Cambria Math" w:cs="Times New Roman"/>
                        <w:sz w:val="20"/>
                        <w:szCs w:val="18"/>
                        <w:lang w:val="en-US"/>
                      </w:rPr>
                      <m:t>kN/m</m:t>
                    </m:r>
                  </m:e>
                  <m:sup>
                    <m:r>
                      <m:rPr>
                        <m:sty m:val="p"/>
                      </m:rPr>
                      <w:rPr>
                        <w:rFonts w:ascii="Cambria Math" w:hAnsi="Cambria Math" w:cs="Times New Roman"/>
                        <w:sz w:val="20"/>
                        <w:szCs w:val="18"/>
                        <w:lang w:val="en-US"/>
                      </w:rPr>
                      <m:t>2</m:t>
                    </m:r>
                  </m:sup>
                </m:sSup>
              </m:oMath>
            </m:oMathPara>
          </w:p>
        </w:tc>
        <w:tc>
          <w:tcPr>
            <w:tcW w:w="1350" w:type="dxa"/>
            <w:noWrap/>
            <w:hideMark/>
          </w:tcPr>
          <w:p w14:paraId="767E6665"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5</w:t>
            </w:r>
          </w:p>
        </w:tc>
      </w:tr>
      <w:tr w:rsidR="00051297" w:rsidRPr="005F5229" w14:paraId="786862A0" w14:textId="77777777" w:rsidTr="00D20B01">
        <w:trPr>
          <w:trHeight w:val="300"/>
          <w:jc w:val="center"/>
        </w:trPr>
        <w:tc>
          <w:tcPr>
            <w:tcW w:w="3870" w:type="dxa"/>
            <w:noWrap/>
            <w:hideMark/>
          </w:tcPr>
          <w:p w14:paraId="13C38C9A"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Internal friction angle</w:t>
            </w:r>
          </w:p>
        </w:tc>
        <w:tc>
          <w:tcPr>
            <w:tcW w:w="1633" w:type="dxa"/>
            <w:noWrap/>
            <w:hideMark/>
          </w:tcPr>
          <w:p w14:paraId="4FF5B16F" w14:textId="77777777" w:rsidR="00051297" w:rsidRPr="005F5229" w:rsidRDefault="00536556" w:rsidP="00051297">
            <w:pPr>
              <w:spacing w:line="240" w:lineRule="auto"/>
              <w:ind w:firstLine="0"/>
              <w:jc w:val="center"/>
              <w:rPr>
                <w:rFonts w:cs="Times New Roman"/>
                <w:sz w:val="20"/>
                <w:szCs w:val="18"/>
                <w:lang w:val="en-US"/>
              </w:rPr>
            </w:pPr>
            <m:oMathPara>
              <m:oMath>
                <m:sSup>
                  <m:sSupPr>
                    <m:ctrlPr>
                      <w:rPr>
                        <w:rFonts w:ascii="Cambria Math" w:hAnsi="Cambria Math" w:cs="Times New Roman"/>
                        <w:sz w:val="20"/>
                        <w:szCs w:val="18"/>
                        <w:lang w:val="en-US"/>
                      </w:rPr>
                    </m:ctrlPr>
                  </m:sSupPr>
                  <m:e>
                    <m:r>
                      <m:rPr>
                        <m:sty m:val="p"/>
                      </m:rPr>
                      <w:rPr>
                        <w:rFonts w:ascii="Cambria Math" w:hAnsi="Cambria Math" w:cs="Times New Roman"/>
                        <w:sz w:val="20"/>
                        <w:szCs w:val="18"/>
                        <w:lang w:val="en-US"/>
                      </w:rPr>
                      <m:t>∅</m:t>
                    </m:r>
                  </m:e>
                  <m:sup>
                    <m:r>
                      <m:rPr>
                        <m:sty m:val="p"/>
                      </m:rPr>
                      <w:rPr>
                        <w:rFonts w:ascii="Cambria Math" w:hAnsi="Cambria Math" w:cs="Times New Roman"/>
                        <w:sz w:val="20"/>
                        <w:szCs w:val="18"/>
                        <w:lang w:val="en-US"/>
                      </w:rPr>
                      <m:t>'</m:t>
                    </m:r>
                  </m:sup>
                </m:sSup>
              </m:oMath>
            </m:oMathPara>
          </w:p>
        </w:tc>
        <w:tc>
          <w:tcPr>
            <w:tcW w:w="1607" w:type="dxa"/>
            <w:noWrap/>
            <w:hideMark/>
          </w:tcPr>
          <w:p w14:paraId="1FA4BFB9" w14:textId="77777777" w:rsidR="00051297" w:rsidRPr="005F5229" w:rsidRDefault="00051297" w:rsidP="00051297">
            <w:pPr>
              <w:spacing w:line="240" w:lineRule="auto"/>
              <w:ind w:firstLine="0"/>
              <w:jc w:val="center"/>
              <w:rPr>
                <w:rFonts w:cs="Times New Roman"/>
                <w:sz w:val="20"/>
                <w:szCs w:val="18"/>
                <w:lang w:val="en-US"/>
              </w:rPr>
            </w:pPr>
            <m:oMathPara>
              <m:oMath>
                <m:r>
                  <m:rPr>
                    <m:sty m:val="p"/>
                  </m:rPr>
                  <w:rPr>
                    <w:rFonts w:ascii="Cambria Math" w:hAnsi="Cambria Math" w:cs="Times New Roman"/>
                    <w:sz w:val="20"/>
                    <w:szCs w:val="18"/>
                    <w:lang w:val="en-US"/>
                  </w:rPr>
                  <m:t>degrees</m:t>
                </m:r>
              </m:oMath>
            </m:oMathPara>
          </w:p>
        </w:tc>
        <w:tc>
          <w:tcPr>
            <w:tcW w:w="1350" w:type="dxa"/>
            <w:noWrap/>
            <w:hideMark/>
          </w:tcPr>
          <w:p w14:paraId="0E5BF23A" w14:textId="77777777" w:rsidR="00051297" w:rsidRPr="005F5229" w:rsidRDefault="00051297" w:rsidP="00051297">
            <w:pPr>
              <w:spacing w:line="240" w:lineRule="auto"/>
              <w:ind w:firstLine="0"/>
              <w:jc w:val="center"/>
              <w:rPr>
                <w:rFonts w:cs="Times New Roman"/>
                <w:sz w:val="20"/>
                <w:szCs w:val="18"/>
                <w:lang w:val="en-US"/>
              </w:rPr>
            </w:pPr>
            <w:r w:rsidRPr="005F5229">
              <w:rPr>
                <w:rFonts w:cs="Times New Roman"/>
                <w:sz w:val="20"/>
                <w:szCs w:val="18"/>
                <w:lang w:val="en-US"/>
              </w:rPr>
              <w:t>25</w:t>
            </w:r>
          </w:p>
        </w:tc>
      </w:tr>
    </w:tbl>
    <w:p w14:paraId="579C7FDF" w14:textId="77777777" w:rsidR="00051297" w:rsidRPr="00051297" w:rsidRDefault="00051297" w:rsidP="00051297">
      <w:pPr>
        <w:ind w:firstLine="567"/>
        <w:rPr>
          <w:rFonts w:cs="Times New Roman"/>
          <w:szCs w:val="24"/>
        </w:rPr>
      </w:pPr>
    </w:p>
    <w:p w14:paraId="29E26FA5" w14:textId="2BF042EF" w:rsidR="00051297" w:rsidRPr="00051297" w:rsidRDefault="00051297" w:rsidP="00051297">
      <w:pPr>
        <w:ind w:firstLine="567"/>
        <w:rPr>
          <w:rFonts w:cs="Times New Roman"/>
          <w:szCs w:val="24"/>
          <w:lang w:val="en-US" w:bidi="en-US"/>
        </w:rPr>
      </w:pPr>
      <w:r w:rsidRPr="00051297">
        <w:rPr>
          <w:rFonts w:cs="Times New Roman"/>
          <w:szCs w:val="24"/>
          <w:lang w:val="en-US" w:bidi="en-US"/>
        </w:rPr>
        <w:t>Under saturated/unsaturated scenarios, the volumetric water content and hydraulic conductivity functions were important inputs defining the soil characteristics in the model (</w:t>
      </w:r>
      <w:r w:rsidRPr="00051297">
        <w:rPr>
          <w:rFonts w:cs="Times New Roman"/>
          <w:szCs w:val="24"/>
          <w:lang w:val="en-US" w:bidi="en-US"/>
        </w:rPr>
        <w:fldChar w:fldCharType="begin"/>
      </w:r>
      <w:r w:rsidRPr="00051297">
        <w:rPr>
          <w:rFonts w:cs="Times New Roman"/>
          <w:szCs w:val="24"/>
          <w:lang w:val="en-US" w:bidi="en-US"/>
        </w:rPr>
        <w:instrText xml:space="preserve"> REF _Ref98105078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3</w:t>
      </w:r>
      <w:r w:rsidRPr="00051297">
        <w:rPr>
          <w:rFonts w:cs="Times New Roman"/>
          <w:szCs w:val="24"/>
          <w:lang w:val="en-US" w:bidi="en-US"/>
        </w:rPr>
        <w:fldChar w:fldCharType="end"/>
      </w:r>
      <w:r w:rsidRPr="00051297">
        <w:rPr>
          <w:rFonts w:cs="Times New Roman"/>
          <w:szCs w:val="24"/>
          <w:lang w:val="en-US" w:bidi="en-US"/>
        </w:rPr>
        <w:t>). This was achieved using built-in functions that required only fundamental information such as saturated hydraulic conductivity, water content, and coefficient of volume compressibility.</w:t>
      </w:r>
    </w:p>
    <w:tbl>
      <w:tblPr>
        <w:tblW w:w="0" w:type="auto"/>
        <w:jc w:val="center"/>
        <w:tblLook w:val="04A0" w:firstRow="1" w:lastRow="0" w:firstColumn="1" w:lastColumn="0" w:noHBand="0" w:noVBand="1"/>
      </w:tblPr>
      <w:tblGrid>
        <w:gridCol w:w="4675"/>
        <w:gridCol w:w="4675"/>
      </w:tblGrid>
      <w:tr w:rsidR="00051297" w:rsidRPr="00051297" w14:paraId="3037C9FD" w14:textId="77777777" w:rsidTr="00D20B01">
        <w:trPr>
          <w:jc w:val="center"/>
        </w:trPr>
        <w:tc>
          <w:tcPr>
            <w:tcW w:w="4675" w:type="dxa"/>
          </w:tcPr>
          <w:p w14:paraId="6EE1DA6A" w14:textId="0CF1B5B3" w:rsidR="00051297" w:rsidRPr="00051297" w:rsidRDefault="00B265A5" w:rsidP="00B44876">
            <w:pPr>
              <w:ind w:firstLine="0"/>
              <w:jc w:val="center"/>
              <w:rPr>
                <w:rFonts w:cs="Times New Roman"/>
                <w:szCs w:val="24"/>
                <w:lang w:val="pl-PL"/>
              </w:rPr>
            </w:pPr>
            <w:r w:rsidRPr="00B265A5">
              <w:rPr>
                <w:rFonts w:cs="Times New Roman"/>
                <w:noProof/>
                <w:szCs w:val="24"/>
                <w:lang w:val="pl-PL"/>
              </w:rPr>
              <w:drawing>
                <wp:inline distT="0" distB="0" distL="0" distR="0" wp14:anchorId="4CC03E1F" wp14:editId="720DE813">
                  <wp:extent cx="2714557" cy="2759710"/>
                  <wp:effectExtent l="0" t="0" r="0" b="254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rotWithShape="1">
                          <a:blip r:embed="rId81">
                            <a:extLst>
                              <a:ext uri="{28A0092B-C50C-407E-A947-70E740481C1C}">
                                <a14:useLocalDpi xmlns:a14="http://schemas.microsoft.com/office/drawing/2010/main" val="0"/>
                              </a:ext>
                            </a:extLst>
                          </a:blip>
                          <a:srcRect t="5971"/>
                          <a:stretch/>
                        </pic:blipFill>
                        <pic:spPr bwMode="auto">
                          <a:xfrm>
                            <a:off x="0" y="0"/>
                            <a:ext cx="2725207" cy="2770537"/>
                          </a:xfrm>
                          <a:prstGeom prst="rect">
                            <a:avLst/>
                          </a:prstGeom>
                          <a:noFill/>
                          <a:ln>
                            <a:noFill/>
                          </a:ln>
                          <a:extLst>
                            <a:ext uri="{53640926-AAD7-44D8-BBD7-CCE9431645EC}">
                              <a14:shadowObscured xmlns:a14="http://schemas.microsoft.com/office/drawing/2010/main"/>
                            </a:ext>
                          </a:extLst>
                        </pic:spPr>
                      </pic:pic>
                    </a:graphicData>
                  </a:graphic>
                </wp:inline>
              </w:drawing>
            </w:r>
          </w:p>
          <w:p w14:paraId="69850DAA" w14:textId="77777777" w:rsidR="00051297" w:rsidRPr="00051297" w:rsidRDefault="00051297" w:rsidP="00B44876">
            <w:pPr>
              <w:ind w:firstLine="706"/>
              <w:jc w:val="center"/>
              <w:rPr>
                <w:rFonts w:cs="Times New Roman"/>
                <w:szCs w:val="24"/>
                <w:lang w:val="pl-PL"/>
              </w:rPr>
            </w:pPr>
            <w:r w:rsidRPr="00051297">
              <w:rPr>
                <w:rFonts w:cs="Times New Roman"/>
                <w:szCs w:val="24"/>
                <w:lang w:val="pl-PL"/>
              </w:rPr>
              <w:t>(a)</w:t>
            </w:r>
          </w:p>
        </w:tc>
        <w:tc>
          <w:tcPr>
            <w:tcW w:w="4675" w:type="dxa"/>
          </w:tcPr>
          <w:p w14:paraId="306A2806" w14:textId="3B954E17" w:rsidR="00051297" w:rsidRPr="00051297" w:rsidRDefault="00B265A5" w:rsidP="00B44876">
            <w:pPr>
              <w:ind w:firstLine="0"/>
              <w:jc w:val="center"/>
              <w:rPr>
                <w:rFonts w:cs="Times New Roman"/>
                <w:szCs w:val="24"/>
                <w:lang w:val="pl-PL"/>
              </w:rPr>
            </w:pPr>
            <w:r w:rsidRPr="00B265A5">
              <w:rPr>
                <w:rFonts w:cs="Times New Roman"/>
                <w:noProof/>
                <w:szCs w:val="24"/>
                <w:lang w:val="pl-PL"/>
              </w:rPr>
              <w:drawing>
                <wp:inline distT="0" distB="0" distL="0" distR="0" wp14:anchorId="27A43278" wp14:editId="7525B51F">
                  <wp:extent cx="2713990" cy="2759098"/>
                  <wp:effectExtent l="0" t="0" r="0" b="317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rotWithShape="1">
                          <a:blip r:embed="rId82">
                            <a:extLst>
                              <a:ext uri="{28A0092B-C50C-407E-A947-70E740481C1C}">
                                <a14:useLocalDpi xmlns:a14="http://schemas.microsoft.com/office/drawing/2010/main" val="0"/>
                              </a:ext>
                            </a:extLst>
                          </a:blip>
                          <a:srcRect t="5973"/>
                          <a:stretch/>
                        </pic:blipFill>
                        <pic:spPr bwMode="auto">
                          <a:xfrm>
                            <a:off x="0" y="0"/>
                            <a:ext cx="2758419" cy="2804265"/>
                          </a:xfrm>
                          <a:prstGeom prst="rect">
                            <a:avLst/>
                          </a:prstGeom>
                          <a:noFill/>
                          <a:ln>
                            <a:noFill/>
                          </a:ln>
                          <a:extLst>
                            <a:ext uri="{53640926-AAD7-44D8-BBD7-CCE9431645EC}">
                              <a14:shadowObscured xmlns:a14="http://schemas.microsoft.com/office/drawing/2010/main"/>
                            </a:ext>
                          </a:extLst>
                        </pic:spPr>
                      </pic:pic>
                    </a:graphicData>
                  </a:graphic>
                </wp:inline>
              </w:drawing>
            </w:r>
          </w:p>
          <w:p w14:paraId="738E2BEB" w14:textId="77777777" w:rsidR="00051297" w:rsidRPr="00051297" w:rsidRDefault="00051297" w:rsidP="00B44876">
            <w:pPr>
              <w:keepNext/>
              <w:ind w:firstLine="706"/>
              <w:jc w:val="center"/>
              <w:rPr>
                <w:rFonts w:cs="Times New Roman"/>
                <w:szCs w:val="24"/>
                <w:lang w:val="pl-PL"/>
              </w:rPr>
            </w:pPr>
            <w:r w:rsidRPr="00051297">
              <w:rPr>
                <w:rFonts w:cs="Times New Roman"/>
                <w:szCs w:val="24"/>
                <w:lang w:val="pl-PL"/>
              </w:rPr>
              <w:t>(b)</w:t>
            </w:r>
          </w:p>
        </w:tc>
      </w:tr>
    </w:tbl>
    <w:p w14:paraId="674CACE0" w14:textId="22A85AA9" w:rsidR="00051297" w:rsidRPr="00051297" w:rsidRDefault="00051297" w:rsidP="00051297">
      <w:pPr>
        <w:ind w:firstLine="0"/>
        <w:jc w:val="center"/>
        <w:rPr>
          <w:rFonts w:cs="Times New Roman"/>
          <w:i/>
          <w:iCs/>
          <w:szCs w:val="24"/>
          <w:lang w:val="en-US"/>
        </w:rPr>
      </w:pPr>
      <w:bookmarkStart w:id="837" w:name="_Ref98105078"/>
      <w:bookmarkStart w:id="838" w:name="_Toc97428246"/>
      <w:bookmarkStart w:id="839" w:name="_Toc98085921"/>
      <w:bookmarkStart w:id="840" w:name="_Toc103544118"/>
      <w:bookmarkStart w:id="841" w:name="_Toc104985441"/>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3</w:t>
      </w:r>
      <w:r w:rsidR="00527861">
        <w:rPr>
          <w:rFonts w:cs="Times New Roman"/>
          <w:szCs w:val="24"/>
          <w:lang w:val="en-US" w:bidi="en-US"/>
        </w:rPr>
        <w:fldChar w:fldCharType="end"/>
      </w:r>
      <w:bookmarkEnd w:id="837"/>
      <w:r w:rsidRPr="00051297">
        <w:rPr>
          <w:lang w:val="en-US"/>
        </w:rPr>
        <w:t xml:space="preserve"> </w:t>
      </w:r>
      <w:r w:rsidRPr="00051297">
        <w:rPr>
          <w:rFonts w:cs="Times New Roman"/>
          <w:szCs w:val="24"/>
          <w:lang w:val="en-US" w:bidi="en-US"/>
        </w:rPr>
        <w:t xml:space="preserve">– Functions: a) </w:t>
      </w:r>
      <w:r w:rsidR="00704315">
        <w:rPr>
          <w:rFonts w:cs="Times New Roman"/>
          <w:szCs w:val="24"/>
          <w:lang w:val="en-US" w:bidi="en-US"/>
        </w:rPr>
        <w:t>v</w:t>
      </w:r>
      <w:r w:rsidRPr="00051297">
        <w:rPr>
          <w:rFonts w:cs="Times New Roman"/>
          <w:szCs w:val="24"/>
          <w:lang w:val="en-US" w:bidi="en-US"/>
        </w:rPr>
        <w:t xml:space="preserve">olumetric water content; b) </w:t>
      </w:r>
      <w:r w:rsidR="00704315">
        <w:rPr>
          <w:rFonts w:cs="Times New Roman"/>
          <w:szCs w:val="24"/>
          <w:lang w:val="en-US" w:bidi="en-US"/>
        </w:rPr>
        <w:t>h</w:t>
      </w:r>
      <w:r w:rsidRPr="00051297">
        <w:rPr>
          <w:rFonts w:cs="Times New Roman"/>
          <w:szCs w:val="24"/>
          <w:lang w:val="en-US" w:bidi="en-US"/>
        </w:rPr>
        <w:t>ydraulic conductivity function</w:t>
      </w:r>
      <w:bookmarkEnd w:id="838"/>
      <w:bookmarkEnd w:id="839"/>
      <w:bookmarkEnd w:id="840"/>
      <w:bookmarkEnd w:id="841"/>
    </w:p>
    <w:p w14:paraId="0390EF89" w14:textId="12F8CF8C" w:rsidR="00051297" w:rsidRPr="00051297" w:rsidRDefault="00051297" w:rsidP="00B44876">
      <w:pPr>
        <w:pStyle w:val="3"/>
        <w:rPr>
          <w:lang w:bidi="en-US"/>
        </w:rPr>
      </w:pPr>
      <w:bookmarkStart w:id="842" w:name="_Toc97504819"/>
      <w:bookmarkStart w:id="843" w:name="_Toc103543953"/>
      <w:bookmarkStart w:id="844" w:name="_Toc104985278"/>
      <w:r w:rsidRPr="00051297">
        <w:rPr>
          <w:lang w:bidi="en-US"/>
        </w:rPr>
        <w:lastRenderedPageBreak/>
        <w:t>Results and discussion</w:t>
      </w:r>
      <w:bookmarkEnd w:id="842"/>
      <w:bookmarkEnd w:id="843"/>
      <w:bookmarkEnd w:id="844"/>
    </w:p>
    <w:p w14:paraId="6A420C4B" w14:textId="0D813532" w:rsidR="00051297" w:rsidRPr="00051297" w:rsidRDefault="00051297" w:rsidP="00B44876">
      <w:pPr>
        <w:pStyle w:val="4"/>
        <w:rPr>
          <w:lang w:bidi="en-US"/>
        </w:rPr>
      </w:pPr>
      <w:bookmarkStart w:id="845" w:name="_Toc97504820"/>
      <w:bookmarkStart w:id="846" w:name="_Toc103543954"/>
      <w:bookmarkStart w:id="847" w:name="_Toc104985279"/>
      <w:r w:rsidRPr="00051297">
        <w:rPr>
          <w:lang w:bidi="en-US"/>
        </w:rPr>
        <w:t>Seepage analysis</w:t>
      </w:r>
      <w:bookmarkEnd w:id="845"/>
      <w:bookmarkEnd w:id="846"/>
      <w:bookmarkEnd w:id="847"/>
      <w:r w:rsidRPr="00051297">
        <w:rPr>
          <w:lang w:bidi="en-US"/>
        </w:rPr>
        <w:t xml:space="preserve"> </w:t>
      </w:r>
    </w:p>
    <w:p w14:paraId="02DE9BED" w14:textId="77777777" w:rsidR="00051297" w:rsidRPr="00051297" w:rsidRDefault="00051297" w:rsidP="00051297">
      <w:pPr>
        <w:ind w:firstLine="706"/>
        <w:rPr>
          <w:rFonts w:cs="Times New Roman"/>
          <w:i/>
          <w:szCs w:val="24"/>
          <w:lang w:val="en-US" w:bidi="en-US"/>
        </w:rPr>
      </w:pPr>
      <w:r w:rsidRPr="00051297">
        <w:rPr>
          <w:rFonts w:cs="Times New Roman"/>
          <w:szCs w:val="24"/>
          <w:lang w:val="en-US" w:bidi="en-US"/>
        </w:rPr>
        <w:t>Seepage analysis was conducted for the steady-state, instantaneous, and 5 days drawdowns for all three water levels, and the pore-water pressures from the seepage analysis were then used as inputs to the slope stability analyses.</w:t>
      </w:r>
    </w:p>
    <w:p w14:paraId="31107E2F" w14:textId="5F1E7FC0" w:rsidR="00051297" w:rsidRPr="00051297" w:rsidRDefault="00051297" w:rsidP="00B44876">
      <w:pPr>
        <w:pStyle w:val="5"/>
        <w:rPr>
          <w:lang w:val="en-US" w:bidi="en-US"/>
        </w:rPr>
      </w:pPr>
      <w:bookmarkStart w:id="848" w:name="_Toc97504821"/>
      <w:bookmarkStart w:id="849" w:name="_Toc103543955"/>
      <w:bookmarkStart w:id="850" w:name="_Toc104985280"/>
      <w:r w:rsidRPr="00051297">
        <w:rPr>
          <w:lang w:val="en-US" w:bidi="en-US"/>
        </w:rPr>
        <w:t>Seepage analysis results from 10 m water level</w:t>
      </w:r>
      <w:bookmarkEnd w:id="848"/>
      <w:bookmarkEnd w:id="849"/>
      <w:bookmarkEnd w:id="850"/>
    </w:p>
    <w:p w14:paraId="60C5958F" w14:textId="6AF10767" w:rsidR="00051297" w:rsidRDefault="00051297" w:rsidP="00051297">
      <w:pPr>
        <w:ind w:firstLine="706"/>
        <w:rPr>
          <w:rFonts w:cs="Times New Roman"/>
          <w:szCs w:val="24"/>
          <w:lang w:bidi="en-US"/>
        </w:rPr>
      </w:pPr>
      <w:r w:rsidRPr="00051297">
        <w:rPr>
          <w:rFonts w:cs="Times New Roman"/>
          <w:szCs w:val="24"/>
          <w:lang w:val="en-US" w:bidi="en-US"/>
        </w:rPr>
        <w:t xml:space="preserve">The long-term steady-state analysis was successfully performed. </w:t>
      </w:r>
      <w:r w:rsidRPr="00051297">
        <w:rPr>
          <w:rFonts w:cs="Times New Roman"/>
          <w:szCs w:val="24"/>
          <w:lang w:val="en-US" w:bidi="en-US"/>
        </w:rPr>
        <w:fldChar w:fldCharType="begin"/>
      </w:r>
      <w:r w:rsidRPr="00051297">
        <w:rPr>
          <w:rFonts w:cs="Times New Roman"/>
          <w:szCs w:val="24"/>
          <w:lang w:val="en-US" w:bidi="en-US"/>
        </w:rPr>
        <w:instrText xml:space="preserve"> REF _Ref98105099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4</w:t>
      </w:r>
      <w:r w:rsidRPr="00051297">
        <w:rPr>
          <w:rFonts w:cs="Times New Roman"/>
          <w:szCs w:val="24"/>
          <w:lang w:val="en-US" w:bidi="en-US"/>
        </w:rPr>
        <w:fldChar w:fldCharType="end"/>
      </w:r>
      <w:r w:rsidRPr="00051297">
        <w:rPr>
          <w:rFonts w:cs="Times New Roman"/>
          <w:szCs w:val="24"/>
          <w:lang w:val="en-US" w:bidi="en-US"/>
        </w:rPr>
        <w:t xml:space="preserve">a shows the long-term, steady-state conditions established in the reservoir from the 10m long-term water level, while </w:t>
      </w:r>
      <w:r w:rsidRPr="00051297">
        <w:rPr>
          <w:rFonts w:cs="Times New Roman"/>
          <w:szCs w:val="24"/>
          <w:lang w:val="en-US" w:bidi="en-US"/>
        </w:rPr>
        <w:fldChar w:fldCharType="begin"/>
      </w:r>
      <w:r w:rsidRPr="00051297">
        <w:rPr>
          <w:rFonts w:cs="Times New Roman"/>
          <w:szCs w:val="24"/>
          <w:lang w:val="en-US" w:bidi="en-US"/>
        </w:rPr>
        <w:instrText xml:space="preserve"> REF _Ref98105099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4</w:t>
      </w:r>
      <w:r w:rsidRPr="00051297">
        <w:rPr>
          <w:rFonts w:cs="Times New Roman"/>
          <w:szCs w:val="24"/>
          <w:lang w:val="en-US" w:bidi="en-US"/>
        </w:rPr>
        <w:fldChar w:fldCharType="end"/>
      </w:r>
      <w:r w:rsidRPr="00051297">
        <w:rPr>
          <w:rFonts w:cs="Times New Roman"/>
          <w:szCs w:val="24"/>
          <w:lang w:val="en-US" w:bidi="en-US"/>
        </w:rPr>
        <w:t xml:space="preserve">b and </w:t>
      </w:r>
      <w:r w:rsidRPr="00051297">
        <w:rPr>
          <w:rFonts w:cs="Times New Roman"/>
          <w:szCs w:val="24"/>
          <w:lang w:val="en-US" w:bidi="en-US"/>
        </w:rPr>
        <w:fldChar w:fldCharType="begin"/>
      </w:r>
      <w:r w:rsidRPr="00051297">
        <w:rPr>
          <w:rFonts w:cs="Times New Roman"/>
          <w:szCs w:val="24"/>
          <w:lang w:val="en-US" w:bidi="en-US"/>
        </w:rPr>
        <w:instrText xml:space="preserve"> REF _Ref98105099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4</w:t>
      </w:r>
      <w:r w:rsidRPr="00051297">
        <w:rPr>
          <w:rFonts w:cs="Times New Roman"/>
          <w:szCs w:val="24"/>
          <w:lang w:val="en-US" w:bidi="en-US"/>
        </w:rPr>
        <w:fldChar w:fldCharType="end"/>
      </w:r>
      <w:r w:rsidRPr="00051297">
        <w:rPr>
          <w:rFonts w:cs="Times New Roman"/>
          <w:szCs w:val="24"/>
          <w:lang w:val="en-US" w:bidi="en-US"/>
        </w:rPr>
        <w:t xml:space="preserve">c show phreatic lines after the instantaneous and 5 days drawdown, respectively. It can be observed that the design of the embankment allows for most of the seepage water to be collected in the toe drain downstream. From the piezometric lines, it can be observed that, after the two rapid drawdown scenarios (instantaneous and 5 days), water stored within the embankment gradually drains from areas of high pore-water pressure </w:t>
      </w:r>
      <w:r w:rsidRPr="00051297">
        <w:rPr>
          <w:rFonts w:cs="Times New Roman"/>
          <w:szCs w:val="24"/>
          <w:lang w:bidi="en-US"/>
        </w:rPr>
        <w:fldChar w:fldCharType="begin" w:fldLock="1"/>
      </w:r>
      <w:r w:rsidR="00FA5896">
        <w:rPr>
          <w:rFonts w:cs="Times New Roman"/>
          <w:szCs w:val="24"/>
          <w:lang w:val="en-US" w:bidi="en-US"/>
        </w:rPr>
        <w:instrText>ADDIN CSL_CITATION {"citationItems":[{"id":"ITEM-1","itemData":{"DOI":"10.1139/cgj-2016-0315","ISSN":"0008-3674","abstract":"Rainfall and reservoir water level fluctuations are the main external factors of landslides in the Three Gorges Reservoir area. To improve the analysis of slope stability under the combined effect of reservoir water level fluctuations and rainfall, a simplified method for phreatic line calculation of slopes is proposed in this study. Based on the obtained phreatic line, the expression of normal stress on the sliding surface of the slope under the hydrodynamic forces is deduced, and a global analysis method to solve the slope safety factor under hydrodynamic force is proposed. Finally, the safety evolution of a slope in the Three Gorges Reservoir area is studied under the combined effect of reservoir water level fluctuations and rainfall.","author":[{"dropping-particle":"","family":"Sun","given":"Guanhua","non-dropping-particle":"","parse-names":false,"suffix":""},{"dropping-particle":"","family":"Yang","given":"Yongtao","non-dropping-particle":"","parse-names":false,"suffix":""},{"dropping-particle":"","family":"Cheng","given":"Shengguo","non-dropping-particle":"","parse-names":false,"suffix":""},{"dropping-particle":"","family":"Zheng","given":"Hong","non-dropping-particle":"","parse-names":false,"suffix":""}],"container-title":"Canadian Geotechnical Journal","id":"ITEM-1","issue":"5","issued":{"date-parts":[["2017","5"]]},"page":"631-645","title":"Phreatic line calculation and stability analysis of slopes under the combined effect of reservoir water level fluctuations and rainfall","type":"article-journal","volume":"54"},"uris":["http://www.mendeley.com/documents/?uuid=d0821670-da87-4757-bae0-86dc8cf29025","http://www.mendeley.com/documents/?uuid=653cfcb9-3905-46f6-bcd4-f0ce81ab9606","http://www.mendeley.com/documents/?uuid=d7073170-2764-4448-8041-6a33ed154fb2"]}],"mendeley":{"formattedCitation":"[264]","plainTextFormattedCitation":"[264]","previouslyFormattedCitation":"[264]"},"properties":{"noteIndex":0},"schema":"https://github.com/citation-style-language/schema/raw/master/csl-citation.json"}</w:instrText>
      </w:r>
      <w:r w:rsidRPr="00051297">
        <w:rPr>
          <w:rFonts w:cs="Times New Roman"/>
          <w:szCs w:val="24"/>
          <w:lang w:bidi="en-US"/>
        </w:rPr>
        <w:fldChar w:fldCharType="separate"/>
      </w:r>
      <w:r w:rsidR="0032684D" w:rsidRPr="0032684D">
        <w:rPr>
          <w:rFonts w:cs="Times New Roman"/>
          <w:noProof/>
          <w:szCs w:val="24"/>
          <w:lang w:val="en-US" w:bidi="en-US"/>
        </w:rPr>
        <w:t>[264]</w:t>
      </w:r>
      <w:r w:rsidRPr="00051297">
        <w:rPr>
          <w:rFonts w:cs="Times New Roman"/>
          <w:szCs w:val="24"/>
        </w:rPr>
        <w:fldChar w:fldCharType="end"/>
      </w:r>
      <w:r w:rsidRPr="00051297">
        <w:rPr>
          <w:rFonts w:cs="Times New Roman"/>
          <w:szCs w:val="24"/>
          <w:lang w:val="en-US" w:bidi="en-US"/>
        </w:rPr>
        <w:t xml:space="preserve">. This means the position of the piezometric line changes over time during the drawdown process, as shown in </w:t>
      </w:r>
      <w:r w:rsidR="00867D6B">
        <w:rPr>
          <w:rFonts w:cs="Times New Roman"/>
          <w:szCs w:val="24"/>
          <w:lang w:val="en-US" w:bidi="en-US"/>
        </w:rPr>
        <w:fldChar w:fldCharType="begin"/>
      </w:r>
      <w:r w:rsidR="00867D6B">
        <w:rPr>
          <w:rFonts w:cs="Times New Roman"/>
          <w:szCs w:val="24"/>
          <w:lang w:val="en-US" w:bidi="en-US"/>
        </w:rPr>
        <w:instrText xml:space="preserve"> REF _Ref98105099 \h </w:instrText>
      </w:r>
      <w:r w:rsidR="00867D6B">
        <w:rPr>
          <w:rFonts w:cs="Times New Roman"/>
          <w:szCs w:val="24"/>
          <w:lang w:val="en-US" w:bidi="en-US"/>
        </w:rPr>
      </w:r>
      <w:r w:rsidR="00867D6B">
        <w:rPr>
          <w:rFonts w:cs="Times New Roman"/>
          <w:szCs w:val="24"/>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4</w:t>
      </w:r>
      <w:r w:rsidR="00867D6B">
        <w:rPr>
          <w:rFonts w:cs="Times New Roman"/>
          <w:szCs w:val="24"/>
          <w:lang w:val="en-US" w:bidi="en-US"/>
        </w:rPr>
        <w:fldChar w:fldCharType="end"/>
      </w:r>
      <w:r w:rsidRPr="00051297">
        <w:rPr>
          <w:rFonts w:cs="Times New Roman"/>
          <w:szCs w:val="24"/>
          <w:lang w:val="en-US" w:bidi="en-US"/>
        </w:rPr>
        <w:t xml:space="preserve">, with the seepage face also reducing as the water goes down. It is of significant necessity that seepage through the embankment is controlled and safely carried away to prevent instability of the downstream slope </w:t>
      </w:r>
      <w:r w:rsidRPr="00051297">
        <w:rPr>
          <w:rFonts w:cs="Times New Roman"/>
          <w:szCs w:val="24"/>
          <w:lang w:bidi="en-US"/>
        </w:rPr>
        <w:fldChar w:fldCharType="begin" w:fldLock="1"/>
      </w:r>
      <w:r w:rsidR="00FA5896">
        <w:rPr>
          <w:rFonts w:cs="Times New Roman"/>
          <w:szCs w:val="24"/>
          <w:lang w:val="en-US" w:bidi="en-US"/>
        </w:rPr>
        <w:instrText>ADDIN CSL_CITATION {"citationItems":[{"id":"ITEM-1","itemData":{"DOI":"10.1016/j.geotexmem.2017.10.005","ISSN":"02661144","abstract":"This paper presents case study and failure analysis of an embankment enclosing a raw water reservoir at a coal-based thermal power plant. The embankments and the base of the reservoir were all lined with geomembrane. Major breaches occurred in the embankment separating two compartments of the reservoir (i.e., the partition embankment) approximately one year after the filling of one of the reservoirs. Seepage and slope stability analyses were carried out to detect the causes of failure. The post–failure field observations and results of stability analyses indicated that the use of a single layer geomembrane as the sole component of barrier layer was inadequate. Pipe drains provided at the base of the reservoir to intercept rising groundwater level acted as a flow pathway for water seeping from tears and punctures in geomembrane liner at the base of the reservoir. The design of internal drainage system for both the partition embankment and peripheral embankment (i.e., the embankments other than the partition embankment surrounding the reservoir) was insufficient. The remedial measures which could be adopted for geosynthetic lined reservoir and embankment were evaluated and presented in the paper. The study highlights the need to provide a secondary liner in form of clay or geosynthetic clay liner whenever a geomembrane is used as a barrier layer. In cases where use of single layer of geomembrane is unavoidable, seepage and safety analysis should be carried out with the assumption that it may leak. This is important when an adequate quality control in laying the geomembrane is lacking or the embankment facilities would continue to be operated at full head even after the design life of the geomembrane is exceeded.","author":[{"dropping-particle":"","family":"Bhowmik","given":"Riya","non-dropping-particle":"","parse-names":false,"suffix":""},{"dropping-particle":"","family":"Shahu","given":"J.T.","non-dropping-particle":"","parse-names":false,"suffix":""},{"dropping-particle":"","family":"Datta","given":"Manoj","non-dropping-particle":"","parse-names":false,"suffix":""}],"container-title":"Geotextiles and Geomembranes","id":"ITEM-1","issue":"1","issued":{"date-parts":[["2018","2"]]},"page":"52-65","title":"Failure analysis of a geomembrane lined reservoir embankment","type":"article-journal","volume":"46"},"uris":["http://www.mendeley.com/documents/?uuid=b3f3ed6d-6f8f-4ccd-a63d-944645023444","http://www.mendeley.com/documents/?uuid=841ac90b-68d1-4dea-868d-59aee7a829f1","http://www.mendeley.com/documents/?uuid=d57ef833-2ca0-475d-9645-ea2e177e04cf"]}],"mendeley":{"formattedCitation":"[265]","plainTextFormattedCitation":"[265]","previouslyFormattedCitation":"[265]"},"properties":{"noteIndex":0},"schema":"https://github.com/citation-style-language/schema/raw/master/csl-citation.json"}</w:instrText>
      </w:r>
      <w:r w:rsidRPr="00051297">
        <w:rPr>
          <w:rFonts w:cs="Times New Roman"/>
          <w:szCs w:val="24"/>
          <w:lang w:bidi="en-US"/>
        </w:rPr>
        <w:fldChar w:fldCharType="separate"/>
      </w:r>
      <w:r w:rsidR="0032684D" w:rsidRPr="0032684D">
        <w:rPr>
          <w:rFonts w:cs="Times New Roman"/>
          <w:noProof/>
          <w:szCs w:val="24"/>
          <w:lang w:val="en-US" w:bidi="en-US"/>
        </w:rPr>
        <w:t>[265]</w:t>
      </w:r>
      <w:r w:rsidRPr="00051297">
        <w:rPr>
          <w:rFonts w:cs="Times New Roman"/>
          <w:szCs w:val="24"/>
        </w:rPr>
        <w:fldChar w:fldCharType="end"/>
      </w:r>
      <w:r w:rsidRPr="00051297">
        <w:rPr>
          <w:rFonts w:cs="Times New Roman"/>
          <w:szCs w:val="24"/>
          <w:lang w:val="en-US" w:bidi="en-US"/>
        </w:rPr>
        <w:t xml:space="preserve">. Therefore, the phreatic line should not intersect the downstream slope, and the design should be in such a way that the line is a distance greater than the capillary rise below the downstream sloping face to eliminate the chances of the sloughing or piping </w:t>
      </w:r>
      <w:r w:rsidRPr="00051297">
        <w:rPr>
          <w:rFonts w:cs="Times New Roman"/>
          <w:szCs w:val="24"/>
          <w:lang w:bidi="en-US"/>
        </w:rPr>
        <w:fldChar w:fldCharType="begin" w:fldLock="1"/>
      </w:r>
      <w:r w:rsidR="00FA5896">
        <w:rPr>
          <w:rFonts w:cs="Times New Roman"/>
          <w:szCs w:val="24"/>
          <w:lang w:val="en-US" w:bidi="en-US"/>
        </w:rPr>
        <w:instrText>ADDIN CSL_CITATION {"citationItems":[{"id":"ITEM-1","itemData":{"DOI":"10.1029/WR007i001p00143","ISSN":"00431397","abstract":"Mathematical models that solve the LaPlace or Richards' equation numerically have been used in two ways: to locate the phreatic surface within a mine tailings pond embankment, and to define the subsurface flow system that transports water outward from the pond. Input data needed for the finite element model include the saturated hydraulic conductivity (permeability) distribution within, and beneath, the embankment; the fluid potential values at both upgradient and downgradient boundaries of the embankment; and the geometry and elevation of an approximately impermeable layer at some depth beneath the surface of the embankment. This technique has been applied to a tailing disposal system in northern Washington. Laboratory tests were used to obtain permeability values from samples collected by the Shelby tube method. Pond boundaries were examined by drillholes and piezometers. Piezometers were also used to validate the configuration of the phreatic surface predicted by the model. Of particular importance to slope stability analysis is the fact that both the model and the check piezometers indicate that a significant portion of the phreatic surface within the embankment is concave upward. Experimentation with the finite element model revealed that the concave upward portion is a consequence of the upstream boundary in a tailings pond being a flow line and embankment permeability being lower near the upstream boundary; the upstream boundary of the flow region in an earth dam is normally an equipotential line. Copyright 1971 by the American Geophysical Union.","author":[{"dropping-particle":"","family":"Kealy","given":"C. Dan","non-dropping-particle":"","parse-names":false,"suffix":""},{"dropping-particle":"","family":"Williams","given":"Roy E.","non-dropping-particle":"","parse-names":false,"suffix":""}],"container-title":"Water Resources Research","id":"ITEM-1","issue":"1","issued":{"date-parts":[["1971","2"]]},"page":"143-154","title":"Flow through a Tailings Pond Embankment","type":"article-journal","volume":"7"},"uris":["http://www.mendeley.com/documents/?uuid=519177a8-e2d1-4d22-a52f-e3a6f5a3542b","http://www.mendeley.com/documents/?uuid=d2bf9d00-1f81-4af3-8fb6-706568b73595","http://www.mendeley.com/documents/?uuid=bf58523c-7e67-4bd9-bf65-359fd653d830"]}],"mendeley":{"formattedCitation":"[266]","plainTextFormattedCitation":"[266]","previouslyFormattedCitation":"[266]"},"properties":{"noteIndex":0},"schema":"https://github.com/citation-style-language/schema/raw/master/csl-citation.json"}</w:instrText>
      </w:r>
      <w:r w:rsidRPr="00051297">
        <w:rPr>
          <w:rFonts w:cs="Times New Roman"/>
          <w:szCs w:val="24"/>
          <w:lang w:bidi="en-US"/>
        </w:rPr>
        <w:fldChar w:fldCharType="separate"/>
      </w:r>
      <w:r w:rsidR="0032684D" w:rsidRPr="0032684D">
        <w:rPr>
          <w:rFonts w:cs="Times New Roman"/>
          <w:noProof/>
          <w:szCs w:val="24"/>
          <w:lang w:bidi="en-US"/>
        </w:rPr>
        <w:t>[266]</w:t>
      </w:r>
      <w:r w:rsidRPr="00051297">
        <w:rPr>
          <w:rFonts w:cs="Times New Roman"/>
          <w:szCs w:val="24"/>
        </w:rPr>
        <w:fldChar w:fldCharType="end"/>
      </w:r>
      <w:r w:rsidRPr="00051297">
        <w:rPr>
          <w:rFonts w:cs="Times New Roman"/>
          <w:szCs w:val="24"/>
          <w:lang w:bidi="en-U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4D70B0" w14:paraId="4985962C" w14:textId="77777777" w:rsidTr="005F5229">
        <w:tc>
          <w:tcPr>
            <w:tcW w:w="9354" w:type="dxa"/>
          </w:tcPr>
          <w:p w14:paraId="7148FF58" w14:textId="77777777" w:rsidR="004D70B0" w:rsidRPr="00051297" w:rsidRDefault="004D70B0" w:rsidP="004D70B0">
            <w:pPr>
              <w:spacing w:line="240" w:lineRule="auto"/>
              <w:ind w:firstLine="0"/>
              <w:jc w:val="center"/>
              <w:rPr>
                <w:rFonts w:cs="Times New Roman"/>
                <w:szCs w:val="24"/>
                <w:lang w:val="pl-PL"/>
              </w:rPr>
            </w:pPr>
            <w:r>
              <w:rPr>
                <w:noProof/>
              </w:rPr>
              <w:drawing>
                <wp:inline distT="0" distB="0" distL="0" distR="0" wp14:anchorId="6AC65948" wp14:editId="716867A6">
                  <wp:extent cx="5798185" cy="1801318"/>
                  <wp:effectExtent l="0" t="0" r="0" b="889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09148" cy="1804724"/>
                          </a:xfrm>
                          <a:prstGeom prst="rect">
                            <a:avLst/>
                          </a:prstGeom>
                          <a:noFill/>
                          <a:ln>
                            <a:noFill/>
                          </a:ln>
                        </pic:spPr>
                      </pic:pic>
                    </a:graphicData>
                  </a:graphic>
                </wp:inline>
              </w:drawing>
            </w:r>
          </w:p>
          <w:p w14:paraId="12C92463" w14:textId="1878BBB9" w:rsidR="004D70B0" w:rsidRDefault="004D70B0" w:rsidP="00F257D3">
            <w:pPr>
              <w:ind w:firstLine="0"/>
              <w:jc w:val="center"/>
              <w:rPr>
                <w:rFonts w:cs="Times New Roman"/>
                <w:szCs w:val="24"/>
                <w:lang w:bidi="en-US"/>
              </w:rPr>
            </w:pPr>
            <w:r w:rsidRPr="00051297">
              <w:rPr>
                <w:rFonts w:cs="Times New Roman"/>
                <w:szCs w:val="24"/>
                <w:lang w:val="pl-PL"/>
              </w:rPr>
              <w:t>(a)</w:t>
            </w:r>
          </w:p>
        </w:tc>
      </w:tr>
      <w:tr w:rsidR="004D70B0" w14:paraId="189A7834" w14:textId="77777777" w:rsidTr="005F5229">
        <w:tc>
          <w:tcPr>
            <w:tcW w:w="9354" w:type="dxa"/>
          </w:tcPr>
          <w:p w14:paraId="6D89DC42" w14:textId="77777777" w:rsidR="004D70B0" w:rsidRPr="00051297" w:rsidRDefault="004D70B0" w:rsidP="004D70B0">
            <w:pPr>
              <w:spacing w:line="240" w:lineRule="auto"/>
              <w:ind w:firstLine="0"/>
              <w:jc w:val="center"/>
              <w:rPr>
                <w:rFonts w:cs="Times New Roman"/>
                <w:szCs w:val="24"/>
                <w:lang w:val="pl-PL"/>
              </w:rPr>
            </w:pPr>
            <w:r>
              <w:rPr>
                <w:noProof/>
              </w:rPr>
              <w:drawing>
                <wp:inline distT="0" distB="0" distL="0" distR="0" wp14:anchorId="443CAE03" wp14:editId="4D5D4D28">
                  <wp:extent cx="5798660" cy="1800225"/>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81476" cy="1856981"/>
                          </a:xfrm>
                          <a:prstGeom prst="rect">
                            <a:avLst/>
                          </a:prstGeom>
                          <a:noFill/>
                          <a:ln>
                            <a:noFill/>
                          </a:ln>
                        </pic:spPr>
                      </pic:pic>
                    </a:graphicData>
                  </a:graphic>
                </wp:inline>
              </w:drawing>
            </w:r>
          </w:p>
          <w:p w14:paraId="24DEF645" w14:textId="5CD3CBC2" w:rsidR="004D70B0" w:rsidRDefault="004D70B0" w:rsidP="00F257D3">
            <w:pPr>
              <w:ind w:firstLine="0"/>
              <w:jc w:val="center"/>
              <w:rPr>
                <w:rFonts w:cs="Times New Roman"/>
                <w:szCs w:val="24"/>
                <w:lang w:bidi="en-US"/>
              </w:rPr>
            </w:pPr>
            <w:r w:rsidRPr="00051297">
              <w:rPr>
                <w:rFonts w:cs="Times New Roman"/>
                <w:szCs w:val="24"/>
                <w:lang w:val="pl-PL"/>
              </w:rPr>
              <w:t>(b)</w:t>
            </w:r>
          </w:p>
        </w:tc>
      </w:tr>
      <w:tr w:rsidR="004D70B0" w14:paraId="6470B428" w14:textId="77777777" w:rsidTr="005F5229">
        <w:tc>
          <w:tcPr>
            <w:tcW w:w="9354" w:type="dxa"/>
          </w:tcPr>
          <w:p w14:paraId="4E060408" w14:textId="77777777" w:rsidR="004D70B0" w:rsidRPr="00051297" w:rsidRDefault="004D70B0" w:rsidP="004D70B0">
            <w:pPr>
              <w:spacing w:line="240" w:lineRule="auto"/>
              <w:ind w:firstLine="0"/>
              <w:jc w:val="center"/>
              <w:rPr>
                <w:rFonts w:cs="Times New Roman"/>
                <w:szCs w:val="24"/>
                <w:lang w:val="pl-PL"/>
              </w:rPr>
            </w:pPr>
            <w:r>
              <w:rPr>
                <w:noProof/>
              </w:rPr>
              <w:lastRenderedPageBreak/>
              <w:drawing>
                <wp:inline distT="0" distB="0" distL="0" distR="0" wp14:anchorId="35DE23DE" wp14:editId="0F65C922">
                  <wp:extent cx="5809335" cy="1809750"/>
                  <wp:effectExtent l="0" t="0" r="127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84345" cy="1864270"/>
                          </a:xfrm>
                          <a:prstGeom prst="rect">
                            <a:avLst/>
                          </a:prstGeom>
                          <a:noFill/>
                          <a:ln>
                            <a:noFill/>
                          </a:ln>
                        </pic:spPr>
                      </pic:pic>
                    </a:graphicData>
                  </a:graphic>
                </wp:inline>
              </w:drawing>
            </w:r>
          </w:p>
          <w:p w14:paraId="79023323" w14:textId="57D58863" w:rsidR="004D70B0" w:rsidRDefault="004D70B0" w:rsidP="00F257D3">
            <w:pPr>
              <w:ind w:firstLine="0"/>
              <w:jc w:val="center"/>
              <w:rPr>
                <w:rFonts w:cs="Times New Roman"/>
                <w:szCs w:val="24"/>
                <w:lang w:bidi="en-US"/>
              </w:rPr>
            </w:pPr>
            <w:r w:rsidRPr="00051297">
              <w:rPr>
                <w:rFonts w:cs="Times New Roman"/>
                <w:szCs w:val="24"/>
                <w:lang w:val="pl-PL"/>
              </w:rPr>
              <w:t>(c)</w:t>
            </w:r>
          </w:p>
        </w:tc>
      </w:tr>
      <w:tr w:rsidR="004D70B0" w14:paraId="1EA9290B" w14:textId="77777777" w:rsidTr="005F5229">
        <w:tc>
          <w:tcPr>
            <w:tcW w:w="9354" w:type="dxa"/>
          </w:tcPr>
          <w:p w14:paraId="110C0AD5" w14:textId="5B5B3610" w:rsidR="004D70B0" w:rsidRDefault="00F257D3" w:rsidP="004D70B0">
            <w:pPr>
              <w:ind w:firstLine="0"/>
              <w:rPr>
                <w:rFonts w:cs="Times New Roman"/>
                <w:szCs w:val="24"/>
                <w:lang w:bidi="en-US"/>
              </w:rPr>
            </w:pPr>
            <w:r>
              <w:rPr>
                <w:noProof/>
              </w:rPr>
              <w:drawing>
                <wp:inline distT="0" distB="0" distL="0" distR="0" wp14:anchorId="38706DBC" wp14:editId="4EE1C969">
                  <wp:extent cx="5800725" cy="1815130"/>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08223" cy="1817476"/>
                          </a:xfrm>
                          <a:prstGeom prst="rect">
                            <a:avLst/>
                          </a:prstGeom>
                          <a:noFill/>
                          <a:ln>
                            <a:noFill/>
                          </a:ln>
                        </pic:spPr>
                      </pic:pic>
                    </a:graphicData>
                  </a:graphic>
                </wp:inline>
              </w:drawing>
            </w:r>
          </w:p>
          <w:p w14:paraId="52BC58D8" w14:textId="33372DA0" w:rsidR="00F257D3" w:rsidRPr="00F257D3" w:rsidRDefault="00F257D3" w:rsidP="00F257D3">
            <w:pPr>
              <w:ind w:firstLine="0"/>
              <w:jc w:val="center"/>
              <w:rPr>
                <w:rFonts w:cs="Times New Roman"/>
                <w:szCs w:val="24"/>
                <w:lang w:val="en-US" w:bidi="en-US"/>
              </w:rPr>
            </w:pPr>
            <w:r>
              <w:rPr>
                <w:rFonts w:cs="Times New Roman"/>
                <w:szCs w:val="24"/>
                <w:lang w:val="en-US" w:bidi="en-US"/>
              </w:rPr>
              <w:t>(d)</w:t>
            </w:r>
          </w:p>
        </w:tc>
      </w:tr>
    </w:tbl>
    <w:p w14:paraId="4C4EA203" w14:textId="1A33F246" w:rsidR="00051297" w:rsidRPr="00051297" w:rsidRDefault="00051297" w:rsidP="00051297">
      <w:pPr>
        <w:ind w:firstLine="0"/>
        <w:jc w:val="center"/>
        <w:rPr>
          <w:rFonts w:cs="Times New Roman"/>
          <w:szCs w:val="24"/>
          <w:lang w:val="en-US" w:bidi="en-US"/>
        </w:rPr>
      </w:pPr>
      <w:bookmarkStart w:id="851" w:name="_Ref98105099"/>
      <w:bookmarkStart w:id="852" w:name="_Toc97428247"/>
      <w:bookmarkStart w:id="853" w:name="_Toc98085922"/>
      <w:bookmarkStart w:id="854" w:name="_Toc103544119"/>
      <w:bookmarkStart w:id="855" w:name="_Toc104985442"/>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bookmarkEnd w:id="851"/>
      <w:r w:rsidRPr="00051297">
        <w:rPr>
          <w:lang w:val="en-US"/>
        </w:rPr>
        <w:t xml:space="preserve"> </w:t>
      </w:r>
      <w:r w:rsidRPr="00051297">
        <w:rPr>
          <w:rFonts w:cs="Times New Roman"/>
          <w:szCs w:val="24"/>
          <w:lang w:val="en-US" w:bidi="en-US"/>
        </w:rPr>
        <w:t xml:space="preserve">– Seepage results under 10 m water level: a) </w:t>
      </w:r>
      <w:r w:rsidR="00704315">
        <w:rPr>
          <w:rFonts w:cs="Times New Roman"/>
          <w:szCs w:val="24"/>
          <w:lang w:val="en-US" w:bidi="en-US"/>
        </w:rPr>
        <w:t>l</w:t>
      </w:r>
      <w:r w:rsidRPr="00051297">
        <w:rPr>
          <w:rFonts w:cs="Times New Roman"/>
          <w:szCs w:val="24"/>
          <w:lang w:val="en-US" w:bidi="en-US"/>
        </w:rPr>
        <w:t xml:space="preserve">ong-term steady-state; b) </w:t>
      </w:r>
      <w:r w:rsidR="00704315">
        <w:rPr>
          <w:rFonts w:cs="Times New Roman"/>
          <w:szCs w:val="24"/>
          <w:lang w:val="en-US" w:bidi="en-US"/>
        </w:rPr>
        <w:t>i</w:t>
      </w:r>
      <w:r w:rsidRPr="00051297">
        <w:rPr>
          <w:rFonts w:cs="Times New Roman"/>
          <w:szCs w:val="24"/>
          <w:lang w:val="en-US" w:bidi="en-US"/>
        </w:rPr>
        <w:t>nstantaneous drawdown; c) 5 days drawdown</w:t>
      </w:r>
      <w:bookmarkEnd w:id="852"/>
      <w:bookmarkEnd w:id="853"/>
      <w:bookmarkEnd w:id="854"/>
      <w:r w:rsidR="00F257D3">
        <w:rPr>
          <w:rFonts w:cs="Times New Roman"/>
          <w:szCs w:val="24"/>
          <w:lang w:val="en-US" w:bidi="en-US"/>
        </w:rPr>
        <w:t>;</w:t>
      </w:r>
      <w:r w:rsidR="00F257D3" w:rsidRPr="00F257D3">
        <w:rPr>
          <w:rFonts w:cs="Times New Roman"/>
          <w:szCs w:val="24"/>
          <w:lang w:val="en-US" w:bidi="en-US"/>
        </w:rPr>
        <w:t xml:space="preserve"> </w:t>
      </w:r>
      <w:r w:rsidR="00F257D3">
        <w:rPr>
          <w:rFonts w:cs="Times New Roman"/>
          <w:szCs w:val="24"/>
          <w:lang w:val="en-US" w:bidi="en-US"/>
        </w:rPr>
        <w:t>d</w:t>
      </w:r>
      <w:r w:rsidR="00F257D3" w:rsidRPr="00051297">
        <w:rPr>
          <w:rFonts w:cs="Times New Roman"/>
          <w:szCs w:val="24"/>
          <w:lang w:val="en-US" w:bidi="en-US"/>
        </w:rPr>
        <w:t xml:space="preserve">) </w:t>
      </w:r>
      <w:r w:rsidR="00F257D3">
        <w:rPr>
          <w:rFonts w:cs="Times New Roman"/>
          <w:szCs w:val="24"/>
          <w:lang w:val="en-US" w:bidi="en-US"/>
        </w:rPr>
        <w:t>10</w:t>
      </w:r>
      <w:r w:rsidR="00F257D3" w:rsidRPr="00051297">
        <w:rPr>
          <w:rFonts w:cs="Times New Roman"/>
          <w:szCs w:val="24"/>
          <w:lang w:val="en-US" w:bidi="en-US"/>
        </w:rPr>
        <w:t xml:space="preserve"> days drawdown</w:t>
      </w:r>
      <w:bookmarkEnd w:id="855"/>
    </w:p>
    <w:p w14:paraId="7FAA3AA2" w14:textId="497C3F05" w:rsidR="00051297" w:rsidRPr="00051297" w:rsidRDefault="00051297" w:rsidP="00B44876">
      <w:pPr>
        <w:pStyle w:val="5"/>
        <w:rPr>
          <w:lang w:val="en-US" w:bidi="en-US"/>
        </w:rPr>
      </w:pPr>
      <w:bookmarkStart w:id="856" w:name="_Hlk73927603"/>
      <w:bookmarkStart w:id="857" w:name="_Toc97504822"/>
      <w:bookmarkStart w:id="858" w:name="_Toc103543956"/>
      <w:bookmarkStart w:id="859" w:name="_Toc104985281"/>
      <w:r w:rsidRPr="00051297">
        <w:rPr>
          <w:lang w:val="en-US" w:bidi="en-US"/>
        </w:rPr>
        <w:t>Seepage analysis results from</w:t>
      </w:r>
      <w:bookmarkEnd w:id="856"/>
      <w:r w:rsidRPr="00051297">
        <w:rPr>
          <w:lang w:val="en-US" w:bidi="en-US"/>
        </w:rPr>
        <w:t xml:space="preserve"> 8m water level</w:t>
      </w:r>
      <w:bookmarkEnd w:id="857"/>
      <w:bookmarkEnd w:id="858"/>
      <w:bookmarkEnd w:id="859"/>
    </w:p>
    <w:p w14:paraId="4098481F" w14:textId="67F7B026" w:rsidR="00051297" w:rsidRPr="00051297" w:rsidRDefault="00051297" w:rsidP="00051297">
      <w:pPr>
        <w:ind w:firstLine="706"/>
        <w:rPr>
          <w:rFonts w:cs="Times New Roman"/>
          <w:szCs w:val="24"/>
          <w:lang w:val="en-US" w:bidi="en-US"/>
        </w:rPr>
      </w:pPr>
      <w:r w:rsidRPr="00051297">
        <w:rPr>
          <w:rFonts w:cs="Times New Roman"/>
          <w:szCs w:val="24"/>
          <w:lang w:val="en-US" w:bidi="en-US"/>
        </w:rPr>
        <w:t>The water level in the reservoir was then reduced to 8m and then subjected to the long-term steady-state before drawdown. The level of the piezometric line from the steady-state analysis starts from the maximum reservoir level (8 m) towards the toe drain downstream.  As for the 10 m water level, it can be observed from the piezometric lines that the water stored in the embankment gradually drained from areas of high pore-water pressure, and the seepage face decreased with time following the rapid drawdown scenarios (</w:t>
      </w:r>
      <w:r w:rsidRPr="00051297">
        <w:rPr>
          <w:rFonts w:cs="Times New Roman"/>
          <w:szCs w:val="24"/>
          <w:lang w:val="en-US" w:bidi="en-US"/>
        </w:rPr>
        <w:fldChar w:fldCharType="begin"/>
      </w:r>
      <w:r w:rsidRPr="00051297">
        <w:rPr>
          <w:rFonts w:cs="Times New Roman"/>
          <w:szCs w:val="24"/>
          <w:lang w:val="en-US" w:bidi="en-US"/>
        </w:rPr>
        <w:instrText xml:space="preserve"> REF _Ref98105154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5</w:t>
      </w:r>
      <w:r w:rsidRPr="00051297">
        <w:rPr>
          <w:rFonts w:cs="Times New Roman"/>
          <w:szCs w:val="24"/>
          <w:lang w:val="en-US" w:bidi="en-US"/>
        </w:rPr>
        <w:fldChar w:fldCharType="end"/>
      </w:r>
      <w:r w:rsidRPr="00051297">
        <w:rPr>
          <w:rFonts w:cs="Times New Roman"/>
          <w:szCs w:val="24"/>
          <w:lang w:val="en-US" w:bidi="en-US"/>
        </w:rPr>
        <w:t xml:space="preserve">). </w:t>
      </w:r>
    </w:p>
    <w:p w14:paraId="2D139D10" w14:textId="77777777" w:rsidR="00051297" w:rsidRPr="00051297" w:rsidRDefault="00051297" w:rsidP="00051297">
      <w:pPr>
        <w:ind w:firstLine="706"/>
        <w:rPr>
          <w:rFonts w:cs="Times New Roman"/>
          <w:szCs w:val="24"/>
          <w:lang w:val="en-US"/>
        </w:rPr>
      </w:pPr>
    </w:p>
    <w:tbl>
      <w:tblPr>
        <w:tblW w:w="0" w:type="auto"/>
        <w:jc w:val="center"/>
        <w:tblLook w:val="04A0" w:firstRow="1" w:lastRow="0" w:firstColumn="1" w:lastColumn="0" w:noHBand="0" w:noVBand="1"/>
      </w:tblPr>
      <w:tblGrid>
        <w:gridCol w:w="9354"/>
      </w:tblGrid>
      <w:tr w:rsidR="00051297" w:rsidRPr="00051297" w14:paraId="4A97D3F0" w14:textId="77777777" w:rsidTr="00D20B01">
        <w:trPr>
          <w:jc w:val="center"/>
        </w:trPr>
        <w:tc>
          <w:tcPr>
            <w:tcW w:w="9350" w:type="dxa"/>
          </w:tcPr>
          <w:p w14:paraId="647D3372" w14:textId="51145ACF" w:rsidR="00051297" w:rsidRPr="00051297" w:rsidRDefault="00B10FAA" w:rsidP="00051297">
            <w:pPr>
              <w:ind w:firstLine="0"/>
              <w:jc w:val="center"/>
              <w:rPr>
                <w:rFonts w:cs="Times New Roman"/>
                <w:szCs w:val="24"/>
                <w:lang w:val="pl-PL"/>
              </w:rPr>
            </w:pPr>
            <w:r>
              <w:rPr>
                <w:noProof/>
              </w:rPr>
              <w:drawing>
                <wp:inline distT="0" distB="0" distL="0" distR="0" wp14:anchorId="68F43D40" wp14:editId="46F8937E">
                  <wp:extent cx="5939790" cy="1838325"/>
                  <wp:effectExtent l="0" t="0" r="3810" b="952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9790" cy="1838325"/>
                          </a:xfrm>
                          <a:prstGeom prst="rect">
                            <a:avLst/>
                          </a:prstGeom>
                          <a:noFill/>
                          <a:ln>
                            <a:noFill/>
                          </a:ln>
                        </pic:spPr>
                      </pic:pic>
                    </a:graphicData>
                  </a:graphic>
                </wp:inline>
              </w:drawing>
            </w:r>
          </w:p>
          <w:p w14:paraId="322B84F1" w14:textId="77777777" w:rsidR="00051297" w:rsidRPr="00051297" w:rsidRDefault="00051297" w:rsidP="00051297">
            <w:pPr>
              <w:jc w:val="center"/>
              <w:rPr>
                <w:rFonts w:cs="Times New Roman"/>
                <w:szCs w:val="24"/>
                <w:lang w:val="pl-PL"/>
              </w:rPr>
            </w:pPr>
            <w:r w:rsidRPr="00051297">
              <w:rPr>
                <w:rFonts w:cs="Times New Roman"/>
                <w:szCs w:val="24"/>
                <w:lang w:val="pl-PL"/>
              </w:rPr>
              <w:t>(a)</w:t>
            </w:r>
          </w:p>
        </w:tc>
      </w:tr>
      <w:tr w:rsidR="00051297" w:rsidRPr="00051297" w14:paraId="09E964D9" w14:textId="77777777" w:rsidTr="00D20B01">
        <w:trPr>
          <w:jc w:val="center"/>
        </w:trPr>
        <w:tc>
          <w:tcPr>
            <w:tcW w:w="9350" w:type="dxa"/>
          </w:tcPr>
          <w:p w14:paraId="3DAA757B" w14:textId="77777777" w:rsidR="00051297" w:rsidRPr="00051297" w:rsidRDefault="00051297" w:rsidP="00051297">
            <w:pPr>
              <w:ind w:firstLine="706"/>
              <w:rPr>
                <w:rFonts w:cs="Times New Roman"/>
                <w:szCs w:val="24"/>
                <w:lang w:val="pl-PL"/>
              </w:rPr>
            </w:pPr>
          </w:p>
          <w:p w14:paraId="4F69BA9C" w14:textId="4E75A329" w:rsidR="00051297" w:rsidRPr="00051297" w:rsidRDefault="00B10FAA" w:rsidP="00051297">
            <w:pPr>
              <w:ind w:firstLine="0"/>
              <w:rPr>
                <w:rFonts w:cs="Times New Roman"/>
                <w:szCs w:val="24"/>
                <w:lang w:val="pl-PL"/>
              </w:rPr>
            </w:pPr>
            <w:r>
              <w:rPr>
                <w:noProof/>
              </w:rPr>
              <w:drawing>
                <wp:inline distT="0" distB="0" distL="0" distR="0" wp14:anchorId="22BE0357" wp14:editId="493F1427">
                  <wp:extent cx="5939790" cy="1854200"/>
                  <wp:effectExtent l="0" t="0" r="381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9790" cy="1854200"/>
                          </a:xfrm>
                          <a:prstGeom prst="rect">
                            <a:avLst/>
                          </a:prstGeom>
                          <a:noFill/>
                          <a:ln>
                            <a:noFill/>
                          </a:ln>
                        </pic:spPr>
                      </pic:pic>
                    </a:graphicData>
                  </a:graphic>
                </wp:inline>
              </w:drawing>
            </w:r>
          </w:p>
          <w:p w14:paraId="2628E517" w14:textId="77777777" w:rsidR="00051297" w:rsidRPr="00051297" w:rsidRDefault="00051297" w:rsidP="00051297">
            <w:pPr>
              <w:keepNext/>
              <w:jc w:val="center"/>
              <w:rPr>
                <w:rFonts w:cs="Times New Roman"/>
                <w:szCs w:val="24"/>
                <w:lang w:val="pl-PL"/>
              </w:rPr>
            </w:pPr>
            <w:r w:rsidRPr="00051297">
              <w:rPr>
                <w:rFonts w:cs="Times New Roman"/>
                <w:szCs w:val="24"/>
                <w:lang w:val="pl-PL"/>
              </w:rPr>
              <w:t>(b)</w:t>
            </w:r>
          </w:p>
        </w:tc>
      </w:tr>
    </w:tbl>
    <w:p w14:paraId="59CE82DE" w14:textId="7A8A0A4D" w:rsidR="00051297" w:rsidRPr="00051297" w:rsidRDefault="00051297" w:rsidP="00051297">
      <w:pPr>
        <w:ind w:firstLine="0"/>
        <w:jc w:val="center"/>
        <w:rPr>
          <w:rFonts w:cs="Times New Roman"/>
          <w:szCs w:val="24"/>
          <w:lang w:val="en-US" w:bidi="en-US"/>
        </w:rPr>
      </w:pPr>
      <w:bookmarkStart w:id="860" w:name="_Ref98105154"/>
      <w:bookmarkStart w:id="861" w:name="_Toc97428248"/>
      <w:bookmarkStart w:id="862" w:name="_Toc98085923"/>
      <w:bookmarkStart w:id="863" w:name="_Toc103544120"/>
      <w:bookmarkStart w:id="864" w:name="_Toc104985443"/>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bookmarkEnd w:id="860"/>
      <w:r w:rsidRPr="00051297">
        <w:rPr>
          <w:lang w:val="en-US"/>
        </w:rPr>
        <w:t xml:space="preserve"> </w:t>
      </w:r>
      <w:r w:rsidRPr="00051297">
        <w:rPr>
          <w:rFonts w:cs="Times New Roman"/>
          <w:szCs w:val="24"/>
          <w:lang w:val="en-US" w:bidi="en-US"/>
        </w:rPr>
        <w:t xml:space="preserve">– Seepage results under 8m water level: a) </w:t>
      </w:r>
      <w:r w:rsidR="00D9413F">
        <w:rPr>
          <w:rFonts w:cs="Times New Roman"/>
          <w:szCs w:val="24"/>
          <w:lang w:val="en-US" w:bidi="en-US"/>
        </w:rPr>
        <w:t>l</w:t>
      </w:r>
      <w:r w:rsidRPr="00051297">
        <w:rPr>
          <w:rFonts w:cs="Times New Roman"/>
          <w:szCs w:val="24"/>
          <w:lang w:val="en-US" w:bidi="en-US"/>
        </w:rPr>
        <w:t>ong-term steady-state; b) 5 days drawdown</w:t>
      </w:r>
      <w:bookmarkEnd w:id="861"/>
      <w:bookmarkEnd w:id="862"/>
      <w:bookmarkEnd w:id="863"/>
      <w:bookmarkEnd w:id="864"/>
    </w:p>
    <w:p w14:paraId="627F54AA" w14:textId="176E763D" w:rsidR="00051297" w:rsidRPr="00051297" w:rsidRDefault="00051297" w:rsidP="00B44876">
      <w:pPr>
        <w:pStyle w:val="5"/>
        <w:rPr>
          <w:lang w:val="en-US" w:bidi="en-US"/>
        </w:rPr>
      </w:pPr>
      <w:bookmarkStart w:id="865" w:name="_Toc97504823"/>
      <w:bookmarkStart w:id="866" w:name="_Toc103543957"/>
      <w:bookmarkStart w:id="867" w:name="_Toc104985282"/>
      <w:r w:rsidRPr="00051297">
        <w:rPr>
          <w:lang w:val="en-US" w:bidi="en-US"/>
        </w:rPr>
        <w:t>Seepage analysis results from 6m water level</w:t>
      </w:r>
      <w:bookmarkEnd w:id="865"/>
      <w:bookmarkEnd w:id="866"/>
      <w:bookmarkEnd w:id="867"/>
    </w:p>
    <w:p w14:paraId="005697FD" w14:textId="77777777" w:rsidR="005F5229" w:rsidRDefault="00051297" w:rsidP="00051297">
      <w:pPr>
        <w:rPr>
          <w:lang w:val="en-US" w:bidi="en-US"/>
        </w:rPr>
      </w:pPr>
      <w:r w:rsidRPr="00051297">
        <w:rPr>
          <w:lang w:val="en-US" w:bidi="en-US"/>
        </w:rPr>
        <w:t xml:space="preserve">Then the water level in the reservoir was further reduced to 6m, and the long-term steady-state was established. In this case, the maximum water level was almost half of the embankment height. </w:t>
      </w:r>
    </w:p>
    <w:p w14:paraId="583FA76D" w14:textId="60C11274" w:rsidR="003A5B78" w:rsidRDefault="00051297" w:rsidP="00051297">
      <w:pPr>
        <w:rPr>
          <w:lang w:val="en-US" w:bidi="en-US"/>
        </w:rPr>
      </w:pPr>
      <w:r w:rsidRPr="00051297">
        <w:rPr>
          <w:lang w:val="en-US" w:bidi="en-US"/>
        </w:rPr>
        <w:t xml:space="preserve">A similar phenomenon as observed from the 10 m and 8 m water levels in terms of piezometric lines and size of the seepage face can be seen in </w:t>
      </w:r>
      <w:r w:rsidR="00867D6B">
        <w:rPr>
          <w:lang w:val="en-US" w:bidi="en-US"/>
        </w:rPr>
        <w:fldChar w:fldCharType="begin"/>
      </w:r>
      <w:r w:rsidR="00867D6B">
        <w:rPr>
          <w:lang w:val="en-US" w:bidi="en-US"/>
        </w:rPr>
        <w:instrText xml:space="preserve"> REF _Ref98105184 \h </w:instrText>
      </w:r>
      <w:r w:rsidR="00867D6B">
        <w:rPr>
          <w:lang w:val="en-US" w:bidi="en-US"/>
        </w:rPr>
      </w:r>
      <w:r w:rsidR="00867D6B">
        <w:rPr>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6</w:t>
      </w:r>
      <w:r w:rsidR="00867D6B">
        <w:rPr>
          <w:lang w:val="en-US" w:bidi="en-US"/>
        </w:rPr>
        <w:fldChar w:fldCharType="end"/>
      </w:r>
      <w:r w:rsidRPr="00051297">
        <w:rPr>
          <w:lang w:val="en-US" w:bidi="en-US"/>
        </w:rPr>
        <w:t xml:space="preserve">. The level of the piezometric line from the steady-state analysis starts from the maximum reservoir level towards the toe drain downstream. While from the 5 days drawdown, 30 different piezometric lines were drawn over 30 days of the analysis duration from the upstream face to the toe drain downstream. The lines are more scattered at the upstream face and more concentrated as they move towards the toes drain. </w:t>
      </w:r>
    </w:p>
    <w:p w14:paraId="49DFEBAD" w14:textId="29AFC5F2" w:rsidR="00051297" w:rsidRPr="00051297" w:rsidRDefault="00051297" w:rsidP="00051297">
      <w:pPr>
        <w:rPr>
          <w:lang w:val="en-US" w:bidi="en-US"/>
        </w:rPr>
      </w:pPr>
      <w:r w:rsidRPr="00051297">
        <w:rPr>
          <w:lang w:val="en-US" w:bidi="en-US"/>
        </w:rPr>
        <w:t>The scattering of the piezometric lines on the upstream face is more evident within the 5 days of the rapid drawdown and more compacted as the water has been completely drawn from the reservoir (</w:t>
      </w:r>
      <w:r w:rsidRPr="00051297">
        <w:rPr>
          <w:lang w:val="en-US" w:bidi="en-US"/>
        </w:rPr>
        <w:fldChar w:fldCharType="begin"/>
      </w:r>
      <w:r w:rsidRPr="00051297">
        <w:rPr>
          <w:lang w:val="en-US" w:bidi="en-US"/>
        </w:rPr>
        <w:instrText xml:space="preserve"> REF _Ref98105184 \h </w:instrText>
      </w:r>
      <w:r w:rsidRPr="00051297">
        <w:rPr>
          <w:lang w:val="en-US" w:bidi="en-US"/>
        </w:rPr>
      </w:r>
      <w:r w:rsidRPr="00051297">
        <w:rPr>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6</w:t>
      </w:r>
      <w:r w:rsidRPr="00051297">
        <w:rPr>
          <w:lang w:val="en-US" w:bidi="en-US"/>
        </w:rPr>
        <w:fldChar w:fldCharType="end"/>
      </w:r>
      <w:r w:rsidRPr="00051297">
        <w:rPr>
          <w:lang w:val="en-US" w:bidi="en-US"/>
        </w:rPr>
        <w:t>).</w:t>
      </w:r>
    </w:p>
    <w:p w14:paraId="2E613799" w14:textId="77777777" w:rsidR="00051297" w:rsidRPr="00051297" w:rsidRDefault="00051297" w:rsidP="00051297">
      <w:pPr>
        <w:ind w:firstLine="567"/>
        <w:rPr>
          <w:rFonts w:cs="Times New Roman"/>
          <w:szCs w:val="24"/>
          <w:lang w:val="en-US" w:bidi="en-US"/>
        </w:rPr>
      </w:pPr>
    </w:p>
    <w:tbl>
      <w:tblPr>
        <w:tblW w:w="0" w:type="auto"/>
        <w:jc w:val="center"/>
        <w:tblLook w:val="04A0" w:firstRow="1" w:lastRow="0" w:firstColumn="1" w:lastColumn="0" w:noHBand="0" w:noVBand="1"/>
      </w:tblPr>
      <w:tblGrid>
        <w:gridCol w:w="9354"/>
      </w:tblGrid>
      <w:tr w:rsidR="00051297" w:rsidRPr="00051297" w14:paraId="07D35881" w14:textId="77777777" w:rsidTr="00D20B01">
        <w:trPr>
          <w:jc w:val="center"/>
        </w:trPr>
        <w:tc>
          <w:tcPr>
            <w:tcW w:w="9350" w:type="dxa"/>
          </w:tcPr>
          <w:p w14:paraId="629EA3B3" w14:textId="2F6FE18E" w:rsidR="00051297" w:rsidRPr="00051297" w:rsidRDefault="00203C29" w:rsidP="00051297">
            <w:pPr>
              <w:ind w:firstLine="0"/>
              <w:rPr>
                <w:rFonts w:cs="Times New Roman"/>
                <w:szCs w:val="24"/>
                <w:lang w:val="pl-PL"/>
              </w:rPr>
            </w:pPr>
            <w:r>
              <w:rPr>
                <w:noProof/>
              </w:rPr>
              <w:drawing>
                <wp:inline distT="0" distB="0" distL="0" distR="0" wp14:anchorId="792E78AF" wp14:editId="13F4EBAB">
                  <wp:extent cx="5939790" cy="1845310"/>
                  <wp:effectExtent l="0" t="0" r="3810" b="254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9790" cy="1845310"/>
                          </a:xfrm>
                          <a:prstGeom prst="rect">
                            <a:avLst/>
                          </a:prstGeom>
                          <a:noFill/>
                          <a:ln>
                            <a:noFill/>
                          </a:ln>
                        </pic:spPr>
                      </pic:pic>
                    </a:graphicData>
                  </a:graphic>
                </wp:inline>
              </w:drawing>
            </w:r>
          </w:p>
          <w:p w14:paraId="7AFAEFED" w14:textId="77777777" w:rsidR="00051297" w:rsidRPr="00051297" w:rsidRDefault="00051297" w:rsidP="00051297">
            <w:pPr>
              <w:jc w:val="center"/>
              <w:rPr>
                <w:rFonts w:cs="Times New Roman"/>
                <w:szCs w:val="24"/>
                <w:lang w:val="pl-PL"/>
              </w:rPr>
            </w:pPr>
            <w:r w:rsidRPr="00051297">
              <w:rPr>
                <w:rFonts w:cs="Times New Roman"/>
                <w:szCs w:val="24"/>
                <w:lang w:val="pl-PL"/>
              </w:rPr>
              <w:t>(a)</w:t>
            </w:r>
          </w:p>
        </w:tc>
      </w:tr>
      <w:tr w:rsidR="00051297" w:rsidRPr="00051297" w14:paraId="4D04853D" w14:textId="77777777" w:rsidTr="00D20B01">
        <w:trPr>
          <w:jc w:val="center"/>
        </w:trPr>
        <w:tc>
          <w:tcPr>
            <w:tcW w:w="9350" w:type="dxa"/>
          </w:tcPr>
          <w:p w14:paraId="51F6F4A6" w14:textId="617C0488" w:rsidR="00051297" w:rsidRPr="00051297" w:rsidRDefault="00203C29" w:rsidP="003A5B78">
            <w:pPr>
              <w:spacing w:line="240" w:lineRule="auto"/>
              <w:ind w:firstLine="0"/>
              <w:rPr>
                <w:rFonts w:cs="Times New Roman"/>
                <w:szCs w:val="24"/>
                <w:lang w:val="pl-PL"/>
              </w:rPr>
            </w:pPr>
            <w:r>
              <w:rPr>
                <w:noProof/>
              </w:rPr>
              <w:lastRenderedPageBreak/>
              <w:drawing>
                <wp:inline distT="0" distB="0" distL="0" distR="0" wp14:anchorId="14AD4130" wp14:editId="3601CE3F">
                  <wp:extent cx="5939790" cy="1844040"/>
                  <wp:effectExtent l="0" t="0" r="3810" b="381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9790" cy="1844040"/>
                          </a:xfrm>
                          <a:prstGeom prst="rect">
                            <a:avLst/>
                          </a:prstGeom>
                          <a:noFill/>
                          <a:ln>
                            <a:noFill/>
                          </a:ln>
                        </pic:spPr>
                      </pic:pic>
                    </a:graphicData>
                  </a:graphic>
                </wp:inline>
              </w:drawing>
            </w:r>
          </w:p>
          <w:p w14:paraId="0A146F75" w14:textId="77777777" w:rsidR="00051297" w:rsidRPr="00051297" w:rsidRDefault="00051297" w:rsidP="00051297">
            <w:pPr>
              <w:keepNext/>
              <w:jc w:val="center"/>
              <w:rPr>
                <w:rFonts w:cs="Times New Roman"/>
                <w:szCs w:val="24"/>
                <w:lang w:val="pl-PL"/>
              </w:rPr>
            </w:pPr>
            <w:r w:rsidRPr="00051297">
              <w:rPr>
                <w:rFonts w:cs="Times New Roman"/>
                <w:szCs w:val="24"/>
                <w:lang w:val="pl-PL"/>
              </w:rPr>
              <w:t>(b)</w:t>
            </w:r>
          </w:p>
        </w:tc>
      </w:tr>
    </w:tbl>
    <w:p w14:paraId="417855AB" w14:textId="0E7A4E9F" w:rsidR="00051297" w:rsidRPr="00051297" w:rsidRDefault="00051297" w:rsidP="00051297">
      <w:pPr>
        <w:ind w:firstLine="0"/>
        <w:jc w:val="center"/>
        <w:rPr>
          <w:rFonts w:cs="Times New Roman"/>
          <w:szCs w:val="24"/>
          <w:lang w:val="en-US" w:bidi="en-US"/>
        </w:rPr>
      </w:pPr>
      <w:bookmarkStart w:id="868" w:name="_Ref98105184"/>
      <w:bookmarkStart w:id="869" w:name="_Toc97428249"/>
      <w:bookmarkStart w:id="870" w:name="_Toc98085924"/>
      <w:bookmarkStart w:id="871" w:name="_Toc103544121"/>
      <w:bookmarkStart w:id="872" w:name="_Toc104985444"/>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6</w:t>
      </w:r>
      <w:r w:rsidR="00527861">
        <w:rPr>
          <w:rFonts w:cs="Times New Roman"/>
          <w:szCs w:val="24"/>
          <w:lang w:val="en-US" w:bidi="en-US"/>
        </w:rPr>
        <w:fldChar w:fldCharType="end"/>
      </w:r>
      <w:bookmarkEnd w:id="868"/>
      <w:r w:rsidRPr="00051297">
        <w:rPr>
          <w:lang w:val="en-US"/>
        </w:rPr>
        <w:t xml:space="preserve"> </w:t>
      </w:r>
      <w:r w:rsidRPr="00051297">
        <w:rPr>
          <w:rFonts w:cs="Times New Roman"/>
          <w:szCs w:val="24"/>
          <w:lang w:val="en-US" w:bidi="en-US"/>
        </w:rPr>
        <w:t xml:space="preserve">– Seepage results under 6m water level: a) </w:t>
      </w:r>
      <w:r w:rsidR="00D9413F">
        <w:rPr>
          <w:rFonts w:cs="Times New Roman"/>
          <w:szCs w:val="24"/>
          <w:lang w:val="en-US" w:bidi="en-US"/>
        </w:rPr>
        <w:t>l</w:t>
      </w:r>
      <w:r w:rsidRPr="00051297">
        <w:rPr>
          <w:rFonts w:cs="Times New Roman"/>
          <w:szCs w:val="24"/>
          <w:lang w:val="en-US" w:bidi="en-US"/>
        </w:rPr>
        <w:t>ong-term steady-state; b) 5 days drawdown</w:t>
      </w:r>
      <w:bookmarkEnd w:id="869"/>
      <w:bookmarkEnd w:id="870"/>
      <w:bookmarkEnd w:id="871"/>
      <w:bookmarkEnd w:id="872"/>
    </w:p>
    <w:p w14:paraId="407B592A" w14:textId="5F3212E1" w:rsidR="00051297" w:rsidRPr="00051297" w:rsidRDefault="00051297" w:rsidP="00B44876">
      <w:pPr>
        <w:pStyle w:val="4"/>
        <w:rPr>
          <w:lang w:bidi="en-US"/>
        </w:rPr>
      </w:pPr>
      <w:bookmarkStart w:id="873" w:name="_Toc97504824"/>
      <w:bookmarkStart w:id="874" w:name="_Toc103543958"/>
      <w:bookmarkStart w:id="875" w:name="_Toc104985283"/>
      <w:r w:rsidRPr="00051297">
        <w:rPr>
          <w:lang w:bidi="en-US"/>
        </w:rPr>
        <w:t>Slope stability</w:t>
      </w:r>
      <w:bookmarkEnd w:id="873"/>
      <w:bookmarkEnd w:id="874"/>
      <w:bookmarkEnd w:id="875"/>
    </w:p>
    <w:p w14:paraId="57186424" w14:textId="77777777" w:rsidR="00051297" w:rsidRPr="00051297" w:rsidRDefault="00051297" w:rsidP="00051297">
      <w:pPr>
        <w:rPr>
          <w:lang w:val="en-US" w:bidi="en-US"/>
        </w:rPr>
      </w:pPr>
      <w:r w:rsidRPr="00051297">
        <w:rPr>
          <w:lang w:val="en-US" w:bidi="en-US"/>
        </w:rPr>
        <w:t>The slope stability analysis was accomplished using The Draw Slip Surface command in SLOPE/W. Finally, the plots of Factor of Safety versus time were created given the rapid drawdown scenarios as shown in the Figures below.</w:t>
      </w:r>
    </w:p>
    <w:p w14:paraId="5DC6A8A5" w14:textId="163C9967" w:rsidR="00051297" w:rsidRPr="00051297" w:rsidRDefault="00051297" w:rsidP="00B44876">
      <w:pPr>
        <w:pStyle w:val="5"/>
        <w:rPr>
          <w:lang w:val="en-US" w:bidi="en-US"/>
        </w:rPr>
      </w:pPr>
      <w:bookmarkStart w:id="876" w:name="_Toc97504825"/>
      <w:bookmarkStart w:id="877" w:name="_Toc103543959"/>
      <w:bookmarkStart w:id="878" w:name="_Toc104985284"/>
      <w:r w:rsidRPr="00051297">
        <w:rPr>
          <w:lang w:val="en-US" w:bidi="en-US"/>
        </w:rPr>
        <w:t>Slope stability analysis results from 10 m water level</w:t>
      </w:r>
      <w:bookmarkEnd w:id="876"/>
      <w:bookmarkEnd w:id="877"/>
      <w:bookmarkEnd w:id="878"/>
    </w:p>
    <w:p w14:paraId="2940AD8A" w14:textId="7DBFB22D" w:rsidR="00051297" w:rsidRPr="00051297" w:rsidRDefault="00051297" w:rsidP="00051297">
      <w:pPr>
        <w:rPr>
          <w:lang w:val="en-US" w:bidi="en-US"/>
        </w:rPr>
      </w:pPr>
      <w:r w:rsidRPr="00051297">
        <w:rPr>
          <w:lang w:val="en-US" w:bidi="en-US"/>
        </w:rPr>
        <w:t xml:space="preserve">From </w:t>
      </w:r>
      <w:r w:rsidRPr="00051297">
        <w:rPr>
          <w:lang w:val="en-US" w:bidi="en-US"/>
        </w:rPr>
        <w:fldChar w:fldCharType="begin"/>
      </w:r>
      <w:r w:rsidRPr="00051297">
        <w:rPr>
          <w:lang w:val="en-US" w:bidi="en-US"/>
        </w:rPr>
        <w:instrText xml:space="preserve"> REF _Ref98105202 \h </w:instrText>
      </w:r>
      <w:r w:rsidRPr="00051297">
        <w:rPr>
          <w:lang w:val="en-US" w:bidi="en-US"/>
        </w:rPr>
      </w:r>
      <w:r w:rsidRPr="00051297">
        <w:rPr>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7</w:t>
      </w:r>
      <w:r w:rsidRPr="00051297">
        <w:rPr>
          <w:lang w:val="en-US" w:bidi="en-US"/>
        </w:rPr>
        <w:fldChar w:fldCharType="end"/>
      </w:r>
      <w:r w:rsidRPr="00051297">
        <w:rPr>
          <w:lang w:val="en-US" w:bidi="en-US"/>
        </w:rPr>
        <w:t xml:space="preserve">, it can be observed that a factor of safety of 1.562 was achieved from the steady-state slope stability analysis, which is above the minimum value recommended by different regulatory agencies </w:t>
      </w:r>
      <w:r w:rsidRPr="00051297">
        <w:rPr>
          <w:lang w:bidi="en-US"/>
        </w:rPr>
        <w:fldChar w:fldCharType="begin" w:fldLock="1"/>
      </w:r>
      <w:r w:rsidR="00FA5896">
        <w:rPr>
          <w:lang w:val="en-US" w:bidi="en-US"/>
        </w:rPr>
        <w:instrText>ADDIN CSL_CITATION {"citationItems":[{"id":"ITEM-1","itemData":{"DOI":"10.1016/j.ijmst.2017.05.012","ISSN":"20952686","abstract":"The Westwood Mine aims to reuse the tailings storage facility #1 (TSF #1) for solid waste storage, but, downstream of the Northwest dike is considered critical in terms of stability. This paper uses numerical modeling along with geophysical monitoring for assessing the Northwest dike stability during the restoration phase. The impact of waste rock deposition in the upstream TSF #1 is considered. The geophysical monitoring is based on electrical resistivity methods and was used to investigate the internal structure of the dike embankment in different deposition stages. The numerical simulations were performed with SLOPE/W code. The results show a factor of safety well above the minimum recommended value of 1.5. Geophysical monitoring revealed a vertical variation in the electrical resistivity across the dike, which indicates a multilayer structure of the embankment. Without any current in situ data, the geophysical monitoring helped estimating the nature of the materials used and the internal structure of the embankment. These interpretations were validated by geological observation of geotechnical log of the embankment. Based on this study, it is recommended that the water polishing pond be partly filled before waste rock is deposited in TSF #1. In addition, to ensure the stability of the dike, the piezometric head monitoring prior to and during waste rock deposition is recommended.","author":[{"dropping-particle":"","family":"Coulibaly","given":"Yaya","non-dropping-particle":"","parse-names":false,"suffix":""},{"dropping-particle":"","family":"Belem","given":"Tikou","non-dropping-particle":"","parse-names":false,"suffix":""},{"dropping-particle":"","family":"Cheng","given":"LiZhen","non-dropping-particle":"","parse-names":false,"suffix":""}],"container-title":"International Journal of Mining Science and Technology","id":"ITEM-1","issue":"4","issued":{"date-parts":[["2017","7"]]},"page":"701-710","title":"Numerical analysis and geophysical monitoring for stability assessment of the Northwest tailings dam at Westwood Mine","type":"article-journal","volume":"27"},"uris":["http://www.mendeley.com/documents/?uuid=cc91a175-ddd6-457f-aeb6-9590c5488df7","http://www.mendeley.com/documents/?uuid=8067eeb2-91ea-460e-9d48-2fe23990ece4","http://www.mendeley.com/documents/?uuid=973a7dc6-c28f-409d-89cc-64b1503d6efe"]},{"id":"ITEM-2","itemData":{"DOI":"10.11118/actaun201765020569","ISSN":"12118516","abstract":"The design and assessment of the slope stability of small embankment dams is usually not carried out using slope stability calculations but rather by the comparison of proposed or existing dam slopes with those recommended by technical standards or guidelines. Practical experience shows that in many cases the slopes of small dams are steeper than those recommended. However, most of such steeper slopes at existing dams do not exhibit any visible signs of instability, defects or sliding. For the dam owner and also for dam stability engineers, the safety of the slope, expressed e.g. via a factor of safety, is crucial. The aim of this study is to evaluate the safety margin provided by recommended slopes. The factor of safety was evaluated for several dam shape and layout variants via the shear strength reduction method using PLAXIS software. The study covers various dam geometries, dam core and shoulder positions and parameter values of utilised soils. Three load cases were considered: one with a steady state seepage condition and two with different reservoir water level drawdown velocities - standard and critical. As numerous older small dams lack a drainage system, variants with and without a toe drain were assessed. Calculated factors of safety were compared with required values specified by national standards and guidelines.","author":[{"dropping-particle":"","family":"Vrubel","given":"Jan","non-dropping-particle":"","parse-names":false,"suffix":""},{"dropping-particle":"","family":"Říha","given":"Jaromír","non-dropping-particle":"","parse-names":false,"suffix":""}],"container-title":"Acta Universitatis Agriculturae et Silviculturae Mendelianae Brunensis","id":"ITEM-2","issue":"2","issued":{"date-parts":[["2017","5"]]},"page":"569-576","title":"Discussion on the Safety Factors of Slopes Recommended for Small Dams","type":"article-journal","volume":"65"},"uris":["http://www.mendeley.com/documents/?uuid=6d4a0929-11f4-42ec-9c1f-193c74a10813","http://www.mendeley.com/documents/?uuid=73becbea-3e2b-4ce5-8a7a-5de1a0c39091","http://www.mendeley.com/documents/?uuid=9e55cfa4-8b68-4fac-b82f-72627a667ebd"]}],"mendeley":{"formattedCitation":"[267,268]","plainTextFormattedCitation":"[267,268]","previouslyFormattedCitation":"[267,268]"},"properties":{"noteIndex":0},"schema":"https://github.com/citation-style-language/schema/raw/master/csl-citation.json"}</w:instrText>
      </w:r>
      <w:r w:rsidRPr="00051297">
        <w:rPr>
          <w:lang w:bidi="en-US"/>
        </w:rPr>
        <w:fldChar w:fldCharType="separate"/>
      </w:r>
      <w:r w:rsidR="0032684D" w:rsidRPr="0032684D">
        <w:rPr>
          <w:noProof/>
          <w:lang w:val="en-US" w:bidi="en-US"/>
        </w:rPr>
        <w:t>[267,268]</w:t>
      </w:r>
      <w:r w:rsidRPr="00051297">
        <w:fldChar w:fldCharType="end"/>
      </w:r>
      <w:r w:rsidRPr="00051297">
        <w:rPr>
          <w:lang w:val="en-US" w:bidi="en-US"/>
        </w:rPr>
        <w:t>. However, the values of the factor of safety are observed to drop below 1.0 immediately following the instantaneous (</w:t>
      </w:r>
      <w:r w:rsidRPr="00051297">
        <w:rPr>
          <w:lang w:val="en-US" w:bidi="en-US"/>
        </w:rPr>
        <w:fldChar w:fldCharType="begin"/>
      </w:r>
      <w:r w:rsidRPr="00051297">
        <w:rPr>
          <w:lang w:val="en-US" w:bidi="en-US"/>
        </w:rPr>
        <w:instrText xml:space="preserve"> REF _Ref98105202 \h </w:instrText>
      </w:r>
      <w:r w:rsidRPr="00051297">
        <w:rPr>
          <w:lang w:val="en-US" w:bidi="en-US"/>
        </w:rPr>
      </w:r>
      <w:r w:rsidRPr="00051297">
        <w:rPr>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7</w:t>
      </w:r>
      <w:r w:rsidRPr="00051297">
        <w:rPr>
          <w:lang w:val="en-US" w:bidi="en-US"/>
        </w:rPr>
        <w:fldChar w:fldCharType="end"/>
      </w:r>
      <w:r w:rsidRPr="00051297">
        <w:rPr>
          <w:lang w:val="en-US" w:bidi="en-US"/>
        </w:rPr>
        <w:t xml:space="preserve">) drawdown. The factor of safety declined to around 0.8 on the first day of the instantaneous drawdown, and the lowest factor of safety value of approximately 1.04 was reached on the fourth day of the 5-day drawdown rate. </w:t>
      </w:r>
      <w:r w:rsidRPr="00051297">
        <w:rPr>
          <w:lang w:bidi="en-US"/>
        </w:rPr>
        <w:t xml:space="preserve">In the literature </w:t>
      </w:r>
      <w:r w:rsidRPr="00051297">
        <w:rPr>
          <w:lang w:bidi="en-US"/>
        </w:rPr>
        <w:fldChar w:fldCharType="begin" w:fldLock="1"/>
      </w:r>
      <w:r w:rsidR="00FA5896">
        <w:rPr>
          <w:lang w:bidi="en-US"/>
        </w:rPr>
        <w:instrText>ADDIN CSL_CITATION {"citationItems":[{"id":"ITEM-1","itemData":{"DOI":"10.1051/e3sconf/20160919004","ISSN":"2267-1242","abstract":"The variation of pore water pressure in earthen dams plays an important role in maintaining its stability. The pore water pressure within the dam are altered by the external loading conditions like rapid drawdown of reservoir water, earthquake loading and raise of water table caused by infiltration of rainfall. The seepage through an earthen dam involves saturated and unsaturated flows but to avoid complexity in solving the non-linear partial differential equations, the flow in unsaturated zone is neglected and seepage analysis is carried by constructing the flow net in which the pore water pressures beyond the free surface is taken as zero. In actual conditions negative pore water pressure develops beyond the free surface due to the capillarity which leads development to the matrix suction of the soil. In this paper a comparative study on distribution of pore pressure in a zoned earthen dam under steady state and transient conditions had been carried out considering unsaturated-saturated seepage theory. To solve the non-linear partial differential equations, finite element method has been adopted in the present study. The earthen dam has been modeled in different stages. At each stage a new parameter was added and parametric analysis was carried out. The results indicate that negative pore water pressure developed at the downstream side and the pore pressures at the mid-levels of the core are high. This specifies that, soils with low permeability have higher pore pressure. The pore pressures appeared to be higher in upstream side during rapid drawdown compared to steady state.","author":[{"dropping-particle":"","family":"Venkatesh","given":"Kumar","non-dropping-particle":"","parse-names":false,"suffix":""},{"dropping-particle":"","family":"Karumanchi","given":"Siva Ram","non-dropping-particle":"","parse-names":false,"suffix":""}],"container-title":"E3S Web of Conferences","editor":[{"dropping-particle":"","family":"Delage","given":"P.","non-dropping-particle":"","parse-names":false,"suffix":""},{"dropping-particle":"","family":"Cui","given":"Y.-J.","non-dropping-particle":"","parse-names":false,"suffix":""},{"dropping-particle":"","family":"Ghabezloo","given":"S.","non-dropping-particle":"","parse-names":false,"suffix":""},{"dropping-particle":"","family":"Pereira","given":"J.-M.","non-dropping-particle":"","parse-names":false,"suffix":""},{"dropping-particle":"","family":"Tang","given":"A.-M.","non-dropping-particle":"","parse-names":false,"suffix":""}],"id":"ITEM-1","issued":{"date-parts":[["2016","9"]]},"page":"19004","title":"Distribution of pore water pressure in an earthen dam considering unsaturated-saturated seepage analysis","type":"article-journal","volume":"9"},"uris":["http://www.mendeley.com/documents/?uuid=94fca6ce-3655-40cd-95ca-a93d28b9b90d","http://www.mendeley.com/documents/?uuid=880df124-e500-4d52-a17e-1c4ac6a8ee90","http://www.mendeley.com/documents/?uuid=c87973dd-031f-4772-994b-d2e0ac5a002b"]},{"id":"ITEM-2","itemData":{"DOI":"10.1016/j.enggeo.2019.105458","ISSN":"00137952","abstract":"The Princeville levee, and flooding associated with Hurricanes Floyd and Matthew, is used as a case study in which the analyses are focused on the effect of repeated rise and fall of water levels (representing severe storm cycles) on the stability of the levee and the risk of failure. The analyses included strain-based and strength reduction approaches and are conducted using the finite element program Plaxis 2D. The limit equilibrium stability software “Slope/W” was also used for comparative study. The strain-based limit state approach considers the uncertainty of soil properties and is used to characterize the levee performance under repeated storm loading in terms of damage levels (or limit states). The strain-based analyses results show a progressive development of plastic shear strain zone within the levee as the number of storm cycles is increased. The accumulation of such shear strain leads to increasing the probability of exceeding a given performance limit state. As more flooding cycles are introduced, the shear strain values increase by a factor of 3.5 from cycle 1 to 6, and therefore reflect the increasing level of failure risk. In parallel, the deterministic stability factor of safety obtained from limit equilibrium method remains unchanged and slightly changes for strength reduction method with an increased number of rises and falls of the water level. The consideration of “rapid” drawdown conventiona</w:instrText>
      </w:r>
      <w:r w:rsidR="00FA5896" w:rsidRPr="00FA5896">
        <w:rPr>
          <w:lang w:val="en-US" w:bidi="en-US"/>
        </w:rPr>
        <w:instrText>lly used in limit equilibrium stability analyses (where no consideration for time is included), instead of more realistic rate based on drawdown hydrograph leads to conservative estimate of factor of safety. The analyses results demonstrate the increase in risk with repeated hydraulic loading.","author":[{"dropping-particle":"","family":"Jadid","given":"Rowshon","non-dropping-particle":"","parse-names":false,"suffix":""},{"dropping-particle":"","family":"Montoya","given":"Brina M.","non-dropping-particle":"","parse-names":false,"suffix":""},{"dropping-particle":"","family":"Bennett","given":"Victoria","non-dropping-particle":"","parse-names":false,"suffix":""},{"dropping-particle":"","family":"Gabr","given":"Mohammed A.","non-dropping-particle":"","parse-names":false,"suffix":""}],"container-title":"Engineering Geology","id":"ITEM-2","issued":{"date-parts":[["2020","3"]]},"page":"105458","title":"Effect of repeated rise and fall of water level on seepage-induced deformation and related stability analysis of Princeville levee","type":"article-journal","volume":"266"},"uris":["http://www.mendeley.com/documents/?uuid=7dec161a-7e67-45d1-a66e-3e74d81428d7","http://www.mendeley.com/documents/?uuid=7514a5b7-8c80-4179-b581-bd2f800b80d2"]}],"mendeley":{"formattedCitation":"[243,269]","plainTextFormattedCitation":"[243,269]","previouslyFormattedCitation":"[243,269]"},"properties":{"noteIndex":0},"schema":"https://github.com/citation-style-language/schema/raw/master/csl-citation.json"}</w:instrText>
      </w:r>
      <w:r w:rsidRPr="00051297">
        <w:rPr>
          <w:lang w:bidi="en-US"/>
        </w:rPr>
        <w:fldChar w:fldCharType="separate"/>
      </w:r>
      <w:r w:rsidR="0032684D" w:rsidRPr="0032684D">
        <w:rPr>
          <w:noProof/>
          <w:lang w:val="en-US" w:bidi="en-US"/>
        </w:rPr>
        <w:t>[243,269]</w:t>
      </w:r>
      <w:r w:rsidRPr="00051297">
        <w:fldChar w:fldCharType="end"/>
      </w:r>
      <w:r w:rsidRPr="00051297">
        <w:rPr>
          <w:lang w:val="en-US" w:bidi="en-US"/>
        </w:rPr>
        <w:t xml:space="preserve">, when it comes to embankment dams, rapid drawdown situations have been reported to be particularly risky, with the higher the rate of drawdown, the greater the chance of failure. Furthermore, as a result of the dissipation of the excess pore-water pressure within the embankment, the factor of safety values from both instantaneous and 5-day drawdowns tend to recover over time. </w:t>
      </w:r>
    </w:p>
    <w:tbl>
      <w:tblPr>
        <w:tblW w:w="0" w:type="auto"/>
        <w:jc w:val="center"/>
        <w:tblLook w:val="04A0" w:firstRow="1" w:lastRow="0" w:firstColumn="1" w:lastColumn="0" w:noHBand="0" w:noVBand="1"/>
      </w:tblPr>
      <w:tblGrid>
        <w:gridCol w:w="4674"/>
        <w:gridCol w:w="4680"/>
      </w:tblGrid>
      <w:tr w:rsidR="00051297" w:rsidRPr="00051297" w14:paraId="71A2C68F" w14:textId="77777777" w:rsidTr="001120F0">
        <w:trPr>
          <w:jc w:val="center"/>
        </w:trPr>
        <w:tc>
          <w:tcPr>
            <w:tcW w:w="9354" w:type="dxa"/>
            <w:gridSpan w:val="2"/>
          </w:tcPr>
          <w:p w14:paraId="314E5AAE" w14:textId="73925C89" w:rsidR="00051297" w:rsidRPr="00051297" w:rsidRDefault="002B17A4" w:rsidP="00C15360">
            <w:pPr>
              <w:spacing w:line="240" w:lineRule="auto"/>
              <w:ind w:firstLine="0"/>
              <w:jc w:val="center"/>
              <w:rPr>
                <w:rFonts w:cs="Times New Roman"/>
                <w:szCs w:val="24"/>
                <w:lang w:val="pl-PL"/>
              </w:rPr>
            </w:pPr>
            <w:r>
              <w:rPr>
                <w:noProof/>
              </w:rPr>
              <w:drawing>
                <wp:inline distT="0" distB="0" distL="0" distR="0" wp14:anchorId="7017A14B" wp14:editId="0726D207">
                  <wp:extent cx="5800725" cy="2042160"/>
                  <wp:effectExtent l="0" t="0" r="9525"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801115" cy="2042297"/>
                          </a:xfrm>
                          <a:prstGeom prst="rect">
                            <a:avLst/>
                          </a:prstGeom>
                          <a:noFill/>
                          <a:ln>
                            <a:noFill/>
                          </a:ln>
                        </pic:spPr>
                      </pic:pic>
                    </a:graphicData>
                  </a:graphic>
                </wp:inline>
              </w:drawing>
            </w:r>
          </w:p>
          <w:p w14:paraId="25F98CFF" w14:textId="77777777" w:rsidR="00051297" w:rsidRPr="00051297" w:rsidRDefault="00051297" w:rsidP="00C15360">
            <w:pPr>
              <w:spacing w:line="240" w:lineRule="auto"/>
              <w:ind w:firstLine="0"/>
              <w:jc w:val="center"/>
              <w:rPr>
                <w:rFonts w:cs="Times New Roman"/>
                <w:szCs w:val="24"/>
                <w:lang w:val="pl-PL"/>
              </w:rPr>
            </w:pPr>
            <w:r w:rsidRPr="008643BA">
              <w:rPr>
                <w:noProof/>
                <w:lang w:val="en-US"/>
              </w:rPr>
              <w:t>(a)</w:t>
            </w:r>
          </w:p>
        </w:tc>
      </w:tr>
      <w:tr w:rsidR="008643BA" w:rsidRPr="00051297" w14:paraId="4DDCD367" w14:textId="77777777" w:rsidTr="001120F0">
        <w:trPr>
          <w:jc w:val="center"/>
        </w:trPr>
        <w:tc>
          <w:tcPr>
            <w:tcW w:w="9354" w:type="dxa"/>
            <w:gridSpan w:val="2"/>
          </w:tcPr>
          <w:p w14:paraId="409DABA7" w14:textId="34883E76" w:rsidR="008643BA" w:rsidRDefault="008643BA" w:rsidP="00C15360">
            <w:pPr>
              <w:spacing w:line="240" w:lineRule="auto"/>
              <w:ind w:firstLine="0"/>
              <w:jc w:val="center"/>
              <w:rPr>
                <w:noProof/>
              </w:rPr>
            </w:pPr>
            <w:r>
              <w:rPr>
                <w:noProof/>
              </w:rPr>
              <w:lastRenderedPageBreak/>
              <w:drawing>
                <wp:inline distT="0" distB="0" distL="0" distR="0" wp14:anchorId="51C01E4C" wp14:editId="2EAA5DA9">
                  <wp:extent cx="5939790" cy="2186940"/>
                  <wp:effectExtent l="0" t="0" r="3810" b="381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9790" cy="2186940"/>
                          </a:xfrm>
                          <a:prstGeom prst="rect">
                            <a:avLst/>
                          </a:prstGeom>
                          <a:noFill/>
                          <a:ln>
                            <a:noFill/>
                          </a:ln>
                        </pic:spPr>
                      </pic:pic>
                    </a:graphicData>
                  </a:graphic>
                </wp:inline>
              </w:drawing>
            </w:r>
          </w:p>
          <w:p w14:paraId="47D4E833" w14:textId="7BD21BD2" w:rsidR="008643BA" w:rsidRPr="008643BA" w:rsidRDefault="008643BA" w:rsidP="00C15360">
            <w:pPr>
              <w:spacing w:line="240" w:lineRule="auto"/>
              <w:ind w:firstLine="0"/>
              <w:jc w:val="center"/>
              <w:rPr>
                <w:noProof/>
                <w:lang w:val="en-US"/>
              </w:rPr>
            </w:pPr>
            <w:r>
              <w:rPr>
                <w:noProof/>
                <w:lang w:val="en-US"/>
              </w:rPr>
              <w:t>(b)</w:t>
            </w:r>
          </w:p>
        </w:tc>
      </w:tr>
      <w:tr w:rsidR="008643BA" w:rsidRPr="00051297" w14:paraId="5443BD0D" w14:textId="77777777" w:rsidTr="001120F0">
        <w:trPr>
          <w:jc w:val="center"/>
        </w:trPr>
        <w:tc>
          <w:tcPr>
            <w:tcW w:w="9354" w:type="dxa"/>
            <w:gridSpan w:val="2"/>
          </w:tcPr>
          <w:p w14:paraId="5470F9B8" w14:textId="489390F6" w:rsidR="008643BA" w:rsidRDefault="00A9234E" w:rsidP="00C15360">
            <w:pPr>
              <w:spacing w:line="240" w:lineRule="auto"/>
              <w:ind w:firstLine="0"/>
              <w:jc w:val="center"/>
              <w:rPr>
                <w:noProof/>
              </w:rPr>
            </w:pPr>
            <w:r>
              <w:rPr>
                <w:noProof/>
              </w:rPr>
              <w:drawing>
                <wp:inline distT="0" distB="0" distL="0" distR="0" wp14:anchorId="49BF29CB" wp14:editId="58D7DB8F">
                  <wp:extent cx="5939790" cy="2138680"/>
                  <wp:effectExtent l="0" t="0" r="381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9790" cy="2138680"/>
                          </a:xfrm>
                          <a:prstGeom prst="rect">
                            <a:avLst/>
                          </a:prstGeom>
                          <a:noFill/>
                          <a:ln>
                            <a:noFill/>
                          </a:ln>
                        </pic:spPr>
                      </pic:pic>
                    </a:graphicData>
                  </a:graphic>
                </wp:inline>
              </w:drawing>
            </w:r>
          </w:p>
          <w:p w14:paraId="64560D29" w14:textId="748D193C" w:rsidR="008643BA" w:rsidRPr="008643BA" w:rsidRDefault="008643BA" w:rsidP="00C15360">
            <w:pPr>
              <w:spacing w:line="240" w:lineRule="auto"/>
              <w:ind w:firstLine="0"/>
              <w:jc w:val="center"/>
              <w:rPr>
                <w:noProof/>
                <w:lang w:val="en-US"/>
              </w:rPr>
            </w:pPr>
            <w:r>
              <w:rPr>
                <w:noProof/>
                <w:lang w:val="en-US"/>
              </w:rPr>
              <w:t>(c)</w:t>
            </w:r>
          </w:p>
        </w:tc>
      </w:tr>
      <w:tr w:rsidR="00765471" w:rsidRPr="00051297" w14:paraId="51A63B5D" w14:textId="77777777" w:rsidTr="001120F0">
        <w:trPr>
          <w:jc w:val="center"/>
        </w:trPr>
        <w:tc>
          <w:tcPr>
            <w:tcW w:w="4672" w:type="dxa"/>
          </w:tcPr>
          <w:p w14:paraId="0CA8576F" w14:textId="58409CD9" w:rsidR="00051297" w:rsidRPr="00051297" w:rsidRDefault="001120F0" w:rsidP="00C15360">
            <w:pPr>
              <w:spacing w:line="240" w:lineRule="auto"/>
              <w:ind w:firstLine="0"/>
              <w:jc w:val="center"/>
              <w:rPr>
                <w:rFonts w:cs="Times New Roman"/>
                <w:szCs w:val="24"/>
                <w:lang w:val="pl-PL"/>
              </w:rPr>
            </w:pPr>
            <w:r w:rsidRPr="00B52473">
              <w:rPr>
                <w:rFonts w:eastAsia="Times New Roman"/>
                <w:noProof/>
                <w:szCs w:val="24"/>
              </w:rPr>
              <mc:AlternateContent>
                <mc:Choice Requires="wps">
                  <w:drawing>
                    <wp:anchor distT="45720" distB="45720" distL="114300" distR="114300" simplePos="0" relativeHeight="251691008" behindDoc="0" locked="0" layoutInCell="1" allowOverlap="1" wp14:anchorId="1E75A72E" wp14:editId="6C0EDB82">
                      <wp:simplePos x="0" y="0"/>
                      <wp:positionH relativeFrom="column">
                        <wp:posOffset>905510</wp:posOffset>
                      </wp:positionH>
                      <wp:positionV relativeFrom="paragraph">
                        <wp:posOffset>2479675</wp:posOffset>
                      </wp:positionV>
                      <wp:extent cx="1495425" cy="257175"/>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57175"/>
                              </a:xfrm>
                              <a:prstGeom prst="rect">
                                <a:avLst/>
                              </a:prstGeom>
                              <a:noFill/>
                              <a:ln w="9525">
                                <a:noFill/>
                                <a:miter lim="800000"/>
                                <a:headEnd/>
                                <a:tailEnd/>
                              </a:ln>
                            </wps:spPr>
                            <wps:txbx>
                              <w:txbxContent>
                                <w:p w14:paraId="59957FC0" w14:textId="5746DB2A" w:rsidR="001120F0" w:rsidRPr="001120F0" w:rsidRDefault="001120F0" w:rsidP="001120F0">
                                  <w:pPr>
                                    <w:ind w:firstLine="0"/>
                                    <w:rPr>
                                      <w:sz w:val="22"/>
                                      <w:lang w:val="en-US"/>
                                    </w:rPr>
                                  </w:pPr>
                                  <w:r w:rsidRPr="001120F0">
                                    <w:rPr>
                                      <w:sz w:val="22"/>
                                      <w:lang w:val="en-US"/>
                                    </w:rPr>
                                    <w:t>HRAF: Min FS = 0.</w:t>
                                  </w:r>
                                  <w:r>
                                    <w:rPr>
                                      <w:sz w:val="22"/>
                                      <w:lang w:val="en-US"/>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5A72E" id="_x0000_s1033" type="#_x0000_t202" style="position:absolute;left:0;text-align:left;margin-left:71.3pt;margin-top:195.25pt;width:117.75pt;height:20.2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" filled="f" stroked="f">
                      <v:textbox>
                        <w:txbxContent>
                          <w:p w14:paraId="59957FC0" w14:textId="5746DB2A" w:rsidR="001120F0" w:rsidRPr="001120F0" w:rsidRDefault="001120F0" w:rsidP="001120F0">
                            <w:pPr>
                              <w:ind w:firstLine="0"/>
                              <w:rPr>
                                <w:sz w:val="22"/>
                                <w:lang w:val="en-US"/>
                              </w:rPr>
                            </w:pPr>
                            <w:r w:rsidRPr="001120F0">
                              <w:rPr>
                                <w:sz w:val="22"/>
                                <w:lang w:val="en-US"/>
                              </w:rPr>
                              <w:t>HRAF: Min FS = 0.</w:t>
                            </w:r>
                            <w:r>
                              <w:rPr>
                                <w:sz w:val="22"/>
                                <w:lang w:val="en-US"/>
                              </w:rPr>
                              <w:t>8</w:t>
                            </w:r>
                          </w:p>
                        </w:txbxContent>
                      </v:textbox>
                    </v:shape>
                  </w:pict>
                </mc:Fallback>
              </mc:AlternateContent>
            </w:r>
            <w:r w:rsidR="00347D6D">
              <w:rPr>
                <w:rFonts w:eastAsia="Times New Roman"/>
                <w:noProof/>
                <w:szCs w:val="24"/>
              </w:rPr>
              <mc:AlternateContent>
                <mc:Choice Requires="wps">
                  <w:drawing>
                    <wp:anchor distT="0" distB="0" distL="114300" distR="114300" simplePos="0" relativeHeight="251686912" behindDoc="0" locked="0" layoutInCell="1" allowOverlap="1" wp14:anchorId="728303B7" wp14:editId="1107ECE9">
                      <wp:simplePos x="0" y="0"/>
                      <wp:positionH relativeFrom="column">
                        <wp:posOffset>826222</wp:posOffset>
                      </wp:positionH>
                      <wp:positionV relativeFrom="paragraph">
                        <wp:posOffset>1938906</wp:posOffset>
                      </wp:positionV>
                      <wp:extent cx="1640840" cy="935973"/>
                      <wp:effectExtent l="0" t="0" r="16510" b="17145"/>
                      <wp:wrapNone/>
                      <wp:docPr id="35" name="Rectangle 35"/>
                      <wp:cNvGraphicFramePr/>
                      <a:graphic xmlns:a="http://schemas.openxmlformats.org/drawingml/2006/main">
                        <a:graphicData uri="http://schemas.microsoft.com/office/word/2010/wordprocessingShape">
                          <wps:wsp>
                            <wps:cNvSpPr/>
                            <wps:spPr>
                              <a:xfrm>
                                <a:off x="0" y="0"/>
                                <a:ext cx="1640840" cy="93597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42548EC" id="Rectangle 35" o:spid="_x0000_s1026" style="position:absolute;margin-left:65.05pt;margin-top:152.65pt;width:129.2pt;height:73.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" filled="f" strokecolor="red" strokeweight="1pt"/>
                  </w:pict>
                </mc:Fallback>
              </mc:AlternateContent>
            </w:r>
            <w:r w:rsidR="00776A1E" w:rsidRPr="00776A1E">
              <w:rPr>
                <w:rFonts w:cs="Times New Roman"/>
                <w:noProof/>
                <w:szCs w:val="24"/>
                <w:lang w:val="pl-PL"/>
              </w:rPr>
              <w:drawing>
                <wp:inline distT="0" distB="0" distL="0" distR="0" wp14:anchorId="130DF3DD" wp14:editId="781862A9">
                  <wp:extent cx="2495550" cy="3493770"/>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03321" cy="3504649"/>
                          </a:xfrm>
                          <a:prstGeom prst="rect">
                            <a:avLst/>
                          </a:prstGeom>
                          <a:noFill/>
                          <a:ln>
                            <a:noFill/>
                          </a:ln>
                        </pic:spPr>
                      </pic:pic>
                    </a:graphicData>
                  </a:graphic>
                </wp:inline>
              </w:drawing>
            </w:r>
          </w:p>
          <w:p w14:paraId="312EFDFD" w14:textId="0775FC82" w:rsidR="00051297" w:rsidRPr="00051297" w:rsidRDefault="00051297" w:rsidP="00C15360">
            <w:pPr>
              <w:spacing w:line="240" w:lineRule="auto"/>
              <w:jc w:val="center"/>
              <w:rPr>
                <w:rFonts w:cs="Times New Roman"/>
                <w:szCs w:val="24"/>
                <w:lang w:val="pl-PL"/>
              </w:rPr>
            </w:pPr>
            <w:r w:rsidRPr="00051297">
              <w:rPr>
                <w:rFonts w:cs="Times New Roman"/>
                <w:szCs w:val="24"/>
                <w:lang w:val="pl-PL"/>
              </w:rPr>
              <w:t>(</w:t>
            </w:r>
            <w:r w:rsidR="000D0E22">
              <w:rPr>
                <w:rFonts w:cs="Times New Roman"/>
                <w:szCs w:val="24"/>
                <w:lang w:val="pl-PL"/>
              </w:rPr>
              <w:t>d</w:t>
            </w:r>
            <w:r w:rsidRPr="00051297">
              <w:rPr>
                <w:rFonts w:cs="Times New Roman"/>
                <w:szCs w:val="24"/>
                <w:lang w:val="pl-PL"/>
              </w:rPr>
              <w:t>)</w:t>
            </w:r>
          </w:p>
        </w:tc>
        <w:tc>
          <w:tcPr>
            <w:tcW w:w="4682" w:type="dxa"/>
          </w:tcPr>
          <w:p w14:paraId="72D2A361" w14:textId="24B24658" w:rsidR="00051297" w:rsidRPr="00051297" w:rsidRDefault="001120F0" w:rsidP="00C15360">
            <w:pPr>
              <w:spacing w:line="240" w:lineRule="auto"/>
              <w:ind w:firstLine="0"/>
              <w:jc w:val="center"/>
              <w:rPr>
                <w:rFonts w:cs="Times New Roman"/>
                <w:szCs w:val="24"/>
                <w:lang w:val="pl-PL"/>
              </w:rPr>
            </w:pPr>
            <w:r>
              <w:rPr>
                <w:rFonts w:eastAsia="Times New Roman"/>
                <w:noProof/>
                <w:szCs w:val="24"/>
              </w:rPr>
              <mc:AlternateContent>
                <mc:Choice Requires="wps">
                  <w:drawing>
                    <wp:anchor distT="0" distB="0" distL="114300" distR="114300" simplePos="0" relativeHeight="251688960" behindDoc="0" locked="0" layoutInCell="1" allowOverlap="1" wp14:anchorId="40777E7A" wp14:editId="5A8DDA30">
                      <wp:simplePos x="0" y="0"/>
                      <wp:positionH relativeFrom="column">
                        <wp:posOffset>1000935</wp:posOffset>
                      </wp:positionH>
                      <wp:positionV relativeFrom="paragraph">
                        <wp:posOffset>2141907</wp:posOffset>
                      </wp:positionV>
                      <wp:extent cx="1474291" cy="732145"/>
                      <wp:effectExtent l="0" t="0" r="12065" b="11430"/>
                      <wp:wrapNone/>
                      <wp:docPr id="39" name="Rectangle 39"/>
                      <wp:cNvGraphicFramePr/>
                      <a:graphic xmlns:a="http://schemas.openxmlformats.org/drawingml/2006/main">
                        <a:graphicData uri="http://schemas.microsoft.com/office/word/2010/wordprocessingShape">
                          <wps:wsp>
                            <wps:cNvSpPr/>
                            <wps:spPr>
                              <a:xfrm>
                                <a:off x="0" y="0"/>
                                <a:ext cx="1474291" cy="73214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1222D5F" id="Rectangle 39" o:spid="_x0000_s1026" style="position:absolute;margin-left:78.8pt;margin-top:168.65pt;width:116.1pt;height:57.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" filled="f" strokecolor="red" strokeweight="1pt"/>
                  </w:pict>
                </mc:Fallback>
              </mc:AlternateContent>
            </w:r>
            <w:r w:rsidRPr="00B52473">
              <w:rPr>
                <w:rFonts w:eastAsia="Times New Roman"/>
                <w:noProof/>
                <w:szCs w:val="24"/>
              </w:rPr>
              <mc:AlternateContent>
                <mc:Choice Requires="wps">
                  <w:drawing>
                    <wp:anchor distT="45720" distB="45720" distL="114300" distR="114300" simplePos="0" relativeHeight="251684864" behindDoc="0" locked="0" layoutInCell="1" allowOverlap="1" wp14:anchorId="15CE3741" wp14:editId="0EF859C1">
                      <wp:simplePos x="0" y="0"/>
                      <wp:positionH relativeFrom="column">
                        <wp:posOffset>1094740</wp:posOffset>
                      </wp:positionH>
                      <wp:positionV relativeFrom="paragraph">
                        <wp:posOffset>2562860</wp:posOffset>
                      </wp:positionV>
                      <wp:extent cx="1495425" cy="25717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57175"/>
                              </a:xfrm>
                              <a:prstGeom prst="rect">
                                <a:avLst/>
                              </a:prstGeom>
                              <a:noFill/>
                              <a:ln w="9525">
                                <a:noFill/>
                                <a:miter lim="800000"/>
                                <a:headEnd/>
                                <a:tailEnd/>
                              </a:ln>
                            </wps:spPr>
                            <wps:txbx>
                              <w:txbxContent>
                                <w:p w14:paraId="0E221DA2" w14:textId="0D62B764" w:rsidR="00347D6D" w:rsidRPr="001120F0" w:rsidRDefault="00347D6D" w:rsidP="00347D6D">
                                  <w:pPr>
                                    <w:ind w:firstLine="0"/>
                                    <w:rPr>
                                      <w:sz w:val="22"/>
                                      <w:lang w:val="en-US"/>
                                    </w:rPr>
                                  </w:pPr>
                                  <w:r w:rsidRPr="001120F0">
                                    <w:rPr>
                                      <w:sz w:val="22"/>
                                      <w:lang w:val="en-US"/>
                                    </w:rPr>
                                    <w:t>HRAF: Min FS = 0.</w:t>
                                  </w:r>
                                  <w:r w:rsidR="001120F0" w:rsidRPr="001120F0">
                                    <w:rPr>
                                      <w:sz w:val="22"/>
                                      <w:lang w:val="en-US"/>
                                    </w:rPr>
                                    <w:t>97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E3741" id="_x0000_s1034" type="#_x0000_t202" style="position:absolute;left:0;text-align:left;margin-left:86.2pt;margin-top:201.8pt;width:117.75pt;height:20.2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" filled="f" stroked="f">
                      <v:textbox>
                        <w:txbxContent>
                          <w:p w14:paraId="0E221DA2" w14:textId="0D62B764" w:rsidR="00347D6D" w:rsidRPr="001120F0" w:rsidRDefault="00347D6D" w:rsidP="00347D6D">
                            <w:pPr>
                              <w:ind w:firstLine="0"/>
                              <w:rPr>
                                <w:sz w:val="22"/>
                                <w:lang w:val="en-US"/>
                              </w:rPr>
                            </w:pPr>
                            <w:r w:rsidRPr="001120F0">
                              <w:rPr>
                                <w:sz w:val="22"/>
                                <w:lang w:val="en-US"/>
                              </w:rPr>
                              <w:t>HRAF: Min FS = 0.</w:t>
                            </w:r>
                            <w:r w:rsidR="001120F0" w:rsidRPr="001120F0">
                              <w:rPr>
                                <w:sz w:val="22"/>
                                <w:lang w:val="en-US"/>
                              </w:rPr>
                              <w:t>97</w:t>
                            </w:r>
                          </w:p>
                        </w:txbxContent>
                      </v:textbox>
                    </v:shape>
                  </w:pict>
                </mc:Fallback>
              </mc:AlternateContent>
            </w:r>
            <w:r w:rsidRPr="001120F0">
              <w:rPr>
                <w:rFonts w:cs="Times New Roman"/>
                <w:noProof/>
                <w:szCs w:val="24"/>
                <w:lang w:val="pl-PL"/>
              </w:rPr>
              <w:drawing>
                <wp:inline distT="0" distB="0" distL="0" distR="0" wp14:anchorId="7C87CC36" wp14:editId="6897ED52">
                  <wp:extent cx="2495550" cy="34937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03068" cy="3504295"/>
                          </a:xfrm>
                          <a:prstGeom prst="rect">
                            <a:avLst/>
                          </a:prstGeom>
                          <a:noFill/>
                          <a:ln>
                            <a:noFill/>
                          </a:ln>
                        </pic:spPr>
                      </pic:pic>
                    </a:graphicData>
                  </a:graphic>
                </wp:inline>
              </w:drawing>
            </w:r>
          </w:p>
          <w:p w14:paraId="15D2C397" w14:textId="573A9671" w:rsidR="00051297" w:rsidRPr="00051297" w:rsidRDefault="00051297" w:rsidP="00C15360">
            <w:pPr>
              <w:spacing w:line="240" w:lineRule="auto"/>
              <w:jc w:val="center"/>
              <w:rPr>
                <w:rFonts w:cs="Times New Roman"/>
                <w:szCs w:val="24"/>
                <w:lang w:val="pl-PL"/>
              </w:rPr>
            </w:pPr>
            <w:r w:rsidRPr="00051297">
              <w:rPr>
                <w:rFonts w:cs="Times New Roman"/>
                <w:szCs w:val="24"/>
                <w:lang w:val="pl-PL"/>
              </w:rPr>
              <w:t>(</w:t>
            </w:r>
            <w:r w:rsidR="000D0E22">
              <w:rPr>
                <w:rFonts w:cs="Times New Roman"/>
                <w:szCs w:val="24"/>
                <w:lang w:val="pl-PL"/>
              </w:rPr>
              <w:t>e</w:t>
            </w:r>
            <w:r w:rsidRPr="00051297">
              <w:rPr>
                <w:rFonts w:cs="Times New Roman"/>
                <w:szCs w:val="24"/>
                <w:lang w:val="pl-PL"/>
              </w:rPr>
              <w:t>)</w:t>
            </w:r>
          </w:p>
        </w:tc>
      </w:tr>
    </w:tbl>
    <w:p w14:paraId="714051DF" w14:textId="78D02989" w:rsidR="00051297" w:rsidRPr="00051297" w:rsidRDefault="00051297" w:rsidP="00051297">
      <w:pPr>
        <w:ind w:firstLine="0"/>
        <w:jc w:val="center"/>
        <w:rPr>
          <w:rFonts w:cs="Times New Roman"/>
          <w:szCs w:val="24"/>
          <w:lang w:val="en-US" w:bidi="en-US"/>
        </w:rPr>
      </w:pPr>
      <w:bookmarkStart w:id="879" w:name="_Ref98105202"/>
      <w:bookmarkStart w:id="880" w:name="_Toc97428250"/>
      <w:bookmarkStart w:id="881" w:name="_Toc98085925"/>
      <w:bookmarkStart w:id="882" w:name="_Toc103544122"/>
      <w:bookmarkStart w:id="883" w:name="_Toc104985445"/>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7</w:t>
      </w:r>
      <w:r w:rsidR="00527861">
        <w:rPr>
          <w:rFonts w:cs="Times New Roman"/>
          <w:szCs w:val="24"/>
          <w:lang w:val="en-US" w:bidi="en-US"/>
        </w:rPr>
        <w:fldChar w:fldCharType="end"/>
      </w:r>
      <w:bookmarkEnd w:id="879"/>
      <w:r w:rsidRPr="00051297">
        <w:rPr>
          <w:lang w:val="en-US"/>
        </w:rPr>
        <w:t xml:space="preserve"> </w:t>
      </w:r>
      <w:r w:rsidRPr="00051297">
        <w:rPr>
          <w:rFonts w:cs="Times New Roman"/>
          <w:szCs w:val="24"/>
          <w:lang w:val="en-US" w:bidi="en-US"/>
        </w:rPr>
        <w:t xml:space="preserve">– Slope stability results for 10 m water level: a) </w:t>
      </w:r>
      <w:r w:rsidR="00D9413F">
        <w:rPr>
          <w:rFonts w:cs="Times New Roman"/>
          <w:szCs w:val="24"/>
          <w:lang w:val="en-US" w:bidi="en-US"/>
        </w:rPr>
        <w:t>l</w:t>
      </w:r>
      <w:r w:rsidRPr="00051297">
        <w:rPr>
          <w:rFonts w:cs="Times New Roman"/>
          <w:szCs w:val="24"/>
          <w:lang w:val="en-US" w:bidi="en-US"/>
        </w:rPr>
        <w:t>ong-term steady-state;</w:t>
      </w:r>
      <w:r w:rsidR="002B147A" w:rsidRPr="002B147A">
        <w:rPr>
          <w:rFonts w:cs="Times New Roman"/>
          <w:szCs w:val="24"/>
          <w:lang w:val="en-US" w:bidi="en-US"/>
        </w:rPr>
        <w:t xml:space="preserve"> </w:t>
      </w:r>
      <w:r w:rsidR="002B147A" w:rsidRPr="00051297">
        <w:rPr>
          <w:rFonts w:cs="Times New Roman"/>
          <w:szCs w:val="24"/>
          <w:lang w:val="en-US" w:bidi="en-US"/>
        </w:rPr>
        <w:t xml:space="preserve">b) </w:t>
      </w:r>
      <w:r w:rsidR="002B147A">
        <w:rPr>
          <w:rFonts w:cs="Times New Roman"/>
          <w:szCs w:val="24"/>
          <w:lang w:val="en-US" w:bidi="en-US"/>
        </w:rPr>
        <w:t>i</w:t>
      </w:r>
      <w:r w:rsidR="002B147A" w:rsidRPr="00051297">
        <w:rPr>
          <w:rFonts w:cs="Times New Roman"/>
          <w:szCs w:val="24"/>
          <w:lang w:val="en-US" w:bidi="en-US"/>
        </w:rPr>
        <w:t>nstantaneous drawdown</w:t>
      </w:r>
      <w:r w:rsidR="002B147A">
        <w:rPr>
          <w:rFonts w:cs="Times New Roman"/>
          <w:szCs w:val="24"/>
          <w:lang w:val="en-US" w:bidi="en-US"/>
        </w:rPr>
        <w:t xml:space="preserve"> slip surface;</w:t>
      </w:r>
      <w:r w:rsidR="002B147A" w:rsidRPr="002B147A">
        <w:rPr>
          <w:rFonts w:cs="Times New Roman"/>
          <w:szCs w:val="24"/>
          <w:lang w:val="en-US" w:bidi="en-US"/>
        </w:rPr>
        <w:t xml:space="preserve"> </w:t>
      </w:r>
      <w:r w:rsidR="002B147A">
        <w:rPr>
          <w:rFonts w:cs="Times New Roman"/>
          <w:szCs w:val="24"/>
          <w:lang w:val="en-US" w:bidi="en-US"/>
        </w:rPr>
        <w:t>c</w:t>
      </w:r>
      <w:r w:rsidR="002B147A" w:rsidRPr="00051297">
        <w:rPr>
          <w:rFonts w:cs="Times New Roman"/>
          <w:szCs w:val="24"/>
          <w:lang w:val="en-US" w:bidi="en-US"/>
        </w:rPr>
        <w:t xml:space="preserve">) </w:t>
      </w:r>
      <w:r w:rsidR="002B147A">
        <w:rPr>
          <w:rFonts w:cs="Times New Roman"/>
          <w:szCs w:val="24"/>
          <w:lang w:val="en-US" w:bidi="en-US"/>
        </w:rPr>
        <w:t>5 days</w:t>
      </w:r>
      <w:r w:rsidR="002B147A" w:rsidRPr="00051297">
        <w:rPr>
          <w:rFonts w:cs="Times New Roman"/>
          <w:szCs w:val="24"/>
          <w:lang w:val="en-US" w:bidi="en-US"/>
        </w:rPr>
        <w:t xml:space="preserve"> drawdown</w:t>
      </w:r>
      <w:r w:rsidR="002B147A">
        <w:rPr>
          <w:rFonts w:cs="Times New Roman"/>
          <w:szCs w:val="24"/>
          <w:lang w:val="en-US" w:bidi="en-US"/>
        </w:rPr>
        <w:t xml:space="preserve"> slip surface;</w:t>
      </w:r>
      <w:r w:rsidR="002B147A" w:rsidRPr="002B147A">
        <w:rPr>
          <w:rFonts w:cs="Times New Roman"/>
          <w:szCs w:val="24"/>
          <w:lang w:val="en-US" w:bidi="en-US"/>
        </w:rPr>
        <w:t xml:space="preserve"> </w:t>
      </w:r>
      <w:r w:rsidR="002B147A">
        <w:rPr>
          <w:rFonts w:cs="Times New Roman"/>
          <w:szCs w:val="24"/>
          <w:lang w:val="en-US" w:bidi="en-US"/>
        </w:rPr>
        <w:t>d</w:t>
      </w:r>
      <w:r w:rsidR="002B147A" w:rsidRPr="00051297">
        <w:rPr>
          <w:rFonts w:cs="Times New Roman"/>
          <w:szCs w:val="24"/>
          <w:lang w:val="en-US" w:bidi="en-US"/>
        </w:rPr>
        <w:t>)</w:t>
      </w:r>
      <w:r w:rsidRPr="00051297">
        <w:rPr>
          <w:rFonts w:cs="Times New Roman"/>
          <w:szCs w:val="24"/>
          <w:lang w:val="en-US" w:bidi="en-US"/>
        </w:rPr>
        <w:t xml:space="preserve"> </w:t>
      </w:r>
      <w:r w:rsidR="002B147A">
        <w:rPr>
          <w:rFonts w:cs="Times New Roman"/>
          <w:szCs w:val="24"/>
          <w:lang w:val="en-US" w:bidi="en-US"/>
        </w:rPr>
        <w:t>i</w:t>
      </w:r>
      <w:r w:rsidRPr="00051297">
        <w:rPr>
          <w:rFonts w:cs="Times New Roman"/>
          <w:szCs w:val="24"/>
          <w:lang w:val="en-US" w:bidi="en-US"/>
        </w:rPr>
        <w:t>nstantaneous drawdown</w:t>
      </w:r>
      <w:r w:rsidR="00626642">
        <w:rPr>
          <w:rFonts w:cs="Times New Roman"/>
          <w:szCs w:val="24"/>
          <w:lang w:val="en-US" w:bidi="en-US"/>
        </w:rPr>
        <w:t xml:space="preserve"> graph</w:t>
      </w:r>
      <w:r w:rsidRPr="00051297">
        <w:rPr>
          <w:rFonts w:cs="Times New Roman"/>
          <w:szCs w:val="24"/>
          <w:lang w:val="en-US" w:bidi="en-US"/>
        </w:rPr>
        <w:t xml:space="preserve">; </w:t>
      </w:r>
      <w:r w:rsidR="000D0E22">
        <w:rPr>
          <w:rFonts w:cs="Times New Roman"/>
          <w:szCs w:val="24"/>
          <w:lang w:val="en-US" w:bidi="en-US"/>
        </w:rPr>
        <w:t>e</w:t>
      </w:r>
      <w:r w:rsidRPr="00051297">
        <w:rPr>
          <w:rFonts w:cs="Times New Roman"/>
          <w:szCs w:val="24"/>
          <w:lang w:val="en-US" w:bidi="en-US"/>
        </w:rPr>
        <w:t xml:space="preserve">) </w:t>
      </w:r>
      <w:bookmarkStart w:id="884" w:name="_Hlk104155475"/>
      <w:r w:rsidRPr="00051297">
        <w:rPr>
          <w:rFonts w:cs="Times New Roman"/>
          <w:szCs w:val="24"/>
          <w:lang w:val="en-US" w:bidi="en-US"/>
        </w:rPr>
        <w:t>5 days drawdown</w:t>
      </w:r>
      <w:bookmarkEnd w:id="880"/>
      <w:bookmarkEnd w:id="881"/>
      <w:bookmarkEnd w:id="882"/>
      <w:bookmarkEnd w:id="884"/>
      <w:r w:rsidR="00626642">
        <w:rPr>
          <w:rFonts w:cs="Times New Roman"/>
          <w:szCs w:val="24"/>
          <w:lang w:val="en-US" w:bidi="en-US"/>
        </w:rPr>
        <w:t xml:space="preserve"> graph</w:t>
      </w:r>
      <w:bookmarkEnd w:id="883"/>
    </w:p>
    <w:p w14:paraId="4B91D837" w14:textId="1A83F47F" w:rsidR="00051297" w:rsidRPr="00051297" w:rsidRDefault="00051297" w:rsidP="00051297">
      <w:pPr>
        <w:rPr>
          <w:lang w:val="en-US" w:bidi="en-US"/>
        </w:rPr>
      </w:pPr>
      <w:r w:rsidRPr="00051297">
        <w:rPr>
          <w:lang w:val="en-US" w:bidi="en-US"/>
        </w:rPr>
        <w:lastRenderedPageBreak/>
        <w:t xml:space="preserve">From </w:t>
      </w:r>
      <w:r w:rsidRPr="00051297">
        <w:rPr>
          <w:lang w:val="en-US" w:bidi="en-US"/>
        </w:rPr>
        <w:fldChar w:fldCharType="begin"/>
      </w:r>
      <w:r w:rsidRPr="00051297">
        <w:rPr>
          <w:lang w:val="en-US" w:bidi="en-US"/>
        </w:rPr>
        <w:instrText xml:space="preserve"> REF _Ref102352395 \h </w:instrText>
      </w:r>
      <w:r w:rsidRPr="00051297">
        <w:rPr>
          <w:lang w:val="en-US" w:bidi="en-US"/>
        </w:rPr>
      </w:r>
      <w:r w:rsidRPr="00051297">
        <w:rPr>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8</w:t>
      </w:r>
      <w:r w:rsidRPr="00051297">
        <w:rPr>
          <w:lang w:val="en-US" w:bidi="en-US"/>
        </w:rPr>
        <w:fldChar w:fldCharType="end"/>
      </w:r>
      <w:r w:rsidRPr="00051297">
        <w:rPr>
          <w:lang w:val="en-US" w:bidi="en-US"/>
        </w:rPr>
        <w:t>, it can be observed that a minimum factor of safety of 1.009 was achieved from the 10 m water level and 10 days drawdown rate. Still, the retrieved factor of safety does not provide a high confidence level in terms of slope stability.</w:t>
      </w:r>
      <w:r w:rsidR="00347D6D" w:rsidRPr="00347D6D">
        <w:rPr>
          <w:rFonts w:eastAsia="Times New Roman"/>
          <w:noProof/>
          <w:szCs w:val="24"/>
          <w:lang w:val="en-US"/>
        </w:rPr>
        <w:t xml:space="preserve"> </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3C03CAEE" w14:textId="77777777" w:rsidTr="003E4F5A">
        <w:trPr>
          <w:jc w:val="center"/>
        </w:trPr>
        <w:tc>
          <w:tcPr>
            <w:tcW w:w="9344" w:type="dxa"/>
          </w:tcPr>
          <w:p w14:paraId="6C41EF99" w14:textId="29171CC1" w:rsidR="00051297" w:rsidRDefault="003E4F5A" w:rsidP="00051297">
            <w:pPr>
              <w:ind w:firstLine="0"/>
              <w:jc w:val="center"/>
              <w:rPr>
                <w:noProof/>
              </w:rPr>
            </w:pPr>
            <w:r>
              <w:rPr>
                <w:noProof/>
              </w:rPr>
              <w:drawing>
                <wp:inline distT="0" distB="0" distL="0" distR="0" wp14:anchorId="0D0BF1EC" wp14:editId="27784313">
                  <wp:extent cx="5939790" cy="2132965"/>
                  <wp:effectExtent l="0" t="0" r="3810" b="63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9790" cy="2132965"/>
                          </a:xfrm>
                          <a:prstGeom prst="rect">
                            <a:avLst/>
                          </a:prstGeom>
                          <a:noFill/>
                          <a:ln>
                            <a:noFill/>
                          </a:ln>
                        </pic:spPr>
                      </pic:pic>
                    </a:graphicData>
                  </a:graphic>
                </wp:inline>
              </w:drawing>
            </w:r>
          </w:p>
          <w:p w14:paraId="352087BA" w14:textId="3A05B316" w:rsidR="003E4F5A" w:rsidRPr="00051297" w:rsidRDefault="003E4F5A" w:rsidP="00051297">
            <w:pPr>
              <w:ind w:firstLine="0"/>
              <w:jc w:val="center"/>
              <w:rPr>
                <w:rFonts w:cs="Times New Roman"/>
                <w:szCs w:val="24"/>
                <w:lang w:val="en-US" w:bidi="en-US"/>
              </w:rPr>
            </w:pPr>
            <w:r>
              <w:rPr>
                <w:noProof/>
              </w:rPr>
              <w:t>(a)</w:t>
            </w:r>
          </w:p>
        </w:tc>
      </w:tr>
      <w:tr w:rsidR="00051297" w:rsidRPr="00051297" w14:paraId="4E1044CD" w14:textId="77777777" w:rsidTr="003E4F5A">
        <w:trPr>
          <w:jc w:val="center"/>
        </w:trPr>
        <w:tc>
          <w:tcPr>
            <w:tcW w:w="9344" w:type="dxa"/>
          </w:tcPr>
          <w:p w14:paraId="058312CA" w14:textId="0DACEABA" w:rsidR="003E4F5A" w:rsidRDefault="003E4F5A" w:rsidP="00051297">
            <w:pPr>
              <w:keepNext/>
              <w:ind w:firstLine="0"/>
              <w:jc w:val="center"/>
              <w:rPr>
                <w:rFonts w:cs="Times New Roman"/>
                <w:noProof/>
                <w:szCs w:val="24"/>
                <w:lang w:val="pl-PL"/>
              </w:rPr>
            </w:pPr>
            <w:r w:rsidRPr="003E4F5A">
              <w:rPr>
                <w:rFonts w:cs="Times New Roman"/>
                <w:noProof/>
                <w:szCs w:val="24"/>
                <w:lang w:val="pl-PL"/>
              </w:rPr>
              <w:drawing>
                <wp:inline distT="0" distB="0" distL="0" distR="0" wp14:anchorId="32047051" wp14:editId="4BB1F30A">
                  <wp:extent cx="2552700" cy="3573780"/>
                  <wp:effectExtent l="0" t="0" r="0" b="762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52700" cy="3573780"/>
                          </a:xfrm>
                          <a:prstGeom prst="rect">
                            <a:avLst/>
                          </a:prstGeom>
                          <a:noFill/>
                          <a:ln>
                            <a:noFill/>
                          </a:ln>
                        </pic:spPr>
                      </pic:pic>
                    </a:graphicData>
                  </a:graphic>
                </wp:inline>
              </w:drawing>
            </w:r>
          </w:p>
          <w:p w14:paraId="788CD690" w14:textId="7EC3D82B" w:rsidR="003E4F5A" w:rsidRPr="00051297" w:rsidRDefault="003E4F5A" w:rsidP="00051297">
            <w:pPr>
              <w:keepNext/>
              <w:ind w:firstLine="0"/>
              <w:jc w:val="center"/>
              <w:rPr>
                <w:rFonts w:cs="Times New Roman"/>
                <w:noProof/>
                <w:szCs w:val="24"/>
                <w:lang w:val="pl-PL"/>
              </w:rPr>
            </w:pPr>
            <w:r>
              <w:rPr>
                <w:rFonts w:cs="Times New Roman"/>
                <w:noProof/>
                <w:szCs w:val="24"/>
                <w:lang w:val="pl-PL"/>
              </w:rPr>
              <w:t>(b)</w:t>
            </w:r>
          </w:p>
        </w:tc>
      </w:tr>
    </w:tbl>
    <w:p w14:paraId="612C5B4A" w14:textId="629A77D3" w:rsidR="00051297" w:rsidRPr="00051297" w:rsidRDefault="00051297" w:rsidP="00051297">
      <w:pPr>
        <w:ind w:firstLine="0"/>
        <w:jc w:val="center"/>
        <w:rPr>
          <w:rFonts w:cs="Times New Roman"/>
          <w:szCs w:val="24"/>
          <w:lang w:val="en-US" w:bidi="en-US"/>
        </w:rPr>
      </w:pPr>
      <w:bookmarkStart w:id="885" w:name="_Ref102352395"/>
      <w:bookmarkStart w:id="886" w:name="_Toc103544123"/>
      <w:bookmarkStart w:id="887" w:name="_Toc104985446"/>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8</w:t>
      </w:r>
      <w:r w:rsidR="00527861">
        <w:rPr>
          <w:rFonts w:cs="Times New Roman"/>
          <w:szCs w:val="24"/>
          <w:lang w:val="en-US" w:bidi="en-US"/>
        </w:rPr>
        <w:fldChar w:fldCharType="end"/>
      </w:r>
      <w:bookmarkEnd w:id="885"/>
      <w:r w:rsidRPr="00051297">
        <w:rPr>
          <w:rFonts w:cs="Times New Roman"/>
          <w:szCs w:val="24"/>
          <w:lang w:val="en-US" w:bidi="en-US"/>
        </w:rPr>
        <w:t xml:space="preserve"> – Slope stability results for 10 m water level and 10 days drawdown</w:t>
      </w:r>
      <w:bookmarkEnd w:id="886"/>
      <w:r w:rsidR="00D9413F">
        <w:rPr>
          <w:rFonts w:cs="Times New Roman"/>
          <w:szCs w:val="24"/>
          <w:lang w:val="en-US" w:bidi="en-US"/>
        </w:rPr>
        <w:t>:</w:t>
      </w:r>
      <w:r w:rsidR="003E4F5A">
        <w:rPr>
          <w:rFonts w:cs="Times New Roman"/>
          <w:szCs w:val="24"/>
          <w:lang w:val="en-US" w:bidi="en-US"/>
        </w:rPr>
        <w:t xml:space="preserve"> a) slip surface; b) graph of factor of safety values</w:t>
      </w:r>
      <w:bookmarkEnd w:id="887"/>
    </w:p>
    <w:p w14:paraId="7434A312" w14:textId="610908EF" w:rsidR="00051297" w:rsidRPr="00051297" w:rsidRDefault="00051297" w:rsidP="00B44876">
      <w:pPr>
        <w:pStyle w:val="5"/>
        <w:rPr>
          <w:lang w:val="en-US" w:bidi="en-US"/>
        </w:rPr>
      </w:pPr>
      <w:bookmarkStart w:id="888" w:name="_Toc97504826"/>
      <w:bookmarkStart w:id="889" w:name="_Toc103543960"/>
      <w:bookmarkStart w:id="890" w:name="_Toc104985285"/>
      <w:r w:rsidRPr="00051297">
        <w:rPr>
          <w:lang w:val="en-US" w:bidi="en-US"/>
        </w:rPr>
        <w:t>Slope stability analysis results from 8m water level</w:t>
      </w:r>
      <w:bookmarkEnd w:id="888"/>
      <w:bookmarkEnd w:id="889"/>
      <w:bookmarkEnd w:id="890"/>
    </w:p>
    <w:p w14:paraId="167AAEED" w14:textId="7EA4E533" w:rsidR="00C15360" w:rsidRDefault="00051297" w:rsidP="00051297">
      <w:pPr>
        <w:rPr>
          <w:lang w:val="en-US" w:bidi="en-US"/>
        </w:rPr>
      </w:pPr>
      <w:r w:rsidRPr="00051297">
        <w:rPr>
          <w:lang w:val="en-US" w:bidi="en-US"/>
        </w:rPr>
        <w:t>After subjecting the same embankment to an 8 m water level, the steady-state factor of safety was reduced to 1.441 (</w:t>
      </w:r>
      <w:r w:rsidRPr="00051297">
        <w:rPr>
          <w:lang w:val="en-US" w:bidi="en-US"/>
        </w:rPr>
        <w:fldChar w:fldCharType="begin"/>
      </w:r>
      <w:r w:rsidRPr="00051297">
        <w:rPr>
          <w:lang w:val="en-US" w:bidi="en-US"/>
        </w:rPr>
        <w:instrText xml:space="preserve"> REF _Ref98105215 \h </w:instrText>
      </w:r>
      <w:r w:rsidRPr="00051297">
        <w:rPr>
          <w:lang w:val="en-US" w:bidi="en-US"/>
        </w:rPr>
      </w:r>
      <w:r w:rsidRPr="00051297">
        <w:rPr>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9</w:t>
      </w:r>
      <w:r w:rsidRPr="00051297">
        <w:rPr>
          <w:lang w:val="en-US" w:bidi="en-US"/>
        </w:rPr>
        <w:fldChar w:fldCharType="end"/>
      </w:r>
      <w:r w:rsidRPr="00051297">
        <w:rPr>
          <w:lang w:val="en-US" w:bidi="en-US"/>
        </w:rPr>
        <w:t xml:space="preserve">) from 1.562 achieved from the 10 m water level. The reduction in the factor of safety is equivalent to 7.75%. </w:t>
      </w:r>
      <w:bookmarkStart w:id="891" w:name="_Hlk73908281"/>
    </w:p>
    <w:p w14:paraId="1AD8CB1E" w14:textId="09F4FC2B" w:rsidR="00C15360" w:rsidRDefault="00051297" w:rsidP="00051297">
      <w:pPr>
        <w:rPr>
          <w:lang w:val="en-US" w:bidi="en-US"/>
        </w:rPr>
      </w:pPr>
      <w:r w:rsidRPr="00051297">
        <w:rPr>
          <w:lang w:val="en-US" w:bidi="en-US"/>
        </w:rPr>
        <w:lastRenderedPageBreak/>
        <w:t xml:space="preserve">The factor of safety declined to roughly 0.93 one day after the immediate drawdown, and it was noted that the factor of safety began to recover the second day after the instantaneous drawdown. </w:t>
      </w:r>
    </w:p>
    <w:p w14:paraId="2260D404" w14:textId="5E70722B" w:rsidR="00051297" w:rsidRPr="00051297" w:rsidRDefault="00051297" w:rsidP="00051297">
      <w:pPr>
        <w:rPr>
          <w:lang w:val="en-US" w:bidi="en-US"/>
        </w:rPr>
      </w:pPr>
      <w:r w:rsidRPr="00051297">
        <w:rPr>
          <w:lang w:val="en-US" w:bidi="en-US"/>
        </w:rPr>
        <w:t>Also, from the 5 days drawdown, even though the factor of safety values kept on decreasing within the first five days, they were still above 1.0 and started recovering from the 6</w:t>
      </w:r>
      <w:r w:rsidRPr="00051297">
        <w:rPr>
          <w:vertAlign w:val="superscript"/>
          <w:lang w:val="en-US" w:bidi="en-US"/>
        </w:rPr>
        <w:t>th</w:t>
      </w:r>
      <w:r w:rsidRPr="00051297">
        <w:rPr>
          <w:lang w:val="en-US" w:bidi="en-US"/>
        </w:rPr>
        <w:t xml:space="preserve"> day. However, recovery from both immediate and 5 days drawdowns is a more protracted process that appears to be getting more sluggish with time. </w:t>
      </w:r>
      <w:bookmarkEnd w:id="891"/>
    </w:p>
    <w:tbl>
      <w:tblPr>
        <w:tblW w:w="0" w:type="auto"/>
        <w:jc w:val="center"/>
        <w:tblLook w:val="04A0" w:firstRow="1" w:lastRow="0" w:firstColumn="1" w:lastColumn="0" w:noHBand="0" w:noVBand="1"/>
      </w:tblPr>
      <w:tblGrid>
        <w:gridCol w:w="4685"/>
        <w:gridCol w:w="4669"/>
      </w:tblGrid>
      <w:tr w:rsidR="00051297" w:rsidRPr="00051297" w14:paraId="0F7E44A3" w14:textId="77777777" w:rsidTr="00B20047">
        <w:trPr>
          <w:jc w:val="center"/>
        </w:trPr>
        <w:tc>
          <w:tcPr>
            <w:tcW w:w="9350" w:type="dxa"/>
            <w:gridSpan w:val="2"/>
          </w:tcPr>
          <w:p w14:paraId="42CD51A1" w14:textId="570DB30F" w:rsidR="00046027" w:rsidRDefault="00046027" w:rsidP="00B44876">
            <w:pPr>
              <w:spacing w:line="240" w:lineRule="auto"/>
              <w:ind w:firstLine="0"/>
              <w:jc w:val="center"/>
              <w:rPr>
                <w:rFonts w:cs="Times New Roman"/>
                <w:noProof/>
                <w:szCs w:val="24"/>
                <w:lang w:val="pl-PL"/>
              </w:rPr>
            </w:pPr>
            <w:r>
              <w:rPr>
                <w:noProof/>
              </w:rPr>
              <w:drawing>
                <wp:inline distT="0" distB="0" distL="0" distR="0" wp14:anchorId="0521C923" wp14:editId="04C596E3">
                  <wp:extent cx="5939790" cy="2148840"/>
                  <wp:effectExtent l="0" t="0" r="3810" b="381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9790" cy="2148840"/>
                          </a:xfrm>
                          <a:prstGeom prst="rect">
                            <a:avLst/>
                          </a:prstGeom>
                          <a:noFill/>
                          <a:ln>
                            <a:noFill/>
                          </a:ln>
                        </pic:spPr>
                      </pic:pic>
                    </a:graphicData>
                  </a:graphic>
                </wp:inline>
              </w:drawing>
            </w:r>
          </w:p>
          <w:p w14:paraId="77B25546" w14:textId="70BDF783" w:rsidR="00051297" w:rsidRPr="00051297" w:rsidRDefault="00051297" w:rsidP="00B44876">
            <w:pPr>
              <w:spacing w:line="240" w:lineRule="auto"/>
              <w:ind w:firstLine="0"/>
              <w:jc w:val="center"/>
              <w:rPr>
                <w:rFonts w:cs="Times New Roman"/>
                <w:szCs w:val="24"/>
                <w:lang w:val="pl-PL"/>
              </w:rPr>
            </w:pPr>
            <w:r w:rsidRPr="00051297">
              <w:rPr>
                <w:rFonts w:cs="Times New Roman"/>
                <w:szCs w:val="24"/>
                <w:lang w:val="pl-PL"/>
              </w:rPr>
              <w:t>(a)</w:t>
            </w:r>
          </w:p>
        </w:tc>
      </w:tr>
      <w:tr w:rsidR="00046027" w:rsidRPr="00051297" w14:paraId="77CFC38B" w14:textId="77777777" w:rsidTr="00B20047">
        <w:trPr>
          <w:jc w:val="center"/>
        </w:trPr>
        <w:tc>
          <w:tcPr>
            <w:tcW w:w="9350" w:type="dxa"/>
            <w:gridSpan w:val="2"/>
          </w:tcPr>
          <w:p w14:paraId="6D122E6E" w14:textId="2619CD5B" w:rsidR="00046027" w:rsidRDefault="00046027" w:rsidP="00B44876">
            <w:pPr>
              <w:spacing w:line="240" w:lineRule="auto"/>
              <w:ind w:firstLine="0"/>
              <w:jc w:val="center"/>
              <w:rPr>
                <w:noProof/>
              </w:rPr>
            </w:pPr>
            <w:r>
              <w:rPr>
                <w:noProof/>
              </w:rPr>
              <w:drawing>
                <wp:inline distT="0" distB="0" distL="0" distR="0" wp14:anchorId="42AE7A03" wp14:editId="2B3A242F">
                  <wp:extent cx="5939790" cy="2156460"/>
                  <wp:effectExtent l="0" t="0" r="381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9790" cy="2156460"/>
                          </a:xfrm>
                          <a:prstGeom prst="rect">
                            <a:avLst/>
                          </a:prstGeom>
                          <a:noFill/>
                          <a:ln>
                            <a:noFill/>
                          </a:ln>
                        </pic:spPr>
                      </pic:pic>
                    </a:graphicData>
                  </a:graphic>
                </wp:inline>
              </w:drawing>
            </w:r>
          </w:p>
          <w:p w14:paraId="33A2637F" w14:textId="6C15F70B" w:rsidR="00046027" w:rsidRPr="00046027" w:rsidRDefault="00046027" w:rsidP="00B44876">
            <w:pPr>
              <w:spacing w:line="240" w:lineRule="auto"/>
              <w:ind w:firstLine="0"/>
              <w:jc w:val="center"/>
              <w:rPr>
                <w:noProof/>
                <w:lang w:val="en-US"/>
              </w:rPr>
            </w:pPr>
            <w:r>
              <w:rPr>
                <w:noProof/>
                <w:lang w:val="en-US"/>
              </w:rPr>
              <w:t>(b)</w:t>
            </w:r>
          </w:p>
        </w:tc>
      </w:tr>
      <w:tr w:rsidR="00046027" w:rsidRPr="00051297" w14:paraId="2E136C92" w14:textId="77777777" w:rsidTr="00B20047">
        <w:trPr>
          <w:jc w:val="center"/>
        </w:trPr>
        <w:tc>
          <w:tcPr>
            <w:tcW w:w="9350" w:type="dxa"/>
            <w:gridSpan w:val="2"/>
          </w:tcPr>
          <w:p w14:paraId="32F16F1D" w14:textId="6BB264B2" w:rsidR="00046027" w:rsidRDefault="003D359A" w:rsidP="00B44876">
            <w:pPr>
              <w:spacing w:line="240" w:lineRule="auto"/>
              <w:ind w:firstLine="0"/>
              <w:jc w:val="center"/>
              <w:rPr>
                <w:noProof/>
              </w:rPr>
            </w:pPr>
            <w:r>
              <w:rPr>
                <w:noProof/>
              </w:rPr>
              <w:drawing>
                <wp:inline distT="0" distB="0" distL="0" distR="0" wp14:anchorId="6721284F" wp14:editId="708AEEDF">
                  <wp:extent cx="5939790" cy="2152015"/>
                  <wp:effectExtent l="0" t="0" r="3810" b="63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9790" cy="2152015"/>
                          </a:xfrm>
                          <a:prstGeom prst="rect">
                            <a:avLst/>
                          </a:prstGeom>
                          <a:noFill/>
                          <a:ln>
                            <a:noFill/>
                          </a:ln>
                        </pic:spPr>
                      </pic:pic>
                    </a:graphicData>
                  </a:graphic>
                </wp:inline>
              </w:drawing>
            </w:r>
          </w:p>
          <w:p w14:paraId="46E08321" w14:textId="05E81D30" w:rsidR="00046027" w:rsidRPr="00046027" w:rsidRDefault="00046027" w:rsidP="00B44876">
            <w:pPr>
              <w:spacing w:line="240" w:lineRule="auto"/>
              <w:ind w:firstLine="0"/>
              <w:jc w:val="center"/>
              <w:rPr>
                <w:noProof/>
                <w:lang w:val="en-US"/>
              </w:rPr>
            </w:pPr>
            <w:r w:rsidRPr="00891C50">
              <w:rPr>
                <w:rFonts w:cs="Times New Roman"/>
                <w:szCs w:val="24"/>
                <w:lang w:val="pl-PL"/>
              </w:rPr>
              <w:t>(c)</w:t>
            </w:r>
          </w:p>
        </w:tc>
      </w:tr>
      <w:tr w:rsidR="00891C50" w:rsidRPr="00051297" w14:paraId="30E4AC61" w14:textId="77777777" w:rsidTr="00B20047">
        <w:trPr>
          <w:jc w:val="center"/>
        </w:trPr>
        <w:tc>
          <w:tcPr>
            <w:tcW w:w="4675" w:type="dxa"/>
          </w:tcPr>
          <w:p w14:paraId="7A1BCB65" w14:textId="55D4A2C6" w:rsidR="00051297" w:rsidRPr="00051297" w:rsidRDefault="005F4638" w:rsidP="00B44876">
            <w:pPr>
              <w:spacing w:line="240" w:lineRule="auto"/>
              <w:ind w:firstLine="0"/>
              <w:jc w:val="center"/>
              <w:rPr>
                <w:rFonts w:cs="Times New Roman"/>
                <w:szCs w:val="24"/>
                <w:lang w:val="pl-PL"/>
              </w:rPr>
            </w:pPr>
            <w:r w:rsidRPr="00B52473">
              <w:rPr>
                <w:rFonts w:eastAsia="Times New Roman"/>
                <w:noProof/>
                <w:szCs w:val="24"/>
              </w:rPr>
              <w:lastRenderedPageBreak/>
              <mc:AlternateContent>
                <mc:Choice Requires="wps">
                  <w:drawing>
                    <wp:anchor distT="45720" distB="45720" distL="114300" distR="114300" simplePos="0" relativeHeight="251680768" behindDoc="0" locked="0" layoutInCell="1" allowOverlap="1" wp14:anchorId="037B1281" wp14:editId="1CFACC03">
                      <wp:simplePos x="0" y="0"/>
                      <wp:positionH relativeFrom="column">
                        <wp:posOffset>1343025</wp:posOffset>
                      </wp:positionH>
                      <wp:positionV relativeFrom="paragraph">
                        <wp:posOffset>2152951</wp:posOffset>
                      </wp:positionV>
                      <wp:extent cx="942975" cy="563374"/>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563374"/>
                              </a:xfrm>
                              <a:prstGeom prst="rect">
                                <a:avLst/>
                              </a:prstGeom>
                              <a:noFill/>
                              <a:ln w="9525">
                                <a:noFill/>
                                <a:miter lim="800000"/>
                                <a:headEnd/>
                                <a:tailEnd/>
                              </a:ln>
                            </wps:spPr>
                            <wps:txbx>
                              <w:txbxContent>
                                <w:p w14:paraId="0FF1AE4E" w14:textId="04A02294" w:rsidR="005F4638" w:rsidRPr="00B52473" w:rsidRDefault="005F4638" w:rsidP="005F4638">
                                  <w:pPr>
                                    <w:ind w:firstLine="0"/>
                                    <w:rPr>
                                      <w:lang w:val="en-US"/>
                                    </w:rPr>
                                  </w:pPr>
                                  <w:r>
                                    <w:rPr>
                                      <w:lang w:val="en-US"/>
                                    </w:rPr>
                                    <w:t>HRAF: Min FS = 0.9</w:t>
                                  </w:r>
                                  <w:r w:rsidR="001120F0">
                                    <w:rPr>
                                      <w:lang w:val="en-US"/>
                                    </w:rPr>
                                    <w:t>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B1281" id="_x0000_s1035" type="#_x0000_t202" style="position:absolute;left:0;text-align:left;margin-left:105.75pt;margin-top:169.5pt;width:74.25pt;height:44.3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" filled="f" stroked="f">
                      <v:textbox>
                        <w:txbxContent>
                          <w:p w14:paraId="0FF1AE4E" w14:textId="04A02294" w:rsidR="005F4638" w:rsidRPr="00B52473" w:rsidRDefault="005F4638" w:rsidP="005F4638">
                            <w:pPr>
                              <w:ind w:firstLine="0"/>
                              <w:rPr>
                                <w:lang w:val="en-US"/>
                              </w:rPr>
                            </w:pPr>
                            <w:r>
                              <w:rPr>
                                <w:lang w:val="en-US"/>
                              </w:rPr>
                              <w:t>HRAF: Min FS = 0.9</w:t>
                            </w:r>
                            <w:r w:rsidR="001120F0">
                              <w:rPr>
                                <w:lang w:val="en-US"/>
                              </w:rPr>
                              <w:t>32</w:t>
                            </w:r>
                          </w:p>
                        </w:txbxContent>
                      </v:textbox>
                    </v:shape>
                  </w:pict>
                </mc:Fallback>
              </mc:AlternateContent>
            </w:r>
            <w:r>
              <w:rPr>
                <w:rFonts w:eastAsia="Times New Roman"/>
                <w:noProof/>
                <w:szCs w:val="24"/>
              </w:rPr>
              <mc:AlternateContent>
                <mc:Choice Requires="wps">
                  <w:drawing>
                    <wp:anchor distT="0" distB="0" distL="114300" distR="114300" simplePos="0" relativeHeight="251678720" behindDoc="0" locked="0" layoutInCell="1" allowOverlap="1" wp14:anchorId="78511DAF" wp14:editId="5C715140">
                      <wp:simplePos x="0" y="0"/>
                      <wp:positionH relativeFrom="column">
                        <wp:posOffset>840430</wp:posOffset>
                      </wp:positionH>
                      <wp:positionV relativeFrom="paragraph">
                        <wp:posOffset>1641750</wp:posOffset>
                      </wp:positionV>
                      <wp:extent cx="1635080" cy="1209088"/>
                      <wp:effectExtent l="0" t="0" r="22860" b="10160"/>
                      <wp:wrapNone/>
                      <wp:docPr id="21" name="Rectangle 21"/>
                      <wp:cNvGraphicFramePr/>
                      <a:graphic xmlns:a="http://schemas.openxmlformats.org/drawingml/2006/main">
                        <a:graphicData uri="http://schemas.microsoft.com/office/word/2010/wordprocessingShape">
                          <wps:wsp>
                            <wps:cNvSpPr/>
                            <wps:spPr>
                              <a:xfrm>
                                <a:off x="0" y="0"/>
                                <a:ext cx="1635080" cy="120908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4DFBEC5" id="Rectangle 21" o:spid="_x0000_s1026" style="position:absolute;margin-left:66.2pt;margin-top:129.25pt;width:128.75pt;height:95.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" filled="f" strokecolor="red" strokeweight="1pt"/>
                  </w:pict>
                </mc:Fallback>
              </mc:AlternateContent>
            </w:r>
            <w:r w:rsidR="000B4835" w:rsidRPr="000B4835">
              <w:rPr>
                <w:rFonts w:cs="Times New Roman"/>
                <w:noProof/>
                <w:szCs w:val="24"/>
                <w:lang w:val="pl-PL"/>
              </w:rPr>
              <w:drawing>
                <wp:inline distT="0" distB="0" distL="0" distR="0" wp14:anchorId="4DBB90D2" wp14:editId="0246ED01">
                  <wp:extent cx="2476500" cy="346710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76500" cy="3467100"/>
                          </a:xfrm>
                          <a:prstGeom prst="rect">
                            <a:avLst/>
                          </a:prstGeom>
                          <a:noFill/>
                          <a:ln>
                            <a:noFill/>
                          </a:ln>
                        </pic:spPr>
                      </pic:pic>
                    </a:graphicData>
                  </a:graphic>
                </wp:inline>
              </w:drawing>
            </w:r>
          </w:p>
          <w:p w14:paraId="1756EC03" w14:textId="19B27944" w:rsidR="00051297" w:rsidRPr="00051297" w:rsidRDefault="00051297" w:rsidP="00891C50">
            <w:pPr>
              <w:spacing w:line="240" w:lineRule="auto"/>
              <w:ind w:firstLine="0"/>
              <w:jc w:val="center"/>
              <w:rPr>
                <w:rFonts w:cs="Times New Roman"/>
                <w:szCs w:val="24"/>
                <w:lang w:val="pl-PL"/>
              </w:rPr>
            </w:pPr>
            <w:r w:rsidRPr="00051297">
              <w:rPr>
                <w:rFonts w:cs="Times New Roman"/>
                <w:szCs w:val="24"/>
                <w:lang w:val="pl-PL"/>
              </w:rPr>
              <w:t>(</w:t>
            </w:r>
            <w:r w:rsidR="00891C50">
              <w:rPr>
                <w:rFonts w:cs="Times New Roman"/>
                <w:szCs w:val="24"/>
                <w:lang w:val="pl-PL"/>
              </w:rPr>
              <w:t>d</w:t>
            </w:r>
            <w:r w:rsidRPr="00051297">
              <w:rPr>
                <w:rFonts w:cs="Times New Roman"/>
                <w:szCs w:val="24"/>
                <w:lang w:val="pl-PL"/>
              </w:rPr>
              <w:t>)</w:t>
            </w:r>
          </w:p>
        </w:tc>
        <w:tc>
          <w:tcPr>
            <w:tcW w:w="4675" w:type="dxa"/>
          </w:tcPr>
          <w:p w14:paraId="7CA8EE8D" w14:textId="020D8E88" w:rsidR="00051297" w:rsidRPr="00051297" w:rsidRDefault="00891C50" w:rsidP="00B44876">
            <w:pPr>
              <w:spacing w:line="240" w:lineRule="auto"/>
              <w:ind w:firstLine="0"/>
              <w:jc w:val="center"/>
              <w:rPr>
                <w:rFonts w:cs="Times New Roman"/>
                <w:szCs w:val="24"/>
                <w:lang w:val="pl-PL"/>
              </w:rPr>
            </w:pPr>
            <w:r w:rsidRPr="00891C50">
              <w:rPr>
                <w:rFonts w:cs="Times New Roman"/>
                <w:noProof/>
                <w:szCs w:val="24"/>
                <w:lang w:val="pl-PL"/>
              </w:rPr>
              <w:drawing>
                <wp:inline distT="0" distB="0" distL="0" distR="0" wp14:anchorId="304CF4CA" wp14:editId="75FEF04A">
                  <wp:extent cx="2457450" cy="3440430"/>
                  <wp:effectExtent l="0" t="0" r="0" b="762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57450" cy="3440430"/>
                          </a:xfrm>
                          <a:prstGeom prst="rect">
                            <a:avLst/>
                          </a:prstGeom>
                          <a:noFill/>
                          <a:ln>
                            <a:noFill/>
                          </a:ln>
                        </pic:spPr>
                      </pic:pic>
                    </a:graphicData>
                  </a:graphic>
                </wp:inline>
              </w:drawing>
            </w:r>
          </w:p>
          <w:p w14:paraId="77D491A7" w14:textId="6E1F7CC5" w:rsidR="00051297" w:rsidRPr="00051297" w:rsidRDefault="00051297" w:rsidP="00891C50">
            <w:pPr>
              <w:spacing w:line="240" w:lineRule="auto"/>
              <w:ind w:firstLine="0"/>
              <w:jc w:val="center"/>
              <w:rPr>
                <w:rFonts w:cs="Times New Roman"/>
                <w:szCs w:val="24"/>
                <w:lang w:val="pl-PL"/>
              </w:rPr>
            </w:pPr>
            <w:r w:rsidRPr="00051297">
              <w:rPr>
                <w:rFonts w:cs="Times New Roman"/>
                <w:szCs w:val="24"/>
                <w:lang w:val="pl-PL"/>
              </w:rPr>
              <w:t>(</w:t>
            </w:r>
            <w:r w:rsidR="00891C50">
              <w:rPr>
                <w:rFonts w:cs="Times New Roman"/>
                <w:szCs w:val="24"/>
                <w:lang w:val="pl-PL"/>
              </w:rPr>
              <w:t>e</w:t>
            </w:r>
            <w:r w:rsidRPr="00051297">
              <w:rPr>
                <w:rFonts w:cs="Times New Roman"/>
                <w:szCs w:val="24"/>
                <w:lang w:val="pl-PL"/>
              </w:rPr>
              <w:t>)</w:t>
            </w:r>
          </w:p>
        </w:tc>
      </w:tr>
    </w:tbl>
    <w:p w14:paraId="4FB5D0B1" w14:textId="61D5CCDF" w:rsidR="00051297" w:rsidRPr="00051297" w:rsidRDefault="00051297" w:rsidP="00051297">
      <w:pPr>
        <w:ind w:firstLine="0"/>
        <w:jc w:val="center"/>
        <w:rPr>
          <w:rFonts w:cs="Times New Roman"/>
          <w:szCs w:val="24"/>
          <w:lang w:val="en-US" w:bidi="en-US"/>
        </w:rPr>
      </w:pPr>
      <w:bookmarkStart w:id="892" w:name="_Ref98105215"/>
      <w:bookmarkStart w:id="893" w:name="_Toc97428251"/>
      <w:bookmarkStart w:id="894" w:name="_Toc98085926"/>
      <w:bookmarkStart w:id="895" w:name="_Toc103544124"/>
      <w:bookmarkStart w:id="896" w:name="_Toc104985447"/>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9</w:t>
      </w:r>
      <w:r w:rsidR="00527861">
        <w:rPr>
          <w:rFonts w:cs="Times New Roman"/>
          <w:szCs w:val="24"/>
          <w:lang w:val="en-US" w:bidi="en-US"/>
        </w:rPr>
        <w:fldChar w:fldCharType="end"/>
      </w:r>
      <w:bookmarkEnd w:id="892"/>
      <w:r w:rsidRPr="00051297">
        <w:rPr>
          <w:lang w:val="en-US"/>
        </w:rPr>
        <w:t xml:space="preserve"> </w:t>
      </w:r>
      <w:r w:rsidRPr="00051297">
        <w:rPr>
          <w:rFonts w:cs="Times New Roman"/>
          <w:szCs w:val="24"/>
          <w:lang w:val="en-US" w:bidi="en-US"/>
        </w:rPr>
        <w:t xml:space="preserve">– Slope stability results for 8 m water level: a) </w:t>
      </w:r>
      <w:r w:rsidR="00891C50">
        <w:rPr>
          <w:rFonts w:cs="Times New Roman"/>
          <w:szCs w:val="24"/>
          <w:lang w:val="en-US" w:bidi="en-US"/>
        </w:rPr>
        <w:t>l</w:t>
      </w:r>
      <w:r w:rsidRPr="00051297">
        <w:rPr>
          <w:rFonts w:cs="Times New Roman"/>
          <w:szCs w:val="24"/>
          <w:lang w:val="en-US" w:bidi="en-US"/>
        </w:rPr>
        <w:t>ong-term steady-state</w:t>
      </w:r>
      <w:r w:rsidR="00891C50">
        <w:rPr>
          <w:rFonts w:cs="Times New Roman"/>
          <w:szCs w:val="24"/>
          <w:lang w:val="en-US" w:bidi="en-US"/>
        </w:rPr>
        <w:t xml:space="preserve"> with slip surface</w:t>
      </w:r>
      <w:r w:rsidRPr="00051297">
        <w:rPr>
          <w:rFonts w:cs="Times New Roman"/>
          <w:szCs w:val="24"/>
          <w:lang w:val="en-US" w:bidi="en-US"/>
        </w:rPr>
        <w:t xml:space="preserve">; b) </w:t>
      </w:r>
      <w:r w:rsidR="00891C50">
        <w:rPr>
          <w:rFonts w:cs="Times New Roman"/>
          <w:szCs w:val="24"/>
          <w:lang w:val="en-US" w:bidi="en-US"/>
        </w:rPr>
        <w:t>i</w:t>
      </w:r>
      <w:r w:rsidRPr="00051297">
        <w:rPr>
          <w:rFonts w:cs="Times New Roman"/>
          <w:szCs w:val="24"/>
          <w:lang w:val="en-US" w:bidi="en-US"/>
        </w:rPr>
        <w:t>nstantaneous drawdown</w:t>
      </w:r>
      <w:r w:rsidR="00891C50">
        <w:rPr>
          <w:rFonts w:cs="Times New Roman"/>
          <w:szCs w:val="24"/>
          <w:lang w:val="en-US" w:bidi="en-US"/>
        </w:rPr>
        <w:t xml:space="preserve"> slip surface</w:t>
      </w:r>
      <w:r w:rsidRPr="00051297">
        <w:rPr>
          <w:rFonts w:cs="Times New Roman"/>
          <w:szCs w:val="24"/>
          <w:lang w:val="en-US" w:bidi="en-US"/>
        </w:rPr>
        <w:t>; c) 5 days drawdown</w:t>
      </w:r>
      <w:bookmarkEnd w:id="893"/>
      <w:bookmarkEnd w:id="894"/>
      <w:bookmarkEnd w:id="895"/>
      <w:r w:rsidR="00891C50">
        <w:rPr>
          <w:rFonts w:cs="Times New Roman"/>
          <w:szCs w:val="24"/>
          <w:lang w:val="en-US" w:bidi="en-US"/>
        </w:rPr>
        <w:t xml:space="preserve"> slip surface; d) </w:t>
      </w:r>
      <w:r w:rsidR="004B607B" w:rsidRPr="004B607B">
        <w:rPr>
          <w:rFonts w:cs="Times New Roman"/>
          <w:szCs w:val="24"/>
          <w:lang w:val="en-US" w:bidi="en-US"/>
        </w:rPr>
        <w:t>instantaneous drawdown</w:t>
      </w:r>
      <w:r w:rsidR="004B607B">
        <w:rPr>
          <w:rFonts w:cs="Times New Roman"/>
          <w:szCs w:val="24"/>
          <w:lang w:val="en-US" w:bidi="en-US"/>
        </w:rPr>
        <w:t xml:space="preserve"> graph; e) </w:t>
      </w:r>
      <w:r w:rsidR="004B607B" w:rsidRPr="004B607B">
        <w:rPr>
          <w:rFonts w:cs="Times New Roman"/>
          <w:szCs w:val="24"/>
          <w:lang w:val="en-US" w:bidi="en-US"/>
        </w:rPr>
        <w:t>5 days drawdown</w:t>
      </w:r>
      <w:r w:rsidR="004B607B">
        <w:rPr>
          <w:rFonts w:cs="Times New Roman"/>
          <w:szCs w:val="24"/>
          <w:lang w:val="en-US" w:bidi="en-US"/>
        </w:rPr>
        <w:t xml:space="preserve"> graph</w:t>
      </w:r>
      <w:r w:rsidR="005F4638">
        <w:rPr>
          <w:rFonts w:cs="Times New Roman"/>
          <w:szCs w:val="24"/>
          <w:lang w:val="en-US" w:bidi="en-US"/>
        </w:rPr>
        <w:t>. HRAF = hypothetical region after failure.</w:t>
      </w:r>
      <w:bookmarkEnd w:id="896"/>
    </w:p>
    <w:p w14:paraId="0D13ECC5" w14:textId="46453F1B" w:rsidR="00051297" w:rsidRPr="00051297" w:rsidRDefault="00051297" w:rsidP="00B44876">
      <w:pPr>
        <w:pStyle w:val="5"/>
        <w:rPr>
          <w:lang w:val="en-US" w:bidi="en-US"/>
        </w:rPr>
      </w:pPr>
      <w:bookmarkStart w:id="897" w:name="_Toc97504827"/>
      <w:bookmarkStart w:id="898" w:name="_Toc103543961"/>
      <w:bookmarkStart w:id="899" w:name="_Toc104985286"/>
      <w:r w:rsidRPr="00051297">
        <w:rPr>
          <w:lang w:val="en-US" w:bidi="en-US"/>
        </w:rPr>
        <w:t>Slope stability analysis results from 6m water level</w:t>
      </w:r>
      <w:bookmarkEnd w:id="897"/>
      <w:bookmarkEnd w:id="898"/>
      <w:bookmarkEnd w:id="899"/>
    </w:p>
    <w:p w14:paraId="506F0C92" w14:textId="40565940" w:rsidR="00051297" w:rsidRPr="00051297" w:rsidRDefault="00051297" w:rsidP="00051297">
      <w:pPr>
        <w:rPr>
          <w:lang w:val="en-US" w:bidi="en-US"/>
        </w:rPr>
      </w:pPr>
      <w:r w:rsidRPr="00051297">
        <w:rPr>
          <w:lang w:val="en-US" w:bidi="en-US"/>
        </w:rPr>
        <w:t>The steady-state factor of safety was also reduced to 1.352 after the same embankment was subjected to a 6m water level (</w:t>
      </w:r>
      <w:r w:rsidRPr="00051297">
        <w:rPr>
          <w:lang w:val="en-US" w:bidi="en-US"/>
        </w:rPr>
        <w:fldChar w:fldCharType="begin"/>
      </w:r>
      <w:r w:rsidRPr="00051297">
        <w:rPr>
          <w:lang w:val="en-US" w:bidi="en-US"/>
        </w:rPr>
        <w:instrText xml:space="preserve"> REF _Ref98105260 \h </w:instrText>
      </w:r>
      <w:r w:rsidRPr="00051297">
        <w:rPr>
          <w:lang w:val="en-US" w:bidi="en-US"/>
        </w:rPr>
      </w:r>
      <w:r w:rsidRPr="00051297">
        <w:rPr>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10</w:t>
      </w:r>
      <w:r w:rsidRPr="00051297">
        <w:rPr>
          <w:lang w:val="en-US" w:bidi="en-US"/>
        </w:rPr>
        <w:fldChar w:fldCharType="end"/>
      </w:r>
      <w:r w:rsidRPr="00051297">
        <w:rPr>
          <w:lang w:val="en-US" w:bidi="en-US"/>
        </w:rPr>
        <w:t xml:space="preserve">); this equates to a 6.18 % reduction in the 8 m water level steady-state factors of safety and a 13.44 % reduction in the 10 m water level steady-state factors of safety. Again, the phenomenon is consistent with what has been documented in the literature; according to Alonso and Pinyol </w:t>
      </w:r>
      <w:r w:rsidRPr="00051297">
        <w:rPr>
          <w:lang w:bidi="en-US"/>
        </w:rPr>
        <w:fldChar w:fldCharType="begin" w:fldLock="1"/>
      </w:r>
      <w:r w:rsidR="00FA5896">
        <w:rPr>
          <w:lang w:val="en-US" w:bidi="en-US"/>
        </w:rPr>
        <w:instrText>ADDIN CSL_CITATION {"citationItems":[{"id":"ITEM-1","itemData":{"DOI":"10.1016/j.wse.2016.11.003","ISSN":"16742370","author":[{"dropping-particle":"","family":"Alonso","given":"Eduardo E.","non-dropping-particle":"","parse-names":false,"suffix":""},{"dropping-particle":"","family":"Pinyol","given":"Núria M.","non-dropping-particle":"","parse-names":false,"suffix":""}],"container-title":"Water Science and Engineering","id":"ITEM-1","issue":"3","issued":{"date-parts":[["2016","7"]]},"page":"175-182","title":"Numerical analysis of rapid drawdown: Applications in real cases","type":"article-journal","volume":"9"},"uris":["http://www.mendeley.com/documents/?uuid=99b958e7-e0b5-4ca2-b798-1ad1de846a5e","http://www.mendeley.com/documents/?uuid=b53b2054-a9f1-4df4-a453-c0acf3855b36"]}],"mendeley":{"formattedCitation":"[270]","plainTextFormattedCitation":"[270]","previouslyFormattedCitation":"[270]"},"properties":{"noteIndex":0},"schema":"https://github.com/citation-style-language/schema/raw/master/csl-citation.json"}</w:instrText>
      </w:r>
      <w:r w:rsidRPr="00051297">
        <w:rPr>
          <w:lang w:bidi="en-US"/>
        </w:rPr>
        <w:fldChar w:fldCharType="separate"/>
      </w:r>
      <w:r w:rsidR="0032684D" w:rsidRPr="0032684D">
        <w:rPr>
          <w:noProof/>
          <w:lang w:val="en-US" w:bidi="en-US"/>
        </w:rPr>
        <w:t>[270]</w:t>
      </w:r>
      <w:r w:rsidRPr="00051297">
        <w:fldChar w:fldCharType="end"/>
      </w:r>
      <w:r w:rsidRPr="00051297">
        <w:rPr>
          <w:lang w:val="en-US" w:bidi="en-US"/>
        </w:rPr>
        <w:t xml:space="preserve">, a drawdown may be a crucial component in slope stability, not just for slopes that are entirely submerged at first but also for those that are partially submerged. </w:t>
      </w:r>
    </w:p>
    <w:p w14:paraId="4F42100F" w14:textId="74D57ABA" w:rsidR="00051297" w:rsidRPr="00051297" w:rsidRDefault="00051297" w:rsidP="00051297">
      <w:pPr>
        <w:rPr>
          <w:lang w:val="en-US" w:bidi="en-US"/>
        </w:rPr>
      </w:pPr>
      <w:r w:rsidRPr="00051297">
        <w:rPr>
          <w:lang w:val="en-US" w:bidi="en-US"/>
        </w:rPr>
        <w:t xml:space="preserve">However, something interesting from </w:t>
      </w:r>
      <w:r w:rsidRPr="00051297">
        <w:rPr>
          <w:lang w:val="en-US" w:bidi="en-US"/>
        </w:rPr>
        <w:fldChar w:fldCharType="begin"/>
      </w:r>
      <w:r w:rsidRPr="00051297">
        <w:rPr>
          <w:lang w:val="en-US" w:bidi="en-US"/>
        </w:rPr>
        <w:instrText xml:space="preserve"> REF _Ref98105260 \h </w:instrText>
      </w:r>
      <w:r w:rsidRPr="00051297">
        <w:rPr>
          <w:lang w:val="en-US" w:bidi="en-US"/>
        </w:rPr>
      </w:r>
      <w:r w:rsidRPr="00051297">
        <w:rPr>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10</w:t>
      </w:r>
      <w:r w:rsidRPr="00051297">
        <w:rPr>
          <w:lang w:val="en-US" w:bidi="en-US"/>
        </w:rPr>
        <w:fldChar w:fldCharType="end"/>
      </w:r>
      <w:r w:rsidRPr="00051297">
        <w:rPr>
          <w:lang w:val="en-US" w:bidi="en-US"/>
        </w:rPr>
        <w:t xml:space="preserve"> is that, unlike the 10 m and 8 m water levels, the 6m water level never observed the factor of safety dropping below 1.0 for both instantaneous and 5 days drawdowns. But the trend of decrease and recovery of the factor of safety was more similar to the ones of 10 and 8 m. The general phenomenon suggests that the significant risk of a drawdown scenario is within the drawdown timeframe, and the recovery in terms of the factor of safety starts immediately as the drawdown process ends. Another important note from </w:t>
      </w:r>
      <w:r w:rsidR="00655813">
        <w:rPr>
          <w:lang w:val="en-US" w:bidi="en-US"/>
        </w:rPr>
        <w:fldChar w:fldCharType="begin"/>
      </w:r>
      <w:r w:rsidR="00655813">
        <w:rPr>
          <w:lang w:val="en-US" w:bidi="en-US"/>
        </w:rPr>
        <w:instrText xml:space="preserve"> REF _Ref98105260 \h </w:instrText>
      </w:r>
      <w:r w:rsidR="00655813">
        <w:rPr>
          <w:lang w:val="en-US" w:bidi="en-US"/>
        </w:rPr>
      </w:r>
      <w:r w:rsidR="00655813">
        <w:rPr>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10</w:t>
      </w:r>
      <w:r w:rsidR="00655813">
        <w:rPr>
          <w:lang w:val="en-US" w:bidi="en-US"/>
        </w:rPr>
        <w:fldChar w:fldCharType="end"/>
      </w:r>
      <w:r w:rsidRPr="00051297">
        <w:rPr>
          <w:lang w:val="en-US" w:bidi="en-US"/>
        </w:rPr>
        <w:t xml:space="preserve"> is that the factor of safety value drops faster with a high drawdown rate, and the trend of the factor of safety recovery is faster with instantaneous drawdown than the 5 days drawdown. </w:t>
      </w:r>
      <w:r w:rsidRPr="00051297">
        <w:rPr>
          <w:lang w:val="en-US" w:bidi="en-US"/>
        </w:rPr>
        <w:lastRenderedPageBreak/>
        <w:t>This is yet another indicator that the rate at which the reservoir is drawn down significantly impacts the degree of pore-water pressure dissipation.</w:t>
      </w:r>
    </w:p>
    <w:p w14:paraId="346EF32E" w14:textId="6F4783AD" w:rsidR="00051297" w:rsidRPr="00051297" w:rsidRDefault="00051297" w:rsidP="00051297">
      <w:pPr>
        <w:rPr>
          <w:lang w:val="en-US" w:bidi="en-US"/>
        </w:rPr>
      </w:pPr>
      <w:r w:rsidRPr="00051297">
        <w:rPr>
          <w:lang w:val="en-US" w:bidi="en-US"/>
        </w:rPr>
        <w:t xml:space="preserve">In general, all of the phenomena can be linked to the impacts of water level reductions, which lower the stabilizing exterior hydrostatic pressure due to the unloading effect of removing water, as well as the interior pore water pressure being altered </w:t>
      </w:r>
      <w:r w:rsidRPr="00051297">
        <w:rPr>
          <w:lang w:bidi="en-US"/>
        </w:rPr>
        <w:fldChar w:fldCharType="begin" w:fldLock="1"/>
      </w:r>
      <w:r w:rsidR="00FA5896">
        <w:rPr>
          <w:lang w:val="en-US" w:bidi="en-US"/>
        </w:rPr>
        <w:instrText>ADDIN CSL_CITATION {"citationItems":[{"id":"ITEM-1","itemData":{"DOI":"10.4186/ej.2019.23.5.1","ISSN":"01258281","abstract":"Highway embankments stability during its service period represents an important factor for the safety of highway users and vehicles. Consequently, the cost of construction of these embankments should be adequate to maintain the safety and durability during this period through proper estimation of the loading on asphalt pavement, slope stability, horizontal and vertical deformation, etc. Slope stability of the embankment mainly depends on the shear strength of the soil layers materials; this shear strength is affected by the water table level through the contribution of the capillary water. Negative pore water pressure above the water table level evolves matric suction in the unsaturated zone above water table; this matric suction increases the shear strength of the soil depending on the soil type, void ratio, etc. This paper studies the slope stability of highway embankment using finite element method analysis by using GeoStudio software to show the effect of the presence of water table and the contribution of the matric suction. A trial slope is shown to have the same factor of safety with reduced cross section due to increasing the shear strength hence, the reduced cross sectional cost is determined.","author":[{"dropping-particle":"","family":"Latief","given":"Roaa Hamed","non-dropping-particle":"","parse-names":false,"suffix":""},{"dropping-particle":"","family":"Zainal","given":"Abdul Kareem E.","non-dropping-particle":"","parse-names":false,"suffix":""}],"container-title":"Engineering Journal","id":"ITEM-1","issue":"5","issued":{"date-parts":[["2019","9"]]},"page":"1-12","title":"Effects of Water Table Level on Slope Stability and Construction Cost of Highway Embankment","type":"article-journal","volume":"23"},"uris":["http://www.mendeley.com/documents/?uuid=73b3a298-c5fe-45ed-b19c-7013f05a7410","http://www.mendeley.com/documents/?uuid=a5f8057f-9921-4492-be6d-dc7c9f3e496f","http://www.mendeley.com/documents/?uuid=57dc0e48-2b1c-4100-b65a-6619d1ac28b3"]}],"mendeley":{"formattedCitation":"[271]","plainTextFormattedCitation":"[271]","previouslyFormattedCitation":"[271]"},"properties":{"noteIndex":0},"schema":"https://github.com/citation-style-language/schema/raw/master/csl-citation.json"}</w:instrText>
      </w:r>
      <w:r w:rsidRPr="00051297">
        <w:rPr>
          <w:lang w:bidi="en-US"/>
        </w:rPr>
        <w:fldChar w:fldCharType="separate"/>
      </w:r>
      <w:r w:rsidR="0032684D" w:rsidRPr="0032684D">
        <w:rPr>
          <w:noProof/>
          <w:lang w:val="en-US" w:bidi="en-US"/>
        </w:rPr>
        <w:t>[271]</w:t>
      </w:r>
      <w:r w:rsidRPr="00051297">
        <w:fldChar w:fldCharType="end"/>
      </w:r>
      <w:r w:rsidRPr="00051297">
        <w:rPr>
          <w:lang w:val="en-US" w:bidi="en-US"/>
        </w:rPr>
        <w:t>.</w:t>
      </w:r>
    </w:p>
    <w:p w14:paraId="1F73FC7C" w14:textId="77777777" w:rsidR="00051297" w:rsidRPr="00051297" w:rsidRDefault="00051297" w:rsidP="00051297">
      <w:pPr>
        <w:ind w:firstLine="567"/>
        <w:rPr>
          <w:rFonts w:cs="Times New Roman"/>
          <w:szCs w:val="24"/>
          <w:lang w:val="en-US" w:bidi="en-US"/>
        </w:rPr>
      </w:pPr>
    </w:p>
    <w:tbl>
      <w:tblPr>
        <w:tblW w:w="0" w:type="auto"/>
        <w:jc w:val="center"/>
        <w:tblLook w:val="04A0" w:firstRow="1" w:lastRow="0" w:firstColumn="1" w:lastColumn="0" w:noHBand="0" w:noVBand="1"/>
      </w:tblPr>
      <w:tblGrid>
        <w:gridCol w:w="4676"/>
        <w:gridCol w:w="4678"/>
      </w:tblGrid>
      <w:tr w:rsidR="00051297" w:rsidRPr="00051297" w14:paraId="37EC96D2" w14:textId="77777777" w:rsidTr="008B1021">
        <w:trPr>
          <w:jc w:val="center"/>
        </w:trPr>
        <w:tc>
          <w:tcPr>
            <w:tcW w:w="9344" w:type="dxa"/>
            <w:gridSpan w:val="2"/>
          </w:tcPr>
          <w:p w14:paraId="3FA9F38B" w14:textId="1D2A45E1" w:rsidR="00051297" w:rsidRPr="00051297" w:rsidRDefault="00AB7CB7" w:rsidP="00B44876">
            <w:pPr>
              <w:spacing w:line="240" w:lineRule="auto"/>
              <w:ind w:firstLine="0"/>
              <w:jc w:val="center"/>
              <w:rPr>
                <w:rFonts w:cs="Times New Roman"/>
                <w:szCs w:val="24"/>
                <w:lang w:val="pl-PL"/>
              </w:rPr>
            </w:pPr>
            <w:r>
              <w:rPr>
                <w:noProof/>
              </w:rPr>
              <w:drawing>
                <wp:inline distT="0" distB="0" distL="0" distR="0" wp14:anchorId="57A8EE57" wp14:editId="5055382D">
                  <wp:extent cx="5939790" cy="2148205"/>
                  <wp:effectExtent l="0" t="0" r="3810" b="444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9790" cy="2148205"/>
                          </a:xfrm>
                          <a:prstGeom prst="rect">
                            <a:avLst/>
                          </a:prstGeom>
                          <a:noFill/>
                          <a:ln>
                            <a:noFill/>
                          </a:ln>
                        </pic:spPr>
                      </pic:pic>
                    </a:graphicData>
                  </a:graphic>
                </wp:inline>
              </w:drawing>
            </w:r>
          </w:p>
          <w:p w14:paraId="75F0F4CF" w14:textId="77777777" w:rsidR="00051297" w:rsidRPr="00051297" w:rsidRDefault="00051297" w:rsidP="0063626F">
            <w:pPr>
              <w:spacing w:line="240" w:lineRule="auto"/>
              <w:ind w:firstLine="0"/>
              <w:jc w:val="center"/>
              <w:rPr>
                <w:rFonts w:cs="Times New Roman"/>
                <w:szCs w:val="24"/>
                <w:lang w:val="pl-PL"/>
              </w:rPr>
            </w:pPr>
            <w:r w:rsidRPr="00051297">
              <w:rPr>
                <w:rFonts w:cs="Times New Roman"/>
                <w:noProof/>
                <w:szCs w:val="24"/>
                <w:lang w:val="pl-PL"/>
              </w:rPr>
              <w:t>(a)</w:t>
            </w:r>
          </w:p>
        </w:tc>
      </w:tr>
      <w:tr w:rsidR="00AB7CB7" w:rsidRPr="00051297" w14:paraId="79D557CF" w14:textId="77777777" w:rsidTr="008B1021">
        <w:trPr>
          <w:jc w:val="center"/>
        </w:trPr>
        <w:tc>
          <w:tcPr>
            <w:tcW w:w="9344" w:type="dxa"/>
            <w:gridSpan w:val="2"/>
          </w:tcPr>
          <w:p w14:paraId="6F4D4EF1" w14:textId="325FFE8B" w:rsidR="00AB7CB7" w:rsidRDefault="00AB7CB7" w:rsidP="00AB7CB7">
            <w:pPr>
              <w:spacing w:line="240" w:lineRule="auto"/>
              <w:ind w:firstLine="0"/>
              <w:rPr>
                <w:noProof/>
              </w:rPr>
            </w:pPr>
            <w:r>
              <w:rPr>
                <w:noProof/>
              </w:rPr>
              <w:drawing>
                <wp:inline distT="0" distB="0" distL="0" distR="0" wp14:anchorId="764A6153" wp14:editId="7058F97A">
                  <wp:extent cx="5939790" cy="2146935"/>
                  <wp:effectExtent l="0" t="0" r="3810" b="571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9790" cy="2146935"/>
                          </a:xfrm>
                          <a:prstGeom prst="rect">
                            <a:avLst/>
                          </a:prstGeom>
                          <a:noFill/>
                          <a:ln>
                            <a:noFill/>
                          </a:ln>
                        </pic:spPr>
                      </pic:pic>
                    </a:graphicData>
                  </a:graphic>
                </wp:inline>
              </w:drawing>
            </w:r>
          </w:p>
          <w:p w14:paraId="7725A26E" w14:textId="0943D40B" w:rsidR="00AB7CB7" w:rsidRPr="00AB7CB7" w:rsidRDefault="00AB7CB7" w:rsidP="00AB7CB7">
            <w:pPr>
              <w:spacing w:line="240" w:lineRule="auto"/>
              <w:ind w:firstLine="0"/>
              <w:jc w:val="center"/>
              <w:rPr>
                <w:noProof/>
                <w:lang w:val="en-US"/>
              </w:rPr>
            </w:pPr>
            <w:r>
              <w:rPr>
                <w:noProof/>
                <w:lang w:val="en-US"/>
              </w:rPr>
              <w:t>(b)</w:t>
            </w:r>
          </w:p>
        </w:tc>
      </w:tr>
      <w:tr w:rsidR="0063626F" w:rsidRPr="00051297" w14:paraId="365C8A57" w14:textId="77777777" w:rsidTr="008B1021">
        <w:trPr>
          <w:jc w:val="center"/>
        </w:trPr>
        <w:tc>
          <w:tcPr>
            <w:tcW w:w="9344" w:type="dxa"/>
            <w:gridSpan w:val="2"/>
          </w:tcPr>
          <w:p w14:paraId="3EA29C0A" w14:textId="2F33EF56" w:rsidR="0063626F" w:rsidRDefault="009314D5" w:rsidP="00B44876">
            <w:pPr>
              <w:spacing w:line="240" w:lineRule="auto"/>
              <w:ind w:firstLine="0"/>
              <w:jc w:val="center"/>
              <w:rPr>
                <w:rFonts w:cs="Times New Roman"/>
                <w:noProof/>
                <w:szCs w:val="24"/>
                <w:lang w:val="pl-PL"/>
              </w:rPr>
            </w:pPr>
            <w:r>
              <w:rPr>
                <w:noProof/>
              </w:rPr>
              <w:drawing>
                <wp:inline distT="0" distB="0" distL="0" distR="0" wp14:anchorId="65895C60" wp14:editId="2067A313">
                  <wp:extent cx="5939790" cy="2151380"/>
                  <wp:effectExtent l="0" t="0" r="3810" b="127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39790" cy="2151380"/>
                          </a:xfrm>
                          <a:prstGeom prst="rect">
                            <a:avLst/>
                          </a:prstGeom>
                          <a:noFill/>
                          <a:ln>
                            <a:noFill/>
                          </a:ln>
                        </pic:spPr>
                      </pic:pic>
                    </a:graphicData>
                  </a:graphic>
                </wp:inline>
              </w:drawing>
            </w:r>
          </w:p>
          <w:p w14:paraId="58725CBC" w14:textId="03B438EF" w:rsidR="0063626F" w:rsidRPr="00051297" w:rsidRDefault="0063626F" w:rsidP="00B44876">
            <w:pPr>
              <w:spacing w:line="240" w:lineRule="auto"/>
              <w:ind w:firstLine="0"/>
              <w:jc w:val="center"/>
              <w:rPr>
                <w:rFonts w:cs="Times New Roman"/>
                <w:noProof/>
                <w:szCs w:val="24"/>
                <w:lang w:val="pl-PL"/>
              </w:rPr>
            </w:pPr>
            <w:r>
              <w:rPr>
                <w:rFonts w:cs="Times New Roman"/>
                <w:noProof/>
                <w:szCs w:val="24"/>
                <w:lang w:val="pl-PL"/>
              </w:rPr>
              <w:t>(</w:t>
            </w:r>
            <w:r w:rsidR="00AB7CB7">
              <w:rPr>
                <w:rFonts w:cs="Times New Roman"/>
                <w:noProof/>
                <w:szCs w:val="24"/>
                <w:lang w:val="pl-PL"/>
              </w:rPr>
              <w:t>c</w:t>
            </w:r>
            <w:r>
              <w:rPr>
                <w:rFonts w:cs="Times New Roman"/>
                <w:noProof/>
                <w:szCs w:val="24"/>
                <w:lang w:val="pl-PL"/>
              </w:rPr>
              <w:t>)</w:t>
            </w:r>
          </w:p>
        </w:tc>
      </w:tr>
      <w:tr w:rsidR="00051297" w:rsidRPr="00051297" w14:paraId="1E6E73F0" w14:textId="77777777" w:rsidTr="008B1021">
        <w:trPr>
          <w:jc w:val="center"/>
        </w:trPr>
        <w:tc>
          <w:tcPr>
            <w:tcW w:w="4670" w:type="dxa"/>
          </w:tcPr>
          <w:p w14:paraId="0A62C63E" w14:textId="138C22B1" w:rsidR="00051297" w:rsidRPr="00051297" w:rsidRDefault="008B1021" w:rsidP="00B44876">
            <w:pPr>
              <w:spacing w:line="240" w:lineRule="auto"/>
              <w:ind w:firstLine="0"/>
              <w:jc w:val="center"/>
              <w:rPr>
                <w:rFonts w:cs="Times New Roman"/>
                <w:szCs w:val="24"/>
                <w:lang w:val="pl-PL"/>
              </w:rPr>
            </w:pPr>
            <w:r w:rsidRPr="008B1021">
              <w:rPr>
                <w:rFonts w:cs="Times New Roman"/>
                <w:noProof/>
                <w:szCs w:val="24"/>
                <w:lang w:val="pl-PL"/>
              </w:rPr>
              <w:lastRenderedPageBreak/>
              <w:drawing>
                <wp:inline distT="0" distB="0" distL="0" distR="0" wp14:anchorId="63E599B0" wp14:editId="64E42335">
                  <wp:extent cx="2571429" cy="3600000"/>
                  <wp:effectExtent l="0" t="0" r="635" b="63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71429" cy="3600000"/>
                          </a:xfrm>
                          <a:prstGeom prst="rect">
                            <a:avLst/>
                          </a:prstGeom>
                          <a:noFill/>
                          <a:ln>
                            <a:noFill/>
                          </a:ln>
                        </pic:spPr>
                      </pic:pic>
                    </a:graphicData>
                  </a:graphic>
                </wp:inline>
              </w:drawing>
            </w:r>
          </w:p>
          <w:p w14:paraId="0A5BE4BC" w14:textId="77777777" w:rsidR="00051297" w:rsidRPr="00051297" w:rsidRDefault="00051297" w:rsidP="00B44876">
            <w:pPr>
              <w:spacing w:line="240" w:lineRule="auto"/>
              <w:jc w:val="center"/>
              <w:rPr>
                <w:rFonts w:cs="Times New Roman"/>
                <w:szCs w:val="24"/>
                <w:lang w:val="pl-PL"/>
              </w:rPr>
            </w:pPr>
            <w:r w:rsidRPr="00051297">
              <w:rPr>
                <w:rFonts w:cs="Times New Roman"/>
                <w:szCs w:val="24"/>
                <w:lang w:val="pl-PL"/>
              </w:rPr>
              <w:t>(b)</w:t>
            </w:r>
          </w:p>
        </w:tc>
        <w:tc>
          <w:tcPr>
            <w:tcW w:w="4674" w:type="dxa"/>
          </w:tcPr>
          <w:p w14:paraId="0262BA38" w14:textId="306A3842" w:rsidR="00051297" w:rsidRPr="00051297" w:rsidRDefault="008B1021" w:rsidP="00B44876">
            <w:pPr>
              <w:spacing w:line="240" w:lineRule="auto"/>
              <w:ind w:firstLine="0"/>
              <w:jc w:val="center"/>
              <w:rPr>
                <w:rFonts w:cs="Times New Roman"/>
                <w:szCs w:val="24"/>
                <w:lang w:val="pl-PL"/>
              </w:rPr>
            </w:pPr>
            <w:r w:rsidRPr="008B1021">
              <w:rPr>
                <w:rFonts w:cs="Times New Roman"/>
                <w:noProof/>
                <w:szCs w:val="24"/>
                <w:lang w:val="pl-PL"/>
              </w:rPr>
              <w:drawing>
                <wp:inline distT="0" distB="0" distL="0" distR="0" wp14:anchorId="2A7957D5" wp14:editId="0A55DF36">
                  <wp:extent cx="2571429" cy="3600000"/>
                  <wp:effectExtent l="0" t="0" r="635" b="635"/>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71429" cy="3600000"/>
                          </a:xfrm>
                          <a:prstGeom prst="rect">
                            <a:avLst/>
                          </a:prstGeom>
                          <a:noFill/>
                          <a:ln>
                            <a:noFill/>
                          </a:ln>
                        </pic:spPr>
                      </pic:pic>
                    </a:graphicData>
                  </a:graphic>
                </wp:inline>
              </w:drawing>
            </w:r>
          </w:p>
          <w:p w14:paraId="208EB97B" w14:textId="77777777" w:rsidR="00051297" w:rsidRPr="00051297" w:rsidRDefault="00051297" w:rsidP="00B44876">
            <w:pPr>
              <w:keepNext/>
              <w:spacing w:line="240" w:lineRule="auto"/>
              <w:jc w:val="center"/>
              <w:rPr>
                <w:rFonts w:cs="Times New Roman"/>
                <w:szCs w:val="24"/>
                <w:lang w:val="pl-PL"/>
              </w:rPr>
            </w:pPr>
            <w:r w:rsidRPr="00051297">
              <w:rPr>
                <w:rFonts w:cs="Times New Roman"/>
                <w:szCs w:val="24"/>
                <w:lang w:val="pl-PL"/>
              </w:rPr>
              <w:t>(c)</w:t>
            </w:r>
          </w:p>
        </w:tc>
      </w:tr>
    </w:tbl>
    <w:p w14:paraId="162141B3" w14:textId="6983AFED" w:rsidR="00051297" w:rsidRPr="00051297" w:rsidRDefault="00051297" w:rsidP="00051297">
      <w:pPr>
        <w:ind w:firstLine="0"/>
        <w:jc w:val="center"/>
        <w:rPr>
          <w:rFonts w:cs="Times New Roman"/>
          <w:szCs w:val="24"/>
          <w:lang w:val="en-US" w:bidi="en-US"/>
        </w:rPr>
      </w:pPr>
      <w:bookmarkStart w:id="900" w:name="_Ref98105260"/>
      <w:bookmarkStart w:id="901" w:name="_Toc97428252"/>
      <w:bookmarkStart w:id="902" w:name="_Toc98085927"/>
      <w:bookmarkStart w:id="903" w:name="_Toc103544125"/>
      <w:bookmarkStart w:id="904" w:name="_Toc104985448"/>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10</w:t>
      </w:r>
      <w:r w:rsidR="00527861">
        <w:rPr>
          <w:rFonts w:cs="Times New Roman"/>
          <w:szCs w:val="24"/>
          <w:lang w:val="en-US" w:bidi="en-US"/>
        </w:rPr>
        <w:fldChar w:fldCharType="end"/>
      </w:r>
      <w:bookmarkEnd w:id="900"/>
      <w:r w:rsidRPr="00051297">
        <w:rPr>
          <w:lang w:val="en-US"/>
        </w:rPr>
        <w:t xml:space="preserve"> </w:t>
      </w:r>
      <w:r w:rsidRPr="00051297">
        <w:rPr>
          <w:rFonts w:cs="Times New Roman"/>
          <w:szCs w:val="24"/>
          <w:lang w:val="en-US" w:bidi="en-US"/>
        </w:rPr>
        <w:t>– Slope stability results for 6</w:t>
      </w:r>
      <w:r w:rsidR="00AB7CB7">
        <w:rPr>
          <w:rFonts w:cs="Times New Roman"/>
          <w:szCs w:val="24"/>
          <w:lang w:val="en-US" w:bidi="en-US"/>
        </w:rPr>
        <w:t xml:space="preserve"> </w:t>
      </w:r>
      <w:r w:rsidRPr="00051297">
        <w:rPr>
          <w:rFonts w:cs="Times New Roman"/>
          <w:szCs w:val="24"/>
          <w:lang w:val="en-US" w:bidi="en-US"/>
        </w:rPr>
        <w:t xml:space="preserve">m water level: </w:t>
      </w:r>
      <w:bookmarkEnd w:id="901"/>
      <w:bookmarkEnd w:id="902"/>
      <w:bookmarkEnd w:id="903"/>
      <w:r w:rsidR="008B1021" w:rsidRPr="00051297">
        <w:rPr>
          <w:rFonts w:cs="Times New Roman"/>
          <w:szCs w:val="24"/>
          <w:lang w:val="en-US" w:bidi="en-US"/>
        </w:rPr>
        <w:t xml:space="preserve">a) </w:t>
      </w:r>
      <w:r w:rsidR="008B1021">
        <w:rPr>
          <w:rFonts w:cs="Times New Roman"/>
          <w:szCs w:val="24"/>
          <w:lang w:val="en-US" w:bidi="en-US"/>
        </w:rPr>
        <w:t>l</w:t>
      </w:r>
      <w:r w:rsidR="008B1021" w:rsidRPr="00051297">
        <w:rPr>
          <w:rFonts w:cs="Times New Roman"/>
          <w:szCs w:val="24"/>
          <w:lang w:val="en-US" w:bidi="en-US"/>
        </w:rPr>
        <w:t>ong-term steady-state</w:t>
      </w:r>
      <w:r w:rsidR="008B1021">
        <w:rPr>
          <w:rFonts w:cs="Times New Roman"/>
          <w:szCs w:val="24"/>
          <w:lang w:val="en-US" w:bidi="en-US"/>
        </w:rPr>
        <w:t xml:space="preserve"> with slip surface</w:t>
      </w:r>
      <w:r w:rsidR="008B1021" w:rsidRPr="00051297">
        <w:rPr>
          <w:rFonts w:cs="Times New Roman"/>
          <w:szCs w:val="24"/>
          <w:lang w:val="en-US" w:bidi="en-US"/>
        </w:rPr>
        <w:t xml:space="preserve">; b) </w:t>
      </w:r>
      <w:r w:rsidR="008B1021">
        <w:rPr>
          <w:rFonts w:cs="Times New Roman"/>
          <w:szCs w:val="24"/>
          <w:lang w:val="en-US" w:bidi="en-US"/>
        </w:rPr>
        <w:t>i</w:t>
      </w:r>
      <w:r w:rsidR="008B1021" w:rsidRPr="00051297">
        <w:rPr>
          <w:rFonts w:cs="Times New Roman"/>
          <w:szCs w:val="24"/>
          <w:lang w:val="en-US" w:bidi="en-US"/>
        </w:rPr>
        <w:t>nstantaneous drawdown</w:t>
      </w:r>
      <w:r w:rsidR="008B1021">
        <w:rPr>
          <w:rFonts w:cs="Times New Roman"/>
          <w:szCs w:val="24"/>
          <w:lang w:val="en-US" w:bidi="en-US"/>
        </w:rPr>
        <w:t xml:space="preserve"> slip surface</w:t>
      </w:r>
      <w:r w:rsidR="008B1021" w:rsidRPr="00051297">
        <w:rPr>
          <w:rFonts w:cs="Times New Roman"/>
          <w:szCs w:val="24"/>
          <w:lang w:val="en-US" w:bidi="en-US"/>
        </w:rPr>
        <w:t>; c) 5 days drawdown</w:t>
      </w:r>
      <w:r w:rsidR="008B1021">
        <w:rPr>
          <w:rFonts w:cs="Times New Roman"/>
          <w:szCs w:val="24"/>
          <w:lang w:val="en-US" w:bidi="en-US"/>
        </w:rPr>
        <w:t xml:space="preserve"> slip surface; d) </w:t>
      </w:r>
      <w:r w:rsidR="008B1021" w:rsidRPr="004B607B">
        <w:rPr>
          <w:rFonts w:cs="Times New Roman"/>
          <w:szCs w:val="24"/>
          <w:lang w:val="en-US" w:bidi="en-US"/>
        </w:rPr>
        <w:t>instantaneous drawdown</w:t>
      </w:r>
      <w:r w:rsidR="008B1021">
        <w:rPr>
          <w:rFonts w:cs="Times New Roman"/>
          <w:szCs w:val="24"/>
          <w:lang w:val="en-US" w:bidi="en-US"/>
        </w:rPr>
        <w:t xml:space="preserve"> graph; e) </w:t>
      </w:r>
      <w:r w:rsidR="008B1021" w:rsidRPr="004B607B">
        <w:rPr>
          <w:rFonts w:cs="Times New Roman"/>
          <w:szCs w:val="24"/>
          <w:lang w:val="en-US" w:bidi="en-US"/>
        </w:rPr>
        <w:t>5 days drawdown</w:t>
      </w:r>
      <w:r w:rsidR="008B1021">
        <w:rPr>
          <w:rFonts w:cs="Times New Roman"/>
          <w:szCs w:val="24"/>
          <w:lang w:val="en-US" w:bidi="en-US"/>
        </w:rPr>
        <w:t xml:space="preserve"> graph</w:t>
      </w:r>
      <w:bookmarkEnd w:id="904"/>
    </w:p>
    <w:p w14:paraId="14E23231" w14:textId="5B0DEB52" w:rsidR="00051297" w:rsidRPr="00051297" w:rsidRDefault="00051297" w:rsidP="00051297">
      <w:pPr>
        <w:rPr>
          <w:lang w:val="en-US" w:bidi="en-US"/>
        </w:rPr>
      </w:pPr>
      <w:r w:rsidRPr="00051297">
        <w:rPr>
          <w:lang w:val="en-US" w:bidi="en-US"/>
        </w:rPr>
        <w:t xml:space="preserve">From </w:t>
      </w:r>
      <w:r w:rsidRPr="00051297">
        <w:rPr>
          <w:lang w:val="en-US" w:bidi="en-US"/>
        </w:rPr>
        <w:fldChar w:fldCharType="begin"/>
      </w:r>
      <w:r w:rsidRPr="00051297">
        <w:rPr>
          <w:lang w:val="en-US" w:bidi="en-US"/>
        </w:rPr>
        <w:instrText xml:space="preserve"> REF _Ref98105323 \h </w:instrText>
      </w:r>
      <w:r w:rsidRPr="00051297">
        <w:rPr>
          <w:lang w:val="en-US" w:bidi="en-US"/>
        </w:rPr>
      </w:r>
      <w:r w:rsidRPr="00051297">
        <w:rPr>
          <w:lang w:val="en-US" w:bidi="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4</w:t>
      </w:r>
      <w:r w:rsidR="004870F1" w:rsidRPr="00051297">
        <w:rPr>
          <w:rFonts w:cs="Times New Roman"/>
          <w:szCs w:val="24"/>
          <w:lang w:val="en-US" w:bidi="en-US"/>
        </w:rPr>
        <w:t>.</w:t>
      </w:r>
      <w:r w:rsidR="004870F1">
        <w:rPr>
          <w:rFonts w:cs="Times New Roman"/>
          <w:noProof/>
          <w:szCs w:val="24"/>
          <w:lang w:val="en-US" w:bidi="en-US"/>
        </w:rPr>
        <w:t>3</w:t>
      </w:r>
      <w:r w:rsidRPr="00051297">
        <w:rPr>
          <w:lang w:val="en-US" w:bidi="en-US"/>
        </w:rPr>
        <w:fldChar w:fldCharType="end"/>
      </w:r>
      <w:r w:rsidRPr="00051297">
        <w:rPr>
          <w:lang w:val="en-US" w:bidi="en-US"/>
        </w:rPr>
        <w:t>, it can be shown that changes in the long-term operational water level had a considerable impact on the factor safety minimum and maximum values. The 6 m water level with a 5 days drawdown rate has the highest maximum factor of safety value. Under both instantaneous and 5 days drawdown rates, the lowest maximum value of the factor of safety is seen at the 8m water level.</w:t>
      </w:r>
    </w:p>
    <w:p w14:paraId="44AC4430" w14:textId="55E66B02" w:rsidR="00051297" w:rsidRPr="00051297" w:rsidRDefault="00051297" w:rsidP="00051297">
      <w:pPr>
        <w:rPr>
          <w:lang w:val="en-US" w:bidi="en-US"/>
        </w:rPr>
      </w:pPr>
      <w:r w:rsidRPr="00051297">
        <w:rPr>
          <w:lang w:val="en-US" w:bidi="en-US"/>
        </w:rPr>
        <w:t xml:space="preserve">Also, from </w:t>
      </w:r>
      <w:r w:rsidRPr="00051297">
        <w:rPr>
          <w:lang w:val="en-US" w:bidi="en-US"/>
        </w:rPr>
        <w:fldChar w:fldCharType="begin"/>
      </w:r>
      <w:r w:rsidRPr="00051297">
        <w:rPr>
          <w:lang w:val="en-US" w:bidi="en-US"/>
        </w:rPr>
        <w:instrText xml:space="preserve"> REF _Ref98105323 \h </w:instrText>
      </w:r>
      <w:r w:rsidRPr="00051297">
        <w:rPr>
          <w:lang w:val="en-US" w:bidi="en-US"/>
        </w:rPr>
      </w:r>
      <w:r w:rsidRPr="00051297">
        <w:rPr>
          <w:lang w:val="en-US" w:bidi="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4</w:t>
      </w:r>
      <w:r w:rsidR="004870F1" w:rsidRPr="00051297">
        <w:rPr>
          <w:rFonts w:cs="Times New Roman"/>
          <w:szCs w:val="24"/>
          <w:lang w:val="en-US" w:bidi="en-US"/>
        </w:rPr>
        <w:t>.</w:t>
      </w:r>
      <w:r w:rsidR="004870F1">
        <w:rPr>
          <w:rFonts w:cs="Times New Roman"/>
          <w:noProof/>
          <w:szCs w:val="24"/>
          <w:lang w:val="en-US" w:bidi="en-US"/>
        </w:rPr>
        <w:t>3</w:t>
      </w:r>
      <w:r w:rsidRPr="00051297">
        <w:rPr>
          <w:lang w:val="en-US" w:bidi="en-US"/>
        </w:rPr>
        <w:fldChar w:fldCharType="end"/>
      </w:r>
      <w:r w:rsidRPr="00051297">
        <w:rPr>
          <w:lang w:val="en-US" w:bidi="en-US"/>
        </w:rPr>
        <w:t xml:space="preserve">, it is observed that the lowest minimum factor of safety value was achieved from the combination of 10m water level and instantaneous drawdown scenario. At the same time, the highest minimum factor of safety value was observed from the combination of 6m water level and 5 days drawdown rate. When the reservoir's water level was reduced from 10 to 8 m, both the minimum and maximum factor of safety values decreased, then increased when the water level was reduced further to 6 m. </w:t>
      </w:r>
    </w:p>
    <w:p w14:paraId="1FC0BCBB" w14:textId="1B60D4B0" w:rsidR="00051297" w:rsidRDefault="00051297" w:rsidP="00051297">
      <w:pPr>
        <w:rPr>
          <w:lang w:val="en-US" w:bidi="en-US"/>
        </w:rPr>
      </w:pPr>
      <w:r w:rsidRPr="00051297">
        <w:rPr>
          <w:lang w:val="en-US" w:bidi="en-US"/>
        </w:rPr>
        <w:t>While for the instantaneous drawdown scenario, the minimum values of the factor of safety were observed to be increasing with the decrease in water levels, but the maximum values were observed to be linearly decreasing with the decrease in water levels. The phenomenon suggests that the relationship between water level and the factor safety may be highly unpredictable at some point and thorough investigation is of great importance when designing earth-fill dams.</w:t>
      </w:r>
    </w:p>
    <w:p w14:paraId="6CCC3502" w14:textId="77777777" w:rsidR="00C15360" w:rsidRPr="00051297" w:rsidRDefault="00C15360" w:rsidP="00051297">
      <w:pPr>
        <w:rPr>
          <w:lang w:val="en-US" w:bidi="en-US"/>
        </w:rPr>
      </w:pPr>
    </w:p>
    <w:p w14:paraId="40151CDD" w14:textId="5BAB9971" w:rsidR="00051297" w:rsidRPr="00051297" w:rsidRDefault="00051297" w:rsidP="00051297">
      <w:pPr>
        <w:rPr>
          <w:rFonts w:cs="Times New Roman"/>
          <w:szCs w:val="24"/>
          <w:lang w:val="en-US" w:bidi="en-US"/>
        </w:rPr>
      </w:pPr>
      <w:bookmarkStart w:id="905" w:name="_Ref98105323"/>
      <w:bookmarkStart w:id="906" w:name="_Toc97077201"/>
      <w:bookmarkStart w:id="907" w:name="_Toc103544251"/>
      <w:bookmarkStart w:id="908" w:name="_Toc104985577"/>
      <w:r w:rsidRPr="00051297">
        <w:rPr>
          <w:rFonts w:cs="Times New Roman"/>
          <w:szCs w:val="24"/>
          <w:lang w:val="en-US" w:bidi="en-US"/>
        </w:rPr>
        <w:lastRenderedPageBreak/>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4</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3</w:t>
      </w:r>
      <w:r w:rsidRPr="00051297">
        <w:rPr>
          <w:rFonts w:cs="Times New Roman"/>
          <w:szCs w:val="24"/>
          <w:lang w:val="en-US" w:bidi="en-US"/>
        </w:rPr>
        <w:fldChar w:fldCharType="end"/>
      </w:r>
      <w:bookmarkEnd w:id="905"/>
      <w:r w:rsidRPr="00051297">
        <w:rPr>
          <w:lang w:val="en-US"/>
        </w:rPr>
        <w:t xml:space="preserve"> </w:t>
      </w:r>
      <w:r w:rsidRPr="00051297">
        <w:rPr>
          <w:rFonts w:cs="Times New Roman"/>
          <w:szCs w:val="24"/>
          <w:lang w:val="en-US" w:bidi="en-US"/>
        </w:rPr>
        <w:t>– Different drawdown modes with their values of factor of safety</w:t>
      </w:r>
      <w:bookmarkEnd w:id="906"/>
      <w:r w:rsidRPr="00051297">
        <w:rPr>
          <w:rFonts w:cs="Times New Roman"/>
          <w:szCs w:val="24"/>
          <w:lang w:val="en-US" w:bidi="en-US"/>
        </w:rPr>
        <w:t>.</w:t>
      </w:r>
      <w:bookmarkEnd w:id="907"/>
      <w:bookmarkEnd w:id="908"/>
    </w:p>
    <w:tbl>
      <w:tblPr>
        <w:tblStyle w:val="a8"/>
        <w:tblW w:w="0" w:type="auto"/>
        <w:jc w:val="center"/>
        <w:tblLook w:val="04A0" w:firstRow="1" w:lastRow="0" w:firstColumn="1" w:lastColumn="0" w:noHBand="0" w:noVBand="1"/>
      </w:tblPr>
      <w:tblGrid>
        <w:gridCol w:w="1685"/>
        <w:gridCol w:w="2270"/>
        <w:gridCol w:w="2520"/>
        <w:gridCol w:w="1890"/>
      </w:tblGrid>
      <w:tr w:rsidR="00051297" w:rsidRPr="00B167E1" w14:paraId="7C30E0ED" w14:textId="77777777" w:rsidTr="00D20B01">
        <w:trPr>
          <w:trHeight w:val="300"/>
          <w:jc w:val="center"/>
        </w:trPr>
        <w:tc>
          <w:tcPr>
            <w:tcW w:w="1685" w:type="dxa"/>
            <w:noWrap/>
            <w:hideMark/>
          </w:tcPr>
          <w:p w14:paraId="0501165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Water level</w:t>
            </w:r>
          </w:p>
        </w:tc>
        <w:tc>
          <w:tcPr>
            <w:tcW w:w="2270" w:type="dxa"/>
            <w:noWrap/>
            <w:hideMark/>
          </w:tcPr>
          <w:p w14:paraId="15C2C91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Drawdown mode</w:t>
            </w:r>
          </w:p>
        </w:tc>
        <w:tc>
          <w:tcPr>
            <w:tcW w:w="2520" w:type="dxa"/>
            <w:noWrap/>
            <w:hideMark/>
          </w:tcPr>
          <w:p w14:paraId="6CA96E1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The factor of safety (minimum)</w:t>
            </w:r>
          </w:p>
        </w:tc>
        <w:tc>
          <w:tcPr>
            <w:tcW w:w="1890" w:type="dxa"/>
            <w:noWrap/>
            <w:hideMark/>
          </w:tcPr>
          <w:p w14:paraId="3AF24AE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Steady-state factor of safety</w:t>
            </w:r>
          </w:p>
        </w:tc>
      </w:tr>
      <w:tr w:rsidR="00051297" w:rsidRPr="00051297" w14:paraId="41640B1F" w14:textId="77777777" w:rsidTr="00D20B01">
        <w:trPr>
          <w:trHeight w:val="300"/>
          <w:jc w:val="center"/>
        </w:trPr>
        <w:tc>
          <w:tcPr>
            <w:tcW w:w="1685" w:type="dxa"/>
            <w:vMerge w:val="restart"/>
            <w:noWrap/>
            <w:vAlign w:val="center"/>
            <w:hideMark/>
          </w:tcPr>
          <w:p w14:paraId="7A31CFD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6m</w:t>
            </w:r>
          </w:p>
        </w:tc>
        <w:tc>
          <w:tcPr>
            <w:tcW w:w="2270" w:type="dxa"/>
            <w:noWrap/>
            <w:hideMark/>
          </w:tcPr>
          <w:p w14:paraId="63FF731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Instantaneous</w:t>
            </w:r>
          </w:p>
        </w:tc>
        <w:tc>
          <w:tcPr>
            <w:tcW w:w="2520" w:type="dxa"/>
            <w:noWrap/>
            <w:hideMark/>
          </w:tcPr>
          <w:p w14:paraId="59EF79F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1.061</w:t>
            </w:r>
          </w:p>
        </w:tc>
        <w:tc>
          <w:tcPr>
            <w:tcW w:w="1890" w:type="dxa"/>
            <w:vMerge w:val="restart"/>
            <w:noWrap/>
            <w:vAlign w:val="center"/>
            <w:hideMark/>
          </w:tcPr>
          <w:p w14:paraId="5328056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1.352</w:t>
            </w:r>
          </w:p>
        </w:tc>
      </w:tr>
      <w:tr w:rsidR="00051297" w:rsidRPr="00051297" w14:paraId="6481B0D2" w14:textId="77777777" w:rsidTr="00D20B01">
        <w:trPr>
          <w:trHeight w:val="300"/>
          <w:jc w:val="center"/>
        </w:trPr>
        <w:tc>
          <w:tcPr>
            <w:tcW w:w="1685" w:type="dxa"/>
            <w:vMerge/>
            <w:noWrap/>
            <w:hideMark/>
          </w:tcPr>
          <w:p w14:paraId="360B81C6" w14:textId="77777777" w:rsidR="00051297" w:rsidRPr="00051297" w:rsidRDefault="00051297" w:rsidP="00051297">
            <w:pPr>
              <w:spacing w:line="240" w:lineRule="auto"/>
              <w:ind w:firstLine="0"/>
              <w:jc w:val="center"/>
              <w:rPr>
                <w:rFonts w:cs="Times New Roman"/>
                <w:lang w:val="en-US"/>
              </w:rPr>
            </w:pPr>
          </w:p>
        </w:tc>
        <w:tc>
          <w:tcPr>
            <w:tcW w:w="2270" w:type="dxa"/>
            <w:noWrap/>
            <w:hideMark/>
          </w:tcPr>
          <w:p w14:paraId="727E56C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days drawdown</w:t>
            </w:r>
          </w:p>
        </w:tc>
        <w:tc>
          <w:tcPr>
            <w:tcW w:w="2520" w:type="dxa"/>
            <w:noWrap/>
            <w:hideMark/>
          </w:tcPr>
          <w:p w14:paraId="73D405E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1.097</w:t>
            </w:r>
          </w:p>
        </w:tc>
        <w:tc>
          <w:tcPr>
            <w:tcW w:w="1890" w:type="dxa"/>
            <w:vMerge/>
            <w:noWrap/>
            <w:hideMark/>
          </w:tcPr>
          <w:p w14:paraId="27F45C32" w14:textId="77777777" w:rsidR="00051297" w:rsidRPr="00051297" w:rsidRDefault="00051297" w:rsidP="00051297">
            <w:pPr>
              <w:spacing w:line="240" w:lineRule="auto"/>
              <w:ind w:firstLine="0"/>
              <w:jc w:val="center"/>
              <w:rPr>
                <w:rFonts w:cs="Times New Roman"/>
                <w:lang w:val="en-US"/>
              </w:rPr>
            </w:pPr>
          </w:p>
        </w:tc>
      </w:tr>
      <w:tr w:rsidR="00051297" w:rsidRPr="00051297" w14:paraId="48DA3DF5" w14:textId="77777777" w:rsidTr="00D20B01">
        <w:trPr>
          <w:trHeight w:val="300"/>
          <w:jc w:val="center"/>
        </w:trPr>
        <w:tc>
          <w:tcPr>
            <w:tcW w:w="1685" w:type="dxa"/>
            <w:vMerge w:val="restart"/>
            <w:noWrap/>
            <w:vAlign w:val="center"/>
            <w:hideMark/>
          </w:tcPr>
          <w:p w14:paraId="5E694D2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8m</w:t>
            </w:r>
          </w:p>
        </w:tc>
        <w:tc>
          <w:tcPr>
            <w:tcW w:w="2270" w:type="dxa"/>
            <w:noWrap/>
            <w:hideMark/>
          </w:tcPr>
          <w:p w14:paraId="08C14AA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Instantaneous</w:t>
            </w:r>
          </w:p>
        </w:tc>
        <w:tc>
          <w:tcPr>
            <w:tcW w:w="2520" w:type="dxa"/>
            <w:noWrap/>
            <w:hideMark/>
          </w:tcPr>
          <w:p w14:paraId="7A59A3B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0.932</w:t>
            </w:r>
          </w:p>
        </w:tc>
        <w:tc>
          <w:tcPr>
            <w:tcW w:w="1890" w:type="dxa"/>
            <w:vMerge w:val="restart"/>
            <w:noWrap/>
            <w:vAlign w:val="center"/>
            <w:hideMark/>
          </w:tcPr>
          <w:p w14:paraId="5BEA5C0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1.441</w:t>
            </w:r>
          </w:p>
        </w:tc>
      </w:tr>
      <w:tr w:rsidR="00051297" w:rsidRPr="00051297" w14:paraId="5DD54D78" w14:textId="77777777" w:rsidTr="00D20B01">
        <w:trPr>
          <w:trHeight w:val="300"/>
          <w:jc w:val="center"/>
        </w:trPr>
        <w:tc>
          <w:tcPr>
            <w:tcW w:w="1685" w:type="dxa"/>
            <w:vMerge/>
            <w:noWrap/>
            <w:hideMark/>
          </w:tcPr>
          <w:p w14:paraId="7787B4AB" w14:textId="77777777" w:rsidR="00051297" w:rsidRPr="00051297" w:rsidRDefault="00051297" w:rsidP="00051297">
            <w:pPr>
              <w:spacing w:line="240" w:lineRule="auto"/>
              <w:ind w:firstLine="0"/>
              <w:jc w:val="center"/>
              <w:rPr>
                <w:rFonts w:cs="Times New Roman"/>
                <w:lang w:val="en-US"/>
              </w:rPr>
            </w:pPr>
          </w:p>
        </w:tc>
        <w:tc>
          <w:tcPr>
            <w:tcW w:w="2270" w:type="dxa"/>
            <w:noWrap/>
            <w:hideMark/>
          </w:tcPr>
          <w:p w14:paraId="2C2B0E1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days drawdown</w:t>
            </w:r>
          </w:p>
        </w:tc>
        <w:tc>
          <w:tcPr>
            <w:tcW w:w="2520" w:type="dxa"/>
            <w:noWrap/>
            <w:hideMark/>
          </w:tcPr>
          <w:p w14:paraId="0AC7651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1.033</w:t>
            </w:r>
          </w:p>
        </w:tc>
        <w:tc>
          <w:tcPr>
            <w:tcW w:w="1890" w:type="dxa"/>
            <w:vMerge/>
            <w:noWrap/>
            <w:hideMark/>
          </w:tcPr>
          <w:p w14:paraId="1E7DDEB3" w14:textId="77777777" w:rsidR="00051297" w:rsidRPr="00051297" w:rsidRDefault="00051297" w:rsidP="00051297">
            <w:pPr>
              <w:spacing w:line="240" w:lineRule="auto"/>
              <w:ind w:firstLine="0"/>
              <w:jc w:val="center"/>
              <w:rPr>
                <w:rFonts w:cs="Times New Roman"/>
                <w:lang w:val="en-US"/>
              </w:rPr>
            </w:pPr>
          </w:p>
        </w:tc>
      </w:tr>
      <w:tr w:rsidR="00051297" w:rsidRPr="00051297" w14:paraId="38D5E344" w14:textId="77777777" w:rsidTr="00D20B01">
        <w:trPr>
          <w:trHeight w:val="300"/>
          <w:jc w:val="center"/>
        </w:trPr>
        <w:tc>
          <w:tcPr>
            <w:tcW w:w="1685" w:type="dxa"/>
            <w:vMerge w:val="restart"/>
            <w:noWrap/>
            <w:vAlign w:val="center"/>
            <w:hideMark/>
          </w:tcPr>
          <w:p w14:paraId="5B09E9A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10m</w:t>
            </w:r>
          </w:p>
        </w:tc>
        <w:tc>
          <w:tcPr>
            <w:tcW w:w="2270" w:type="dxa"/>
            <w:noWrap/>
            <w:hideMark/>
          </w:tcPr>
          <w:p w14:paraId="2654BB0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Instantaneous</w:t>
            </w:r>
          </w:p>
        </w:tc>
        <w:tc>
          <w:tcPr>
            <w:tcW w:w="2520" w:type="dxa"/>
            <w:noWrap/>
            <w:hideMark/>
          </w:tcPr>
          <w:p w14:paraId="1B98BB5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0.806</w:t>
            </w:r>
          </w:p>
        </w:tc>
        <w:tc>
          <w:tcPr>
            <w:tcW w:w="1890" w:type="dxa"/>
            <w:vMerge w:val="restart"/>
            <w:noWrap/>
            <w:vAlign w:val="center"/>
            <w:hideMark/>
          </w:tcPr>
          <w:p w14:paraId="4D57B55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1.562</w:t>
            </w:r>
          </w:p>
        </w:tc>
      </w:tr>
      <w:tr w:rsidR="00051297" w:rsidRPr="00051297" w14:paraId="37E1C5AA" w14:textId="77777777" w:rsidTr="00D20B01">
        <w:trPr>
          <w:trHeight w:val="300"/>
          <w:jc w:val="center"/>
        </w:trPr>
        <w:tc>
          <w:tcPr>
            <w:tcW w:w="1685" w:type="dxa"/>
            <w:vMerge/>
            <w:noWrap/>
            <w:hideMark/>
          </w:tcPr>
          <w:p w14:paraId="007C74CF" w14:textId="77777777" w:rsidR="00051297" w:rsidRPr="00051297" w:rsidRDefault="00051297" w:rsidP="00051297">
            <w:pPr>
              <w:spacing w:line="240" w:lineRule="auto"/>
              <w:ind w:firstLine="0"/>
              <w:jc w:val="center"/>
              <w:rPr>
                <w:rFonts w:cs="Times New Roman"/>
                <w:lang w:val="en-US"/>
              </w:rPr>
            </w:pPr>
          </w:p>
        </w:tc>
        <w:tc>
          <w:tcPr>
            <w:tcW w:w="2270" w:type="dxa"/>
            <w:noWrap/>
            <w:hideMark/>
          </w:tcPr>
          <w:p w14:paraId="4199D92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days drawdown</w:t>
            </w:r>
          </w:p>
        </w:tc>
        <w:tc>
          <w:tcPr>
            <w:tcW w:w="2520" w:type="dxa"/>
            <w:noWrap/>
            <w:hideMark/>
          </w:tcPr>
          <w:p w14:paraId="462C909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0.977</w:t>
            </w:r>
          </w:p>
        </w:tc>
        <w:tc>
          <w:tcPr>
            <w:tcW w:w="1890" w:type="dxa"/>
            <w:vMerge/>
            <w:noWrap/>
            <w:hideMark/>
          </w:tcPr>
          <w:p w14:paraId="36B4244F" w14:textId="77777777" w:rsidR="00051297" w:rsidRPr="00051297" w:rsidRDefault="00051297" w:rsidP="00051297">
            <w:pPr>
              <w:spacing w:line="240" w:lineRule="auto"/>
              <w:ind w:firstLine="0"/>
              <w:jc w:val="center"/>
              <w:rPr>
                <w:rFonts w:cs="Times New Roman"/>
                <w:lang w:val="en-US"/>
              </w:rPr>
            </w:pPr>
          </w:p>
        </w:tc>
      </w:tr>
      <w:tr w:rsidR="00051297" w:rsidRPr="00051297" w14:paraId="437E2C82" w14:textId="77777777" w:rsidTr="00D20B01">
        <w:trPr>
          <w:trHeight w:val="300"/>
          <w:jc w:val="center"/>
        </w:trPr>
        <w:tc>
          <w:tcPr>
            <w:tcW w:w="1685" w:type="dxa"/>
            <w:vMerge/>
            <w:noWrap/>
            <w:hideMark/>
          </w:tcPr>
          <w:p w14:paraId="6B68D1DD" w14:textId="77777777" w:rsidR="00051297" w:rsidRPr="00051297" w:rsidRDefault="00051297" w:rsidP="00051297">
            <w:pPr>
              <w:spacing w:line="240" w:lineRule="auto"/>
              <w:ind w:firstLine="0"/>
              <w:jc w:val="center"/>
              <w:rPr>
                <w:rFonts w:cs="Times New Roman"/>
                <w:lang w:val="en-US"/>
              </w:rPr>
            </w:pPr>
          </w:p>
        </w:tc>
        <w:tc>
          <w:tcPr>
            <w:tcW w:w="2270" w:type="dxa"/>
            <w:noWrap/>
            <w:hideMark/>
          </w:tcPr>
          <w:p w14:paraId="2F47F39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10 days drawdown</w:t>
            </w:r>
          </w:p>
        </w:tc>
        <w:tc>
          <w:tcPr>
            <w:tcW w:w="2520" w:type="dxa"/>
            <w:noWrap/>
            <w:hideMark/>
          </w:tcPr>
          <w:p w14:paraId="7658955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1.009</w:t>
            </w:r>
          </w:p>
        </w:tc>
        <w:tc>
          <w:tcPr>
            <w:tcW w:w="1890" w:type="dxa"/>
            <w:vMerge/>
            <w:noWrap/>
            <w:hideMark/>
          </w:tcPr>
          <w:p w14:paraId="3F65E7E6" w14:textId="77777777" w:rsidR="00051297" w:rsidRPr="00051297" w:rsidRDefault="00051297" w:rsidP="00051297">
            <w:pPr>
              <w:spacing w:line="240" w:lineRule="auto"/>
              <w:ind w:firstLine="0"/>
              <w:jc w:val="center"/>
              <w:rPr>
                <w:rFonts w:cs="Times New Roman"/>
                <w:lang w:val="en-US"/>
              </w:rPr>
            </w:pPr>
          </w:p>
        </w:tc>
      </w:tr>
    </w:tbl>
    <w:p w14:paraId="5A7E5BC7" w14:textId="77777777" w:rsidR="00051297" w:rsidRPr="00051297" w:rsidRDefault="00051297" w:rsidP="00051297">
      <w:pPr>
        <w:ind w:firstLine="0"/>
        <w:rPr>
          <w:rFonts w:cs="Times New Roman"/>
          <w:szCs w:val="24"/>
          <w:lang w:bidi="en-US"/>
        </w:rPr>
      </w:pPr>
    </w:p>
    <w:p w14:paraId="3C93D85B" w14:textId="7EFA75B0" w:rsidR="00051297" w:rsidRPr="00051297" w:rsidRDefault="00051297" w:rsidP="00421CC0">
      <w:pPr>
        <w:pStyle w:val="3"/>
        <w:rPr>
          <w:lang w:bidi="en-US"/>
        </w:rPr>
      </w:pPr>
      <w:bookmarkStart w:id="909" w:name="_Toc103543962"/>
      <w:bookmarkStart w:id="910" w:name="_Toc104985287"/>
      <w:r w:rsidRPr="00051297">
        <w:rPr>
          <w:lang w:val="en-US" w:bidi="en-US"/>
        </w:rPr>
        <w:t>Summary of the sub-section</w:t>
      </w:r>
      <w:bookmarkStart w:id="911" w:name="_Toc97504828"/>
      <w:bookmarkEnd w:id="909"/>
      <w:bookmarkEnd w:id="910"/>
      <w:r w:rsidRPr="00051297">
        <w:rPr>
          <w:lang w:val="en-US" w:bidi="en-US"/>
        </w:rPr>
        <w:t xml:space="preserve"> </w:t>
      </w:r>
      <w:bookmarkEnd w:id="911"/>
    </w:p>
    <w:p w14:paraId="3E9DE5EE" w14:textId="21CC6AD6" w:rsidR="00051297" w:rsidRPr="00051297" w:rsidRDefault="00051297" w:rsidP="00051297">
      <w:pPr>
        <w:rPr>
          <w:rFonts w:cs="Times New Roman"/>
          <w:szCs w:val="24"/>
          <w:lang w:val="en-US" w:bidi="en-US"/>
        </w:rPr>
      </w:pPr>
      <w:bookmarkStart w:id="912" w:name="_Hlk98029464"/>
      <w:r w:rsidRPr="00051297">
        <w:rPr>
          <w:lang w:val="en-US" w:bidi="en-US"/>
        </w:rPr>
        <w:t>With the use of numerical modeling, the possible impact of changes in long-term water level on the slope stability of an embankment under rapid drawdown conditions has been explored. Three different long-term water levels (10 m, 8 m, and 6 m) were taken into consideration. According to the findings of the investigation, as the long-term operational water level changes, the factor of safety values changes as well. The values of the steady-state factor of safety were observed to be decreasing with the reduction in water level, in which the steady-state factor of safety reduced by approximately 13.44 % when the water level was reduced from 10 m to 6 m for a 13 m high embankment. In comparison, the upstream slope was observed to gain more stability with the decrease in the long-term water level subjected to the rapid drawdown scenarios.  The results in this study revealed further that an embankment freeboard might have a significant impact on the steady-state factor of safety. The values of the factor of safety were also affected by the changes in the long-term operating water levels, with the highest minimum factor of safety value observed from the 6 m water level under 5 days drawdown rate and the lowest factor of safety value was achieved from the combination of 10 m water level and instantaneous drawdown scenario. It should also be noted that an instantaneous drawdown scenario is a conservative approach for assessing embankment slope stability when a reservoir is being drawdown, and it was a representation of the worst drawdown scenario.</w:t>
      </w:r>
      <w:bookmarkEnd w:id="912"/>
    </w:p>
    <w:p w14:paraId="4A8AA258" w14:textId="020802AF" w:rsidR="00051297" w:rsidRPr="00051297" w:rsidRDefault="00051297" w:rsidP="00421CC0">
      <w:pPr>
        <w:pStyle w:val="2"/>
        <w:rPr>
          <w:lang w:val="en-US"/>
        </w:rPr>
      </w:pPr>
      <w:bookmarkStart w:id="913" w:name="_Toc97504829"/>
      <w:bookmarkStart w:id="914" w:name="_Toc103543963"/>
      <w:bookmarkStart w:id="915" w:name="_Toc104985288"/>
      <w:r w:rsidRPr="00051297">
        <w:rPr>
          <w:lang w:val="en-US"/>
        </w:rPr>
        <w:t>The potential effect of a toe-drain size on slope stability of a homogeneous embankment</w:t>
      </w:r>
      <w:bookmarkEnd w:id="913"/>
      <w:bookmarkEnd w:id="914"/>
      <w:bookmarkEnd w:id="915"/>
    </w:p>
    <w:p w14:paraId="4382DD5D" w14:textId="1A063F08" w:rsidR="00051297" w:rsidRPr="00051297" w:rsidRDefault="00051297" w:rsidP="00421CC0">
      <w:pPr>
        <w:pStyle w:val="3"/>
        <w:rPr>
          <w:lang w:bidi="en-US"/>
        </w:rPr>
      </w:pPr>
      <w:bookmarkStart w:id="916" w:name="_Toc97504830"/>
      <w:bookmarkStart w:id="917" w:name="_Toc103543964"/>
      <w:bookmarkStart w:id="918" w:name="_Toc104985289"/>
      <w:r w:rsidRPr="00051297">
        <w:rPr>
          <w:rFonts w:eastAsia="Calibri"/>
        </w:rPr>
        <w:t>Materials and methods</w:t>
      </w:r>
      <w:bookmarkEnd w:id="916"/>
      <w:bookmarkEnd w:id="917"/>
      <w:bookmarkEnd w:id="918"/>
    </w:p>
    <w:p w14:paraId="0E7318FF" w14:textId="19DE6E63" w:rsidR="00051297" w:rsidRPr="00051297" w:rsidRDefault="00051297" w:rsidP="00421CC0">
      <w:pPr>
        <w:pStyle w:val="4"/>
        <w:rPr>
          <w:rFonts w:eastAsia="Calibri"/>
          <w:lang w:val="en-US" w:bidi="en-US"/>
        </w:rPr>
      </w:pPr>
      <w:bookmarkStart w:id="919" w:name="_Toc103543965"/>
      <w:bookmarkStart w:id="920" w:name="_Toc104985290"/>
      <w:r w:rsidRPr="00051297">
        <w:rPr>
          <w:rFonts w:eastAsia="Calibri"/>
          <w:lang w:val="en-US" w:bidi="en-US"/>
        </w:rPr>
        <w:t>Description of the numerical simulation in general</w:t>
      </w:r>
      <w:bookmarkEnd w:id="919"/>
      <w:bookmarkEnd w:id="920"/>
    </w:p>
    <w:p w14:paraId="7092AACD" w14:textId="77777777" w:rsidR="00051297" w:rsidRPr="00051297" w:rsidRDefault="00051297" w:rsidP="00051297">
      <w:pPr>
        <w:ind w:firstLine="706"/>
        <w:rPr>
          <w:rFonts w:eastAsia="Calibri" w:cs="Times New Roman"/>
          <w:szCs w:val="24"/>
          <w:lang w:val="en-US" w:bidi="en-US"/>
        </w:rPr>
      </w:pPr>
      <w:r w:rsidRPr="00051297">
        <w:rPr>
          <w:rFonts w:eastAsia="Calibri" w:cs="Times New Roman"/>
          <w:szCs w:val="24"/>
          <w:lang w:val="en-US" w:bidi="en-US"/>
        </w:rPr>
        <w:t xml:space="preserve">The impact of the toe drain size and rapid drawdown rates on the embankment's slope stability was investigated using finite element technique calculations. Three separate scenarios were considered, each determined by the size of the toe drain. The GeoStudio software was used to complete the numerical modeling process (GeoStudio 2018 R2 v9.1.1.16749). The GeoStudio's </w:t>
      </w:r>
      <w:r w:rsidRPr="00051297">
        <w:rPr>
          <w:rFonts w:eastAsia="Calibri" w:cs="Times New Roman"/>
          <w:szCs w:val="24"/>
          <w:lang w:val="en-US" w:bidi="en-US"/>
        </w:rPr>
        <w:lastRenderedPageBreak/>
        <w:t xml:space="preserve">SEEP/W and SLOPE/W sub-units were primarily employed for seepage and slope stability analyses, respectively. </w:t>
      </w:r>
    </w:p>
    <w:p w14:paraId="45AF7535" w14:textId="054222EA" w:rsidR="00051297" w:rsidRPr="00051297" w:rsidRDefault="00051297" w:rsidP="00421CC0">
      <w:pPr>
        <w:pStyle w:val="4"/>
        <w:rPr>
          <w:rFonts w:eastAsia="Calibri"/>
          <w:lang w:bidi="en-US"/>
        </w:rPr>
      </w:pPr>
      <w:bookmarkStart w:id="921" w:name="_Toc103543966"/>
      <w:bookmarkStart w:id="922" w:name="_Toc104985291"/>
      <w:r w:rsidRPr="00051297">
        <w:rPr>
          <w:rFonts w:eastAsia="Calibri"/>
          <w:lang w:bidi="en-US"/>
        </w:rPr>
        <w:t>The geometry of the embankment</w:t>
      </w:r>
      <w:bookmarkEnd w:id="921"/>
      <w:bookmarkEnd w:id="922"/>
      <w:r w:rsidRPr="00051297">
        <w:rPr>
          <w:rFonts w:eastAsia="Calibri"/>
          <w:lang w:bidi="en-US"/>
        </w:rPr>
        <w:t xml:space="preserve"> </w:t>
      </w:r>
    </w:p>
    <w:p w14:paraId="1032256F" w14:textId="3A1A7197" w:rsidR="00051297" w:rsidRPr="00051297" w:rsidRDefault="00051297" w:rsidP="00051297">
      <w:pPr>
        <w:ind w:firstLine="706"/>
        <w:rPr>
          <w:rFonts w:eastAsia="Calibri" w:cs="Times New Roman"/>
          <w:szCs w:val="24"/>
          <w:lang w:val="en-US" w:bidi="en-US"/>
        </w:rPr>
      </w:pPr>
      <w:r w:rsidRPr="00051297">
        <w:rPr>
          <w:rFonts w:eastAsia="Calibri" w:cs="Times New Roman"/>
          <w:szCs w:val="24"/>
          <w:lang w:val="en-US" w:bidi="en-US"/>
        </w:rPr>
        <w:t xml:space="preserve">While modifying the toe drain size, the geometry of the embankment was kept constant in all three main research. The embankment is roughly 59 meters wide at the base and 7 meters wide at the top, with a height of 13 meters, as illustrated in </w:t>
      </w:r>
      <w:r w:rsidRPr="00051297">
        <w:rPr>
          <w:rFonts w:eastAsia="Calibri" w:cs="Times New Roman"/>
          <w:szCs w:val="24"/>
          <w:lang w:val="en-US" w:bidi="en-US"/>
        </w:rPr>
        <w:fldChar w:fldCharType="begin"/>
      </w:r>
      <w:r w:rsidRPr="00051297">
        <w:rPr>
          <w:rFonts w:eastAsia="Calibri" w:cs="Times New Roman"/>
          <w:szCs w:val="24"/>
          <w:lang w:val="en-US" w:bidi="en-US"/>
        </w:rPr>
        <w:instrText xml:space="preserve"> REF _Ref98105395 \h </w:instrText>
      </w:r>
      <w:r w:rsidRPr="00051297">
        <w:rPr>
          <w:rFonts w:eastAsia="Calibri" w:cs="Times New Roman"/>
          <w:szCs w:val="24"/>
          <w:lang w:val="en-US" w:bidi="en-US"/>
        </w:rPr>
      </w:r>
      <w:r w:rsidRPr="00051297">
        <w:rPr>
          <w:rFonts w:eastAsia="Calibri" w:cs="Times New Roman"/>
          <w:szCs w:val="24"/>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11</w:t>
      </w:r>
      <w:r w:rsidRPr="00051297">
        <w:rPr>
          <w:rFonts w:eastAsia="Calibri" w:cs="Times New Roman"/>
          <w:szCs w:val="24"/>
          <w:lang w:val="en-US" w:bidi="en-US"/>
        </w:rPr>
        <w:fldChar w:fldCharType="end"/>
      </w:r>
      <w:r w:rsidRPr="00051297">
        <w:rPr>
          <w:rFonts w:eastAsia="Calibri" w:cs="Times New Roman"/>
          <w:szCs w:val="24"/>
          <w:lang w:val="en-US" w:bidi="en-US"/>
        </w:rPr>
        <w:t xml:space="preserve">. The length of the toe drain at the downstream end of the embankment ranged from 5 to 15 meters. The reservoir's maximum water level is 10 meters. The embankment geometry parameters are summarized in </w:t>
      </w:r>
      <w:r w:rsidRPr="00051297">
        <w:rPr>
          <w:rFonts w:eastAsia="Calibri" w:cs="Times New Roman"/>
          <w:szCs w:val="24"/>
          <w:lang w:val="en-US" w:bidi="en-US"/>
        </w:rPr>
        <w:fldChar w:fldCharType="begin"/>
      </w:r>
      <w:r w:rsidRPr="00051297">
        <w:rPr>
          <w:rFonts w:eastAsia="Calibri" w:cs="Times New Roman"/>
          <w:szCs w:val="24"/>
          <w:lang w:val="en-US" w:bidi="en-US"/>
        </w:rPr>
        <w:instrText xml:space="preserve"> REF _Ref98105429 \h </w:instrText>
      </w:r>
      <w:r w:rsidRPr="00051297">
        <w:rPr>
          <w:rFonts w:eastAsia="Calibri" w:cs="Times New Roman"/>
          <w:szCs w:val="24"/>
          <w:lang w:val="en-US" w:bidi="en-US"/>
        </w:rPr>
      </w:r>
      <w:r w:rsidRPr="00051297">
        <w:rPr>
          <w:rFonts w:eastAsia="Calibri" w:cs="Times New Roman"/>
          <w:szCs w:val="24"/>
          <w:lang w:val="en-US" w:bidi="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4</w:t>
      </w:r>
      <w:r w:rsidR="004870F1" w:rsidRPr="00051297">
        <w:rPr>
          <w:rFonts w:cs="Times New Roman"/>
          <w:szCs w:val="24"/>
          <w:lang w:val="en-US" w:bidi="en-US"/>
        </w:rPr>
        <w:t>.</w:t>
      </w:r>
      <w:r w:rsidR="004870F1">
        <w:rPr>
          <w:rFonts w:cs="Times New Roman"/>
          <w:noProof/>
          <w:szCs w:val="24"/>
          <w:lang w:val="en-US" w:bidi="en-US"/>
        </w:rPr>
        <w:t>4</w:t>
      </w:r>
      <w:r w:rsidRPr="00051297">
        <w:rPr>
          <w:rFonts w:eastAsia="Calibri" w:cs="Times New Roman"/>
          <w:szCs w:val="24"/>
          <w:lang w:val="en-US" w:bidi="en-US"/>
        </w:rPr>
        <w:fldChar w:fldCharType="end"/>
      </w:r>
      <w:r w:rsidRPr="00051297">
        <w:rPr>
          <w:rFonts w:eastAsia="Calibri" w:cs="Times New Roman"/>
          <w:szCs w:val="24"/>
          <w:lang w:val="en-US" w:bidi="en-US"/>
        </w:rPr>
        <w:t>.</w:t>
      </w:r>
    </w:p>
    <w:p w14:paraId="6ED2BE1B" w14:textId="064A558A" w:rsidR="00051297" w:rsidRPr="00051297" w:rsidRDefault="004C7CFE" w:rsidP="00051297">
      <w:pPr>
        <w:keepNext/>
        <w:ind w:firstLine="0"/>
        <w:jc w:val="center"/>
        <w:rPr>
          <w:rFonts w:cs="Times New Roman"/>
          <w:szCs w:val="24"/>
        </w:rPr>
      </w:pPr>
      <w:r>
        <w:rPr>
          <w:noProof/>
        </w:rPr>
        <w:drawing>
          <wp:inline distT="0" distB="0" distL="0" distR="0" wp14:anchorId="7C3F4D2C" wp14:editId="5208DB6C">
            <wp:extent cx="5939790" cy="1851660"/>
            <wp:effectExtent l="0" t="0" r="381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39790" cy="1851660"/>
                    </a:xfrm>
                    <a:prstGeom prst="rect">
                      <a:avLst/>
                    </a:prstGeom>
                    <a:noFill/>
                    <a:ln>
                      <a:noFill/>
                    </a:ln>
                  </pic:spPr>
                </pic:pic>
              </a:graphicData>
            </a:graphic>
          </wp:inline>
        </w:drawing>
      </w:r>
    </w:p>
    <w:p w14:paraId="25D40726" w14:textId="06A0FF8A" w:rsidR="00051297" w:rsidRPr="00051297" w:rsidRDefault="00051297" w:rsidP="00051297">
      <w:pPr>
        <w:ind w:firstLine="0"/>
        <w:jc w:val="center"/>
        <w:rPr>
          <w:rFonts w:cs="Times New Roman"/>
          <w:szCs w:val="24"/>
          <w:lang w:val="en-US" w:bidi="en-US"/>
        </w:rPr>
      </w:pPr>
      <w:bookmarkStart w:id="923" w:name="_Ref98105395"/>
      <w:bookmarkStart w:id="924" w:name="_Toc97428253"/>
      <w:bookmarkStart w:id="925" w:name="_Toc98085928"/>
      <w:bookmarkStart w:id="926" w:name="_Ref98105375"/>
      <w:bookmarkStart w:id="927" w:name="_Toc103544126"/>
      <w:bookmarkStart w:id="928" w:name="_Toc104985449"/>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11</w:t>
      </w:r>
      <w:r w:rsidR="00527861">
        <w:rPr>
          <w:rFonts w:cs="Times New Roman"/>
          <w:szCs w:val="24"/>
          <w:lang w:val="en-US" w:bidi="en-US"/>
        </w:rPr>
        <w:fldChar w:fldCharType="end"/>
      </w:r>
      <w:bookmarkEnd w:id="923"/>
      <w:r w:rsidRPr="00051297">
        <w:rPr>
          <w:lang w:val="en-US"/>
        </w:rPr>
        <w:t xml:space="preserve"> </w:t>
      </w:r>
      <w:r w:rsidRPr="00051297">
        <w:rPr>
          <w:rFonts w:cs="Times New Roman"/>
          <w:szCs w:val="24"/>
          <w:lang w:val="en-US" w:bidi="en-US"/>
        </w:rPr>
        <w:t>– General embankment geometry</w:t>
      </w:r>
      <w:bookmarkEnd w:id="924"/>
      <w:bookmarkEnd w:id="925"/>
      <w:bookmarkEnd w:id="926"/>
      <w:bookmarkEnd w:id="927"/>
      <w:bookmarkEnd w:id="928"/>
    </w:p>
    <w:p w14:paraId="522301AA" w14:textId="454D860B" w:rsidR="00051297" w:rsidRPr="00051297" w:rsidRDefault="00051297" w:rsidP="00051297">
      <w:pPr>
        <w:rPr>
          <w:rFonts w:cs="Times New Roman"/>
          <w:szCs w:val="24"/>
          <w:lang w:val="en-US" w:bidi="en-US"/>
        </w:rPr>
      </w:pPr>
      <w:bookmarkStart w:id="929" w:name="_Ref98105429"/>
      <w:bookmarkStart w:id="930" w:name="_Toc97077202"/>
      <w:bookmarkStart w:id="931" w:name="_Toc103544252"/>
      <w:bookmarkStart w:id="932" w:name="_Toc104985578"/>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4</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4</w:t>
      </w:r>
      <w:r w:rsidRPr="00051297">
        <w:rPr>
          <w:rFonts w:cs="Times New Roman"/>
          <w:szCs w:val="24"/>
          <w:lang w:val="en-US" w:bidi="en-US"/>
        </w:rPr>
        <w:fldChar w:fldCharType="end"/>
      </w:r>
      <w:bookmarkEnd w:id="929"/>
      <w:r w:rsidRPr="00051297">
        <w:rPr>
          <w:lang w:val="en-US"/>
        </w:rPr>
        <w:t xml:space="preserve"> </w:t>
      </w:r>
      <w:r w:rsidRPr="00051297">
        <w:rPr>
          <w:rFonts w:cs="Times New Roman"/>
          <w:szCs w:val="24"/>
          <w:lang w:val="en-US" w:bidi="en-US"/>
        </w:rPr>
        <w:t>– Summary of the embankment geometry parameters</w:t>
      </w:r>
      <w:bookmarkEnd w:id="930"/>
      <w:bookmarkEnd w:id="931"/>
      <w:bookmarkEnd w:id="932"/>
    </w:p>
    <w:tbl>
      <w:tblPr>
        <w:tblStyle w:val="TableGrid5"/>
        <w:tblW w:w="0" w:type="auto"/>
        <w:jc w:val="center"/>
        <w:tblLook w:val="04A0" w:firstRow="1" w:lastRow="0" w:firstColumn="1" w:lastColumn="0" w:noHBand="0" w:noVBand="1"/>
      </w:tblPr>
      <w:tblGrid>
        <w:gridCol w:w="3114"/>
        <w:gridCol w:w="3115"/>
        <w:gridCol w:w="3115"/>
      </w:tblGrid>
      <w:tr w:rsidR="00051297" w:rsidRPr="00051297" w14:paraId="2C4A9F16" w14:textId="77777777" w:rsidTr="00D20B01">
        <w:trPr>
          <w:jc w:val="center"/>
        </w:trPr>
        <w:tc>
          <w:tcPr>
            <w:tcW w:w="3116" w:type="dxa"/>
          </w:tcPr>
          <w:p w14:paraId="2403ADD4" w14:textId="77777777" w:rsidR="00051297" w:rsidRPr="00051297" w:rsidRDefault="00051297" w:rsidP="004940F9">
            <w:pPr>
              <w:ind w:firstLine="0"/>
              <w:jc w:val="center"/>
              <w:rPr>
                <w:rFonts w:cs="Times New Roman"/>
                <w:lang w:val="en-US"/>
              </w:rPr>
            </w:pPr>
            <w:r w:rsidRPr="00051297">
              <w:rPr>
                <w:rFonts w:cs="Times New Roman"/>
                <w:lang w:val="en-US"/>
              </w:rPr>
              <w:t>Parameter</w:t>
            </w:r>
          </w:p>
        </w:tc>
        <w:tc>
          <w:tcPr>
            <w:tcW w:w="3117" w:type="dxa"/>
          </w:tcPr>
          <w:p w14:paraId="3C30540A" w14:textId="77777777" w:rsidR="00051297" w:rsidRPr="00051297" w:rsidRDefault="00051297" w:rsidP="004940F9">
            <w:pPr>
              <w:ind w:firstLine="0"/>
              <w:jc w:val="center"/>
              <w:rPr>
                <w:rFonts w:cs="Times New Roman"/>
                <w:lang w:val="en-US"/>
              </w:rPr>
            </w:pPr>
            <w:r w:rsidRPr="00051297">
              <w:rPr>
                <w:rFonts w:cs="Times New Roman"/>
                <w:lang w:val="en-US"/>
              </w:rPr>
              <w:t>Unit</w:t>
            </w:r>
          </w:p>
        </w:tc>
        <w:tc>
          <w:tcPr>
            <w:tcW w:w="3117" w:type="dxa"/>
          </w:tcPr>
          <w:p w14:paraId="2514DC0D" w14:textId="77777777" w:rsidR="00051297" w:rsidRPr="00051297" w:rsidRDefault="00051297" w:rsidP="004940F9">
            <w:pPr>
              <w:ind w:firstLine="0"/>
              <w:jc w:val="center"/>
              <w:rPr>
                <w:rFonts w:cs="Times New Roman"/>
                <w:lang w:val="en-US"/>
              </w:rPr>
            </w:pPr>
            <w:r w:rsidRPr="00051297">
              <w:rPr>
                <w:rFonts w:cs="Times New Roman"/>
                <w:lang w:val="en-US"/>
              </w:rPr>
              <w:t>Value</w:t>
            </w:r>
          </w:p>
        </w:tc>
      </w:tr>
      <w:tr w:rsidR="00051297" w:rsidRPr="00051297" w14:paraId="65F8E2CD" w14:textId="77777777" w:rsidTr="00D20B01">
        <w:trPr>
          <w:jc w:val="center"/>
        </w:trPr>
        <w:tc>
          <w:tcPr>
            <w:tcW w:w="3116" w:type="dxa"/>
          </w:tcPr>
          <w:p w14:paraId="45C5E9F5" w14:textId="77777777" w:rsidR="00051297" w:rsidRPr="00051297" w:rsidRDefault="00051297" w:rsidP="004940F9">
            <w:pPr>
              <w:ind w:firstLine="0"/>
              <w:jc w:val="center"/>
              <w:rPr>
                <w:rFonts w:cs="Times New Roman"/>
                <w:lang w:val="en-US"/>
              </w:rPr>
            </w:pPr>
            <w:r w:rsidRPr="00051297">
              <w:rPr>
                <w:rFonts w:cs="Times New Roman"/>
                <w:lang w:val="en-US"/>
              </w:rPr>
              <w:t>Bottom width</w:t>
            </w:r>
          </w:p>
        </w:tc>
        <w:tc>
          <w:tcPr>
            <w:tcW w:w="3117" w:type="dxa"/>
          </w:tcPr>
          <w:p w14:paraId="54AD231C" w14:textId="77777777" w:rsidR="00051297" w:rsidRPr="00051297" w:rsidRDefault="00051297" w:rsidP="004940F9">
            <w:pPr>
              <w:ind w:firstLine="0"/>
              <w:jc w:val="center"/>
              <w:rPr>
                <w:rFonts w:cs="Times New Roman"/>
                <w:lang w:val="en-US"/>
              </w:rPr>
            </w:pPr>
            <w:r w:rsidRPr="00051297">
              <w:rPr>
                <w:rFonts w:cs="Times New Roman"/>
                <w:lang w:val="en-US"/>
              </w:rPr>
              <w:t>m</w:t>
            </w:r>
          </w:p>
        </w:tc>
        <w:tc>
          <w:tcPr>
            <w:tcW w:w="3117" w:type="dxa"/>
          </w:tcPr>
          <w:p w14:paraId="1128D17A" w14:textId="77777777" w:rsidR="00051297" w:rsidRPr="00051297" w:rsidRDefault="00051297" w:rsidP="004940F9">
            <w:pPr>
              <w:ind w:firstLine="0"/>
              <w:jc w:val="center"/>
              <w:rPr>
                <w:rFonts w:cs="Times New Roman"/>
                <w:lang w:val="en-US"/>
              </w:rPr>
            </w:pPr>
            <w:r w:rsidRPr="00051297">
              <w:rPr>
                <w:rFonts w:cs="Times New Roman"/>
                <w:lang w:val="en-US"/>
              </w:rPr>
              <w:t>59</w:t>
            </w:r>
          </w:p>
        </w:tc>
      </w:tr>
      <w:tr w:rsidR="00051297" w:rsidRPr="00051297" w14:paraId="137123BA" w14:textId="77777777" w:rsidTr="00D20B01">
        <w:trPr>
          <w:jc w:val="center"/>
        </w:trPr>
        <w:tc>
          <w:tcPr>
            <w:tcW w:w="3116" w:type="dxa"/>
          </w:tcPr>
          <w:p w14:paraId="1821B621" w14:textId="77777777" w:rsidR="00051297" w:rsidRPr="00051297" w:rsidRDefault="00051297" w:rsidP="004940F9">
            <w:pPr>
              <w:ind w:firstLine="0"/>
              <w:jc w:val="center"/>
              <w:rPr>
                <w:rFonts w:cs="Times New Roman"/>
                <w:lang w:val="en-US"/>
              </w:rPr>
            </w:pPr>
            <w:r w:rsidRPr="00051297">
              <w:rPr>
                <w:rFonts w:cs="Times New Roman"/>
                <w:lang w:val="en-US"/>
              </w:rPr>
              <w:t>Top width</w:t>
            </w:r>
          </w:p>
        </w:tc>
        <w:tc>
          <w:tcPr>
            <w:tcW w:w="3117" w:type="dxa"/>
          </w:tcPr>
          <w:p w14:paraId="6054D9CA" w14:textId="77777777" w:rsidR="00051297" w:rsidRPr="00051297" w:rsidRDefault="00051297" w:rsidP="004940F9">
            <w:pPr>
              <w:ind w:firstLine="0"/>
              <w:jc w:val="center"/>
              <w:rPr>
                <w:rFonts w:cs="Times New Roman"/>
                <w:lang w:val="en-US"/>
              </w:rPr>
            </w:pPr>
            <w:r w:rsidRPr="00051297">
              <w:rPr>
                <w:rFonts w:cs="Times New Roman"/>
                <w:lang w:val="en-US"/>
              </w:rPr>
              <w:t>m</w:t>
            </w:r>
          </w:p>
        </w:tc>
        <w:tc>
          <w:tcPr>
            <w:tcW w:w="3117" w:type="dxa"/>
          </w:tcPr>
          <w:p w14:paraId="3234175D" w14:textId="77777777" w:rsidR="00051297" w:rsidRPr="00051297" w:rsidRDefault="00051297" w:rsidP="004940F9">
            <w:pPr>
              <w:ind w:firstLine="0"/>
              <w:jc w:val="center"/>
              <w:rPr>
                <w:rFonts w:cs="Times New Roman"/>
                <w:lang w:val="en-US"/>
              </w:rPr>
            </w:pPr>
            <w:r w:rsidRPr="00051297">
              <w:rPr>
                <w:rFonts w:cs="Times New Roman"/>
                <w:lang w:val="en-US"/>
              </w:rPr>
              <w:t>7</w:t>
            </w:r>
          </w:p>
        </w:tc>
      </w:tr>
      <w:tr w:rsidR="00051297" w:rsidRPr="00051297" w14:paraId="19E85CC5" w14:textId="77777777" w:rsidTr="00D20B01">
        <w:trPr>
          <w:jc w:val="center"/>
        </w:trPr>
        <w:tc>
          <w:tcPr>
            <w:tcW w:w="3116" w:type="dxa"/>
          </w:tcPr>
          <w:p w14:paraId="76746159" w14:textId="77777777" w:rsidR="00051297" w:rsidRPr="00051297" w:rsidRDefault="00051297" w:rsidP="004940F9">
            <w:pPr>
              <w:ind w:firstLine="0"/>
              <w:jc w:val="center"/>
              <w:rPr>
                <w:rFonts w:cs="Times New Roman"/>
                <w:lang w:val="en-US"/>
              </w:rPr>
            </w:pPr>
            <w:r w:rsidRPr="00051297">
              <w:rPr>
                <w:rFonts w:cs="Times New Roman"/>
                <w:lang w:val="en-US"/>
              </w:rPr>
              <w:t>Embankment height</w:t>
            </w:r>
          </w:p>
        </w:tc>
        <w:tc>
          <w:tcPr>
            <w:tcW w:w="3117" w:type="dxa"/>
          </w:tcPr>
          <w:p w14:paraId="69C777CF" w14:textId="77777777" w:rsidR="00051297" w:rsidRPr="00051297" w:rsidRDefault="00051297" w:rsidP="004940F9">
            <w:pPr>
              <w:ind w:firstLine="0"/>
              <w:jc w:val="center"/>
              <w:rPr>
                <w:rFonts w:cs="Times New Roman"/>
                <w:lang w:val="en-US"/>
              </w:rPr>
            </w:pPr>
            <w:r w:rsidRPr="00051297">
              <w:rPr>
                <w:rFonts w:cs="Times New Roman"/>
                <w:lang w:val="en-US"/>
              </w:rPr>
              <w:t>m</w:t>
            </w:r>
          </w:p>
        </w:tc>
        <w:tc>
          <w:tcPr>
            <w:tcW w:w="3117" w:type="dxa"/>
          </w:tcPr>
          <w:p w14:paraId="244C305E" w14:textId="77777777" w:rsidR="00051297" w:rsidRPr="00051297" w:rsidRDefault="00051297" w:rsidP="004940F9">
            <w:pPr>
              <w:ind w:firstLine="0"/>
              <w:jc w:val="center"/>
              <w:rPr>
                <w:rFonts w:cs="Times New Roman"/>
                <w:lang w:val="en-US"/>
              </w:rPr>
            </w:pPr>
            <w:r w:rsidRPr="00051297">
              <w:rPr>
                <w:rFonts w:cs="Times New Roman"/>
                <w:lang w:val="en-US"/>
              </w:rPr>
              <w:t>13</w:t>
            </w:r>
          </w:p>
        </w:tc>
      </w:tr>
      <w:tr w:rsidR="00051297" w:rsidRPr="00051297" w14:paraId="5EC56162" w14:textId="77777777" w:rsidTr="00D20B01">
        <w:trPr>
          <w:jc w:val="center"/>
        </w:trPr>
        <w:tc>
          <w:tcPr>
            <w:tcW w:w="3116" w:type="dxa"/>
          </w:tcPr>
          <w:p w14:paraId="023BA426" w14:textId="77777777" w:rsidR="00051297" w:rsidRPr="00051297" w:rsidRDefault="00051297" w:rsidP="004940F9">
            <w:pPr>
              <w:ind w:firstLine="0"/>
              <w:jc w:val="center"/>
              <w:rPr>
                <w:rFonts w:cs="Times New Roman"/>
                <w:lang w:val="en-US"/>
              </w:rPr>
            </w:pPr>
            <w:r w:rsidRPr="00051297">
              <w:rPr>
                <w:rFonts w:cs="Times New Roman"/>
                <w:lang w:val="en-US"/>
              </w:rPr>
              <w:t>Maximum water level</w:t>
            </w:r>
          </w:p>
        </w:tc>
        <w:tc>
          <w:tcPr>
            <w:tcW w:w="3117" w:type="dxa"/>
          </w:tcPr>
          <w:p w14:paraId="4514EA38" w14:textId="77777777" w:rsidR="00051297" w:rsidRPr="00051297" w:rsidRDefault="00051297" w:rsidP="004940F9">
            <w:pPr>
              <w:ind w:firstLine="0"/>
              <w:jc w:val="center"/>
              <w:rPr>
                <w:rFonts w:cs="Times New Roman"/>
                <w:lang w:val="en-US"/>
              </w:rPr>
            </w:pPr>
            <w:r w:rsidRPr="00051297">
              <w:rPr>
                <w:rFonts w:cs="Times New Roman"/>
                <w:lang w:val="en-US"/>
              </w:rPr>
              <w:t>m</w:t>
            </w:r>
          </w:p>
        </w:tc>
        <w:tc>
          <w:tcPr>
            <w:tcW w:w="3117" w:type="dxa"/>
          </w:tcPr>
          <w:p w14:paraId="4E6A4AD3" w14:textId="77777777" w:rsidR="00051297" w:rsidRPr="00051297" w:rsidRDefault="00051297" w:rsidP="004940F9">
            <w:pPr>
              <w:ind w:firstLine="0"/>
              <w:jc w:val="center"/>
              <w:rPr>
                <w:rFonts w:cs="Times New Roman"/>
                <w:lang w:val="en-US"/>
              </w:rPr>
            </w:pPr>
            <w:r w:rsidRPr="00051297">
              <w:rPr>
                <w:rFonts w:cs="Times New Roman"/>
                <w:lang w:val="en-US"/>
              </w:rPr>
              <w:t>10</w:t>
            </w:r>
          </w:p>
        </w:tc>
      </w:tr>
      <w:tr w:rsidR="00051297" w:rsidRPr="00051297" w14:paraId="27694784" w14:textId="77777777" w:rsidTr="00D20B01">
        <w:trPr>
          <w:jc w:val="center"/>
        </w:trPr>
        <w:tc>
          <w:tcPr>
            <w:tcW w:w="3116" w:type="dxa"/>
          </w:tcPr>
          <w:p w14:paraId="5535D98C" w14:textId="77777777" w:rsidR="00051297" w:rsidRPr="00051297" w:rsidRDefault="00051297" w:rsidP="004940F9">
            <w:pPr>
              <w:ind w:firstLine="0"/>
              <w:jc w:val="center"/>
              <w:rPr>
                <w:rFonts w:cs="Times New Roman"/>
                <w:lang w:val="en-US"/>
              </w:rPr>
            </w:pPr>
            <w:r w:rsidRPr="00051297">
              <w:rPr>
                <w:rFonts w:cs="Times New Roman"/>
                <w:lang w:val="en-US"/>
              </w:rPr>
              <w:t>Slope, H:V</w:t>
            </w:r>
          </w:p>
        </w:tc>
        <w:tc>
          <w:tcPr>
            <w:tcW w:w="3117" w:type="dxa"/>
          </w:tcPr>
          <w:p w14:paraId="0DE7ADBF" w14:textId="77777777" w:rsidR="00051297" w:rsidRPr="00051297" w:rsidRDefault="00051297" w:rsidP="004940F9">
            <w:pPr>
              <w:ind w:firstLine="0"/>
              <w:jc w:val="center"/>
              <w:rPr>
                <w:rFonts w:cs="Times New Roman"/>
                <w:lang w:val="en-US"/>
              </w:rPr>
            </w:pPr>
            <w:r w:rsidRPr="00051297">
              <w:rPr>
                <w:rFonts w:cs="Times New Roman"/>
                <w:lang w:val="en-US"/>
              </w:rPr>
              <w:t>-</w:t>
            </w:r>
          </w:p>
        </w:tc>
        <w:tc>
          <w:tcPr>
            <w:tcW w:w="3117" w:type="dxa"/>
          </w:tcPr>
          <w:p w14:paraId="0C0142B8" w14:textId="77777777" w:rsidR="00051297" w:rsidRPr="00051297" w:rsidRDefault="00051297" w:rsidP="004940F9">
            <w:pPr>
              <w:ind w:firstLine="0"/>
              <w:jc w:val="center"/>
              <w:rPr>
                <w:rFonts w:cs="Times New Roman"/>
                <w:lang w:val="en-US"/>
              </w:rPr>
            </w:pPr>
            <w:r w:rsidRPr="00051297">
              <w:rPr>
                <w:rFonts w:cs="Times New Roman"/>
                <w:lang w:val="en-US"/>
              </w:rPr>
              <w:t>2:1</w:t>
            </w:r>
          </w:p>
        </w:tc>
      </w:tr>
      <w:tr w:rsidR="00051297" w:rsidRPr="00051297" w14:paraId="05B39312" w14:textId="77777777" w:rsidTr="00D20B01">
        <w:trPr>
          <w:jc w:val="center"/>
        </w:trPr>
        <w:tc>
          <w:tcPr>
            <w:tcW w:w="3116" w:type="dxa"/>
          </w:tcPr>
          <w:p w14:paraId="0CE94F0D" w14:textId="77777777" w:rsidR="00051297" w:rsidRPr="00051297" w:rsidRDefault="00051297" w:rsidP="004940F9">
            <w:pPr>
              <w:ind w:firstLine="0"/>
              <w:jc w:val="center"/>
              <w:rPr>
                <w:rFonts w:cs="Times New Roman"/>
                <w:lang w:val="en-US"/>
              </w:rPr>
            </w:pPr>
            <w:r w:rsidRPr="00051297">
              <w:rPr>
                <w:rFonts w:cs="Times New Roman"/>
                <w:lang w:val="en-US"/>
              </w:rPr>
              <w:t>Toe drain</w:t>
            </w:r>
          </w:p>
        </w:tc>
        <w:tc>
          <w:tcPr>
            <w:tcW w:w="3117" w:type="dxa"/>
          </w:tcPr>
          <w:p w14:paraId="6D8A4CC2" w14:textId="77777777" w:rsidR="00051297" w:rsidRPr="00051297" w:rsidRDefault="00051297" w:rsidP="004940F9">
            <w:pPr>
              <w:ind w:firstLine="0"/>
              <w:jc w:val="center"/>
              <w:rPr>
                <w:rFonts w:cs="Times New Roman"/>
                <w:lang w:val="en-US"/>
              </w:rPr>
            </w:pPr>
            <w:r w:rsidRPr="00051297">
              <w:rPr>
                <w:rFonts w:cs="Times New Roman"/>
                <w:lang w:val="en-US"/>
              </w:rPr>
              <w:t>m</w:t>
            </w:r>
          </w:p>
        </w:tc>
        <w:tc>
          <w:tcPr>
            <w:tcW w:w="3117" w:type="dxa"/>
          </w:tcPr>
          <w:p w14:paraId="6DAFA0AA" w14:textId="77777777" w:rsidR="00051297" w:rsidRPr="00051297" w:rsidRDefault="00051297" w:rsidP="004940F9">
            <w:pPr>
              <w:ind w:firstLine="0"/>
              <w:jc w:val="center"/>
              <w:rPr>
                <w:rFonts w:cs="Times New Roman"/>
                <w:lang w:val="en-US"/>
              </w:rPr>
            </w:pPr>
            <w:r w:rsidRPr="00051297">
              <w:rPr>
                <w:rFonts w:cs="Times New Roman"/>
                <w:lang w:val="en-US"/>
              </w:rPr>
              <w:t>5, 10, 15</w:t>
            </w:r>
          </w:p>
        </w:tc>
      </w:tr>
    </w:tbl>
    <w:p w14:paraId="551DD003" w14:textId="77777777" w:rsidR="00051297" w:rsidRPr="00051297" w:rsidRDefault="00051297" w:rsidP="00051297">
      <w:pPr>
        <w:ind w:firstLine="706"/>
        <w:rPr>
          <w:rFonts w:eastAsia="Calibri" w:cs="Times New Roman"/>
          <w:color w:val="FF0000"/>
          <w:szCs w:val="24"/>
          <w:lang w:bidi="en-US"/>
        </w:rPr>
      </w:pPr>
    </w:p>
    <w:p w14:paraId="73C1DEF3" w14:textId="29C5B59C" w:rsidR="00051297" w:rsidRPr="00051297" w:rsidRDefault="00051297" w:rsidP="004940F9">
      <w:pPr>
        <w:pStyle w:val="4"/>
        <w:rPr>
          <w:rFonts w:eastAsia="Calibri"/>
          <w:lang w:val="en-US" w:bidi="en-US"/>
        </w:rPr>
      </w:pPr>
      <w:bookmarkStart w:id="933" w:name="_Toc103543967"/>
      <w:bookmarkStart w:id="934" w:name="_Toc104985292"/>
      <w:r w:rsidRPr="00051297">
        <w:rPr>
          <w:rFonts w:eastAsia="Calibri"/>
          <w:lang w:val="en-US" w:bidi="en-US"/>
        </w:rPr>
        <w:t>Analyses of seepage and slope stability</w:t>
      </w:r>
      <w:bookmarkEnd w:id="933"/>
      <w:bookmarkEnd w:id="934"/>
    </w:p>
    <w:p w14:paraId="6F9304A3" w14:textId="707A2C55" w:rsidR="00051297" w:rsidRPr="00051297" w:rsidRDefault="00051297" w:rsidP="00051297">
      <w:pPr>
        <w:ind w:firstLine="706"/>
        <w:rPr>
          <w:rFonts w:eastAsia="Calibri" w:cs="Times New Roman"/>
          <w:szCs w:val="24"/>
          <w:lang w:val="en-US" w:bidi="en-US"/>
        </w:rPr>
      </w:pPr>
      <w:r w:rsidRPr="00051297">
        <w:rPr>
          <w:rFonts w:eastAsia="Calibri" w:cs="Times New Roman"/>
          <w:szCs w:val="24"/>
          <w:lang w:val="en-US" w:bidi="en-US"/>
        </w:rPr>
        <w:t>To analyze changing pore-water pressure conditions, the SEEP/W water transfer-based analyses were used in general. The worst-case scenario was chosen as the instantaneous drawdown, and the rate was increased to 5 days (</w:t>
      </w:r>
      <w:r w:rsidRPr="00051297">
        <w:rPr>
          <w:rFonts w:eastAsia="Calibri" w:cs="Times New Roman"/>
          <w:szCs w:val="24"/>
          <w:lang w:val="en-US" w:bidi="en-US"/>
        </w:rPr>
        <w:fldChar w:fldCharType="begin"/>
      </w:r>
      <w:r w:rsidRPr="00051297">
        <w:rPr>
          <w:rFonts w:eastAsia="Calibri" w:cs="Times New Roman"/>
          <w:szCs w:val="24"/>
          <w:lang w:val="en-US" w:bidi="en-US"/>
        </w:rPr>
        <w:instrText xml:space="preserve"> REF _Ref98105030 \h </w:instrText>
      </w:r>
      <w:r w:rsidRPr="00051297">
        <w:rPr>
          <w:rFonts w:eastAsia="Calibri" w:cs="Times New Roman"/>
          <w:szCs w:val="24"/>
          <w:lang w:val="en-US" w:bidi="en-US"/>
        </w:rPr>
      </w:r>
      <w:r w:rsidRPr="00051297">
        <w:rPr>
          <w:rFonts w:eastAsia="Calibri" w:cs="Times New Roman"/>
          <w:szCs w:val="24"/>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2</w:t>
      </w:r>
      <w:r w:rsidRPr="00051297">
        <w:rPr>
          <w:rFonts w:eastAsia="Calibri" w:cs="Times New Roman"/>
          <w:szCs w:val="24"/>
          <w:lang w:val="en-US" w:bidi="en-US"/>
        </w:rPr>
        <w:fldChar w:fldCharType="end"/>
      </w:r>
      <w:r w:rsidRPr="00051297">
        <w:rPr>
          <w:rFonts w:eastAsia="Calibri" w:cs="Times New Roman"/>
          <w:szCs w:val="24"/>
          <w:lang w:val="en-US" w:bidi="en-US"/>
        </w:rPr>
        <w:t>).</w:t>
      </w:r>
      <w:r w:rsidRPr="00051297">
        <w:rPr>
          <w:rFonts w:eastAsia="Calibri" w:cs="Times New Roman"/>
          <w:color w:val="FF0000"/>
          <w:szCs w:val="24"/>
          <w:lang w:val="en-US" w:bidi="en-US"/>
        </w:rPr>
        <w:t xml:space="preserve"> </w:t>
      </w:r>
      <w:r w:rsidRPr="00051297">
        <w:rPr>
          <w:rFonts w:eastAsia="Calibri" w:cs="Times New Roman"/>
          <w:szCs w:val="24"/>
          <w:lang w:val="en-US" w:bidi="en-US"/>
        </w:rPr>
        <w:t>The transient seepage analysis was used to derive seepage-induced pore pressures and free groundwater surface for varied drawdown rates in order to model the slope's drawdown behavior in this study.</w:t>
      </w:r>
    </w:p>
    <w:p w14:paraId="7625E4DC" w14:textId="77777777" w:rsidR="00051297" w:rsidRPr="00051297" w:rsidRDefault="00051297" w:rsidP="00051297">
      <w:pPr>
        <w:ind w:firstLine="706"/>
        <w:rPr>
          <w:rFonts w:eastAsia="Calibri" w:cs="Times New Roman"/>
          <w:color w:val="FF0000"/>
          <w:szCs w:val="24"/>
          <w:lang w:val="en-US" w:bidi="en-US"/>
        </w:rPr>
      </w:pPr>
      <w:r w:rsidRPr="00051297">
        <w:rPr>
          <w:rFonts w:eastAsia="Calibri" w:cs="Times New Roman"/>
          <w:szCs w:val="24"/>
          <w:lang w:val="en-US" w:bidi="en-US"/>
        </w:rPr>
        <w:t>The slope stability analyses, on the other hand, were carried out using the GeoStudio's SLOPE/W sub-unit, which was based on the Spencer approach.</w:t>
      </w:r>
    </w:p>
    <w:p w14:paraId="26C9D1AC" w14:textId="5E959F1C" w:rsidR="00051297" w:rsidRPr="00051297" w:rsidRDefault="00051297" w:rsidP="004940F9">
      <w:pPr>
        <w:pStyle w:val="4"/>
        <w:rPr>
          <w:rFonts w:eastAsia="Calibri"/>
          <w:lang w:bidi="en-US"/>
        </w:rPr>
      </w:pPr>
      <w:bookmarkStart w:id="935" w:name="_Toc103543968"/>
      <w:bookmarkStart w:id="936" w:name="_Toc104985293"/>
      <w:r w:rsidRPr="00051297">
        <w:rPr>
          <w:rFonts w:eastAsia="Calibri"/>
          <w:lang w:bidi="en-US"/>
        </w:rPr>
        <w:lastRenderedPageBreak/>
        <w:t>Characteristics of the soil</w:t>
      </w:r>
      <w:bookmarkEnd w:id="935"/>
      <w:bookmarkEnd w:id="936"/>
    </w:p>
    <w:p w14:paraId="277D6FCE" w14:textId="7EA74EAA" w:rsidR="00051297" w:rsidRPr="00051297" w:rsidRDefault="00051297" w:rsidP="00051297">
      <w:pPr>
        <w:ind w:firstLine="706"/>
        <w:rPr>
          <w:rFonts w:eastAsia="Calibri" w:cs="Times New Roman"/>
          <w:szCs w:val="24"/>
          <w:lang w:val="en-US" w:bidi="en-US"/>
        </w:rPr>
      </w:pPr>
      <w:r w:rsidRPr="00051297">
        <w:rPr>
          <w:rFonts w:eastAsia="Calibri" w:cs="Times New Roman"/>
          <w:szCs w:val="24"/>
          <w:lang w:val="en-US" w:bidi="en-US"/>
        </w:rPr>
        <w:t xml:space="preserve">To avoid any fluctuation and capture the influence of variations in the toe drain diameters, the soil material parameters for the embankment were kept constant for all of the examples analyzed. The seepage and slope stability analyses employed soil material parameters identical to those listed in </w:t>
      </w:r>
      <w:r w:rsidRPr="00051297">
        <w:rPr>
          <w:rFonts w:cs="Times New Roman"/>
          <w:szCs w:val="24"/>
          <w:lang w:val="en-US" w:bidi="en-US"/>
        </w:rPr>
        <w:fldChar w:fldCharType="begin"/>
      </w:r>
      <w:r w:rsidRPr="00051297">
        <w:rPr>
          <w:rFonts w:cs="Times New Roman"/>
          <w:szCs w:val="24"/>
          <w:lang w:val="en-US" w:bidi="en-US"/>
        </w:rPr>
        <w:instrText xml:space="preserve"> REF _Ref98105048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4</w:t>
      </w:r>
      <w:r w:rsidR="004870F1" w:rsidRPr="00051297">
        <w:rPr>
          <w:rFonts w:cs="Times New Roman"/>
          <w:szCs w:val="24"/>
          <w:lang w:val="en-US" w:bidi="en-US"/>
        </w:rPr>
        <w:t>.</w:t>
      </w:r>
      <w:r w:rsidR="004870F1">
        <w:rPr>
          <w:rFonts w:cs="Times New Roman"/>
          <w:noProof/>
          <w:szCs w:val="24"/>
          <w:lang w:val="en-US" w:bidi="en-US"/>
        </w:rPr>
        <w:t>2</w:t>
      </w:r>
      <w:r w:rsidRPr="00051297">
        <w:rPr>
          <w:rFonts w:cs="Times New Roman"/>
          <w:szCs w:val="24"/>
          <w:lang w:val="en-US" w:bidi="en-US"/>
        </w:rPr>
        <w:fldChar w:fldCharType="end"/>
      </w:r>
      <w:r w:rsidRPr="00051297">
        <w:rPr>
          <w:rFonts w:eastAsia="Calibri" w:cs="Times New Roman"/>
          <w:szCs w:val="24"/>
          <w:lang w:val="en-US" w:bidi="en-US"/>
        </w:rPr>
        <w:t xml:space="preserve">. </w:t>
      </w:r>
    </w:p>
    <w:p w14:paraId="1236EDC8" w14:textId="48C989AF" w:rsidR="00051297" w:rsidRPr="00051297" w:rsidRDefault="00051297" w:rsidP="004940F9">
      <w:pPr>
        <w:pStyle w:val="3"/>
        <w:rPr>
          <w:rFonts w:eastAsia="Calibri"/>
        </w:rPr>
      </w:pPr>
      <w:bookmarkStart w:id="937" w:name="_Toc97504835"/>
      <w:bookmarkStart w:id="938" w:name="_Toc103543969"/>
      <w:bookmarkStart w:id="939" w:name="_Toc104985294"/>
      <w:r w:rsidRPr="00051297">
        <w:rPr>
          <w:rFonts w:eastAsia="Calibri"/>
        </w:rPr>
        <w:t>Results and Discussion</w:t>
      </w:r>
      <w:bookmarkEnd w:id="937"/>
      <w:bookmarkEnd w:id="938"/>
      <w:bookmarkEnd w:id="939"/>
    </w:p>
    <w:p w14:paraId="604CD11E" w14:textId="4EEE9F0A" w:rsidR="00051297" w:rsidRPr="00051297" w:rsidRDefault="00051297" w:rsidP="00051297">
      <w:pPr>
        <w:ind w:firstLine="706"/>
        <w:rPr>
          <w:rFonts w:eastAsia="Calibri" w:cs="Times New Roman"/>
          <w:szCs w:val="24"/>
          <w:lang w:val="en-US"/>
        </w:rPr>
      </w:pPr>
      <w:r w:rsidRPr="00051297">
        <w:rPr>
          <w:rFonts w:eastAsia="Calibri" w:cs="Times New Roman"/>
          <w:szCs w:val="24"/>
          <w:lang w:val="en-US"/>
        </w:rPr>
        <w:t xml:space="preserve">Using a combination of the finite element approach and numerical modeling, the seepage and slope stability analyses were completed successfully. The size of the toe drain increased the water pressure at the downstream toe of the embankment, according to the seepage analysis.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_Ref98105517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12</w:t>
      </w:r>
      <w:r w:rsidRPr="00051297">
        <w:rPr>
          <w:rFonts w:eastAsia="Calibri" w:cs="Times New Roman"/>
          <w:szCs w:val="24"/>
          <w:lang w:val="en-US"/>
        </w:rPr>
        <w:fldChar w:fldCharType="end"/>
      </w:r>
      <w:r w:rsidRPr="00051297">
        <w:rPr>
          <w:rFonts w:eastAsia="Calibri" w:cs="Times New Roman"/>
          <w:szCs w:val="24"/>
          <w:lang w:val="en-US"/>
        </w:rPr>
        <w:t xml:space="preserve"> shows that the 15 m drain size has larger pore pressures than the 10 m and 5 m drain sizes. Drains have been noted to be key aspects of the stability of embankments in general in the literature.</w:t>
      </w:r>
    </w:p>
    <w:p w14:paraId="7DFF6654" w14:textId="77777777" w:rsidR="00051297" w:rsidRPr="00051297" w:rsidRDefault="00051297" w:rsidP="004940F9">
      <w:pPr>
        <w:keepNext/>
        <w:ind w:firstLine="0"/>
        <w:jc w:val="center"/>
        <w:rPr>
          <w:rFonts w:cs="Times New Roman"/>
          <w:szCs w:val="24"/>
        </w:rPr>
      </w:pPr>
      <w:r w:rsidRPr="00051297">
        <w:rPr>
          <w:rFonts w:eastAsia="Calibri" w:cs="Times New Roman"/>
          <w:noProof/>
          <w:szCs w:val="24"/>
        </w:rPr>
        <w:drawing>
          <wp:inline distT="0" distB="0" distL="0" distR="0" wp14:anchorId="583BC703" wp14:editId="3D1A40AF">
            <wp:extent cx="5172075" cy="3924300"/>
            <wp:effectExtent l="0" t="0" r="0" b="0"/>
            <wp:docPr id="95" name="Chart 95">
              <a:extLst xmlns:a="http://schemas.openxmlformats.org/drawingml/2006/main">
                <a:ext uri="{FF2B5EF4-FFF2-40B4-BE49-F238E27FC236}">
                  <a16:creationId xmlns:a16="http://schemas.microsoft.com/office/drawing/2014/main" id="{618F181F-F32F-4046-8B4E-0475AD5B89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4A059D13" w14:textId="0260838E" w:rsidR="00051297" w:rsidRPr="00051297" w:rsidRDefault="00051297" w:rsidP="004940F9">
      <w:pPr>
        <w:ind w:firstLine="0"/>
        <w:jc w:val="center"/>
        <w:rPr>
          <w:rFonts w:cs="Times New Roman"/>
          <w:szCs w:val="24"/>
          <w:lang w:val="en-US" w:bidi="en-US"/>
        </w:rPr>
      </w:pPr>
      <w:bookmarkStart w:id="940" w:name="_Ref98105517"/>
      <w:bookmarkStart w:id="941" w:name="_Toc97428255"/>
      <w:bookmarkStart w:id="942" w:name="_Toc98085930"/>
      <w:bookmarkStart w:id="943" w:name="_Toc103544127"/>
      <w:bookmarkStart w:id="944" w:name="_Toc104985450"/>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12</w:t>
      </w:r>
      <w:r w:rsidR="00527861">
        <w:rPr>
          <w:rFonts w:cs="Times New Roman"/>
          <w:szCs w:val="24"/>
          <w:lang w:val="en-US" w:bidi="en-US"/>
        </w:rPr>
        <w:fldChar w:fldCharType="end"/>
      </w:r>
      <w:bookmarkEnd w:id="940"/>
      <w:r w:rsidRPr="00051297">
        <w:rPr>
          <w:lang w:val="en-US"/>
        </w:rPr>
        <w:t xml:space="preserve"> </w:t>
      </w:r>
      <w:r w:rsidRPr="00051297">
        <w:rPr>
          <w:rFonts w:cs="Times New Roman"/>
          <w:szCs w:val="24"/>
          <w:lang w:val="en-US" w:bidi="en-US"/>
        </w:rPr>
        <w:t xml:space="preserve">– </w:t>
      </w:r>
      <w:bookmarkEnd w:id="941"/>
      <w:bookmarkEnd w:id="942"/>
      <w:r w:rsidRPr="00051297">
        <w:rPr>
          <w:rFonts w:cs="Times New Roman"/>
          <w:szCs w:val="24"/>
          <w:lang w:val="en-US" w:bidi="en-US"/>
        </w:rPr>
        <w:t>Pressure of pore-water at the upstream face</w:t>
      </w:r>
      <w:bookmarkEnd w:id="943"/>
      <w:bookmarkEnd w:id="944"/>
    </w:p>
    <w:p w14:paraId="5467C5C8" w14:textId="4085CA09" w:rsidR="00051297" w:rsidRPr="00051297" w:rsidRDefault="00051297" w:rsidP="00051297">
      <w:pPr>
        <w:ind w:firstLine="706"/>
        <w:rPr>
          <w:rFonts w:eastAsia="Calibri" w:cs="Times New Roman"/>
          <w:szCs w:val="24"/>
          <w:lang w:val="en-US"/>
        </w:rPr>
      </w:pPr>
      <w:r w:rsidRPr="00051297">
        <w:rPr>
          <w:rFonts w:eastAsia="Calibri" w:cs="Times New Roman"/>
          <w:szCs w:val="24"/>
          <w:lang w:val="en-US"/>
        </w:rPr>
        <w:t xml:space="preserve">In contrast to the downstream toe, pore water pressures on the embankment's upstream face decreased as the toe-drain size increased. The pore-water pressures from the 15 m drain size were marginally greater than those from the 10 m and 5 m drain sizes, as shown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_Ref98105531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13</w:t>
      </w:r>
      <w:r w:rsidRPr="00051297">
        <w:rPr>
          <w:rFonts w:eastAsia="Calibri" w:cs="Times New Roman"/>
          <w:szCs w:val="24"/>
          <w:lang w:val="en-US"/>
        </w:rPr>
        <w:fldChar w:fldCharType="end"/>
      </w:r>
      <w:r w:rsidRPr="00051297">
        <w:rPr>
          <w:rFonts w:eastAsia="Calibri" w:cs="Times New Roman"/>
          <w:szCs w:val="24"/>
          <w:lang w:val="en-US"/>
        </w:rPr>
        <w:t>. The occurrence shows that as the size of the toe drain grows, seepage is more easily conveyed through the embankment, allowing pore-water pressures in the embankment to dissipate following the drawdown.</w:t>
      </w:r>
    </w:p>
    <w:p w14:paraId="327FA867" w14:textId="77777777" w:rsidR="00051297" w:rsidRPr="00051297" w:rsidRDefault="00051297" w:rsidP="00051297">
      <w:pPr>
        <w:keepNext/>
        <w:ind w:firstLine="706"/>
        <w:jc w:val="center"/>
        <w:rPr>
          <w:rFonts w:cs="Times New Roman"/>
          <w:szCs w:val="24"/>
        </w:rPr>
      </w:pPr>
      <w:r w:rsidRPr="00051297">
        <w:rPr>
          <w:rFonts w:eastAsia="Calibri" w:cs="Times New Roman"/>
          <w:noProof/>
          <w:szCs w:val="24"/>
        </w:rPr>
        <w:lastRenderedPageBreak/>
        <w:drawing>
          <wp:inline distT="0" distB="0" distL="0" distR="0" wp14:anchorId="4DFE6AE7" wp14:editId="0B86140A">
            <wp:extent cx="4932045" cy="2743200"/>
            <wp:effectExtent l="0" t="0" r="1905" b="0"/>
            <wp:docPr id="96" name="Chart 96">
              <a:extLst xmlns:a="http://schemas.openxmlformats.org/drawingml/2006/main">
                <a:ext uri="{FF2B5EF4-FFF2-40B4-BE49-F238E27FC236}">
                  <a16:creationId xmlns:a16="http://schemas.microsoft.com/office/drawing/2014/main" id="{9F157115-A91C-446A-AD2A-88C54938DF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666C517B" w14:textId="1E85CAF2" w:rsidR="00051297" w:rsidRPr="00051297" w:rsidRDefault="00051297" w:rsidP="00051297">
      <w:pPr>
        <w:ind w:firstLine="0"/>
        <w:jc w:val="center"/>
        <w:rPr>
          <w:rFonts w:cs="Times New Roman"/>
          <w:szCs w:val="24"/>
          <w:lang w:val="en-US" w:bidi="en-US"/>
        </w:rPr>
      </w:pPr>
      <w:bookmarkStart w:id="945" w:name="_Ref98105531"/>
      <w:bookmarkStart w:id="946" w:name="_Toc97428256"/>
      <w:bookmarkStart w:id="947" w:name="_Toc98085931"/>
      <w:bookmarkStart w:id="948" w:name="_Toc103544128"/>
      <w:bookmarkStart w:id="949" w:name="_Toc104985451"/>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13</w:t>
      </w:r>
      <w:r w:rsidR="00527861">
        <w:rPr>
          <w:rFonts w:cs="Times New Roman"/>
          <w:szCs w:val="24"/>
          <w:lang w:val="en-US" w:bidi="en-US"/>
        </w:rPr>
        <w:fldChar w:fldCharType="end"/>
      </w:r>
      <w:bookmarkEnd w:id="945"/>
      <w:r w:rsidRPr="00051297">
        <w:rPr>
          <w:lang w:val="en-US"/>
        </w:rPr>
        <w:t xml:space="preserve"> – </w:t>
      </w:r>
      <w:bookmarkEnd w:id="946"/>
      <w:bookmarkEnd w:id="947"/>
      <w:r w:rsidRPr="00051297">
        <w:rPr>
          <w:lang w:val="en-US"/>
        </w:rPr>
        <w:t>The downstream toe's pore-water pressure</w:t>
      </w:r>
      <w:bookmarkEnd w:id="948"/>
      <w:bookmarkEnd w:id="949"/>
    </w:p>
    <w:p w14:paraId="6DEF515D" w14:textId="494D4346" w:rsidR="00051297" w:rsidRDefault="00051297" w:rsidP="00051297">
      <w:pPr>
        <w:ind w:firstLine="706"/>
        <w:rPr>
          <w:rFonts w:eastAsia="Calibri" w:cs="Times New Roman"/>
          <w:szCs w:val="24"/>
          <w:lang w:val="en-US"/>
        </w:rPr>
      </w:pPr>
      <w:r w:rsidRPr="00051297">
        <w:rPr>
          <w:rFonts w:eastAsia="Calibri" w:cs="Times New Roman"/>
          <w:szCs w:val="24"/>
          <w:lang w:val="en-US"/>
        </w:rPr>
        <w:t xml:space="preserve">Similarly, the slope stability study revealed that changing the size of the toe drain had an impact on the factor of safety. In comparison to the 10 m and 5 m toe drain sizes, the 15 m length toe drain size had a slightly higher factor of safety, as shown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_Ref98105553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14</w:t>
      </w:r>
      <w:r w:rsidRPr="00051297">
        <w:rPr>
          <w:rFonts w:eastAsia="Calibri" w:cs="Times New Roman"/>
          <w:szCs w:val="24"/>
          <w:lang w:val="en-US"/>
        </w:rPr>
        <w:fldChar w:fldCharType="end"/>
      </w:r>
      <w:r w:rsidRPr="00051297">
        <w:rPr>
          <w:rFonts w:eastAsia="Calibri" w:cs="Times New Roman"/>
          <w:szCs w:val="24"/>
          <w:lang w:val="en-US"/>
        </w:rPr>
        <w:t>. The minimum size for a 5 m drain was 0.959, the minimum factor of safety for a 10 m drain was 0.968, and the minimum factor of safety for a 15 m drain was 0.976.</w:t>
      </w:r>
    </w:p>
    <w:p w14:paraId="2ABE2E5C" w14:textId="77777777" w:rsidR="004940F9" w:rsidRPr="00051297" w:rsidRDefault="004940F9" w:rsidP="00051297">
      <w:pPr>
        <w:ind w:firstLine="706"/>
        <w:rPr>
          <w:rFonts w:eastAsia="Calibri" w:cs="Times New Roman"/>
          <w:szCs w:val="24"/>
          <w:lang w:val="en-US"/>
        </w:rPr>
      </w:pP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051297" w:rsidRPr="00051297" w14:paraId="11614FB3" w14:textId="77777777" w:rsidTr="00D20B01">
        <w:tc>
          <w:tcPr>
            <w:tcW w:w="9350" w:type="dxa"/>
          </w:tcPr>
          <w:p w14:paraId="11115280" w14:textId="700828F1" w:rsidR="00051297" w:rsidRPr="00051297" w:rsidRDefault="0046722F" w:rsidP="00C15360">
            <w:pPr>
              <w:spacing w:line="240" w:lineRule="auto"/>
              <w:ind w:firstLine="0"/>
              <w:jc w:val="center"/>
              <w:rPr>
                <w:rFonts w:cs="Times New Roman"/>
                <w:szCs w:val="24"/>
                <w:lang w:val="en-US"/>
              </w:rPr>
            </w:pPr>
            <w:r>
              <w:rPr>
                <w:noProof/>
              </w:rPr>
              <w:drawing>
                <wp:inline distT="0" distB="0" distL="0" distR="0" wp14:anchorId="00F2AD27" wp14:editId="16CC6196">
                  <wp:extent cx="5758999" cy="2011680"/>
                  <wp:effectExtent l="0" t="0" r="0" b="762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58999" cy="2011680"/>
                          </a:xfrm>
                          <a:prstGeom prst="rect">
                            <a:avLst/>
                          </a:prstGeom>
                          <a:noFill/>
                          <a:ln>
                            <a:noFill/>
                          </a:ln>
                        </pic:spPr>
                      </pic:pic>
                    </a:graphicData>
                  </a:graphic>
                </wp:inline>
              </w:drawing>
            </w:r>
          </w:p>
          <w:p w14:paraId="6096B9C3" w14:textId="77777777" w:rsidR="00051297" w:rsidRPr="00051297" w:rsidRDefault="00051297" w:rsidP="00C15360">
            <w:pPr>
              <w:spacing w:line="240" w:lineRule="auto"/>
              <w:ind w:firstLine="0"/>
              <w:jc w:val="center"/>
              <w:rPr>
                <w:rFonts w:cs="Times New Roman"/>
                <w:szCs w:val="24"/>
                <w:lang w:val="en-US"/>
              </w:rPr>
            </w:pPr>
            <w:r w:rsidRPr="00051297">
              <w:rPr>
                <w:rFonts w:cs="Times New Roman"/>
                <w:szCs w:val="24"/>
                <w:lang w:val="en-US"/>
              </w:rPr>
              <w:t>(a)</w:t>
            </w:r>
          </w:p>
        </w:tc>
      </w:tr>
      <w:tr w:rsidR="00051297" w:rsidRPr="00051297" w14:paraId="5690DA3C" w14:textId="77777777" w:rsidTr="00D20B01">
        <w:tc>
          <w:tcPr>
            <w:tcW w:w="9350" w:type="dxa"/>
          </w:tcPr>
          <w:p w14:paraId="5D3B420B" w14:textId="597539EE" w:rsidR="00051297" w:rsidRPr="00051297" w:rsidRDefault="00EA4BDF" w:rsidP="00C15360">
            <w:pPr>
              <w:spacing w:line="240" w:lineRule="auto"/>
              <w:ind w:firstLine="0"/>
              <w:rPr>
                <w:rFonts w:cs="Times New Roman"/>
                <w:szCs w:val="24"/>
                <w:lang w:val="en-US"/>
              </w:rPr>
            </w:pPr>
            <w:r>
              <w:rPr>
                <w:noProof/>
              </w:rPr>
              <w:drawing>
                <wp:inline distT="0" distB="0" distL="0" distR="0" wp14:anchorId="352AFE60" wp14:editId="104092D0">
                  <wp:extent cx="5759450" cy="2011680"/>
                  <wp:effectExtent l="0" t="0" r="0" b="762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003" cy="2011873"/>
                          </a:xfrm>
                          <a:prstGeom prst="rect">
                            <a:avLst/>
                          </a:prstGeom>
                          <a:noFill/>
                          <a:ln>
                            <a:noFill/>
                          </a:ln>
                        </pic:spPr>
                      </pic:pic>
                    </a:graphicData>
                  </a:graphic>
                </wp:inline>
              </w:drawing>
            </w:r>
          </w:p>
          <w:p w14:paraId="4A6317B2" w14:textId="77777777" w:rsidR="00051297" w:rsidRPr="00051297" w:rsidRDefault="00051297" w:rsidP="00C15360">
            <w:pPr>
              <w:spacing w:line="240" w:lineRule="auto"/>
              <w:ind w:firstLine="0"/>
              <w:jc w:val="center"/>
              <w:rPr>
                <w:rFonts w:cs="Times New Roman"/>
                <w:szCs w:val="24"/>
                <w:lang w:val="en-US"/>
              </w:rPr>
            </w:pPr>
            <w:r w:rsidRPr="00051297">
              <w:rPr>
                <w:rFonts w:cs="Times New Roman"/>
                <w:szCs w:val="24"/>
                <w:lang w:val="en-US"/>
              </w:rPr>
              <w:t>(b)</w:t>
            </w:r>
          </w:p>
        </w:tc>
      </w:tr>
      <w:tr w:rsidR="00051297" w:rsidRPr="00051297" w14:paraId="60970773" w14:textId="77777777" w:rsidTr="00D20B01">
        <w:tc>
          <w:tcPr>
            <w:tcW w:w="9350" w:type="dxa"/>
          </w:tcPr>
          <w:p w14:paraId="0E111015" w14:textId="56BFB1B2" w:rsidR="00051297" w:rsidRPr="00051297" w:rsidRDefault="007C058B" w:rsidP="004940F9">
            <w:pPr>
              <w:spacing w:line="240" w:lineRule="auto"/>
              <w:ind w:firstLine="0"/>
              <w:rPr>
                <w:rFonts w:cs="Times New Roman"/>
                <w:noProof/>
                <w:szCs w:val="24"/>
                <w:lang w:val="en-US"/>
              </w:rPr>
            </w:pPr>
            <w:r>
              <w:rPr>
                <w:noProof/>
              </w:rPr>
              <w:lastRenderedPageBreak/>
              <w:drawing>
                <wp:inline distT="0" distB="0" distL="0" distR="0" wp14:anchorId="625DA924" wp14:editId="068C7132">
                  <wp:extent cx="5760000" cy="2079487"/>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0000" cy="2079487"/>
                          </a:xfrm>
                          <a:prstGeom prst="rect">
                            <a:avLst/>
                          </a:prstGeom>
                          <a:noFill/>
                          <a:ln>
                            <a:noFill/>
                          </a:ln>
                        </pic:spPr>
                      </pic:pic>
                    </a:graphicData>
                  </a:graphic>
                </wp:inline>
              </w:drawing>
            </w:r>
          </w:p>
          <w:p w14:paraId="3FA2B8C4" w14:textId="77777777" w:rsidR="00051297" w:rsidRPr="00051297" w:rsidRDefault="00051297" w:rsidP="00C15360">
            <w:pPr>
              <w:spacing w:line="240" w:lineRule="auto"/>
              <w:ind w:firstLine="0"/>
              <w:jc w:val="center"/>
              <w:rPr>
                <w:rFonts w:cs="Times New Roman"/>
                <w:noProof/>
                <w:szCs w:val="24"/>
                <w:lang w:val="en-US"/>
              </w:rPr>
            </w:pPr>
            <w:r w:rsidRPr="00051297">
              <w:rPr>
                <w:rFonts w:cs="Times New Roman"/>
                <w:noProof/>
                <w:szCs w:val="24"/>
                <w:lang w:val="en-US"/>
              </w:rPr>
              <w:t>(c)</w:t>
            </w:r>
          </w:p>
        </w:tc>
      </w:tr>
    </w:tbl>
    <w:p w14:paraId="1D05B539" w14:textId="361DED71" w:rsidR="00051297" w:rsidRPr="00051297" w:rsidRDefault="00051297" w:rsidP="00051297">
      <w:pPr>
        <w:ind w:firstLine="0"/>
        <w:jc w:val="center"/>
        <w:rPr>
          <w:rFonts w:cs="Times New Roman"/>
          <w:szCs w:val="24"/>
          <w:lang w:val="en-US" w:bidi="en-US"/>
        </w:rPr>
      </w:pPr>
      <w:bookmarkStart w:id="950" w:name="_Ref98105553"/>
      <w:bookmarkStart w:id="951" w:name="_Toc97428257"/>
      <w:bookmarkStart w:id="952" w:name="_Toc98085932"/>
      <w:bookmarkStart w:id="953" w:name="_Toc103544129"/>
      <w:bookmarkStart w:id="954" w:name="_Toc104985452"/>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14</w:t>
      </w:r>
      <w:r w:rsidR="00527861">
        <w:rPr>
          <w:rFonts w:cs="Times New Roman"/>
          <w:szCs w:val="24"/>
          <w:lang w:val="en-US" w:bidi="en-US"/>
        </w:rPr>
        <w:fldChar w:fldCharType="end"/>
      </w:r>
      <w:bookmarkEnd w:id="950"/>
      <w:r w:rsidRPr="00051297">
        <w:rPr>
          <w:lang w:val="en-US"/>
        </w:rPr>
        <w:t xml:space="preserve"> </w:t>
      </w:r>
      <w:r w:rsidRPr="00051297">
        <w:rPr>
          <w:rFonts w:cs="Times New Roman"/>
          <w:szCs w:val="24"/>
          <w:lang w:val="en-US" w:bidi="en-US"/>
        </w:rPr>
        <w:t>– The factor of safety with slip surfaces from 5 days drawdown rate: a) 5 m drain size; b) 10 m drain size; c) 15 m drain size</w:t>
      </w:r>
      <w:bookmarkEnd w:id="951"/>
      <w:bookmarkEnd w:id="952"/>
      <w:bookmarkEnd w:id="953"/>
      <w:bookmarkEnd w:id="954"/>
    </w:p>
    <w:p w14:paraId="7F061B81" w14:textId="6B3C6437" w:rsidR="00051297" w:rsidRPr="00051297" w:rsidRDefault="00051297" w:rsidP="00051297">
      <w:pPr>
        <w:ind w:firstLine="706"/>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_Ref98105566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15</w:t>
      </w:r>
      <w:r w:rsidRPr="00051297">
        <w:rPr>
          <w:rFonts w:eastAsia="Calibri" w:cs="Times New Roman"/>
          <w:szCs w:val="24"/>
          <w:lang w:val="en-US"/>
        </w:rPr>
        <w:fldChar w:fldCharType="end"/>
      </w:r>
      <w:r w:rsidRPr="00051297">
        <w:rPr>
          <w:rFonts w:eastAsia="Calibri" w:cs="Times New Roman"/>
          <w:szCs w:val="24"/>
          <w:lang w:val="en-US"/>
        </w:rPr>
        <w:t xml:space="preserve"> shows that the lowest factor of safety values were attained near the end of the drawdown. During the drawdown phase, the factor of safety values declined significantly, then gradually increased after the drawdown.</w:t>
      </w:r>
    </w:p>
    <w:p w14:paraId="285A0EDD" w14:textId="77777777" w:rsidR="00051297" w:rsidRPr="00051297" w:rsidRDefault="00051297" w:rsidP="00051297">
      <w:pPr>
        <w:keepNext/>
        <w:ind w:firstLine="706"/>
        <w:jc w:val="center"/>
        <w:rPr>
          <w:rFonts w:cs="Times New Roman"/>
          <w:szCs w:val="24"/>
        </w:rPr>
      </w:pPr>
      <w:r w:rsidRPr="00051297">
        <w:rPr>
          <w:rFonts w:eastAsia="Calibri" w:cs="Times New Roman"/>
          <w:noProof/>
          <w:szCs w:val="24"/>
        </w:rPr>
        <w:drawing>
          <wp:inline distT="0" distB="0" distL="0" distR="0" wp14:anchorId="4610FE7A" wp14:editId="53249EB0">
            <wp:extent cx="4766945" cy="4091940"/>
            <wp:effectExtent l="0" t="0" r="0" b="3810"/>
            <wp:docPr id="100" name="Chart 100">
              <a:extLst xmlns:a="http://schemas.openxmlformats.org/drawingml/2006/main">
                <a:ext uri="{FF2B5EF4-FFF2-40B4-BE49-F238E27FC236}">
                  <a16:creationId xmlns:a16="http://schemas.microsoft.com/office/drawing/2014/main" id="{6C221021-A473-4290-86C6-04C04BA1A4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1F8F673" w14:textId="5169A27E" w:rsidR="00051297" w:rsidRPr="00051297" w:rsidRDefault="00051297" w:rsidP="00051297">
      <w:pPr>
        <w:ind w:firstLine="0"/>
        <w:jc w:val="center"/>
        <w:rPr>
          <w:rFonts w:cs="Times New Roman"/>
          <w:szCs w:val="24"/>
          <w:lang w:val="en-US" w:bidi="en-US"/>
        </w:rPr>
      </w:pPr>
      <w:bookmarkStart w:id="955" w:name="_Ref98105566"/>
      <w:bookmarkStart w:id="956" w:name="_Toc97428258"/>
      <w:bookmarkStart w:id="957" w:name="_Toc98085933"/>
      <w:bookmarkStart w:id="958" w:name="_Toc103544130"/>
      <w:bookmarkStart w:id="959" w:name="_Toc104985453"/>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15</w:t>
      </w:r>
      <w:r w:rsidR="00527861">
        <w:rPr>
          <w:rFonts w:cs="Times New Roman"/>
          <w:szCs w:val="24"/>
          <w:lang w:val="en-US" w:bidi="en-US"/>
        </w:rPr>
        <w:fldChar w:fldCharType="end"/>
      </w:r>
      <w:bookmarkEnd w:id="955"/>
      <w:r w:rsidRPr="00051297">
        <w:rPr>
          <w:lang w:val="en-US"/>
        </w:rPr>
        <w:t xml:space="preserve"> </w:t>
      </w:r>
      <w:r w:rsidRPr="00051297">
        <w:rPr>
          <w:rFonts w:cs="Times New Roman"/>
          <w:szCs w:val="24"/>
          <w:lang w:val="en-US" w:bidi="en-US"/>
        </w:rPr>
        <w:t>– The trend of the factor of safety values with time</w:t>
      </w:r>
      <w:bookmarkEnd w:id="956"/>
      <w:bookmarkEnd w:id="957"/>
      <w:bookmarkEnd w:id="958"/>
      <w:bookmarkEnd w:id="959"/>
    </w:p>
    <w:p w14:paraId="67135C29" w14:textId="6DDB6740" w:rsidR="00051297" w:rsidRPr="00051297" w:rsidRDefault="00051297" w:rsidP="00051297">
      <w:pPr>
        <w:ind w:firstLine="706"/>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_Ref98105586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79595C">
        <w:rPr>
          <w:lang w:val="en-US"/>
        </w:rPr>
        <w:t xml:space="preserve">Table </w:t>
      </w:r>
      <w:r w:rsidR="004870F1">
        <w:rPr>
          <w:noProof/>
          <w:lang w:val="en-US"/>
        </w:rPr>
        <w:t>4</w:t>
      </w:r>
      <w:r w:rsidR="004870F1" w:rsidRPr="0079595C">
        <w:rPr>
          <w:lang w:val="en-US"/>
        </w:rPr>
        <w:t>.</w:t>
      </w:r>
      <w:r w:rsidR="004870F1">
        <w:rPr>
          <w:noProof/>
          <w:lang w:val="en-US"/>
        </w:rPr>
        <w:t>5</w:t>
      </w:r>
      <w:r w:rsidRPr="00051297">
        <w:rPr>
          <w:rFonts w:eastAsia="Calibri" w:cs="Times New Roman"/>
          <w:szCs w:val="24"/>
          <w:lang w:val="en-US"/>
        </w:rPr>
        <w:fldChar w:fldCharType="end"/>
      </w:r>
      <w:r w:rsidRPr="00051297">
        <w:rPr>
          <w:rFonts w:eastAsia="Calibri" w:cs="Times New Roman"/>
          <w:szCs w:val="24"/>
          <w:lang w:val="en-US"/>
        </w:rPr>
        <w:t xml:space="preserve"> presents a summary of the factor of safety's minimum values based on the instantaneous and 5-day drawdown rates. It can be seen from both drawdown examples that the factor of safety values increased as the toe drain size increased.</w:t>
      </w:r>
    </w:p>
    <w:p w14:paraId="6CC38E8C" w14:textId="752310FA" w:rsidR="00051297" w:rsidRPr="0079595C" w:rsidRDefault="00051297" w:rsidP="00051297">
      <w:pPr>
        <w:rPr>
          <w:lang w:val="en-US"/>
        </w:rPr>
      </w:pPr>
      <w:bookmarkStart w:id="960" w:name="_Ref98105586"/>
      <w:bookmarkStart w:id="961" w:name="_Toc97077204"/>
      <w:bookmarkStart w:id="962" w:name="_Toc103544253"/>
      <w:bookmarkStart w:id="963" w:name="_Toc104985579"/>
      <w:r w:rsidRPr="0079595C">
        <w:rPr>
          <w:lang w:val="en-US"/>
        </w:rPr>
        <w:lastRenderedPageBreak/>
        <w:t xml:space="preserve">Table </w:t>
      </w:r>
      <w:r w:rsidR="00BF3324">
        <w:fldChar w:fldCharType="begin"/>
      </w:r>
      <w:r w:rsidR="00BF3324" w:rsidRPr="0079595C">
        <w:rPr>
          <w:lang w:val="en-US"/>
        </w:rPr>
        <w:instrText xml:space="preserve"> STYLEREF 1 \s </w:instrText>
      </w:r>
      <w:r w:rsidR="00BF3324">
        <w:fldChar w:fldCharType="separate"/>
      </w:r>
      <w:r w:rsidR="004870F1">
        <w:rPr>
          <w:noProof/>
          <w:lang w:val="en-US"/>
        </w:rPr>
        <w:t>4</w:t>
      </w:r>
      <w:r w:rsidR="00BF3324">
        <w:rPr>
          <w:noProof/>
        </w:rPr>
        <w:fldChar w:fldCharType="end"/>
      </w:r>
      <w:r w:rsidRPr="0079595C">
        <w:rPr>
          <w:lang w:val="en-US"/>
        </w:rPr>
        <w:t>.</w:t>
      </w:r>
      <w:r w:rsidR="00BF3324">
        <w:fldChar w:fldCharType="begin"/>
      </w:r>
      <w:r w:rsidR="00BF3324" w:rsidRPr="0079595C">
        <w:rPr>
          <w:lang w:val="en-US"/>
        </w:rPr>
        <w:instrText xml:space="preserve"> SEQ Table \* ARABIC \s 1 </w:instrText>
      </w:r>
      <w:r w:rsidR="00BF3324">
        <w:fldChar w:fldCharType="separate"/>
      </w:r>
      <w:r w:rsidR="004870F1">
        <w:rPr>
          <w:noProof/>
          <w:lang w:val="en-US"/>
        </w:rPr>
        <w:t>5</w:t>
      </w:r>
      <w:r w:rsidR="00BF3324">
        <w:rPr>
          <w:noProof/>
        </w:rPr>
        <w:fldChar w:fldCharType="end"/>
      </w:r>
      <w:bookmarkEnd w:id="960"/>
      <w:r w:rsidRPr="0079595C">
        <w:rPr>
          <w:lang w:val="en-US"/>
        </w:rPr>
        <w:t xml:space="preserve"> – A maximum and a minimum factor of safety values from the instantaneous and 5 days drawdown rates</w:t>
      </w:r>
      <w:bookmarkEnd w:id="961"/>
      <w:bookmarkEnd w:id="962"/>
      <w:bookmarkEnd w:id="963"/>
    </w:p>
    <w:tbl>
      <w:tblPr>
        <w:tblStyle w:val="a8"/>
        <w:tblW w:w="0" w:type="auto"/>
        <w:jc w:val="center"/>
        <w:tblLook w:val="04A0" w:firstRow="1" w:lastRow="0" w:firstColumn="1" w:lastColumn="0" w:noHBand="0" w:noVBand="1"/>
      </w:tblPr>
      <w:tblGrid>
        <w:gridCol w:w="2065"/>
        <w:gridCol w:w="1890"/>
        <w:gridCol w:w="2430"/>
        <w:gridCol w:w="2700"/>
      </w:tblGrid>
      <w:tr w:rsidR="00051297" w:rsidRPr="00B167E1" w14:paraId="0760C255" w14:textId="77777777" w:rsidTr="00D20B01">
        <w:trPr>
          <w:trHeight w:val="300"/>
          <w:jc w:val="center"/>
        </w:trPr>
        <w:tc>
          <w:tcPr>
            <w:tcW w:w="2065" w:type="dxa"/>
            <w:noWrap/>
            <w:hideMark/>
          </w:tcPr>
          <w:p w14:paraId="2540822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Drawdown rate</w:t>
            </w:r>
          </w:p>
        </w:tc>
        <w:tc>
          <w:tcPr>
            <w:tcW w:w="1890" w:type="dxa"/>
            <w:noWrap/>
            <w:hideMark/>
          </w:tcPr>
          <w:p w14:paraId="36CDDE3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Toe drain size</w:t>
            </w:r>
          </w:p>
        </w:tc>
        <w:tc>
          <w:tcPr>
            <w:tcW w:w="2430" w:type="dxa"/>
          </w:tcPr>
          <w:p w14:paraId="12D2F23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Steady-state factor of safety</w:t>
            </w:r>
          </w:p>
        </w:tc>
        <w:tc>
          <w:tcPr>
            <w:tcW w:w="2700" w:type="dxa"/>
            <w:noWrap/>
            <w:hideMark/>
          </w:tcPr>
          <w:p w14:paraId="41A2389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The factor of safety value (minimum)</w:t>
            </w:r>
          </w:p>
        </w:tc>
      </w:tr>
      <w:tr w:rsidR="00051297" w:rsidRPr="00051297" w14:paraId="6C9AB6E1" w14:textId="77777777" w:rsidTr="00D20B01">
        <w:trPr>
          <w:trHeight w:val="300"/>
          <w:jc w:val="center"/>
        </w:trPr>
        <w:tc>
          <w:tcPr>
            <w:tcW w:w="2065" w:type="dxa"/>
            <w:vMerge w:val="restart"/>
            <w:noWrap/>
            <w:hideMark/>
          </w:tcPr>
          <w:p w14:paraId="260BFE7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Instantaneous</w:t>
            </w:r>
          </w:p>
        </w:tc>
        <w:tc>
          <w:tcPr>
            <w:tcW w:w="1890" w:type="dxa"/>
            <w:noWrap/>
            <w:hideMark/>
          </w:tcPr>
          <w:p w14:paraId="352CD41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5m</w:t>
            </w:r>
          </w:p>
        </w:tc>
        <w:tc>
          <w:tcPr>
            <w:tcW w:w="2430" w:type="dxa"/>
          </w:tcPr>
          <w:p w14:paraId="13D0980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1.548</w:t>
            </w:r>
          </w:p>
        </w:tc>
        <w:tc>
          <w:tcPr>
            <w:tcW w:w="2700" w:type="dxa"/>
            <w:noWrap/>
            <w:hideMark/>
          </w:tcPr>
          <w:p w14:paraId="4464DDB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0.799</w:t>
            </w:r>
          </w:p>
        </w:tc>
      </w:tr>
      <w:tr w:rsidR="00051297" w:rsidRPr="00051297" w14:paraId="7EF17AFF" w14:textId="77777777" w:rsidTr="00D20B01">
        <w:trPr>
          <w:trHeight w:val="300"/>
          <w:jc w:val="center"/>
        </w:trPr>
        <w:tc>
          <w:tcPr>
            <w:tcW w:w="2065" w:type="dxa"/>
            <w:vMerge/>
            <w:noWrap/>
            <w:hideMark/>
          </w:tcPr>
          <w:p w14:paraId="0666CA2E" w14:textId="77777777" w:rsidR="00051297" w:rsidRPr="00051297" w:rsidRDefault="00051297" w:rsidP="00051297">
            <w:pPr>
              <w:spacing w:line="240" w:lineRule="auto"/>
              <w:ind w:firstLine="0"/>
              <w:jc w:val="center"/>
              <w:rPr>
                <w:rFonts w:cs="Times New Roman"/>
                <w:lang w:val="en-US"/>
              </w:rPr>
            </w:pPr>
          </w:p>
        </w:tc>
        <w:tc>
          <w:tcPr>
            <w:tcW w:w="1890" w:type="dxa"/>
            <w:noWrap/>
            <w:hideMark/>
          </w:tcPr>
          <w:p w14:paraId="306704A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10m</w:t>
            </w:r>
          </w:p>
        </w:tc>
        <w:tc>
          <w:tcPr>
            <w:tcW w:w="2430" w:type="dxa"/>
          </w:tcPr>
          <w:p w14:paraId="7B2B430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1.561</w:t>
            </w:r>
          </w:p>
        </w:tc>
        <w:tc>
          <w:tcPr>
            <w:tcW w:w="2700" w:type="dxa"/>
            <w:noWrap/>
            <w:hideMark/>
          </w:tcPr>
          <w:p w14:paraId="45B6554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0.805</w:t>
            </w:r>
          </w:p>
        </w:tc>
      </w:tr>
      <w:tr w:rsidR="00051297" w:rsidRPr="00051297" w14:paraId="27CA8B37" w14:textId="77777777" w:rsidTr="00D20B01">
        <w:trPr>
          <w:trHeight w:val="300"/>
          <w:jc w:val="center"/>
        </w:trPr>
        <w:tc>
          <w:tcPr>
            <w:tcW w:w="2065" w:type="dxa"/>
            <w:vMerge/>
            <w:noWrap/>
            <w:hideMark/>
          </w:tcPr>
          <w:p w14:paraId="1108876B" w14:textId="77777777" w:rsidR="00051297" w:rsidRPr="00051297" w:rsidRDefault="00051297" w:rsidP="00051297">
            <w:pPr>
              <w:spacing w:line="240" w:lineRule="auto"/>
              <w:ind w:firstLine="0"/>
              <w:jc w:val="center"/>
              <w:rPr>
                <w:rFonts w:cs="Times New Roman"/>
                <w:lang w:val="en-US"/>
              </w:rPr>
            </w:pPr>
          </w:p>
        </w:tc>
        <w:tc>
          <w:tcPr>
            <w:tcW w:w="1890" w:type="dxa"/>
            <w:noWrap/>
            <w:hideMark/>
          </w:tcPr>
          <w:p w14:paraId="0F3FD43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15m</w:t>
            </w:r>
          </w:p>
        </w:tc>
        <w:tc>
          <w:tcPr>
            <w:tcW w:w="2430" w:type="dxa"/>
          </w:tcPr>
          <w:p w14:paraId="1EBDDCC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1.571</w:t>
            </w:r>
          </w:p>
        </w:tc>
        <w:tc>
          <w:tcPr>
            <w:tcW w:w="2700" w:type="dxa"/>
            <w:noWrap/>
            <w:hideMark/>
          </w:tcPr>
          <w:p w14:paraId="74CAEBF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0.811</w:t>
            </w:r>
          </w:p>
        </w:tc>
      </w:tr>
      <w:tr w:rsidR="00051297" w:rsidRPr="00051297" w14:paraId="48B5A0A0" w14:textId="77777777" w:rsidTr="00D20B01">
        <w:trPr>
          <w:trHeight w:val="300"/>
          <w:jc w:val="center"/>
        </w:trPr>
        <w:tc>
          <w:tcPr>
            <w:tcW w:w="2065" w:type="dxa"/>
            <w:vMerge w:val="restart"/>
            <w:noWrap/>
            <w:hideMark/>
          </w:tcPr>
          <w:p w14:paraId="204B90D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days</w:t>
            </w:r>
          </w:p>
        </w:tc>
        <w:tc>
          <w:tcPr>
            <w:tcW w:w="1890" w:type="dxa"/>
            <w:noWrap/>
            <w:hideMark/>
          </w:tcPr>
          <w:p w14:paraId="0DFFD24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5m</w:t>
            </w:r>
          </w:p>
        </w:tc>
        <w:tc>
          <w:tcPr>
            <w:tcW w:w="2430" w:type="dxa"/>
          </w:tcPr>
          <w:p w14:paraId="2A33EA8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1.548</w:t>
            </w:r>
          </w:p>
        </w:tc>
        <w:tc>
          <w:tcPr>
            <w:tcW w:w="2700" w:type="dxa"/>
            <w:noWrap/>
            <w:hideMark/>
          </w:tcPr>
          <w:p w14:paraId="24B82D7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0.959</w:t>
            </w:r>
          </w:p>
        </w:tc>
      </w:tr>
      <w:tr w:rsidR="00051297" w:rsidRPr="00051297" w14:paraId="68B30CF1" w14:textId="77777777" w:rsidTr="00D20B01">
        <w:trPr>
          <w:trHeight w:val="300"/>
          <w:jc w:val="center"/>
        </w:trPr>
        <w:tc>
          <w:tcPr>
            <w:tcW w:w="2065" w:type="dxa"/>
            <w:vMerge/>
            <w:noWrap/>
            <w:hideMark/>
          </w:tcPr>
          <w:p w14:paraId="7ADFE4E6" w14:textId="77777777" w:rsidR="00051297" w:rsidRPr="00051297" w:rsidRDefault="00051297" w:rsidP="00051297">
            <w:pPr>
              <w:spacing w:line="240" w:lineRule="auto"/>
              <w:ind w:firstLine="0"/>
              <w:jc w:val="center"/>
              <w:rPr>
                <w:rFonts w:cs="Times New Roman"/>
                <w:lang w:val="en-US"/>
              </w:rPr>
            </w:pPr>
          </w:p>
        </w:tc>
        <w:tc>
          <w:tcPr>
            <w:tcW w:w="1890" w:type="dxa"/>
            <w:noWrap/>
            <w:hideMark/>
          </w:tcPr>
          <w:p w14:paraId="7A5D566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10m</w:t>
            </w:r>
          </w:p>
        </w:tc>
        <w:tc>
          <w:tcPr>
            <w:tcW w:w="2430" w:type="dxa"/>
          </w:tcPr>
          <w:p w14:paraId="69C850D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1.561</w:t>
            </w:r>
          </w:p>
        </w:tc>
        <w:tc>
          <w:tcPr>
            <w:tcW w:w="2700" w:type="dxa"/>
            <w:noWrap/>
            <w:hideMark/>
          </w:tcPr>
          <w:p w14:paraId="44D2DE9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0.968</w:t>
            </w:r>
          </w:p>
        </w:tc>
      </w:tr>
      <w:tr w:rsidR="00051297" w:rsidRPr="00051297" w14:paraId="38C0FDCD" w14:textId="77777777" w:rsidTr="00D20B01">
        <w:trPr>
          <w:trHeight w:val="300"/>
          <w:jc w:val="center"/>
        </w:trPr>
        <w:tc>
          <w:tcPr>
            <w:tcW w:w="2065" w:type="dxa"/>
            <w:vMerge/>
            <w:noWrap/>
            <w:hideMark/>
          </w:tcPr>
          <w:p w14:paraId="38046692" w14:textId="77777777" w:rsidR="00051297" w:rsidRPr="00051297" w:rsidRDefault="00051297" w:rsidP="00051297">
            <w:pPr>
              <w:spacing w:line="240" w:lineRule="auto"/>
              <w:ind w:firstLine="0"/>
              <w:jc w:val="center"/>
              <w:rPr>
                <w:rFonts w:cs="Times New Roman"/>
                <w:lang w:val="en-US"/>
              </w:rPr>
            </w:pPr>
          </w:p>
        </w:tc>
        <w:tc>
          <w:tcPr>
            <w:tcW w:w="1890" w:type="dxa"/>
            <w:noWrap/>
            <w:hideMark/>
          </w:tcPr>
          <w:p w14:paraId="1BDFD3E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15m</w:t>
            </w:r>
          </w:p>
        </w:tc>
        <w:tc>
          <w:tcPr>
            <w:tcW w:w="2430" w:type="dxa"/>
          </w:tcPr>
          <w:p w14:paraId="74D0BE6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1.571</w:t>
            </w:r>
          </w:p>
        </w:tc>
        <w:tc>
          <w:tcPr>
            <w:tcW w:w="2700" w:type="dxa"/>
            <w:noWrap/>
            <w:hideMark/>
          </w:tcPr>
          <w:p w14:paraId="0725307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0.976</w:t>
            </w:r>
          </w:p>
        </w:tc>
      </w:tr>
    </w:tbl>
    <w:p w14:paraId="5ED580A1" w14:textId="77777777" w:rsidR="00051297" w:rsidRPr="00051297" w:rsidRDefault="00051297" w:rsidP="00051297">
      <w:pPr>
        <w:rPr>
          <w:rFonts w:eastAsia="Calibri" w:cs="Times New Roman"/>
          <w:color w:val="A5A5A5"/>
          <w:szCs w:val="24"/>
        </w:rPr>
      </w:pPr>
    </w:p>
    <w:p w14:paraId="3FB4948D" w14:textId="4F740333" w:rsidR="00051297" w:rsidRPr="00051297" w:rsidRDefault="00051297" w:rsidP="004940F9">
      <w:pPr>
        <w:pStyle w:val="3"/>
        <w:rPr>
          <w:rFonts w:eastAsia="Calibri"/>
        </w:rPr>
      </w:pPr>
      <w:bookmarkStart w:id="964" w:name="_Toc103543970"/>
      <w:bookmarkStart w:id="965" w:name="_Toc104985295"/>
      <w:r w:rsidRPr="00051297">
        <w:rPr>
          <w:rFonts w:eastAsia="Calibri"/>
          <w:lang w:val="en-US"/>
        </w:rPr>
        <w:t>Section summary</w:t>
      </w:r>
      <w:bookmarkEnd w:id="964"/>
      <w:bookmarkEnd w:id="965"/>
    </w:p>
    <w:p w14:paraId="0DB3CCED" w14:textId="77777777" w:rsidR="00051297" w:rsidRPr="00051297" w:rsidRDefault="00051297" w:rsidP="00051297">
      <w:pPr>
        <w:rPr>
          <w:rFonts w:eastAsia="Calibri" w:cs="Times New Roman"/>
          <w:color w:val="A5A5A5"/>
          <w:szCs w:val="24"/>
          <w:lang w:val="en-US"/>
        </w:rPr>
      </w:pPr>
      <w:bookmarkStart w:id="966" w:name="_Hlk98029537"/>
      <w:r w:rsidRPr="00051297">
        <w:rPr>
          <w:rFonts w:eastAsia="Calibri" w:cs="Times New Roman"/>
          <w:szCs w:val="24"/>
          <w:lang w:val="en-US"/>
        </w:rPr>
        <w:t>The impact of the size of a toe drain on the slope stability of an embankment dam during rapid drawdown conditions has been studied. According to the findings, pore-water pressures at the upstream face of the embankment decreased as the toe drain size increased, whereas pore-water pressures at the downstream toe increased. Changes in the toe drain size were also discovered to alter the factor of safety values. This research work demonstrated that when an embankment is subjected to a rapid drawdown situation, there is a substantial potential association between toe drain size and factor of safety.</w:t>
      </w:r>
    </w:p>
    <w:bookmarkEnd w:id="966"/>
    <w:p w14:paraId="45C9628F" w14:textId="77777777" w:rsidR="00051297" w:rsidRPr="00051297" w:rsidRDefault="00051297" w:rsidP="00051297">
      <w:pPr>
        <w:rPr>
          <w:rFonts w:cs="Times New Roman"/>
          <w:szCs w:val="24"/>
          <w:lang w:val="en-US" w:bidi="en-US"/>
        </w:rPr>
      </w:pPr>
    </w:p>
    <w:p w14:paraId="59D6E635" w14:textId="6D10CF2C" w:rsidR="00051297" w:rsidRPr="00051297" w:rsidRDefault="00051297" w:rsidP="004940F9">
      <w:pPr>
        <w:pStyle w:val="2"/>
        <w:rPr>
          <w:lang w:val="en-US" w:bidi="en-US"/>
        </w:rPr>
      </w:pPr>
      <w:bookmarkStart w:id="967" w:name="_Toc97504837"/>
      <w:bookmarkStart w:id="968" w:name="_Toc103543971"/>
      <w:bookmarkStart w:id="969" w:name="_Toc104985296"/>
      <w:r w:rsidRPr="00051297">
        <w:rPr>
          <w:lang w:val="en-US" w:bidi="en-US"/>
        </w:rPr>
        <w:t>The effect of internal angle of friction on slope stability of homogeneous embankment under rapid drawdown</w:t>
      </w:r>
      <w:bookmarkEnd w:id="967"/>
      <w:bookmarkEnd w:id="968"/>
      <w:bookmarkEnd w:id="969"/>
    </w:p>
    <w:p w14:paraId="244A6C6D" w14:textId="3BDA42A0" w:rsidR="00051297" w:rsidRPr="00051297" w:rsidRDefault="00051297" w:rsidP="004940F9">
      <w:pPr>
        <w:pStyle w:val="3"/>
        <w:rPr>
          <w:rFonts w:eastAsia="Malgun Gothic"/>
          <w:lang w:eastAsia="ko-KR"/>
        </w:rPr>
      </w:pPr>
      <w:bookmarkStart w:id="970" w:name="_Toc97504838"/>
      <w:bookmarkStart w:id="971" w:name="_Toc103543972"/>
      <w:bookmarkStart w:id="972" w:name="_Toc104985297"/>
      <w:r w:rsidRPr="00051297">
        <w:rPr>
          <w:rFonts w:eastAsia="Malgun Gothic"/>
          <w:lang w:eastAsia="ko-KR"/>
        </w:rPr>
        <w:t>Materials and methods</w:t>
      </w:r>
      <w:bookmarkEnd w:id="970"/>
      <w:bookmarkEnd w:id="971"/>
      <w:bookmarkEnd w:id="972"/>
    </w:p>
    <w:p w14:paraId="562E5E06" w14:textId="1A5BD501" w:rsidR="00051297" w:rsidRPr="00051297" w:rsidRDefault="00051297" w:rsidP="004940F9">
      <w:pPr>
        <w:pStyle w:val="4"/>
        <w:rPr>
          <w:rFonts w:eastAsia="Malgun Gothic"/>
          <w:lang w:val="en-US" w:eastAsia="ko-KR"/>
        </w:rPr>
      </w:pPr>
      <w:bookmarkStart w:id="973" w:name="_Toc103543973"/>
      <w:bookmarkStart w:id="974" w:name="_Toc104985298"/>
      <w:r w:rsidRPr="00051297">
        <w:rPr>
          <w:rFonts w:eastAsia="Malgun Gothic"/>
          <w:lang w:val="en-US" w:eastAsia="ko-KR"/>
        </w:rPr>
        <w:t>Description of the numerical simulation in general</w:t>
      </w:r>
      <w:bookmarkEnd w:id="973"/>
      <w:bookmarkEnd w:id="974"/>
      <w:r w:rsidRPr="00051297">
        <w:rPr>
          <w:rFonts w:eastAsia="Malgun Gothic"/>
          <w:lang w:val="en-US" w:eastAsia="ko-KR"/>
        </w:rPr>
        <w:t xml:space="preserve"> </w:t>
      </w:r>
    </w:p>
    <w:p w14:paraId="4BD9F082" w14:textId="77777777" w:rsidR="00051297" w:rsidRPr="00051297" w:rsidRDefault="00051297" w:rsidP="00051297">
      <w:pPr>
        <w:rPr>
          <w:lang w:val="en-US" w:bidi="en-US"/>
        </w:rPr>
      </w:pPr>
      <w:r w:rsidRPr="00051297">
        <w:rPr>
          <w:lang w:val="en-US" w:bidi="en-US"/>
        </w:rPr>
        <w:t>Using the finite element approach, the effect of the internal angle of friction and rapid drawdown rates on the slope stability of a homogeneous embankment was examined. Different cases as determined by the internal angle of friction (20</w:t>
      </w:r>
      <w:r w:rsidRPr="00051297">
        <w:rPr>
          <w:vertAlign w:val="superscript"/>
          <w:lang w:val="en-US" w:bidi="en-US"/>
        </w:rPr>
        <w:t>0</w:t>
      </w:r>
      <w:r w:rsidRPr="00051297">
        <w:rPr>
          <w:lang w:val="en-US" w:bidi="en-US"/>
        </w:rPr>
        <w:t xml:space="preserve"> to 35</w:t>
      </w:r>
      <w:r w:rsidRPr="00051297">
        <w:rPr>
          <w:vertAlign w:val="superscript"/>
          <w:lang w:val="en-US" w:bidi="en-US"/>
        </w:rPr>
        <w:t>0</w:t>
      </w:r>
      <w:r w:rsidRPr="00051297">
        <w:rPr>
          <w:lang w:val="en-US" w:bidi="en-US"/>
        </w:rPr>
        <w:t xml:space="preserve"> at an interval of 5</w:t>
      </w:r>
      <w:r w:rsidRPr="00051297">
        <w:rPr>
          <w:vertAlign w:val="superscript"/>
          <w:lang w:val="en-US" w:bidi="en-US"/>
        </w:rPr>
        <w:t>0</w:t>
      </w:r>
      <w:r w:rsidRPr="00051297">
        <w:rPr>
          <w:lang w:val="en-US" w:bidi="en-US"/>
        </w:rPr>
        <w:t>), were taken into consideration. The numerical modeling process was done using the GeoStudio software suite (GeoStudio 2018 R2 v9.1.1.16749). The GeoStudio's SEEP/W and SLOPE/W sub-units were primarily employed for seepage and slope stability analyses, respectively.</w:t>
      </w:r>
    </w:p>
    <w:p w14:paraId="02EC8D63" w14:textId="1A262936" w:rsidR="00051297" w:rsidRPr="00051297" w:rsidRDefault="00051297" w:rsidP="004940F9">
      <w:pPr>
        <w:pStyle w:val="4"/>
        <w:rPr>
          <w:rFonts w:eastAsia="Malgun Gothic"/>
          <w:lang w:eastAsia="ko-KR"/>
        </w:rPr>
      </w:pPr>
      <w:bookmarkStart w:id="975" w:name="_Toc103543974"/>
      <w:bookmarkStart w:id="976" w:name="_Toc104985299"/>
      <w:r w:rsidRPr="00051297">
        <w:rPr>
          <w:rFonts w:eastAsia="Malgun Gothic"/>
          <w:lang w:eastAsia="ko-KR"/>
        </w:rPr>
        <w:t>The geometry of the embankment</w:t>
      </w:r>
      <w:bookmarkEnd w:id="975"/>
      <w:bookmarkEnd w:id="976"/>
    </w:p>
    <w:p w14:paraId="47F8C07E" w14:textId="7E1ACA31" w:rsidR="00051297" w:rsidRPr="00051297" w:rsidRDefault="00051297" w:rsidP="00051297">
      <w:pPr>
        <w:rPr>
          <w:lang w:val="en-US" w:eastAsia="ko-KR"/>
        </w:rPr>
      </w:pPr>
      <w:r w:rsidRPr="00051297">
        <w:rPr>
          <w:lang w:val="en-US" w:eastAsia="ko-KR"/>
        </w:rPr>
        <w:t xml:space="preserve">To avoid variations that could be led by other factors, the geometry of the dam embankment was maintained in all the investigated cases while changing the internal angle of friction. The width of the embankment is approximately 59 m at the base as well as 7 m at the top, while the height of the embankment is 13 m, as shown in </w:t>
      </w:r>
      <w:r w:rsidRPr="00051297">
        <w:rPr>
          <w:lang w:val="en-US" w:eastAsia="ko-KR"/>
        </w:rPr>
        <w:fldChar w:fldCharType="begin"/>
      </w:r>
      <w:r w:rsidRPr="00051297">
        <w:rPr>
          <w:lang w:val="en-US" w:eastAsia="ko-KR"/>
        </w:rPr>
        <w:instrText xml:space="preserve"> REF _Ref98105612 \h </w:instrText>
      </w:r>
      <w:r w:rsidRPr="00051297">
        <w:rPr>
          <w:lang w:val="en-US" w:eastAsia="ko-KR"/>
        </w:rPr>
      </w:r>
      <w:r w:rsidRPr="00051297">
        <w:rPr>
          <w:lang w:val="en-US" w:eastAsia="ko-KR"/>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16</w:t>
      </w:r>
      <w:r w:rsidRPr="00051297">
        <w:rPr>
          <w:lang w:val="en-US" w:eastAsia="ko-KR"/>
        </w:rPr>
        <w:fldChar w:fldCharType="end"/>
      </w:r>
      <w:r w:rsidRPr="00051297">
        <w:rPr>
          <w:lang w:val="en-US" w:eastAsia="ko-KR"/>
        </w:rPr>
        <w:t xml:space="preserve">. The reservoir's highest water level is 10 meters. The embankment geometry parameters are summarized in </w:t>
      </w:r>
      <w:r w:rsidRPr="00051297">
        <w:rPr>
          <w:lang w:val="en-US" w:eastAsia="ko-KR"/>
        </w:rPr>
        <w:fldChar w:fldCharType="begin"/>
      </w:r>
      <w:r w:rsidRPr="00051297">
        <w:rPr>
          <w:lang w:val="en-US" w:eastAsia="ko-KR"/>
        </w:rPr>
        <w:instrText xml:space="preserve"> REF _Ref98105639 \h </w:instrText>
      </w:r>
      <w:r w:rsidRPr="00051297">
        <w:rPr>
          <w:lang w:val="en-US" w:eastAsia="ko-KR"/>
        </w:rPr>
      </w:r>
      <w:r w:rsidRPr="00051297">
        <w:rPr>
          <w:lang w:val="en-US" w:eastAsia="ko-KR"/>
        </w:rPr>
        <w:fldChar w:fldCharType="separate"/>
      </w:r>
      <w:r w:rsidR="004870F1" w:rsidRPr="00051297">
        <w:rPr>
          <w:rFonts w:cs="Times New Roman"/>
          <w:szCs w:val="24"/>
          <w:lang w:val="en-US"/>
        </w:rPr>
        <w:t xml:space="preserve">Table </w:t>
      </w:r>
      <w:r w:rsidR="004870F1">
        <w:rPr>
          <w:rFonts w:cs="Times New Roman"/>
          <w:noProof/>
          <w:szCs w:val="24"/>
          <w:lang w:val="en-US"/>
        </w:rPr>
        <w:t>4</w:t>
      </w:r>
      <w:r w:rsidR="004870F1" w:rsidRPr="00051297">
        <w:rPr>
          <w:rFonts w:cs="Times New Roman"/>
          <w:szCs w:val="24"/>
          <w:lang w:val="en-US"/>
        </w:rPr>
        <w:t>.</w:t>
      </w:r>
      <w:r w:rsidR="004870F1">
        <w:rPr>
          <w:rFonts w:cs="Times New Roman"/>
          <w:noProof/>
          <w:szCs w:val="24"/>
          <w:lang w:val="en-US"/>
        </w:rPr>
        <w:t>6</w:t>
      </w:r>
      <w:r w:rsidRPr="00051297">
        <w:rPr>
          <w:lang w:val="en-US" w:eastAsia="ko-KR"/>
        </w:rPr>
        <w:fldChar w:fldCharType="end"/>
      </w:r>
      <w:r w:rsidRPr="00051297">
        <w:rPr>
          <w:lang w:val="en-US" w:eastAsia="ko-KR"/>
        </w:rPr>
        <w:t xml:space="preserve">. </w:t>
      </w:r>
    </w:p>
    <w:p w14:paraId="2CFD7E17" w14:textId="2E832CA7" w:rsidR="00051297" w:rsidRPr="00051297" w:rsidRDefault="004C7CFE" w:rsidP="00051297">
      <w:pPr>
        <w:keepNext/>
        <w:widowControl w:val="0"/>
        <w:kinsoku w:val="0"/>
        <w:overflowPunct w:val="0"/>
        <w:autoSpaceDE w:val="0"/>
        <w:autoSpaceDN w:val="0"/>
        <w:adjustRightInd w:val="0"/>
        <w:snapToGrid w:val="0"/>
        <w:ind w:firstLine="0"/>
        <w:jc w:val="center"/>
        <w:rPr>
          <w:rFonts w:cs="Times New Roman"/>
          <w:szCs w:val="24"/>
        </w:rPr>
      </w:pPr>
      <w:r>
        <w:rPr>
          <w:noProof/>
        </w:rPr>
        <w:lastRenderedPageBreak/>
        <w:drawing>
          <wp:inline distT="0" distB="0" distL="0" distR="0" wp14:anchorId="7954DCE1" wp14:editId="2B9016A8">
            <wp:extent cx="5939790" cy="1833245"/>
            <wp:effectExtent l="0" t="0" r="381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39790" cy="1833245"/>
                    </a:xfrm>
                    <a:prstGeom prst="rect">
                      <a:avLst/>
                    </a:prstGeom>
                    <a:noFill/>
                    <a:ln>
                      <a:noFill/>
                    </a:ln>
                  </pic:spPr>
                </pic:pic>
              </a:graphicData>
            </a:graphic>
          </wp:inline>
        </w:drawing>
      </w:r>
    </w:p>
    <w:p w14:paraId="13DAFA72" w14:textId="028FADE6" w:rsidR="00051297" w:rsidRPr="00051297" w:rsidRDefault="00051297" w:rsidP="00051297">
      <w:pPr>
        <w:ind w:firstLine="0"/>
        <w:jc w:val="center"/>
        <w:rPr>
          <w:rFonts w:cs="Times New Roman"/>
          <w:szCs w:val="24"/>
          <w:lang w:val="en-US" w:bidi="en-US"/>
        </w:rPr>
      </w:pPr>
      <w:bookmarkStart w:id="977" w:name="_Ref98105612"/>
      <w:bookmarkStart w:id="978" w:name="_Toc97428259"/>
      <w:bookmarkStart w:id="979" w:name="_Toc98085934"/>
      <w:bookmarkStart w:id="980" w:name="_Toc103544131"/>
      <w:bookmarkStart w:id="981" w:name="_Toc104985454"/>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16</w:t>
      </w:r>
      <w:r w:rsidR="00527861">
        <w:rPr>
          <w:rFonts w:cs="Times New Roman"/>
          <w:szCs w:val="24"/>
          <w:lang w:val="en-US" w:bidi="en-US"/>
        </w:rPr>
        <w:fldChar w:fldCharType="end"/>
      </w:r>
      <w:bookmarkEnd w:id="977"/>
      <w:r w:rsidRPr="00051297">
        <w:rPr>
          <w:lang w:val="en-US"/>
        </w:rPr>
        <w:t xml:space="preserve"> </w:t>
      </w:r>
      <w:r w:rsidRPr="00051297">
        <w:rPr>
          <w:rFonts w:cs="Times New Roman"/>
          <w:szCs w:val="24"/>
          <w:lang w:val="en-US" w:bidi="en-US"/>
        </w:rPr>
        <w:t>– General embankment geometry</w:t>
      </w:r>
      <w:bookmarkEnd w:id="978"/>
      <w:bookmarkEnd w:id="979"/>
      <w:bookmarkEnd w:id="980"/>
      <w:bookmarkEnd w:id="981"/>
    </w:p>
    <w:p w14:paraId="52C6A2D5" w14:textId="6A0CA2AD" w:rsidR="00051297" w:rsidRPr="00051297" w:rsidRDefault="00051297" w:rsidP="00051297">
      <w:pPr>
        <w:keepNext/>
        <w:ind w:firstLine="0"/>
        <w:rPr>
          <w:rFonts w:cs="Times New Roman"/>
          <w:szCs w:val="24"/>
          <w:lang w:val="en-US" w:bidi="en-US"/>
        </w:rPr>
      </w:pPr>
      <w:bookmarkStart w:id="982" w:name="_Ref98105639"/>
      <w:bookmarkStart w:id="983" w:name="_Toc97077205"/>
      <w:bookmarkStart w:id="984" w:name="_Toc103544254"/>
      <w:bookmarkStart w:id="985" w:name="_Toc104985580"/>
      <w:r w:rsidRPr="00051297">
        <w:rPr>
          <w:rFonts w:cs="Times New Roman"/>
          <w:szCs w:val="24"/>
          <w:lang w:val="en-US"/>
        </w:rPr>
        <w:t xml:space="preserve">Table </w:t>
      </w:r>
      <w:r w:rsidRPr="00051297">
        <w:rPr>
          <w:rFonts w:cs="Times New Roman"/>
          <w:szCs w:val="24"/>
          <w:lang w:val="en-US"/>
        </w:rPr>
        <w:fldChar w:fldCharType="begin"/>
      </w:r>
      <w:r w:rsidRPr="00051297">
        <w:rPr>
          <w:rFonts w:cs="Times New Roman"/>
          <w:szCs w:val="24"/>
          <w:lang w:val="en-US"/>
        </w:rPr>
        <w:instrText xml:space="preserve"> STYLEREF 1 \s </w:instrText>
      </w:r>
      <w:r w:rsidRPr="00051297">
        <w:rPr>
          <w:rFonts w:cs="Times New Roman"/>
          <w:szCs w:val="24"/>
          <w:lang w:val="en-US"/>
        </w:rPr>
        <w:fldChar w:fldCharType="separate"/>
      </w:r>
      <w:r w:rsidR="004870F1">
        <w:rPr>
          <w:rFonts w:cs="Times New Roman"/>
          <w:noProof/>
          <w:szCs w:val="24"/>
          <w:lang w:val="en-US"/>
        </w:rPr>
        <w:t>4</w:t>
      </w:r>
      <w:r w:rsidRPr="00051297">
        <w:rPr>
          <w:rFonts w:cs="Times New Roman"/>
          <w:szCs w:val="24"/>
          <w:lang w:val="en-US"/>
        </w:rPr>
        <w:fldChar w:fldCharType="end"/>
      </w:r>
      <w:r w:rsidRPr="00051297">
        <w:rPr>
          <w:rFonts w:cs="Times New Roman"/>
          <w:szCs w:val="24"/>
          <w:lang w:val="en-US"/>
        </w:rPr>
        <w:t>.</w:t>
      </w:r>
      <w:r w:rsidRPr="00051297">
        <w:rPr>
          <w:rFonts w:cs="Times New Roman"/>
          <w:szCs w:val="24"/>
          <w:lang w:val="en-US"/>
        </w:rPr>
        <w:fldChar w:fldCharType="begin"/>
      </w:r>
      <w:r w:rsidRPr="00051297">
        <w:rPr>
          <w:rFonts w:cs="Times New Roman"/>
          <w:szCs w:val="24"/>
          <w:lang w:val="en-US"/>
        </w:rPr>
        <w:instrText xml:space="preserve"> SEQ Table \* ARABIC \s 1 </w:instrText>
      </w:r>
      <w:r w:rsidRPr="00051297">
        <w:rPr>
          <w:rFonts w:cs="Times New Roman"/>
          <w:szCs w:val="24"/>
          <w:lang w:val="en-US"/>
        </w:rPr>
        <w:fldChar w:fldCharType="separate"/>
      </w:r>
      <w:r w:rsidR="004870F1">
        <w:rPr>
          <w:rFonts w:cs="Times New Roman"/>
          <w:noProof/>
          <w:szCs w:val="24"/>
          <w:lang w:val="en-US"/>
        </w:rPr>
        <w:t>6</w:t>
      </w:r>
      <w:r w:rsidRPr="00051297">
        <w:rPr>
          <w:rFonts w:cs="Times New Roman"/>
          <w:szCs w:val="24"/>
          <w:lang w:val="en-US"/>
        </w:rPr>
        <w:fldChar w:fldCharType="end"/>
      </w:r>
      <w:bookmarkEnd w:id="982"/>
      <w:r w:rsidRPr="00051297">
        <w:rPr>
          <w:i/>
          <w:iCs/>
          <w:color w:val="44546A" w:themeColor="text2"/>
          <w:sz w:val="18"/>
          <w:szCs w:val="18"/>
          <w:lang w:val="en-US"/>
        </w:rPr>
        <w:t xml:space="preserve"> </w:t>
      </w:r>
      <w:r w:rsidRPr="00051297">
        <w:rPr>
          <w:rFonts w:cs="Times New Roman"/>
          <w:szCs w:val="24"/>
          <w:lang w:val="en-US"/>
        </w:rPr>
        <w:t xml:space="preserve">– </w:t>
      </w:r>
      <w:r w:rsidRPr="00051297">
        <w:rPr>
          <w:rFonts w:cs="Times New Roman"/>
          <w:szCs w:val="24"/>
          <w:lang w:val="en-US" w:bidi="en-US"/>
        </w:rPr>
        <w:t>Summary of the embankment geometry parameters</w:t>
      </w:r>
      <w:bookmarkEnd w:id="983"/>
      <w:bookmarkEnd w:id="984"/>
      <w:bookmarkEnd w:id="985"/>
    </w:p>
    <w:tbl>
      <w:tblPr>
        <w:tblStyle w:val="TableGrid21"/>
        <w:tblW w:w="0" w:type="auto"/>
        <w:jc w:val="center"/>
        <w:tblLook w:val="04A0" w:firstRow="1" w:lastRow="0" w:firstColumn="1" w:lastColumn="0" w:noHBand="0" w:noVBand="1"/>
      </w:tblPr>
      <w:tblGrid>
        <w:gridCol w:w="3114"/>
        <w:gridCol w:w="3115"/>
        <w:gridCol w:w="3115"/>
      </w:tblGrid>
      <w:tr w:rsidR="00051297" w:rsidRPr="00051297" w14:paraId="09E3ABF5" w14:textId="77777777" w:rsidTr="00D20B01">
        <w:trPr>
          <w:jc w:val="center"/>
        </w:trPr>
        <w:tc>
          <w:tcPr>
            <w:tcW w:w="3116" w:type="dxa"/>
          </w:tcPr>
          <w:p w14:paraId="2961A0CB" w14:textId="77777777" w:rsidR="00051297" w:rsidRPr="00051297" w:rsidRDefault="00051297" w:rsidP="004940F9">
            <w:pPr>
              <w:ind w:firstLine="0"/>
              <w:jc w:val="center"/>
              <w:rPr>
                <w:rFonts w:cs="Times New Roman"/>
                <w:lang w:val="en-US"/>
              </w:rPr>
            </w:pPr>
            <w:r w:rsidRPr="00051297">
              <w:rPr>
                <w:rFonts w:cs="Times New Roman"/>
                <w:lang w:val="en-US"/>
              </w:rPr>
              <w:t>Parameter</w:t>
            </w:r>
          </w:p>
        </w:tc>
        <w:tc>
          <w:tcPr>
            <w:tcW w:w="3117" w:type="dxa"/>
          </w:tcPr>
          <w:p w14:paraId="2162564D" w14:textId="77777777" w:rsidR="00051297" w:rsidRPr="00051297" w:rsidRDefault="00051297" w:rsidP="004940F9">
            <w:pPr>
              <w:ind w:firstLine="0"/>
              <w:jc w:val="center"/>
              <w:rPr>
                <w:rFonts w:cs="Times New Roman"/>
                <w:lang w:val="en-US"/>
              </w:rPr>
            </w:pPr>
            <w:r w:rsidRPr="00051297">
              <w:rPr>
                <w:rFonts w:cs="Times New Roman"/>
                <w:lang w:val="en-US"/>
              </w:rPr>
              <w:t>Unit</w:t>
            </w:r>
          </w:p>
        </w:tc>
        <w:tc>
          <w:tcPr>
            <w:tcW w:w="3117" w:type="dxa"/>
          </w:tcPr>
          <w:p w14:paraId="5495978C" w14:textId="77777777" w:rsidR="00051297" w:rsidRPr="00051297" w:rsidRDefault="00051297" w:rsidP="004940F9">
            <w:pPr>
              <w:ind w:firstLine="0"/>
              <w:jc w:val="center"/>
              <w:rPr>
                <w:rFonts w:cs="Times New Roman"/>
                <w:lang w:val="en-US"/>
              </w:rPr>
            </w:pPr>
            <w:r w:rsidRPr="00051297">
              <w:rPr>
                <w:rFonts w:cs="Times New Roman"/>
                <w:lang w:val="en-US"/>
              </w:rPr>
              <w:t>Value</w:t>
            </w:r>
          </w:p>
        </w:tc>
      </w:tr>
      <w:tr w:rsidR="00051297" w:rsidRPr="00051297" w14:paraId="1B609442" w14:textId="77777777" w:rsidTr="00D20B01">
        <w:trPr>
          <w:jc w:val="center"/>
        </w:trPr>
        <w:tc>
          <w:tcPr>
            <w:tcW w:w="3116" w:type="dxa"/>
          </w:tcPr>
          <w:p w14:paraId="7E487E29" w14:textId="77777777" w:rsidR="00051297" w:rsidRPr="00051297" w:rsidRDefault="00051297" w:rsidP="004940F9">
            <w:pPr>
              <w:ind w:firstLine="0"/>
              <w:jc w:val="center"/>
              <w:rPr>
                <w:rFonts w:cs="Times New Roman"/>
                <w:lang w:val="en-US"/>
              </w:rPr>
            </w:pPr>
            <w:r w:rsidRPr="00051297">
              <w:rPr>
                <w:rFonts w:cs="Times New Roman"/>
                <w:lang w:val="en-US"/>
              </w:rPr>
              <w:t>Bottom width</w:t>
            </w:r>
          </w:p>
        </w:tc>
        <w:tc>
          <w:tcPr>
            <w:tcW w:w="3117" w:type="dxa"/>
          </w:tcPr>
          <w:p w14:paraId="3E1CF8E2" w14:textId="77777777" w:rsidR="00051297" w:rsidRPr="00051297" w:rsidRDefault="00051297" w:rsidP="004940F9">
            <w:pPr>
              <w:ind w:firstLine="0"/>
              <w:jc w:val="center"/>
              <w:rPr>
                <w:rFonts w:cs="Times New Roman"/>
                <w:lang w:val="en-US"/>
              </w:rPr>
            </w:pPr>
            <w:r w:rsidRPr="00051297">
              <w:rPr>
                <w:rFonts w:cs="Times New Roman"/>
                <w:lang w:val="en-US"/>
              </w:rPr>
              <w:t>m</w:t>
            </w:r>
          </w:p>
        </w:tc>
        <w:tc>
          <w:tcPr>
            <w:tcW w:w="3117" w:type="dxa"/>
          </w:tcPr>
          <w:p w14:paraId="7884D808" w14:textId="77777777" w:rsidR="00051297" w:rsidRPr="00051297" w:rsidRDefault="00051297" w:rsidP="004940F9">
            <w:pPr>
              <w:ind w:firstLine="0"/>
              <w:jc w:val="center"/>
              <w:rPr>
                <w:rFonts w:cs="Times New Roman"/>
                <w:lang w:val="en-US"/>
              </w:rPr>
            </w:pPr>
            <w:r w:rsidRPr="00051297">
              <w:rPr>
                <w:rFonts w:cs="Times New Roman"/>
                <w:lang w:val="en-US"/>
              </w:rPr>
              <w:t>59</w:t>
            </w:r>
          </w:p>
        </w:tc>
      </w:tr>
      <w:tr w:rsidR="00051297" w:rsidRPr="00051297" w14:paraId="11904D6C" w14:textId="77777777" w:rsidTr="00D20B01">
        <w:trPr>
          <w:jc w:val="center"/>
        </w:trPr>
        <w:tc>
          <w:tcPr>
            <w:tcW w:w="3116" w:type="dxa"/>
          </w:tcPr>
          <w:p w14:paraId="63246A70" w14:textId="77777777" w:rsidR="00051297" w:rsidRPr="00051297" w:rsidRDefault="00051297" w:rsidP="004940F9">
            <w:pPr>
              <w:ind w:firstLine="0"/>
              <w:jc w:val="center"/>
              <w:rPr>
                <w:rFonts w:cs="Times New Roman"/>
                <w:lang w:val="en-US"/>
              </w:rPr>
            </w:pPr>
            <w:r w:rsidRPr="00051297">
              <w:rPr>
                <w:rFonts w:cs="Times New Roman"/>
                <w:lang w:val="en-US"/>
              </w:rPr>
              <w:t>Top width</w:t>
            </w:r>
          </w:p>
        </w:tc>
        <w:tc>
          <w:tcPr>
            <w:tcW w:w="3117" w:type="dxa"/>
          </w:tcPr>
          <w:p w14:paraId="071428F3" w14:textId="77777777" w:rsidR="00051297" w:rsidRPr="00051297" w:rsidRDefault="00051297" w:rsidP="004940F9">
            <w:pPr>
              <w:ind w:firstLine="0"/>
              <w:jc w:val="center"/>
              <w:rPr>
                <w:rFonts w:cs="Times New Roman"/>
                <w:lang w:val="en-US"/>
              </w:rPr>
            </w:pPr>
            <w:r w:rsidRPr="00051297">
              <w:rPr>
                <w:rFonts w:cs="Times New Roman"/>
                <w:lang w:val="en-US"/>
              </w:rPr>
              <w:t>m</w:t>
            </w:r>
          </w:p>
        </w:tc>
        <w:tc>
          <w:tcPr>
            <w:tcW w:w="3117" w:type="dxa"/>
          </w:tcPr>
          <w:p w14:paraId="2B73B916" w14:textId="77777777" w:rsidR="00051297" w:rsidRPr="00051297" w:rsidRDefault="00051297" w:rsidP="004940F9">
            <w:pPr>
              <w:ind w:firstLine="0"/>
              <w:jc w:val="center"/>
              <w:rPr>
                <w:rFonts w:cs="Times New Roman"/>
                <w:lang w:val="en-US"/>
              </w:rPr>
            </w:pPr>
            <w:r w:rsidRPr="00051297">
              <w:rPr>
                <w:rFonts w:cs="Times New Roman"/>
                <w:lang w:val="en-US"/>
              </w:rPr>
              <w:t>7</w:t>
            </w:r>
          </w:p>
        </w:tc>
      </w:tr>
      <w:tr w:rsidR="00051297" w:rsidRPr="00051297" w14:paraId="2663928B" w14:textId="77777777" w:rsidTr="00D20B01">
        <w:trPr>
          <w:jc w:val="center"/>
        </w:trPr>
        <w:tc>
          <w:tcPr>
            <w:tcW w:w="3116" w:type="dxa"/>
          </w:tcPr>
          <w:p w14:paraId="67F6E633" w14:textId="77777777" w:rsidR="00051297" w:rsidRPr="00051297" w:rsidRDefault="00051297" w:rsidP="004940F9">
            <w:pPr>
              <w:ind w:firstLine="0"/>
              <w:jc w:val="center"/>
              <w:rPr>
                <w:rFonts w:cs="Times New Roman"/>
                <w:lang w:val="en-US"/>
              </w:rPr>
            </w:pPr>
            <w:r w:rsidRPr="00051297">
              <w:rPr>
                <w:rFonts w:cs="Times New Roman"/>
                <w:lang w:val="en-US"/>
              </w:rPr>
              <w:t>Embankment height</w:t>
            </w:r>
          </w:p>
        </w:tc>
        <w:tc>
          <w:tcPr>
            <w:tcW w:w="3117" w:type="dxa"/>
          </w:tcPr>
          <w:p w14:paraId="05EA14B0" w14:textId="77777777" w:rsidR="00051297" w:rsidRPr="00051297" w:rsidRDefault="00051297" w:rsidP="004940F9">
            <w:pPr>
              <w:ind w:firstLine="0"/>
              <w:jc w:val="center"/>
              <w:rPr>
                <w:rFonts w:cs="Times New Roman"/>
                <w:lang w:val="en-US"/>
              </w:rPr>
            </w:pPr>
            <w:r w:rsidRPr="00051297">
              <w:rPr>
                <w:rFonts w:cs="Times New Roman"/>
                <w:lang w:val="en-US"/>
              </w:rPr>
              <w:t>m</w:t>
            </w:r>
          </w:p>
        </w:tc>
        <w:tc>
          <w:tcPr>
            <w:tcW w:w="3117" w:type="dxa"/>
          </w:tcPr>
          <w:p w14:paraId="00285578" w14:textId="77777777" w:rsidR="00051297" w:rsidRPr="00051297" w:rsidRDefault="00051297" w:rsidP="004940F9">
            <w:pPr>
              <w:ind w:firstLine="0"/>
              <w:jc w:val="center"/>
              <w:rPr>
                <w:rFonts w:cs="Times New Roman"/>
                <w:lang w:val="en-US"/>
              </w:rPr>
            </w:pPr>
            <w:r w:rsidRPr="00051297">
              <w:rPr>
                <w:rFonts w:cs="Times New Roman"/>
                <w:lang w:val="en-US"/>
              </w:rPr>
              <w:t>13</w:t>
            </w:r>
          </w:p>
        </w:tc>
      </w:tr>
      <w:tr w:rsidR="00051297" w:rsidRPr="00051297" w14:paraId="515F5994" w14:textId="77777777" w:rsidTr="00D20B01">
        <w:trPr>
          <w:jc w:val="center"/>
        </w:trPr>
        <w:tc>
          <w:tcPr>
            <w:tcW w:w="3116" w:type="dxa"/>
          </w:tcPr>
          <w:p w14:paraId="54F9AFF2" w14:textId="77777777" w:rsidR="00051297" w:rsidRPr="00051297" w:rsidRDefault="00051297" w:rsidP="004940F9">
            <w:pPr>
              <w:ind w:firstLine="0"/>
              <w:jc w:val="center"/>
              <w:rPr>
                <w:rFonts w:cs="Times New Roman"/>
                <w:lang w:val="en-US"/>
              </w:rPr>
            </w:pPr>
            <w:r w:rsidRPr="00051297">
              <w:rPr>
                <w:rFonts w:cs="Times New Roman"/>
                <w:lang w:val="en-US"/>
              </w:rPr>
              <w:t>Maximum water level</w:t>
            </w:r>
          </w:p>
        </w:tc>
        <w:tc>
          <w:tcPr>
            <w:tcW w:w="3117" w:type="dxa"/>
          </w:tcPr>
          <w:p w14:paraId="09DFA9CA" w14:textId="77777777" w:rsidR="00051297" w:rsidRPr="00051297" w:rsidRDefault="00051297" w:rsidP="004940F9">
            <w:pPr>
              <w:ind w:firstLine="0"/>
              <w:jc w:val="center"/>
              <w:rPr>
                <w:rFonts w:cs="Times New Roman"/>
                <w:lang w:val="en-US"/>
              </w:rPr>
            </w:pPr>
            <w:r w:rsidRPr="00051297">
              <w:rPr>
                <w:rFonts w:cs="Times New Roman"/>
                <w:lang w:val="en-US"/>
              </w:rPr>
              <w:t>m</w:t>
            </w:r>
          </w:p>
        </w:tc>
        <w:tc>
          <w:tcPr>
            <w:tcW w:w="3117" w:type="dxa"/>
          </w:tcPr>
          <w:p w14:paraId="648159CF" w14:textId="77777777" w:rsidR="00051297" w:rsidRPr="00051297" w:rsidRDefault="00051297" w:rsidP="004940F9">
            <w:pPr>
              <w:ind w:firstLine="0"/>
              <w:jc w:val="center"/>
              <w:rPr>
                <w:rFonts w:cs="Times New Roman"/>
                <w:lang w:val="en-US"/>
              </w:rPr>
            </w:pPr>
            <w:r w:rsidRPr="00051297">
              <w:rPr>
                <w:rFonts w:cs="Times New Roman"/>
                <w:lang w:val="en-US"/>
              </w:rPr>
              <w:t>10</w:t>
            </w:r>
          </w:p>
        </w:tc>
      </w:tr>
      <w:tr w:rsidR="00051297" w:rsidRPr="00051297" w14:paraId="4C034CBA" w14:textId="77777777" w:rsidTr="00D20B01">
        <w:trPr>
          <w:jc w:val="center"/>
        </w:trPr>
        <w:tc>
          <w:tcPr>
            <w:tcW w:w="3116" w:type="dxa"/>
          </w:tcPr>
          <w:p w14:paraId="51FC5483" w14:textId="77777777" w:rsidR="00051297" w:rsidRPr="00051297" w:rsidRDefault="00051297" w:rsidP="004940F9">
            <w:pPr>
              <w:ind w:firstLine="0"/>
              <w:jc w:val="center"/>
              <w:rPr>
                <w:rFonts w:cs="Times New Roman"/>
                <w:lang w:val="en-US"/>
              </w:rPr>
            </w:pPr>
            <w:r w:rsidRPr="00051297">
              <w:rPr>
                <w:rFonts w:cs="Times New Roman"/>
                <w:lang w:val="en-US"/>
              </w:rPr>
              <w:t>Slope, H:V</w:t>
            </w:r>
          </w:p>
        </w:tc>
        <w:tc>
          <w:tcPr>
            <w:tcW w:w="3117" w:type="dxa"/>
          </w:tcPr>
          <w:p w14:paraId="584305F2" w14:textId="77777777" w:rsidR="00051297" w:rsidRPr="00051297" w:rsidRDefault="00051297" w:rsidP="004940F9">
            <w:pPr>
              <w:ind w:firstLine="0"/>
              <w:jc w:val="center"/>
              <w:rPr>
                <w:rFonts w:cs="Times New Roman"/>
                <w:lang w:val="en-US"/>
              </w:rPr>
            </w:pPr>
            <w:r w:rsidRPr="00051297">
              <w:rPr>
                <w:rFonts w:cs="Times New Roman"/>
                <w:lang w:val="en-US"/>
              </w:rPr>
              <w:t>-</w:t>
            </w:r>
          </w:p>
        </w:tc>
        <w:tc>
          <w:tcPr>
            <w:tcW w:w="3117" w:type="dxa"/>
          </w:tcPr>
          <w:p w14:paraId="1E480562" w14:textId="77777777" w:rsidR="00051297" w:rsidRPr="00051297" w:rsidRDefault="00051297" w:rsidP="004940F9">
            <w:pPr>
              <w:ind w:firstLine="0"/>
              <w:jc w:val="center"/>
              <w:rPr>
                <w:rFonts w:cs="Times New Roman"/>
                <w:lang w:val="en-US"/>
              </w:rPr>
            </w:pPr>
            <w:r w:rsidRPr="00051297">
              <w:rPr>
                <w:rFonts w:cs="Times New Roman"/>
                <w:lang w:val="en-US"/>
              </w:rPr>
              <w:t>2:1</w:t>
            </w:r>
          </w:p>
        </w:tc>
      </w:tr>
    </w:tbl>
    <w:p w14:paraId="35A36A64" w14:textId="77777777" w:rsidR="00051297" w:rsidRPr="00051297" w:rsidRDefault="00051297" w:rsidP="00051297">
      <w:pPr>
        <w:widowControl w:val="0"/>
        <w:kinsoku w:val="0"/>
        <w:overflowPunct w:val="0"/>
        <w:autoSpaceDE w:val="0"/>
        <w:autoSpaceDN w:val="0"/>
        <w:adjustRightInd w:val="0"/>
        <w:snapToGrid w:val="0"/>
        <w:rPr>
          <w:rFonts w:eastAsia="Malgun Gothic" w:cs="Times New Roman"/>
          <w:bCs/>
          <w:i/>
          <w:color w:val="FF0000"/>
          <w:spacing w:val="-4"/>
          <w:kern w:val="2"/>
          <w:szCs w:val="24"/>
          <w:lang w:val="en-GB" w:eastAsia="ko-KR"/>
        </w:rPr>
      </w:pPr>
    </w:p>
    <w:p w14:paraId="59354A9B" w14:textId="48D7B033" w:rsidR="00051297" w:rsidRPr="00051297" w:rsidRDefault="00051297" w:rsidP="004940F9">
      <w:pPr>
        <w:pStyle w:val="4"/>
        <w:rPr>
          <w:rFonts w:eastAsia="Malgun Gothic"/>
          <w:lang w:val="en-GB" w:eastAsia="ko-KR"/>
        </w:rPr>
      </w:pPr>
      <w:bookmarkStart w:id="986" w:name="_Toc103543975"/>
      <w:bookmarkStart w:id="987" w:name="_Toc104985300"/>
      <w:r w:rsidRPr="00051297">
        <w:rPr>
          <w:rFonts w:eastAsia="Malgun Gothic"/>
          <w:lang w:val="en-GB" w:eastAsia="ko-KR"/>
        </w:rPr>
        <w:t>Analyses of seepage and slope stability</w:t>
      </w:r>
      <w:bookmarkEnd w:id="986"/>
      <w:bookmarkEnd w:id="987"/>
    </w:p>
    <w:p w14:paraId="6C7BF2B3" w14:textId="77777777" w:rsidR="00051297" w:rsidRPr="00051297" w:rsidRDefault="00051297" w:rsidP="00051297">
      <w:pPr>
        <w:rPr>
          <w:lang w:val="en-US" w:bidi="en-US"/>
        </w:rPr>
      </w:pPr>
      <w:r w:rsidRPr="00051297">
        <w:rPr>
          <w:lang w:val="en-US" w:bidi="en-US"/>
        </w:rPr>
        <w:t>To analyze changing pore-water pressure conditions, the SEEP/W water transfer-based analyses were used in general. The transient seepage analysis was used to generate seepage-induced pore pressures and free groundwater-surface for varied drawdown rates in this study to model the slope's drawdown behavior.</w:t>
      </w:r>
    </w:p>
    <w:p w14:paraId="6A1AA76C" w14:textId="67A9DEB2" w:rsidR="00051297" w:rsidRPr="00051297" w:rsidRDefault="00051297" w:rsidP="00051297">
      <w:pPr>
        <w:rPr>
          <w:lang w:val="en-US" w:bidi="en-US"/>
        </w:rPr>
      </w:pPr>
      <w:r w:rsidRPr="00051297">
        <w:rPr>
          <w:lang w:val="en-US" w:bidi="en-US"/>
        </w:rPr>
        <w:t xml:space="preserve">The slope stability analyses, on the other hand, were carried out using the GeoStudio's SLOPE/W sub-unit, which was based on the Spencer approach. The Spencer approach, in general, allows for unconstrained slip plains </w:t>
      </w:r>
      <w:r w:rsidRPr="00051297">
        <w:rPr>
          <w:lang w:bidi="en-US"/>
        </w:rPr>
        <w:fldChar w:fldCharType="begin" w:fldLock="1"/>
      </w:r>
      <w:r w:rsidR="00FA5896">
        <w:rPr>
          <w:lang w:val="en-US" w:bidi="en-US"/>
        </w:rPr>
        <w:instrText>ADDIN CSL_CITATION {"citationItems":[{"id":"ITEM-1","itemData":{"DOI":"10.1007/s12665-019-8621-5","ISSN":"1866-6280","abstract":"The limit equilibrium slice method is a universal method to determine the safety factor of a slope. However, the forms of the inter-slice normal forces distribution are not considered in the traditional limit equilibrium slice method, and the influence of different positions of thrust lines on the safety factor is not considered. Thus, an improved Spencer method is developed here, wherein the characteristics of the inter-slice normal forces distribution are considered. The safety factor of a deep concave sliding surface is calculated, and a difference of approximately 20% is found between the safety factors that are obtained using the improved method and those obtained using the traditional method. The influence rule of different forms of the inter-slice normal forces distribution on the safety factor has been studied, and the influences of various factors on the inter-slice forces contribution, the stress state of the slice and the stress state of the slip surface have been analysed. Finally, two case studies are combined to illustrate the impact of the improved method on engineering safety and economic benefits.","author":[{"dropping-particle":"","family":"Wu","given":"Shunchuan","non-dropping-particle":"","parse-names":false,"suffix":""},{"dropping-particle":"","family":"Han","given":"Longqiang","non-dropping-particle":"","parse-names":false,"suffix":""},{"dropping-particle":"","family":"Cheng","given":"Ziqiao","non-dropping-particle":"","parse-names":false,"suffix":""},{"dropping-particle":"","family":"Zhang","given":"Xiaoqiang","non-dropping-particle":"","parse-names":false,"suffix":""},{"dropping-particle":"","family":"Cheng","given":"Haiyong","non-dropping-particle":"","parse-names":false,"suffix":""}],"container-title":"Environmental Earth Sciences","id":"ITEM-1","issue":"20","issued":{"date-parts":[["2019","10"]]},"page":"611","title":"Study on the limit equilibrium slice method considering characteristics of inter-slice normal forces distribution: the improved Spencer method","type":"article-journal","volume":"78"},"uris":["http://www.mendeley.com/documents/?uuid=e5481acb-2b58-410f-b5c0-0c61b2c57b2b","http://www.mendeley.com/documents/?uuid=9436616b-830c-40aa-ad40-3439301a2f28","http://www.mendeley.com/documents/?uuid=b25ab2c7-f9e4-4320-ba64-e9194cf61043"]}],"mendeley":{"formattedCitation":"[272]","plainTextFormattedCitation":"[272]","previouslyFormattedCitation":"[272]"},"properties":{"noteIndex":0},"schema":"https://github.com/citation-style-language/schema/raw/master/csl-citation.json"}</w:instrText>
      </w:r>
      <w:r w:rsidRPr="00051297">
        <w:rPr>
          <w:lang w:bidi="en-US"/>
        </w:rPr>
        <w:fldChar w:fldCharType="separate"/>
      </w:r>
      <w:r w:rsidR="0032684D" w:rsidRPr="0032684D">
        <w:rPr>
          <w:noProof/>
          <w:lang w:val="en-US" w:bidi="en-US"/>
        </w:rPr>
        <w:t>[272]</w:t>
      </w:r>
      <w:r w:rsidRPr="00051297">
        <w:rPr>
          <w:lang w:bidi="en-US"/>
        </w:rPr>
        <w:fldChar w:fldCharType="end"/>
      </w:r>
      <w:r w:rsidRPr="00051297">
        <w:rPr>
          <w:lang w:val="en-US" w:bidi="en-US"/>
        </w:rPr>
        <w:t xml:space="preserve">. </w:t>
      </w:r>
    </w:p>
    <w:p w14:paraId="1B95D7BE" w14:textId="5A50B4CF" w:rsidR="00051297" w:rsidRPr="00051297" w:rsidRDefault="00051297" w:rsidP="00051297">
      <w:pPr>
        <w:rPr>
          <w:lang w:val="en-US"/>
        </w:rPr>
      </w:pPr>
      <w:r w:rsidRPr="00051297">
        <w:rPr>
          <w:lang w:val="en-US"/>
        </w:rPr>
        <w:t xml:space="preserve">Equation </w:t>
      </w:r>
      <w:r w:rsidRPr="00051297">
        <w:rPr>
          <w:lang w:val="en-US"/>
        </w:rPr>
        <w:fldChar w:fldCharType="begin"/>
      </w:r>
      <w:r w:rsidRPr="00051297">
        <w:rPr>
          <w:lang w:val="en-US"/>
        </w:rPr>
        <w:instrText xml:space="preserve"> REF _Ref103556197 \h </w:instrText>
      </w:r>
      <w:r w:rsidRPr="00051297">
        <w:rPr>
          <w:lang w:val="en-US"/>
        </w:rPr>
      </w:r>
      <w:r w:rsidRPr="00051297">
        <w:rPr>
          <w:lang w:val="en-US"/>
        </w:rPr>
        <w:fldChar w:fldCharType="separate"/>
      </w:r>
      <w:r w:rsidR="004870F1" w:rsidRPr="00051297">
        <w:rPr>
          <w:rFonts w:cs="Times New Roman"/>
          <w:color w:val="000000"/>
          <w:szCs w:val="24"/>
        </w:rPr>
        <w:t>(</w:t>
      </w:r>
      <w:r w:rsidR="004870F1">
        <w:rPr>
          <w:rFonts w:cs="Times New Roman"/>
          <w:noProof/>
          <w:color w:val="000000"/>
          <w:szCs w:val="24"/>
        </w:rPr>
        <w:t>4</w:t>
      </w:r>
      <w:r w:rsidR="004870F1" w:rsidRPr="00051297">
        <w:rPr>
          <w:rFonts w:cs="Times New Roman"/>
          <w:color w:val="000000"/>
          <w:szCs w:val="24"/>
        </w:rPr>
        <w:t>.</w:t>
      </w:r>
      <w:r w:rsidR="004870F1">
        <w:rPr>
          <w:rFonts w:cs="Times New Roman"/>
          <w:noProof/>
          <w:color w:val="000000"/>
          <w:szCs w:val="24"/>
        </w:rPr>
        <w:t>2</w:t>
      </w:r>
      <w:r w:rsidR="004870F1" w:rsidRPr="00051297">
        <w:rPr>
          <w:rFonts w:cs="Times New Roman"/>
          <w:color w:val="000000"/>
          <w:szCs w:val="24"/>
        </w:rPr>
        <w:t>)</w:t>
      </w:r>
      <w:r w:rsidRPr="00051297">
        <w:rPr>
          <w:lang w:val="en-US"/>
        </w:rPr>
        <w:fldChar w:fldCharType="end"/>
      </w:r>
      <w:r w:rsidRPr="00051297">
        <w:rPr>
          <w:lang w:val="en-US"/>
        </w:rPr>
        <w:t xml:space="preserve"> is typically used to derive the resultant of a pair of interslice forces (Q) using the Spencer approach.</w:t>
      </w:r>
    </w:p>
    <w:tbl>
      <w:tblPr>
        <w:tblStyle w:val="TableGrid1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
        <w:gridCol w:w="8421"/>
        <w:gridCol w:w="676"/>
      </w:tblGrid>
      <w:tr w:rsidR="00051297" w:rsidRPr="00051297" w14:paraId="07F06ADB" w14:textId="77777777" w:rsidTr="00D20B01">
        <w:tc>
          <w:tcPr>
            <w:tcW w:w="265" w:type="dxa"/>
          </w:tcPr>
          <w:p w14:paraId="5E825103" w14:textId="77777777" w:rsidR="00051297" w:rsidRPr="00051297" w:rsidRDefault="00051297" w:rsidP="00051297">
            <w:pPr>
              <w:spacing w:after="120"/>
              <w:ind w:firstLine="0"/>
              <w:rPr>
                <w:rFonts w:cs="Times New Roman"/>
                <w:color w:val="000000"/>
                <w:szCs w:val="24"/>
              </w:rPr>
            </w:pPr>
          </w:p>
        </w:tc>
        <w:tc>
          <w:tcPr>
            <w:tcW w:w="9090" w:type="dxa"/>
          </w:tcPr>
          <w:p w14:paraId="486ADABF" w14:textId="77777777" w:rsidR="00051297" w:rsidRPr="00051297" w:rsidRDefault="00051297" w:rsidP="00051297">
            <w:pPr>
              <w:spacing w:after="120"/>
              <w:ind w:firstLine="0"/>
              <w:rPr>
                <w:rFonts w:cs="Times New Roman"/>
                <w:color w:val="000000"/>
                <w:szCs w:val="24"/>
              </w:rPr>
            </w:pPr>
            <m:oMathPara>
              <m:oMath>
                <m:r>
                  <w:rPr>
                    <w:rFonts w:ascii="Cambria Math" w:hAnsi="Cambria Math" w:cs="Times New Roman"/>
                    <w:color w:val="000000"/>
                    <w:szCs w:val="24"/>
                  </w:rPr>
                  <m:t>Q=γHb</m:t>
                </m:r>
                <m:d>
                  <m:dPr>
                    <m:begChr m:val="["/>
                    <m:endChr m:val="]"/>
                    <m:ctrlPr>
                      <w:rPr>
                        <w:rFonts w:ascii="Cambria Math" w:hAnsi="Cambria Math" w:cs="Times New Roman"/>
                        <w:i/>
                        <w:color w:val="000000"/>
                        <w:szCs w:val="24"/>
                      </w:rPr>
                    </m:ctrlPr>
                  </m:dPr>
                  <m:e>
                    <m:f>
                      <m:fPr>
                        <m:ctrlPr>
                          <w:rPr>
                            <w:rFonts w:ascii="Cambria Math" w:hAnsi="Cambria Math" w:cs="Times New Roman"/>
                            <w:i/>
                            <w:color w:val="000000"/>
                            <w:szCs w:val="24"/>
                          </w:rPr>
                        </m:ctrlPr>
                      </m:fPr>
                      <m:num>
                        <m:f>
                          <m:fPr>
                            <m:ctrlPr>
                              <w:rPr>
                                <w:rFonts w:ascii="Cambria Math" w:hAnsi="Cambria Math" w:cs="Times New Roman"/>
                                <w:i/>
                                <w:color w:val="000000"/>
                                <w:szCs w:val="24"/>
                              </w:rPr>
                            </m:ctrlPr>
                          </m:fPr>
                          <m:num>
                            <m:sSup>
                              <m:sSupPr>
                                <m:ctrlPr>
                                  <w:rPr>
                                    <w:rFonts w:ascii="Cambria Math" w:hAnsi="Cambria Math" w:cs="Times New Roman"/>
                                    <w:i/>
                                    <w:color w:val="000000"/>
                                    <w:szCs w:val="24"/>
                                  </w:rPr>
                                </m:ctrlPr>
                              </m:sSupPr>
                              <m:e>
                                <m:r>
                                  <w:rPr>
                                    <w:rFonts w:ascii="Cambria Math" w:hAnsi="Cambria Math" w:cs="Times New Roman"/>
                                    <w:color w:val="000000"/>
                                    <w:szCs w:val="24"/>
                                  </w:rPr>
                                  <m:t>c</m:t>
                                </m:r>
                              </m:e>
                              <m:sup>
                                <m:r>
                                  <w:rPr>
                                    <w:rFonts w:ascii="Cambria Math" w:hAnsi="Cambria Math" w:cs="Times New Roman"/>
                                    <w:color w:val="000000"/>
                                    <w:szCs w:val="24"/>
                                  </w:rPr>
                                  <m:t>'</m:t>
                                </m:r>
                              </m:sup>
                            </m:sSup>
                          </m:num>
                          <m:den>
                            <m:r>
                              <w:rPr>
                                <w:rFonts w:ascii="Cambria Math" w:hAnsi="Cambria Math" w:cs="Times New Roman"/>
                                <w:color w:val="000000"/>
                                <w:szCs w:val="24"/>
                              </w:rPr>
                              <m:t>FγH</m:t>
                            </m:r>
                          </m:den>
                        </m:f>
                        <m:r>
                          <w:rPr>
                            <w:rFonts w:ascii="Cambria Math" w:hAnsi="Cambria Math" w:cs="Times New Roman"/>
                            <w:color w:val="000000"/>
                            <w:szCs w:val="24"/>
                          </w:rPr>
                          <m:t>+</m:t>
                        </m:r>
                        <m:f>
                          <m:fPr>
                            <m:ctrlPr>
                              <w:rPr>
                                <w:rFonts w:ascii="Cambria Math" w:hAnsi="Cambria Math" w:cs="Times New Roman"/>
                                <w:i/>
                                <w:color w:val="000000"/>
                                <w:szCs w:val="24"/>
                              </w:rPr>
                            </m:ctrlPr>
                          </m:fPr>
                          <m:num>
                            <m:r>
                              <w:rPr>
                                <w:rFonts w:ascii="Cambria Math" w:hAnsi="Cambria Math" w:cs="Times New Roman"/>
                                <w:color w:val="000000"/>
                                <w:szCs w:val="24"/>
                              </w:rPr>
                              <m:t>htan</m:t>
                            </m:r>
                            <m:sSup>
                              <m:sSupPr>
                                <m:ctrlPr>
                                  <w:rPr>
                                    <w:rFonts w:ascii="Cambria Math" w:hAnsi="Cambria Math" w:cs="Times New Roman"/>
                                    <w:i/>
                                    <w:color w:val="000000"/>
                                    <w:szCs w:val="24"/>
                                  </w:rPr>
                                </m:ctrlPr>
                              </m:sSupPr>
                              <m:e>
                                <m:r>
                                  <w:rPr>
                                    <w:rFonts w:ascii="Cambria Math" w:hAnsi="Cambria Math" w:cs="Times New Roman"/>
                                    <w:color w:val="000000"/>
                                    <w:szCs w:val="24"/>
                                  </w:rPr>
                                  <m:t>φ</m:t>
                                </m:r>
                              </m:e>
                              <m:sup>
                                <m:r>
                                  <w:rPr>
                                    <w:rFonts w:ascii="Cambria Math" w:hAnsi="Cambria Math" w:cs="Times New Roman"/>
                                    <w:color w:val="000000"/>
                                    <w:szCs w:val="24"/>
                                  </w:rPr>
                                  <m:t>'</m:t>
                                </m:r>
                              </m:sup>
                            </m:sSup>
                          </m:num>
                          <m:den>
                            <m:r>
                              <w:rPr>
                                <w:rFonts w:ascii="Cambria Math" w:hAnsi="Cambria Math" w:cs="Times New Roman"/>
                                <w:color w:val="000000"/>
                                <w:szCs w:val="24"/>
                              </w:rPr>
                              <m:t>2HF</m:t>
                            </m:r>
                          </m:den>
                        </m:f>
                        <m:d>
                          <m:dPr>
                            <m:ctrlPr>
                              <w:rPr>
                                <w:rFonts w:ascii="Cambria Math" w:hAnsi="Cambria Math" w:cs="Times New Roman"/>
                                <w:i/>
                                <w:color w:val="000000"/>
                                <w:szCs w:val="24"/>
                              </w:rPr>
                            </m:ctrlPr>
                          </m:dPr>
                          <m:e>
                            <m:r>
                              <w:rPr>
                                <w:rFonts w:ascii="Cambria Math" w:hAnsi="Cambria Math" w:cs="Times New Roman"/>
                                <w:color w:val="000000"/>
                                <w:szCs w:val="24"/>
                              </w:rPr>
                              <m:t>1-2</m:t>
                            </m:r>
                            <m:sSub>
                              <m:sSubPr>
                                <m:ctrlPr>
                                  <w:rPr>
                                    <w:rFonts w:ascii="Cambria Math" w:hAnsi="Cambria Math" w:cs="Times New Roman"/>
                                    <w:i/>
                                    <w:color w:val="000000"/>
                                    <w:szCs w:val="24"/>
                                  </w:rPr>
                                </m:ctrlPr>
                              </m:sSubPr>
                              <m:e>
                                <m:r>
                                  <w:rPr>
                                    <w:rFonts w:ascii="Cambria Math" w:hAnsi="Cambria Math" w:cs="Times New Roman"/>
                                    <w:color w:val="000000"/>
                                    <w:szCs w:val="24"/>
                                  </w:rPr>
                                  <m:t>r</m:t>
                                </m:r>
                              </m:e>
                              <m:sub>
                                <m:r>
                                  <w:rPr>
                                    <w:rFonts w:ascii="Cambria Math" w:hAnsi="Cambria Math" w:cs="Times New Roman"/>
                                    <w:color w:val="000000"/>
                                    <w:szCs w:val="24"/>
                                  </w:rPr>
                                  <m:t>u</m:t>
                                </m:r>
                              </m:sub>
                            </m:sSub>
                            <m:r>
                              <w:rPr>
                                <w:rFonts w:ascii="Cambria Math" w:hAnsi="Cambria Math" w:cs="Times New Roman"/>
                                <w:color w:val="000000"/>
                                <w:szCs w:val="24"/>
                              </w:rPr>
                              <m:t>+cos2α</m:t>
                            </m:r>
                          </m:e>
                        </m:d>
                        <m:r>
                          <w:rPr>
                            <w:rFonts w:ascii="Cambria Math" w:hAnsi="Cambria Math" w:cs="Times New Roman"/>
                            <w:color w:val="000000"/>
                            <w:szCs w:val="24"/>
                          </w:rPr>
                          <m:t>-</m:t>
                        </m:r>
                        <m:f>
                          <m:fPr>
                            <m:ctrlPr>
                              <w:rPr>
                                <w:rFonts w:ascii="Cambria Math" w:hAnsi="Cambria Math" w:cs="Times New Roman"/>
                                <w:i/>
                                <w:color w:val="000000"/>
                                <w:szCs w:val="24"/>
                              </w:rPr>
                            </m:ctrlPr>
                          </m:fPr>
                          <m:num>
                            <m:r>
                              <w:rPr>
                                <w:rFonts w:ascii="Cambria Math" w:hAnsi="Cambria Math" w:cs="Times New Roman"/>
                                <w:color w:val="000000"/>
                                <w:szCs w:val="24"/>
                              </w:rPr>
                              <m:t>hsin2α</m:t>
                            </m:r>
                          </m:num>
                          <m:den>
                            <m:r>
                              <w:rPr>
                                <w:rFonts w:ascii="Cambria Math" w:hAnsi="Cambria Math" w:cs="Times New Roman"/>
                                <w:color w:val="000000"/>
                                <w:szCs w:val="24"/>
                              </w:rPr>
                              <m:t>2H</m:t>
                            </m:r>
                          </m:den>
                        </m:f>
                      </m:num>
                      <m:den>
                        <m:r>
                          <w:rPr>
                            <w:rFonts w:ascii="Cambria Math" w:hAnsi="Cambria Math" w:cs="Times New Roman"/>
                            <w:color w:val="000000"/>
                            <w:szCs w:val="24"/>
                          </w:rPr>
                          <m:t>cosα</m:t>
                        </m:r>
                        <m:r>
                          <m:rPr>
                            <m:sty m:val="p"/>
                          </m:rPr>
                          <w:rPr>
                            <w:rFonts w:ascii="Cambria Math" w:hAnsi="Cambria Math" w:cs="Times New Roman"/>
                            <w:color w:val="000000"/>
                            <w:szCs w:val="24"/>
                          </w:rPr>
                          <m:t>cos⁡</m:t>
                        </m:r>
                        <m:r>
                          <w:rPr>
                            <w:rFonts w:ascii="Cambria Math" w:hAnsi="Cambria Math" w:cs="Times New Roman"/>
                            <w:color w:val="000000"/>
                            <w:szCs w:val="24"/>
                          </w:rPr>
                          <m:t>(α-θ)</m:t>
                        </m:r>
                        <m:d>
                          <m:dPr>
                            <m:begChr m:val="["/>
                            <m:endChr m:val="]"/>
                            <m:ctrlPr>
                              <w:rPr>
                                <w:rFonts w:ascii="Cambria Math" w:hAnsi="Cambria Math" w:cs="Times New Roman"/>
                                <w:i/>
                                <w:color w:val="000000"/>
                                <w:szCs w:val="24"/>
                              </w:rPr>
                            </m:ctrlPr>
                          </m:dPr>
                          <m:e>
                            <m:r>
                              <w:rPr>
                                <w:rFonts w:ascii="Cambria Math" w:hAnsi="Cambria Math" w:cs="Times New Roman"/>
                                <w:color w:val="000000"/>
                                <w:szCs w:val="24"/>
                              </w:rPr>
                              <m:t>1+</m:t>
                            </m:r>
                            <m:f>
                              <m:fPr>
                                <m:ctrlPr>
                                  <w:rPr>
                                    <w:rFonts w:ascii="Cambria Math" w:hAnsi="Cambria Math" w:cs="Times New Roman"/>
                                    <w:i/>
                                    <w:color w:val="000000"/>
                                    <w:szCs w:val="24"/>
                                  </w:rPr>
                                </m:ctrlPr>
                              </m:fPr>
                              <m:num>
                                <m:r>
                                  <w:rPr>
                                    <w:rFonts w:ascii="Cambria Math" w:hAnsi="Cambria Math" w:cs="Times New Roman"/>
                                    <w:color w:val="000000"/>
                                    <w:szCs w:val="24"/>
                                  </w:rPr>
                                  <m:t>tanφ'</m:t>
                                </m:r>
                              </m:num>
                              <m:den>
                                <m:r>
                                  <w:rPr>
                                    <w:rFonts w:ascii="Cambria Math" w:hAnsi="Cambria Math" w:cs="Times New Roman"/>
                                    <w:color w:val="000000"/>
                                    <w:szCs w:val="24"/>
                                  </w:rPr>
                                  <m:t>F</m:t>
                                </m:r>
                              </m:den>
                            </m:f>
                            <m:func>
                              <m:funcPr>
                                <m:ctrlPr>
                                  <w:rPr>
                                    <w:rFonts w:ascii="Cambria Math" w:hAnsi="Cambria Math" w:cs="Times New Roman"/>
                                    <w:i/>
                                    <w:color w:val="000000"/>
                                    <w:szCs w:val="24"/>
                                  </w:rPr>
                                </m:ctrlPr>
                              </m:funcPr>
                              <m:fName>
                                <m:r>
                                  <m:rPr>
                                    <m:sty m:val="p"/>
                                  </m:rPr>
                                  <w:rPr>
                                    <w:rFonts w:ascii="Cambria Math" w:hAnsi="Cambria Math" w:cs="Times New Roman"/>
                                    <w:color w:val="000000"/>
                                    <w:szCs w:val="24"/>
                                  </w:rPr>
                                  <m:t>tan</m:t>
                                </m:r>
                              </m:fName>
                              <m:e>
                                <m:r>
                                  <w:rPr>
                                    <w:rFonts w:ascii="Cambria Math" w:hAnsi="Cambria Math" w:cs="Times New Roman"/>
                                    <w:color w:val="000000"/>
                                    <w:szCs w:val="24"/>
                                  </w:rPr>
                                  <m:t>(α-θ)</m:t>
                                </m:r>
                              </m:e>
                            </m:func>
                          </m:e>
                        </m:d>
                      </m:den>
                    </m:f>
                  </m:e>
                </m:d>
              </m:oMath>
            </m:oMathPara>
          </w:p>
        </w:tc>
        <w:tc>
          <w:tcPr>
            <w:tcW w:w="273" w:type="dxa"/>
            <w:vAlign w:val="center"/>
          </w:tcPr>
          <w:p w14:paraId="4656B87D" w14:textId="1EE3A38F" w:rsidR="00051297" w:rsidRPr="00051297" w:rsidRDefault="00051297" w:rsidP="00051297">
            <w:pPr>
              <w:spacing w:after="120"/>
              <w:ind w:firstLine="0"/>
              <w:jc w:val="center"/>
            </w:pPr>
            <w:bookmarkStart w:id="988" w:name="_Ref103556197"/>
            <w:r w:rsidRPr="00051297">
              <w:rPr>
                <w:rFonts w:cs="Times New Roman"/>
                <w:color w:val="000000"/>
                <w:szCs w:val="24"/>
              </w:rPr>
              <w:t>(</w:t>
            </w:r>
            <w:r w:rsidRPr="00051297">
              <w:rPr>
                <w:rFonts w:cs="Times New Roman"/>
                <w:color w:val="000000"/>
                <w:szCs w:val="24"/>
              </w:rPr>
              <w:fldChar w:fldCharType="begin"/>
            </w:r>
            <w:r w:rsidRPr="00051297">
              <w:rPr>
                <w:rFonts w:cs="Times New Roman"/>
                <w:color w:val="000000"/>
                <w:szCs w:val="24"/>
              </w:rPr>
              <w:instrText xml:space="preserve"> STYLEREF 1 \s </w:instrText>
            </w:r>
            <w:r w:rsidRPr="00051297">
              <w:rPr>
                <w:rFonts w:cs="Times New Roman"/>
                <w:color w:val="000000"/>
                <w:szCs w:val="24"/>
              </w:rPr>
              <w:fldChar w:fldCharType="separate"/>
            </w:r>
            <w:r w:rsidR="004870F1">
              <w:rPr>
                <w:rFonts w:cs="Times New Roman"/>
                <w:noProof/>
                <w:color w:val="000000"/>
                <w:szCs w:val="24"/>
              </w:rPr>
              <w:t>4</w:t>
            </w:r>
            <w:r w:rsidRPr="00051297">
              <w:rPr>
                <w:rFonts w:cs="Times New Roman"/>
                <w:color w:val="000000"/>
                <w:szCs w:val="24"/>
              </w:rPr>
              <w:fldChar w:fldCharType="end"/>
            </w:r>
            <w:r w:rsidRPr="00051297">
              <w:rPr>
                <w:rFonts w:cs="Times New Roman"/>
                <w:color w:val="000000"/>
                <w:szCs w:val="24"/>
              </w:rPr>
              <w:t>.</w:t>
            </w:r>
            <w:r w:rsidRPr="00051297">
              <w:rPr>
                <w:rFonts w:cs="Times New Roman"/>
                <w:color w:val="000000"/>
                <w:szCs w:val="24"/>
              </w:rPr>
              <w:fldChar w:fldCharType="begin"/>
            </w:r>
            <w:r w:rsidRPr="00051297">
              <w:rPr>
                <w:rFonts w:cs="Times New Roman"/>
                <w:color w:val="000000"/>
                <w:szCs w:val="24"/>
              </w:rPr>
              <w:instrText xml:space="preserve"> SEQ Equation \* ARABIC \s 1 </w:instrText>
            </w:r>
            <w:r w:rsidRPr="00051297">
              <w:rPr>
                <w:rFonts w:cs="Times New Roman"/>
                <w:color w:val="000000"/>
                <w:szCs w:val="24"/>
              </w:rPr>
              <w:fldChar w:fldCharType="separate"/>
            </w:r>
            <w:r w:rsidR="004870F1">
              <w:rPr>
                <w:rFonts w:cs="Times New Roman"/>
                <w:noProof/>
                <w:color w:val="000000"/>
                <w:szCs w:val="24"/>
              </w:rPr>
              <w:t>2</w:t>
            </w:r>
            <w:r w:rsidRPr="00051297">
              <w:rPr>
                <w:rFonts w:cs="Times New Roman"/>
                <w:color w:val="000000"/>
                <w:szCs w:val="24"/>
              </w:rPr>
              <w:fldChar w:fldCharType="end"/>
            </w:r>
            <w:r w:rsidRPr="00051297">
              <w:rPr>
                <w:rFonts w:cs="Times New Roman"/>
                <w:color w:val="000000"/>
                <w:szCs w:val="24"/>
              </w:rPr>
              <w:t>)</w:t>
            </w:r>
            <w:bookmarkEnd w:id="988"/>
          </w:p>
        </w:tc>
      </w:tr>
    </w:tbl>
    <w:p w14:paraId="2D400610" w14:textId="77777777" w:rsidR="00051297" w:rsidRPr="00222B19" w:rsidRDefault="00051297" w:rsidP="00051297">
      <w:pPr>
        <w:rPr>
          <w:rFonts w:eastAsia="Calibri" w:cs="Times New Roman"/>
          <w:color w:val="000000"/>
          <w:szCs w:val="24"/>
          <w:lang w:val="en-US"/>
        </w:rPr>
      </w:pPr>
      <w:r w:rsidRPr="00222B19">
        <w:rPr>
          <w:rFonts w:eastAsia="Calibri" w:cs="Times New Roman"/>
          <w:color w:val="000000"/>
          <w:szCs w:val="24"/>
          <w:lang w:val="en-US"/>
        </w:rPr>
        <w:t xml:space="preserve">Whereby: </w:t>
      </w:r>
    </w:p>
    <w:p w14:paraId="0C3557A0" w14:textId="77777777" w:rsidR="00051297" w:rsidRPr="00051297" w:rsidRDefault="00051297" w:rsidP="00051297">
      <w:pPr>
        <w:rPr>
          <w:lang w:val="en-US"/>
        </w:rPr>
      </w:pPr>
      <w:r w:rsidRPr="00051297">
        <w:rPr>
          <w:lang w:val="en-US"/>
        </w:rPr>
        <w:t xml:space="preserve">b, h – width and mean height of slice; </w:t>
      </w:r>
      <w:r w:rsidRPr="00051297">
        <w:rPr>
          <w:rFonts w:eastAsia="TimesNewRoman,Italic"/>
        </w:rPr>
        <w:t>α</w:t>
      </w:r>
      <w:r w:rsidRPr="00051297">
        <w:rPr>
          <w:rFonts w:eastAsia="TimesNewRoman,Italic"/>
          <w:lang w:val="en-US"/>
        </w:rPr>
        <w:t xml:space="preserve"> </w:t>
      </w:r>
      <w:r w:rsidRPr="00051297">
        <w:rPr>
          <w:lang w:val="en-US"/>
        </w:rPr>
        <w:t>–</w:t>
      </w:r>
      <w:r w:rsidRPr="00051297">
        <w:rPr>
          <w:rFonts w:eastAsia="TimesNewRoman,Italic"/>
          <w:lang w:val="en-US"/>
        </w:rPr>
        <w:t xml:space="preserve"> a </w:t>
      </w:r>
      <w:r w:rsidRPr="00051297">
        <w:rPr>
          <w:lang w:val="en-US"/>
        </w:rPr>
        <w:t xml:space="preserve">slope of base of the slice; F – safety factor; </w:t>
      </w:r>
      <w:r w:rsidRPr="00051297">
        <w:rPr>
          <w:rFonts w:eastAsia="TimesNewRoman,Italic"/>
        </w:rPr>
        <w:t>θ</w:t>
      </w:r>
      <w:r w:rsidRPr="00051297">
        <w:rPr>
          <w:rFonts w:eastAsia="TimesNewRoman,Italic"/>
          <w:lang w:val="en-US"/>
        </w:rPr>
        <w:t xml:space="preserve"> </w:t>
      </w:r>
      <w:r w:rsidRPr="00051297">
        <w:rPr>
          <w:lang w:val="en-US"/>
        </w:rPr>
        <w:t>–</w:t>
      </w:r>
      <w:r w:rsidRPr="00051297">
        <w:rPr>
          <w:rFonts w:eastAsia="TimesNewRoman,Italic"/>
          <w:lang w:val="en-US"/>
        </w:rPr>
        <w:t xml:space="preserve"> a </w:t>
      </w:r>
      <w:r w:rsidRPr="00051297">
        <w:rPr>
          <w:lang w:val="en-US"/>
        </w:rPr>
        <w:t>slope of resultant of pair of interslice forces; r</w:t>
      </w:r>
      <w:r w:rsidRPr="00051297">
        <w:rPr>
          <w:vertAlign w:val="subscript"/>
          <w:lang w:val="en-US"/>
        </w:rPr>
        <w:t>u</w:t>
      </w:r>
      <w:r w:rsidRPr="00051297">
        <w:rPr>
          <w:lang w:val="en-US"/>
        </w:rPr>
        <w:t xml:space="preserve"> – pore-pressure coefficient; </w:t>
      </w:r>
      <w:r w:rsidRPr="00051297">
        <w:t>γ</w:t>
      </w:r>
      <w:r w:rsidRPr="00051297">
        <w:rPr>
          <w:rFonts w:eastAsia="TimesNewRoman,Italic"/>
          <w:lang w:val="en-US"/>
        </w:rPr>
        <w:t xml:space="preserve"> </w:t>
      </w:r>
      <w:r w:rsidRPr="00051297">
        <w:rPr>
          <w:lang w:val="en-US"/>
        </w:rPr>
        <w:t>–</w:t>
      </w:r>
      <w:r w:rsidRPr="00051297">
        <w:rPr>
          <w:rFonts w:eastAsia="TimesNewRoman,Italic"/>
          <w:lang w:val="en-US"/>
        </w:rPr>
        <w:t xml:space="preserve"> </w:t>
      </w:r>
      <w:r w:rsidRPr="00051297">
        <w:rPr>
          <w:lang w:val="en-US"/>
        </w:rPr>
        <w:t xml:space="preserve">bulk density; H – the height of embankment; </w:t>
      </w:r>
      <w:r w:rsidRPr="00051297">
        <w:t>φ</w:t>
      </w:r>
      <w:r w:rsidRPr="00051297">
        <w:rPr>
          <w:lang w:val="en-US"/>
        </w:rPr>
        <w:t>' – the angle of shearing resistance with respect to effective stress, c' – cohesion with respect to effective stress.</w:t>
      </w:r>
    </w:p>
    <w:p w14:paraId="756F575C" w14:textId="53D3D379" w:rsidR="00051297" w:rsidRPr="00051297" w:rsidRDefault="00051297" w:rsidP="00051297">
      <w:pPr>
        <w:rPr>
          <w:lang w:val="en-US" w:bidi="en-US"/>
        </w:rPr>
      </w:pPr>
      <w:r w:rsidRPr="00051297">
        <w:rPr>
          <w:lang w:val="en-US" w:bidi="en-US"/>
        </w:rPr>
        <w:lastRenderedPageBreak/>
        <w:t>Moreover, to capture the saturated/unsaturated scenarios in the modeling process, the volumetric water content and hydraulic conductivity functions were important inputs in defining the soil characteristics (</w:t>
      </w:r>
      <w:r w:rsidRPr="00051297">
        <w:rPr>
          <w:lang w:val="en-US" w:bidi="en-US"/>
        </w:rPr>
        <w:fldChar w:fldCharType="begin"/>
      </w:r>
      <w:r w:rsidRPr="00051297">
        <w:rPr>
          <w:lang w:val="en-US" w:bidi="en-US"/>
        </w:rPr>
        <w:instrText xml:space="preserve"> REF _Ref98105078 \h </w:instrText>
      </w:r>
      <w:r w:rsidRPr="00051297">
        <w:rPr>
          <w:lang w:val="en-US" w:bidi="en-US"/>
        </w:rPr>
      </w:r>
      <w:r w:rsidRPr="00051297">
        <w:rPr>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3</w:t>
      </w:r>
      <w:r w:rsidRPr="00051297">
        <w:rPr>
          <w:lang w:val="en-US" w:bidi="en-US"/>
        </w:rPr>
        <w:fldChar w:fldCharType="end"/>
      </w:r>
      <w:r w:rsidRPr="00051297">
        <w:rPr>
          <w:lang w:val="en-US" w:bidi="en-US"/>
        </w:rPr>
        <w:t>). The definition of the two functions was achieved with the help of the built-in functions that required only fundamental information such as saturated hydraulic conductivity, water content, and coefficient of volume compressibility.</w:t>
      </w:r>
    </w:p>
    <w:p w14:paraId="4B775424" w14:textId="52CFA3CF" w:rsidR="00051297" w:rsidRPr="00051297" w:rsidRDefault="00051297" w:rsidP="00051297">
      <w:pPr>
        <w:rPr>
          <w:lang w:val="en-US" w:bidi="en-US"/>
        </w:rPr>
      </w:pPr>
      <w:r w:rsidRPr="00051297">
        <w:rPr>
          <w:lang w:val="en-US" w:bidi="en-US"/>
        </w:rPr>
        <w:t>The worst-case scenario was chosen as the instantaneous drawdown, and the rate was increased to 5 days (</w:t>
      </w:r>
      <w:r w:rsidRPr="00051297">
        <w:rPr>
          <w:lang w:val="en-US" w:bidi="en-US"/>
        </w:rPr>
        <w:fldChar w:fldCharType="begin"/>
      </w:r>
      <w:r w:rsidRPr="00051297">
        <w:rPr>
          <w:lang w:val="en-US" w:bidi="en-US"/>
        </w:rPr>
        <w:instrText xml:space="preserve"> REF _Ref98105030 \h </w:instrText>
      </w:r>
      <w:r w:rsidRPr="00051297">
        <w:rPr>
          <w:lang w:val="en-US" w:bidi="en-US"/>
        </w:rPr>
      </w:r>
      <w:r w:rsidRPr="00051297">
        <w:rPr>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2</w:t>
      </w:r>
      <w:r w:rsidRPr="00051297">
        <w:rPr>
          <w:lang w:val="en-US" w:bidi="en-US"/>
        </w:rPr>
        <w:fldChar w:fldCharType="end"/>
      </w:r>
      <w:r w:rsidRPr="00051297">
        <w:rPr>
          <w:lang w:val="en-US" w:bidi="en-US"/>
        </w:rPr>
        <w:t>).</w:t>
      </w:r>
    </w:p>
    <w:p w14:paraId="3BE3BC53" w14:textId="4B7BFD89" w:rsidR="00051297" w:rsidRPr="00051297" w:rsidRDefault="00051297" w:rsidP="004940F9">
      <w:pPr>
        <w:pStyle w:val="4"/>
        <w:rPr>
          <w:rFonts w:eastAsia="Malgun Gothic"/>
          <w:lang w:eastAsia="ko-KR"/>
        </w:rPr>
      </w:pPr>
      <w:bookmarkStart w:id="989" w:name="_Toc103543976"/>
      <w:bookmarkStart w:id="990" w:name="_Toc104985301"/>
      <w:r w:rsidRPr="00051297">
        <w:rPr>
          <w:rFonts w:eastAsia="Malgun Gothic"/>
          <w:lang w:eastAsia="ko-KR"/>
        </w:rPr>
        <w:t>Characteristics of the soil</w:t>
      </w:r>
      <w:bookmarkEnd w:id="989"/>
      <w:bookmarkEnd w:id="990"/>
      <w:r w:rsidRPr="00051297">
        <w:rPr>
          <w:rFonts w:eastAsia="Malgun Gothic"/>
          <w:lang w:eastAsia="ko-KR"/>
        </w:rPr>
        <w:t xml:space="preserve"> </w:t>
      </w:r>
    </w:p>
    <w:p w14:paraId="2ABC8E6D" w14:textId="6AF52541" w:rsidR="00051297" w:rsidRPr="00051297" w:rsidRDefault="00051297" w:rsidP="00051297">
      <w:pPr>
        <w:rPr>
          <w:lang w:val="en-US" w:bidi="en-US"/>
        </w:rPr>
      </w:pPr>
      <w:r w:rsidRPr="00051297">
        <w:rPr>
          <w:lang w:val="en-US" w:bidi="en-US"/>
        </w:rPr>
        <w:t xml:space="preserve">To avoid any fluctuation and capture the influence of variations in the internal angle of friction, the soil material parameters for the embankment were kept constant for all of the examples analyzed. The soil material properties used in slope stability and seepage assessments are summarized in </w:t>
      </w:r>
      <w:r w:rsidRPr="00051297">
        <w:rPr>
          <w:lang w:val="en-US" w:bidi="en-US"/>
        </w:rPr>
        <w:fldChar w:fldCharType="begin"/>
      </w:r>
      <w:r w:rsidRPr="00051297">
        <w:rPr>
          <w:lang w:val="en-US" w:bidi="en-US"/>
        </w:rPr>
        <w:instrText xml:space="preserve"> REF _Ref98105705 \h </w:instrText>
      </w:r>
      <w:r w:rsidRPr="00051297">
        <w:rPr>
          <w:lang w:val="en-US" w:bidi="en-US"/>
        </w:rPr>
      </w:r>
      <w:r w:rsidRPr="00051297">
        <w:rPr>
          <w:lang w:val="en-US" w:bidi="en-US"/>
        </w:rPr>
        <w:fldChar w:fldCharType="separate"/>
      </w:r>
      <w:r w:rsidR="004870F1" w:rsidRPr="00051297">
        <w:rPr>
          <w:lang w:val="en-US"/>
        </w:rPr>
        <w:t>Table</w:t>
      </w:r>
      <w:r w:rsidR="004870F1" w:rsidRPr="0079595C">
        <w:rPr>
          <w:lang w:val="en-US"/>
        </w:rPr>
        <w:t xml:space="preserve"> </w:t>
      </w:r>
      <w:r w:rsidR="004870F1">
        <w:rPr>
          <w:noProof/>
          <w:lang w:val="en-US"/>
        </w:rPr>
        <w:t>4</w:t>
      </w:r>
      <w:r w:rsidR="004870F1" w:rsidRPr="0079595C">
        <w:rPr>
          <w:lang w:val="en-US"/>
        </w:rPr>
        <w:t>.</w:t>
      </w:r>
      <w:r w:rsidR="004870F1">
        <w:rPr>
          <w:noProof/>
          <w:lang w:val="en-US"/>
        </w:rPr>
        <w:t>7</w:t>
      </w:r>
      <w:r w:rsidRPr="00051297">
        <w:rPr>
          <w:lang w:val="en-US" w:bidi="en-US"/>
        </w:rPr>
        <w:fldChar w:fldCharType="end"/>
      </w:r>
      <w:r w:rsidRPr="00051297">
        <w:rPr>
          <w:lang w:val="en-US" w:bidi="en-US"/>
        </w:rPr>
        <w:t xml:space="preserve">. </w:t>
      </w:r>
    </w:p>
    <w:p w14:paraId="1EB0B002" w14:textId="193355BE" w:rsidR="00051297" w:rsidRPr="00051297" w:rsidRDefault="00051297" w:rsidP="00051297">
      <w:pPr>
        <w:rPr>
          <w:lang w:val="en-US" w:bidi="en-US"/>
        </w:rPr>
      </w:pPr>
      <w:bookmarkStart w:id="991" w:name="_Ref98105705"/>
      <w:bookmarkStart w:id="992" w:name="_Toc97077206"/>
      <w:bookmarkStart w:id="993" w:name="_Toc103544255"/>
      <w:bookmarkStart w:id="994" w:name="_Toc104985581"/>
      <w:r w:rsidRPr="00051297">
        <w:rPr>
          <w:lang w:val="en-US"/>
        </w:rPr>
        <w:t>Table</w:t>
      </w:r>
      <w:r w:rsidRPr="0079595C">
        <w:rPr>
          <w:lang w:val="en-US"/>
        </w:rPr>
        <w:t xml:space="preserve"> </w:t>
      </w:r>
      <w:r w:rsidR="00BF3324">
        <w:fldChar w:fldCharType="begin"/>
      </w:r>
      <w:r w:rsidR="00BF3324" w:rsidRPr="0079595C">
        <w:rPr>
          <w:lang w:val="en-US"/>
        </w:rPr>
        <w:instrText xml:space="preserve"> STYLEREF 1 \s </w:instrText>
      </w:r>
      <w:r w:rsidR="00BF3324">
        <w:fldChar w:fldCharType="separate"/>
      </w:r>
      <w:r w:rsidR="004870F1">
        <w:rPr>
          <w:noProof/>
          <w:lang w:val="en-US"/>
        </w:rPr>
        <w:t>4</w:t>
      </w:r>
      <w:r w:rsidR="00BF3324">
        <w:rPr>
          <w:noProof/>
        </w:rPr>
        <w:fldChar w:fldCharType="end"/>
      </w:r>
      <w:r w:rsidRPr="0079595C">
        <w:rPr>
          <w:lang w:val="en-US"/>
        </w:rPr>
        <w:t>.</w:t>
      </w:r>
      <w:r w:rsidR="00BF3324">
        <w:fldChar w:fldCharType="begin"/>
      </w:r>
      <w:r w:rsidR="00BF3324" w:rsidRPr="0079595C">
        <w:rPr>
          <w:lang w:val="en-US"/>
        </w:rPr>
        <w:instrText xml:space="preserve"> SEQ Table \* ARABIC \s 1 </w:instrText>
      </w:r>
      <w:r w:rsidR="00BF3324">
        <w:fldChar w:fldCharType="separate"/>
      </w:r>
      <w:r w:rsidR="004870F1">
        <w:rPr>
          <w:noProof/>
          <w:lang w:val="en-US"/>
        </w:rPr>
        <w:t>7</w:t>
      </w:r>
      <w:r w:rsidR="00BF3324">
        <w:rPr>
          <w:noProof/>
        </w:rPr>
        <w:fldChar w:fldCharType="end"/>
      </w:r>
      <w:bookmarkEnd w:id="991"/>
      <w:r w:rsidRPr="0079595C">
        <w:rPr>
          <w:lang w:val="en-US"/>
        </w:rPr>
        <w:t xml:space="preserve"> – </w:t>
      </w:r>
      <w:r w:rsidRPr="00051297">
        <w:rPr>
          <w:lang w:val="en-US"/>
        </w:rPr>
        <w:t xml:space="preserve">Characteristics of the </w:t>
      </w:r>
      <w:r w:rsidRPr="00051297">
        <w:rPr>
          <w:lang w:val="en-US" w:bidi="en-US"/>
        </w:rPr>
        <w:t>s</w:t>
      </w:r>
      <w:r w:rsidRPr="0079595C">
        <w:rPr>
          <w:lang w:val="en-US" w:bidi="en-US"/>
        </w:rPr>
        <w:t>oil properties</w:t>
      </w:r>
      <w:bookmarkEnd w:id="992"/>
      <w:r w:rsidRPr="00051297">
        <w:rPr>
          <w:lang w:val="en-US" w:bidi="en-US"/>
        </w:rPr>
        <w:t xml:space="preserve"> used in the study</w:t>
      </w:r>
      <w:bookmarkEnd w:id="993"/>
      <w:bookmarkEnd w:id="99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3"/>
        <w:gridCol w:w="1149"/>
        <w:gridCol w:w="1022"/>
        <w:gridCol w:w="1571"/>
      </w:tblGrid>
      <w:tr w:rsidR="00051297" w:rsidRPr="00051297" w14:paraId="4628A857" w14:textId="77777777" w:rsidTr="00D20B01">
        <w:trPr>
          <w:trHeight w:val="300"/>
          <w:jc w:val="center"/>
        </w:trPr>
        <w:tc>
          <w:tcPr>
            <w:tcW w:w="4093" w:type="dxa"/>
            <w:noWrap/>
            <w:hideMark/>
          </w:tcPr>
          <w:p w14:paraId="7B5D1058"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Parameter</w:t>
            </w:r>
          </w:p>
        </w:tc>
        <w:tc>
          <w:tcPr>
            <w:tcW w:w="993" w:type="dxa"/>
            <w:noWrap/>
            <w:hideMark/>
          </w:tcPr>
          <w:p w14:paraId="3C48F515"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Character</w:t>
            </w:r>
          </w:p>
        </w:tc>
        <w:tc>
          <w:tcPr>
            <w:tcW w:w="1022" w:type="dxa"/>
            <w:noWrap/>
            <w:hideMark/>
          </w:tcPr>
          <w:p w14:paraId="55EEFCDF"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Unit</w:t>
            </w:r>
          </w:p>
        </w:tc>
        <w:tc>
          <w:tcPr>
            <w:tcW w:w="1571" w:type="dxa"/>
            <w:noWrap/>
            <w:hideMark/>
          </w:tcPr>
          <w:p w14:paraId="4C67D379"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Value</w:t>
            </w:r>
          </w:p>
        </w:tc>
      </w:tr>
      <w:tr w:rsidR="00051297" w:rsidRPr="00051297" w14:paraId="08BFD2F2" w14:textId="77777777" w:rsidTr="00D20B01">
        <w:trPr>
          <w:trHeight w:val="300"/>
          <w:jc w:val="center"/>
        </w:trPr>
        <w:tc>
          <w:tcPr>
            <w:tcW w:w="4093" w:type="dxa"/>
            <w:noWrap/>
            <w:hideMark/>
          </w:tcPr>
          <w:p w14:paraId="20CEF437"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Saturated water content</w:t>
            </w:r>
          </w:p>
        </w:tc>
        <w:tc>
          <w:tcPr>
            <w:tcW w:w="993" w:type="dxa"/>
            <w:noWrap/>
            <w:hideMark/>
          </w:tcPr>
          <w:p w14:paraId="3E7B96F5" w14:textId="77777777" w:rsidR="00051297" w:rsidRPr="00051297" w:rsidRDefault="00536556" w:rsidP="004940F9">
            <w:pPr>
              <w:ind w:firstLine="0"/>
              <w:jc w:val="center"/>
              <w:rPr>
                <w:rFonts w:eastAsia="Calibri" w:cs="Times New Roman"/>
                <w:lang w:val="en-US"/>
              </w:rPr>
            </w:pPr>
            <m:oMathPara>
              <m:oMath>
                <m:sSub>
                  <m:sSubPr>
                    <m:ctrlPr>
                      <w:rPr>
                        <w:rFonts w:ascii="Cambria Math" w:eastAsia="Calibri" w:hAnsi="Cambria Math" w:cs="Times New Roman"/>
                        <w:lang w:val="en-US"/>
                      </w:rPr>
                    </m:ctrlPr>
                  </m:sSubPr>
                  <m:e>
                    <m:r>
                      <w:rPr>
                        <w:rFonts w:ascii="Cambria Math" w:eastAsia="Calibri" w:hAnsi="Cambria Math" w:cs="Times New Roman"/>
                        <w:lang w:val="en-US"/>
                      </w:rPr>
                      <m:t>θ</m:t>
                    </m:r>
                  </m:e>
                  <m:sub>
                    <m:r>
                      <w:rPr>
                        <w:rFonts w:ascii="Cambria Math" w:eastAsia="Calibri" w:hAnsi="Cambria Math" w:cs="Times New Roman"/>
                        <w:lang w:val="en-US"/>
                      </w:rPr>
                      <m:t>s</m:t>
                    </m:r>
                  </m:sub>
                </m:sSub>
              </m:oMath>
            </m:oMathPara>
          </w:p>
        </w:tc>
        <w:tc>
          <w:tcPr>
            <w:tcW w:w="1022" w:type="dxa"/>
            <w:noWrap/>
            <w:hideMark/>
          </w:tcPr>
          <w:p w14:paraId="265AF897" w14:textId="77777777" w:rsidR="00051297" w:rsidRPr="00051297" w:rsidRDefault="00051297" w:rsidP="004940F9">
            <w:pPr>
              <w:ind w:firstLine="0"/>
              <w:jc w:val="center"/>
              <w:rPr>
                <w:rFonts w:eastAsia="Calibri" w:cs="Times New Roman"/>
                <w:lang w:val="en-US"/>
              </w:rPr>
            </w:pPr>
            <m:oMathPara>
              <m:oMath>
                <m:r>
                  <m:rPr>
                    <m:sty m:val="p"/>
                  </m:rPr>
                  <w:rPr>
                    <w:rFonts w:ascii="Cambria Math" w:eastAsia="Calibri" w:hAnsi="Cambria Math" w:cs="Times New Roman"/>
                    <w:lang w:val="en-US"/>
                  </w:rPr>
                  <m:t>%</m:t>
                </m:r>
              </m:oMath>
            </m:oMathPara>
          </w:p>
        </w:tc>
        <w:tc>
          <w:tcPr>
            <w:tcW w:w="1571" w:type="dxa"/>
            <w:noWrap/>
            <w:hideMark/>
          </w:tcPr>
          <w:p w14:paraId="0AFF8C8E"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43</w:t>
            </w:r>
          </w:p>
        </w:tc>
      </w:tr>
      <w:tr w:rsidR="00051297" w:rsidRPr="00051297" w14:paraId="07CD6EF7" w14:textId="77777777" w:rsidTr="00D20B01">
        <w:trPr>
          <w:trHeight w:val="300"/>
          <w:jc w:val="center"/>
        </w:trPr>
        <w:tc>
          <w:tcPr>
            <w:tcW w:w="4093" w:type="dxa"/>
            <w:noWrap/>
            <w:hideMark/>
          </w:tcPr>
          <w:p w14:paraId="420C3999"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Coefficient of volume compressibility</w:t>
            </w:r>
          </w:p>
        </w:tc>
        <w:tc>
          <w:tcPr>
            <w:tcW w:w="993" w:type="dxa"/>
            <w:noWrap/>
            <w:hideMark/>
          </w:tcPr>
          <w:p w14:paraId="6A0A7873" w14:textId="77777777" w:rsidR="00051297" w:rsidRPr="00051297" w:rsidRDefault="00536556" w:rsidP="004940F9">
            <w:pPr>
              <w:ind w:firstLine="0"/>
              <w:jc w:val="center"/>
              <w:rPr>
                <w:rFonts w:eastAsia="Calibri" w:cs="Times New Roman"/>
                <w:lang w:val="en-US"/>
              </w:rPr>
            </w:pPr>
            <m:oMathPara>
              <m:oMath>
                <m:sSub>
                  <m:sSubPr>
                    <m:ctrlPr>
                      <w:rPr>
                        <w:rFonts w:ascii="Cambria Math" w:eastAsia="Calibri" w:hAnsi="Cambria Math" w:cs="Times New Roman"/>
                        <w:lang w:val="en-US"/>
                      </w:rPr>
                    </m:ctrlPr>
                  </m:sSubPr>
                  <m:e>
                    <m:r>
                      <w:rPr>
                        <w:rFonts w:ascii="Cambria Math" w:eastAsia="Calibri" w:hAnsi="Cambria Math" w:cs="Times New Roman"/>
                        <w:lang w:val="en-US"/>
                      </w:rPr>
                      <m:t>M</m:t>
                    </m:r>
                  </m:e>
                  <m:sub>
                    <m:r>
                      <w:rPr>
                        <w:rFonts w:ascii="Cambria Math" w:eastAsia="Calibri" w:hAnsi="Cambria Math" w:cs="Times New Roman"/>
                        <w:lang w:val="en-US"/>
                      </w:rPr>
                      <m:t>v</m:t>
                    </m:r>
                  </m:sub>
                </m:sSub>
              </m:oMath>
            </m:oMathPara>
          </w:p>
        </w:tc>
        <w:tc>
          <w:tcPr>
            <w:tcW w:w="1022" w:type="dxa"/>
            <w:noWrap/>
            <w:hideMark/>
          </w:tcPr>
          <w:p w14:paraId="2EBBB3C3" w14:textId="77777777" w:rsidR="00051297" w:rsidRPr="00051297" w:rsidRDefault="00536556" w:rsidP="004940F9">
            <w:pPr>
              <w:ind w:firstLine="0"/>
              <w:jc w:val="center"/>
              <w:rPr>
                <w:rFonts w:eastAsia="Calibri" w:cs="Times New Roman"/>
                <w:lang w:val="en-US"/>
              </w:rPr>
            </w:pPr>
            <m:oMathPara>
              <m:oMath>
                <m:sSup>
                  <m:sSupPr>
                    <m:ctrlPr>
                      <w:rPr>
                        <w:rFonts w:ascii="Cambria Math" w:eastAsia="Calibri" w:hAnsi="Cambria Math" w:cs="Times New Roman"/>
                        <w:lang w:val="en-US"/>
                      </w:rPr>
                    </m:ctrlPr>
                  </m:sSupPr>
                  <m:e>
                    <m:r>
                      <m:rPr>
                        <m:sty m:val="p"/>
                      </m:rPr>
                      <w:rPr>
                        <w:rFonts w:ascii="Cambria Math" w:eastAsia="Calibri" w:hAnsi="Cambria Math" w:cs="Times New Roman"/>
                        <w:lang w:val="en-US"/>
                      </w:rPr>
                      <m:t>m</m:t>
                    </m:r>
                  </m:e>
                  <m:sup>
                    <m:r>
                      <m:rPr>
                        <m:sty m:val="p"/>
                      </m:rPr>
                      <w:rPr>
                        <w:rFonts w:ascii="Cambria Math" w:eastAsia="Calibri" w:hAnsi="Cambria Math" w:cs="Times New Roman"/>
                        <w:lang w:val="en-US"/>
                      </w:rPr>
                      <m:t>2</m:t>
                    </m:r>
                  </m:sup>
                </m:sSup>
                <m:r>
                  <m:rPr>
                    <m:sty m:val="p"/>
                  </m:rPr>
                  <w:rPr>
                    <w:rFonts w:ascii="Cambria Math" w:eastAsia="Calibri" w:hAnsi="Cambria Math" w:cs="Times New Roman"/>
                    <w:lang w:val="en-US"/>
                  </w:rPr>
                  <m:t>/kN</m:t>
                </m:r>
              </m:oMath>
            </m:oMathPara>
          </w:p>
        </w:tc>
        <w:tc>
          <w:tcPr>
            <w:tcW w:w="1571" w:type="dxa"/>
            <w:noWrap/>
            <w:hideMark/>
          </w:tcPr>
          <w:p w14:paraId="71EC0D76" w14:textId="77777777" w:rsidR="00051297" w:rsidRPr="00051297" w:rsidRDefault="00536556" w:rsidP="004940F9">
            <w:pPr>
              <w:ind w:firstLine="0"/>
              <w:jc w:val="center"/>
              <w:rPr>
                <w:rFonts w:eastAsia="Calibri" w:cs="Times New Roman"/>
                <w:lang w:val="en-US"/>
              </w:rPr>
            </w:pPr>
            <m:oMathPara>
              <m:oMath>
                <m:sSup>
                  <m:sSupPr>
                    <m:ctrlPr>
                      <w:rPr>
                        <w:rFonts w:ascii="Cambria Math" w:eastAsia="Calibri" w:hAnsi="Cambria Math" w:cs="Times New Roman"/>
                        <w:lang w:val="en-US"/>
                      </w:rPr>
                    </m:ctrlPr>
                  </m:sSupPr>
                  <m:e>
                    <m:r>
                      <m:rPr>
                        <m:sty m:val="p"/>
                      </m:rPr>
                      <w:rPr>
                        <w:rFonts w:ascii="Cambria Math" w:eastAsia="Calibri" w:hAnsi="Cambria Math" w:cs="Times New Roman"/>
                        <w:lang w:val="en-US"/>
                      </w:rPr>
                      <m:t>2×10</m:t>
                    </m:r>
                  </m:e>
                  <m:sup>
                    <m:r>
                      <m:rPr>
                        <m:sty m:val="p"/>
                      </m:rPr>
                      <w:rPr>
                        <w:rFonts w:ascii="Cambria Math" w:eastAsia="Calibri" w:hAnsi="Cambria Math" w:cs="Times New Roman"/>
                        <w:lang w:val="en-US"/>
                      </w:rPr>
                      <m:t>-4</m:t>
                    </m:r>
                  </m:sup>
                </m:sSup>
              </m:oMath>
            </m:oMathPara>
          </w:p>
        </w:tc>
      </w:tr>
      <w:tr w:rsidR="00051297" w:rsidRPr="00051297" w14:paraId="251C3C37" w14:textId="77777777" w:rsidTr="00D20B01">
        <w:trPr>
          <w:trHeight w:val="300"/>
          <w:jc w:val="center"/>
        </w:trPr>
        <w:tc>
          <w:tcPr>
            <w:tcW w:w="4093" w:type="dxa"/>
            <w:noWrap/>
            <w:hideMark/>
          </w:tcPr>
          <w:p w14:paraId="6F26C063"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Saturated conductivity</w:t>
            </w:r>
          </w:p>
        </w:tc>
        <w:tc>
          <w:tcPr>
            <w:tcW w:w="993" w:type="dxa"/>
            <w:noWrap/>
            <w:hideMark/>
          </w:tcPr>
          <w:p w14:paraId="3CAF7AD2" w14:textId="77777777" w:rsidR="00051297" w:rsidRPr="00051297" w:rsidRDefault="00536556" w:rsidP="004940F9">
            <w:pPr>
              <w:ind w:firstLine="0"/>
              <w:jc w:val="center"/>
              <w:rPr>
                <w:rFonts w:eastAsia="Calibri" w:cs="Times New Roman"/>
                <w:lang w:val="en-US"/>
              </w:rPr>
            </w:pPr>
            <m:oMathPara>
              <m:oMath>
                <m:sSub>
                  <m:sSubPr>
                    <m:ctrlPr>
                      <w:rPr>
                        <w:rFonts w:ascii="Cambria Math" w:eastAsia="Calibri" w:hAnsi="Cambria Math" w:cs="Times New Roman"/>
                        <w:lang w:val="en-US"/>
                      </w:rPr>
                    </m:ctrlPr>
                  </m:sSubPr>
                  <m:e>
                    <m:r>
                      <w:rPr>
                        <w:rFonts w:ascii="Cambria Math" w:eastAsia="Calibri" w:hAnsi="Cambria Math" w:cs="Times New Roman"/>
                        <w:lang w:val="en-US"/>
                      </w:rPr>
                      <m:t>K</m:t>
                    </m:r>
                  </m:e>
                  <m:sub>
                    <m:r>
                      <w:rPr>
                        <w:rFonts w:ascii="Cambria Math" w:eastAsia="Calibri" w:hAnsi="Cambria Math" w:cs="Times New Roman"/>
                        <w:lang w:val="en-US"/>
                      </w:rPr>
                      <m:t>sat</m:t>
                    </m:r>
                  </m:sub>
                </m:sSub>
              </m:oMath>
            </m:oMathPara>
          </w:p>
        </w:tc>
        <w:tc>
          <w:tcPr>
            <w:tcW w:w="1022" w:type="dxa"/>
            <w:noWrap/>
            <w:hideMark/>
          </w:tcPr>
          <w:p w14:paraId="330790A6" w14:textId="77777777" w:rsidR="00051297" w:rsidRPr="00051297" w:rsidRDefault="00051297" w:rsidP="004940F9">
            <w:pPr>
              <w:ind w:firstLine="0"/>
              <w:jc w:val="center"/>
              <w:rPr>
                <w:rFonts w:eastAsia="Calibri" w:cs="Times New Roman"/>
                <w:lang w:val="en-US"/>
              </w:rPr>
            </w:pPr>
            <m:oMathPara>
              <m:oMath>
                <m:r>
                  <m:rPr>
                    <m:sty m:val="p"/>
                  </m:rPr>
                  <w:rPr>
                    <w:rFonts w:ascii="Cambria Math" w:eastAsia="Calibri" w:hAnsi="Cambria Math" w:cs="Times New Roman"/>
                    <w:lang w:val="en-US"/>
                  </w:rPr>
                  <m:t>m/s</m:t>
                </m:r>
              </m:oMath>
            </m:oMathPara>
          </w:p>
        </w:tc>
        <w:tc>
          <w:tcPr>
            <w:tcW w:w="1571" w:type="dxa"/>
            <w:noWrap/>
            <w:hideMark/>
          </w:tcPr>
          <w:p w14:paraId="4444F949" w14:textId="77777777" w:rsidR="00051297" w:rsidRPr="00051297" w:rsidRDefault="00536556" w:rsidP="004940F9">
            <w:pPr>
              <w:ind w:firstLine="0"/>
              <w:jc w:val="center"/>
              <w:rPr>
                <w:rFonts w:eastAsia="Calibri" w:cs="Times New Roman"/>
                <w:lang w:val="en-US"/>
              </w:rPr>
            </w:pPr>
            <m:oMathPara>
              <m:oMath>
                <m:sSup>
                  <m:sSupPr>
                    <m:ctrlPr>
                      <w:rPr>
                        <w:rFonts w:ascii="Cambria Math" w:eastAsia="Calibri" w:hAnsi="Cambria Math" w:cs="Times New Roman"/>
                        <w:lang w:val="en-US"/>
                      </w:rPr>
                    </m:ctrlPr>
                  </m:sSupPr>
                  <m:e>
                    <m:r>
                      <m:rPr>
                        <m:sty m:val="p"/>
                      </m:rPr>
                      <w:rPr>
                        <w:rFonts w:ascii="Cambria Math" w:eastAsia="Calibri" w:hAnsi="Cambria Math" w:cs="Times New Roman"/>
                        <w:lang w:val="en-US"/>
                      </w:rPr>
                      <m:t>1×10</m:t>
                    </m:r>
                  </m:e>
                  <m:sup>
                    <m:r>
                      <m:rPr>
                        <m:sty m:val="p"/>
                      </m:rPr>
                      <w:rPr>
                        <w:rFonts w:ascii="Cambria Math" w:eastAsia="Calibri" w:hAnsi="Cambria Math" w:cs="Times New Roman"/>
                        <w:lang w:val="en-US"/>
                      </w:rPr>
                      <m:t>-6</m:t>
                    </m:r>
                  </m:sup>
                </m:sSup>
              </m:oMath>
            </m:oMathPara>
          </w:p>
        </w:tc>
      </w:tr>
      <w:tr w:rsidR="00051297" w:rsidRPr="00051297" w14:paraId="02CB331C" w14:textId="77777777" w:rsidTr="00D20B01">
        <w:trPr>
          <w:trHeight w:val="300"/>
          <w:jc w:val="center"/>
        </w:trPr>
        <w:tc>
          <w:tcPr>
            <w:tcW w:w="4093" w:type="dxa"/>
            <w:noWrap/>
            <w:hideMark/>
          </w:tcPr>
          <w:p w14:paraId="473EC386"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Residual water content</w:t>
            </w:r>
          </w:p>
        </w:tc>
        <w:tc>
          <w:tcPr>
            <w:tcW w:w="993" w:type="dxa"/>
            <w:noWrap/>
            <w:hideMark/>
          </w:tcPr>
          <w:p w14:paraId="4DDFD8B3" w14:textId="77777777" w:rsidR="00051297" w:rsidRPr="00051297" w:rsidRDefault="00536556" w:rsidP="004940F9">
            <w:pPr>
              <w:ind w:firstLine="0"/>
              <w:jc w:val="center"/>
              <w:rPr>
                <w:rFonts w:eastAsia="Calibri" w:cs="Times New Roman"/>
                <w:lang w:val="en-US"/>
              </w:rPr>
            </w:pPr>
            <m:oMathPara>
              <m:oMath>
                <m:sSub>
                  <m:sSubPr>
                    <m:ctrlPr>
                      <w:rPr>
                        <w:rFonts w:ascii="Cambria Math" w:eastAsia="Calibri" w:hAnsi="Cambria Math" w:cs="Times New Roman"/>
                        <w:lang w:val="en-US"/>
                      </w:rPr>
                    </m:ctrlPr>
                  </m:sSubPr>
                  <m:e>
                    <m:r>
                      <w:rPr>
                        <w:rFonts w:ascii="Cambria Math" w:eastAsia="Calibri" w:hAnsi="Cambria Math" w:cs="Times New Roman"/>
                        <w:lang w:val="en-US"/>
                      </w:rPr>
                      <m:t>θ</m:t>
                    </m:r>
                  </m:e>
                  <m:sub>
                    <m:r>
                      <w:rPr>
                        <w:rFonts w:ascii="Cambria Math" w:eastAsia="Calibri" w:hAnsi="Cambria Math" w:cs="Times New Roman"/>
                        <w:lang w:val="en-US"/>
                      </w:rPr>
                      <m:t>r</m:t>
                    </m:r>
                  </m:sub>
                </m:sSub>
              </m:oMath>
            </m:oMathPara>
          </w:p>
        </w:tc>
        <w:tc>
          <w:tcPr>
            <w:tcW w:w="1022" w:type="dxa"/>
            <w:noWrap/>
            <w:hideMark/>
          </w:tcPr>
          <w:p w14:paraId="1F892FE2" w14:textId="77777777" w:rsidR="00051297" w:rsidRPr="00051297" w:rsidRDefault="00051297" w:rsidP="004940F9">
            <w:pPr>
              <w:ind w:firstLine="0"/>
              <w:jc w:val="center"/>
              <w:rPr>
                <w:rFonts w:eastAsia="Calibri" w:cs="Times New Roman"/>
                <w:lang w:val="en-US"/>
              </w:rPr>
            </w:pPr>
            <m:oMathPara>
              <m:oMath>
                <m:r>
                  <m:rPr>
                    <m:sty m:val="p"/>
                  </m:rPr>
                  <w:rPr>
                    <w:rFonts w:ascii="Cambria Math" w:eastAsia="Calibri" w:hAnsi="Cambria Math" w:cs="Times New Roman"/>
                    <w:lang w:val="en-US"/>
                  </w:rPr>
                  <m:t>%</m:t>
                </m:r>
              </m:oMath>
            </m:oMathPara>
          </w:p>
        </w:tc>
        <w:tc>
          <w:tcPr>
            <w:tcW w:w="1571" w:type="dxa"/>
            <w:noWrap/>
            <w:hideMark/>
          </w:tcPr>
          <w:p w14:paraId="6CFEB74F"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5.5</w:t>
            </w:r>
          </w:p>
        </w:tc>
      </w:tr>
      <w:tr w:rsidR="00051297" w:rsidRPr="00051297" w14:paraId="1801FDC0" w14:textId="77777777" w:rsidTr="00D20B01">
        <w:trPr>
          <w:trHeight w:val="300"/>
          <w:jc w:val="center"/>
        </w:trPr>
        <w:tc>
          <w:tcPr>
            <w:tcW w:w="4093" w:type="dxa"/>
            <w:noWrap/>
            <w:hideMark/>
          </w:tcPr>
          <w:p w14:paraId="487471BE"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Soil unit weight</w:t>
            </w:r>
          </w:p>
        </w:tc>
        <w:tc>
          <w:tcPr>
            <w:tcW w:w="993" w:type="dxa"/>
            <w:noWrap/>
            <w:hideMark/>
          </w:tcPr>
          <w:p w14:paraId="363C6530" w14:textId="77777777" w:rsidR="00051297" w:rsidRPr="00051297" w:rsidRDefault="00051297" w:rsidP="004940F9">
            <w:pPr>
              <w:ind w:firstLine="0"/>
              <w:jc w:val="center"/>
              <w:rPr>
                <w:rFonts w:eastAsia="Calibri" w:cs="Times New Roman"/>
                <w:lang w:val="en-US"/>
              </w:rPr>
            </w:pPr>
            <m:oMathPara>
              <m:oMath>
                <m:r>
                  <w:rPr>
                    <w:rFonts w:ascii="Cambria Math" w:eastAsia="Calibri" w:hAnsi="Cambria Math" w:cs="Times New Roman"/>
                    <w:lang w:val="en-US"/>
                  </w:rPr>
                  <m:t>γ</m:t>
                </m:r>
              </m:oMath>
            </m:oMathPara>
          </w:p>
        </w:tc>
        <w:tc>
          <w:tcPr>
            <w:tcW w:w="1022" w:type="dxa"/>
            <w:noWrap/>
            <w:hideMark/>
          </w:tcPr>
          <w:p w14:paraId="4602A0C7" w14:textId="77777777" w:rsidR="00051297" w:rsidRPr="00051297" w:rsidRDefault="00536556" w:rsidP="004940F9">
            <w:pPr>
              <w:ind w:firstLine="0"/>
              <w:jc w:val="center"/>
              <w:rPr>
                <w:rFonts w:eastAsia="Calibri" w:cs="Times New Roman"/>
                <w:lang w:val="en-US"/>
              </w:rPr>
            </w:pPr>
            <m:oMathPara>
              <m:oMath>
                <m:sSup>
                  <m:sSupPr>
                    <m:ctrlPr>
                      <w:rPr>
                        <w:rFonts w:ascii="Cambria Math" w:eastAsia="Calibri" w:hAnsi="Cambria Math" w:cs="Times New Roman"/>
                        <w:lang w:val="en-US"/>
                      </w:rPr>
                    </m:ctrlPr>
                  </m:sSupPr>
                  <m:e>
                    <m:r>
                      <m:rPr>
                        <m:sty m:val="p"/>
                      </m:rPr>
                      <w:rPr>
                        <w:rFonts w:ascii="Cambria Math" w:eastAsia="Calibri" w:hAnsi="Cambria Math" w:cs="Times New Roman"/>
                        <w:lang w:val="en-US"/>
                      </w:rPr>
                      <m:t>kN/m</m:t>
                    </m:r>
                  </m:e>
                  <m:sup>
                    <m:r>
                      <m:rPr>
                        <m:sty m:val="p"/>
                      </m:rPr>
                      <w:rPr>
                        <w:rFonts w:ascii="Cambria Math" w:eastAsia="Calibri" w:hAnsi="Cambria Math" w:cs="Times New Roman"/>
                        <w:lang w:val="en-US"/>
                      </w:rPr>
                      <m:t>3</m:t>
                    </m:r>
                  </m:sup>
                </m:sSup>
              </m:oMath>
            </m:oMathPara>
          </w:p>
        </w:tc>
        <w:tc>
          <w:tcPr>
            <w:tcW w:w="1571" w:type="dxa"/>
            <w:noWrap/>
            <w:hideMark/>
          </w:tcPr>
          <w:p w14:paraId="6DDED0ED"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20</w:t>
            </w:r>
          </w:p>
        </w:tc>
      </w:tr>
      <w:tr w:rsidR="00051297" w:rsidRPr="00051297" w14:paraId="648C5030" w14:textId="77777777" w:rsidTr="00D20B01">
        <w:trPr>
          <w:trHeight w:val="300"/>
          <w:jc w:val="center"/>
        </w:trPr>
        <w:tc>
          <w:tcPr>
            <w:tcW w:w="4093" w:type="dxa"/>
            <w:noWrap/>
            <w:hideMark/>
          </w:tcPr>
          <w:p w14:paraId="1F7066B9"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Cohesion</w:t>
            </w:r>
          </w:p>
        </w:tc>
        <w:tc>
          <w:tcPr>
            <w:tcW w:w="993" w:type="dxa"/>
            <w:noWrap/>
            <w:hideMark/>
          </w:tcPr>
          <w:p w14:paraId="362194FC" w14:textId="77777777" w:rsidR="00051297" w:rsidRPr="00051297" w:rsidRDefault="00536556" w:rsidP="004940F9">
            <w:pPr>
              <w:ind w:firstLine="0"/>
              <w:jc w:val="center"/>
              <w:rPr>
                <w:rFonts w:eastAsia="Calibri" w:cs="Times New Roman"/>
                <w:lang w:val="en-US"/>
              </w:rPr>
            </w:pPr>
            <m:oMathPara>
              <m:oMath>
                <m:sSup>
                  <m:sSupPr>
                    <m:ctrlPr>
                      <w:rPr>
                        <w:rFonts w:ascii="Cambria Math" w:eastAsia="Calibri" w:hAnsi="Cambria Math" w:cs="Times New Roman"/>
                        <w:lang w:val="en-US"/>
                      </w:rPr>
                    </m:ctrlPr>
                  </m:sSupPr>
                  <m:e>
                    <m:r>
                      <w:rPr>
                        <w:rFonts w:ascii="Cambria Math" w:eastAsia="Calibri" w:hAnsi="Cambria Math" w:cs="Times New Roman"/>
                        <w:lang w:val="en-US"/>
                      </w:rPr>
                      <m:t>c</m:t>
                    </m:r>
                  </m:e>
                  <m:sup>
                    <m:r>
                      <m:rPr>
                        <m:sty m:val="p"/>
                      </m:rPr>
                      <w:rPr>
                        <w:rFonts w:ascii="Cambria Math" w:eastAsia="Calibri" w:hAnsi="Cambria Math" w:cs="Times New Roman"/>
                        <w:lang w:val="en-US"/>
                      </w:rPr>
                      <m:t>'</m:t>
                    </m:r>
                  </m:sup>
                </m:sSup>
              </m:oMath>
            </m:oMathPara>
          </w:p>
        </w:tc>
        <w:tc>
          <w:tcPr>
            <w:tcW w:w="1022" w:type="dxa"/>
            <w:noWrap/>
            <w:hideMark/>
          </w:tcPr>
          <w:p w14:paraId="415D4FDA" w14:textId="77777777" w:rsidR="00051297" w:rsidRPr="00051297" w:rsidRDefault="00536556" w:rsidP="004940F9">
            <w:pPr>
              <w:ind w:firstLine="0"/>
              <w:jc w:val="center"/>
              <w:rPr>
                <w:rFonts w:eastAsia="Calibri" w:cs="Times New Roman"/>
                <w:lang w:val="en-US"/>
              </w:rPr>
            </w:pPr>
            <m:oMathPara>
              <m:oMath>
                <m:sSup>
                  <m:sSupPr>
                    <m:ctrlPr>
                      <w:rPr>
                        <w:rFonts w:ascii="Cambria Math" w:eastAsia="Calibri" w:hAnsi="Cambria Math" w:cs="Times New Roman"/>
                        <w:lang w:val="en-US"/>
                      </w:rPr>
                    </m:ctrlPr>
                  </m:sSupPr>
                  <m:e>
                    <m:r>
                      <m:rPr>
                        <m:sty m:val="p"/>
                      </m:rPr>
                      <w:rPr>
                        <w:rFonts w:ascii="Cambria Math" w:eastAsia="Calibri" w:hAnsi="Cambria Math" w:cs="Times New Roman"/>
                        <w:lang w:val="en-US"/>
                      </w:rPr>
                      <m:t>kN/m</m:t>
                    </m:r>
                  </m:e>
                  <m:sup>
                    <m:r>
                      <m:rPr>
                        <m:sty m:val="p"/>
                      </m:rPr>
                      <w:rPr>
                        <w:rFonts w:ascii="Cambria Math" w:eastAsia="Calibri" w:hAnsi="Cambria Math" w:cs="Times New Roman"/>
                        <w:lang w:val="en-US"/>
                      </w:rPr>
                      <m:t>2</m:t>
                    </m:r>
                  </m:sup>
                </m:sSup>
              </m:oMath>
            </m:oMathPara>
          </w:p>
        </w:tc>
        <w:tc>
          <w:tcPr>
            <w:tcW w:w="1571" w:type="dxa"/>
            <w:noWrap/>
            <w:hideMark/>
          </w:tcPr>
          <w:p w14:paraId="33CD42E6"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5</w:t>
            </w:r>
          </w:p>
        </w:tc>
      </w:tr>
      <w:tr w:rsidR="00051297" w:rsidRPr="00051297" w14:paraId="66191169" w14:textId="77777777" w:rsidTr="00D20B01">
        <w:trPr>
          <w:trHeight w:val="300"/>
          <w:jc w:val="center"/>
        </w:trPr>
        <w:tc>
          <w:tcPr>
            <w:tcW w:w="4093" w:type="dxa"/>
            <w:noWrap/>
            <w:hideMark/>
          </w:tcPr>
          <w:p w14:paraId="75ED2B15"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Internal friction angle</w:t>
            </w:r>
          </w:p>
        </w:tc>
        <w:tc>
          <w:tcPr>
            <w:tcW w:w="993" w:type="dxa"/>
            <w:noWrap/>
            <w:hideMark/>
          </w:tcPr>
          <w:p w14:paraId="269AC92E" w14:textId="77777777" w:rsidR="00051297" w:rsidRPr="00051297" w:rsidRDefault="00536556" w:rsidP="004940F9">
            <w:pPr>
              <w:ind w:firstLine="0"/>
              <w:jc w:val="center"/>
              <w:rPr>
                <w:rFonts w:eastAsia="Calibri" w:cs="Times New Roman"/>
                <w:lang w:val="en-US"/>
              </w:rPr>
            </w:pPr>
            <m:oMathPara>
              <m:oMath>
                <m:sSup>
                  <m:sSupPr>
                    <m:ctrlPr>
                      <w:rPr>
                        <w:rFonts w:ascii="Cambria Math" w:eastAsia="Calibri" w:hAnsi="Cambria Math" w:cs="Times New Roman"/>
                        <w:lang w:val="en-US"/>
                      </w:rPr>
                    </m:ctrlPr>
                  </m:sSupPr>
                  <m:e>
                    <m:r>
                      <m:rPr>
                        <m:sty m:val="p"/>
                      </m:rPr>
                      <w:rPr>
                        <w:rFonts w:ascii="Cambria Math" w:eastAsia="Calibri" w:hAnsi="Cambria Math" w:cs="Times New Roman"/>
                        <w:lang w:val="en-US"/>
                      </w:rPr>
                      <m:t>∅</m:t>
                    </m:r>
                  </m:e>
                  <m:sup>
                    <m:r>
                      <m:rPr>
                        <m:sty m:val="p"/>
                      </m:rPr>
                      <w:rPr>
                        <w:rFonts w:ascii="Cambria Math" w:eastAsia="Calibri" w:hAnsi="Cambria Math" w:cs="Times New Roman"/>
                        <w:lang w:val="en-US"/>
                      </w:rPr>
                      <m:t>'</m:t>
                    </m:r>
                  </m:sup>
                </m:sSup>
              </m:oMath>
            </m:oMathPara>
          </w:p>
        </w:tc>
        <w:tc>
          <w:tcPr>
            <w:tcW w:w="1022" w:type="dxa"/>
            <w:noWrap/>
            <w:hideMark/>
          </w:tcPr>
          <w:p w14:paraId="1B24A9A1" w14:textId="77777777" w:rsidR="00051297" w:rsidRPr="00051297" w:rsidRDefault="00051297" w:rsidP="004940F9">
            <w:pPr>
              <w:ind w:firstLine="0"/>
              <w:jc w:val="center"/>
              <w:rPr>
                <w:rFonts w:eastAsia="Calibri" w:cs="Times New Roman"/>
                <w:lang w:val="en-US"/>
              </w:rPr>
            </w:pPr>
            <m:oMathPara>
              <m:oMath>
                <m:r>
                  <m:rPr>
                    <m:sty m:val="p"/>
                  </m:rPr>
                  <w:rPr>
                    <w:rFonts w:ascii="Cambria Math" w:eastAsia="Calibri" w:hAnsi="Cambria Math" w:cs="Times New Roman"/>
                    <w:lang w:val="en-US"/>
                  </w:rPr>
                  <m:t>degrees</m:t>
                </m:r>
              </m:oMath>
            </m:oMathPara>
          </w:p>
        </w:tc>
        <w:tc>
          <w:tcPr>
            <w:tcW w:w="1571" w:type="dxa"/>
            <w:noWrap/>
            <w:hideMark/>
          </w:tcPr>
          <w:p w14:paraId="688C36A4" w14:textId="77777777" w:rsidR="00051297" w:rsidRPr="00051297" w:rsidRDefault="00051297" w:rsidP="004940F9">
            <w:pPr>
              <w:ind w:firstLine="0"/>
              <w:jc w:val="center"/>
              <w:rPr>
                <w:rFonts w:eastAsia="Calibri" w:cs="Times New Roman"/>
                <w:lang w:val="en-US"/>
              </w:rPr>
            </w:pPr>
            <w:r w:rsidRPr="00051297">
              <w:rPr>
                <w:rFonts w:eastAsia="Calibri" w:cs="Times New Roman"/>
                <w:lang w:val="en-US"/>
              </w:rPr>
              <w:t>20, 25, 30, 35</w:t>
            </w:r>
          </w:p>
        </w:tc>
      </w:tr>
    </w:tbl>
    <w:p w14:paraId="6ABDCF32" w14:textId="77777777" w:rsidR="00051297" w:rsidRPr="00051297" w:rsidRDefault="00051297" w:rsidP="00051297">
      <w:pPr>
        <w:widowControl w:val="0"/>
        <w:kinsoku w:val="0"/>
        <w:overflowPunct w:val="0"/>
        <w:autoSpaceDE w:val="0"/>
        <w:autoSpaceDN w:val="0"/>
        <w:adjustRightInd w:val="0"/>
        <w:snapToGrid w:val="0"/>
        <w:ind w:firstLine="284"/>
        <w:rPr>
          <w:rFonts w:eastAsia="Malgun Gothic" w:cs="Times New Roman"/>
          <w:bCs/>
          <w:color w:val="FF0000"/>
          <w:kern w:val="2"/>
          <w:szCs w:val="24"/>
          <w:lang w:val="en-GB" w:eastAsia="ko-KR"/>
        </w:rPr>
      </w:pPr>
    </w:p>
    <w:p w14:paraId="0EC29A24" w14:textId="742C093C" w:rsidR="00051297" w:rsidRPr="00051297" w:rsidRDefault="00051297" w:rsidP="004940F9">
      <w:pPr>
        <w:pStyle w:val="3"/>
        <w:rPr>
          <w:rFonts w:eastAsia="Malgun Gothic"/>
          <w:lang w:val="en-GB" w:eastAsia="ko-KR"/>
        </w:rPr>
      </w:pPr>
      <w:bookmarkStart w:id="995" w:name="_Toc97504843"/>
      <w:bookmarkStart w:id="996" w:name="_Toc103543977"/>
      <w:bookmarkStart w:id="997" w:name="_Toc104985302"/>
      <w:r w:rsidRPr="00051297">
        <w:rPr>
          <w:rFonts w:eastAsia="Malgun Gothic"/>
          <w:lang w:val="en-GB" w:eastAsia="ko-KR"/>
        </w:rPr>
        <w:t>Results and discussion</w:t>
      </w:r>
      <w:bookmarkEnd w:id="995"/>
      <w:bookmarkEnd w:id="996"/>
      <w:bookmarkEnd w:id="997"/>
    </w:p>
    <w:p w14:paraId="5AA01CE9" w14:textId="77AD6E83" w:rsidR="00051297" w:rsidRPr="00051297" w:rsidRDefault="00051297" w:rsidP="00051297">
      <w:pPr>
        <w:rPr>
          <w:color w:val="FF0000"/>
          <w:lang w:val="en-US"/>
        </w:rPr>
      </w:pPr>
      <w:r w:rsidRPr="00051297">
        <w:rPr>
          <w:lang w:val="en-US"/>
        </w:rPr>
        <w:t xml:space="preserve">A horizontal toe drain was provided to lower the phreatic line and dissipate the excess pore water pressure in the embankment. From </w:t>
      </w:r>
      <w:r w:rsidRPr="00051297">
        <w:rPr>
          <w:lang w:val="en-US"/>
        </w:rPr>
        <w:fldChar w:fldCharType="begin"/>
      </w:r>
      <w:r w:rsidRPr="00051297">
        <w:rPr>
          <w:lang w:val="en-US"/>
        </w:rPr>
        <w:instrText xml:space="preserve"> REF _Ref98105730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17</w:t>
      </w:r>
      <w:r w:rsidRPr="00051297">
        <w:rPr>
          <w:lang w:val="en-US"/>
        </w:rPr>
        <w:fldChar w:fldCharType="end"/>
      </w:r>
      <w:r w:rsidRPr="00051297">
        <w:rPr>
          <w:lang w:val="en-US"/>
        </w:rPr>
        <w:t>, it can be observed that the phreatic lines are all within the embankment body. The position of the phreatic line has a considerable impact on the embankment's stability. This is because the position of a phreatic line is linked to potential piping due to excessive exit gradient and sloughing, both of which are caused by softening and weakening of the soil mass, particularly if the phreatic line contacts the downstream face.</w:t>
      </w:r>
      <w:r w:rsidRPr="00051297">
        <w:rPr>
          <w:color w:val="FF0000"/>
          <w:lang w:val="en-US"/>
        </w:rPr>
        <w:t xml:space="preserve"> </w:t>
      </w:r>
    </w:p>
    <w:p w14:paraId="4B81FB93" w14:textId="747FA00F" w:rsidR="00051297" w:rsidRPr="00051297" w:rsidRDefault="00051297" w:rsidP="00051297">
      <w:pPr>
        <w:rPr>
          <w:lang w:val="en-US"/>
        </w:rPr>
      </w:pPr>
      <w:r w:rsidRPr="00051297">
        <w:rPr>
          <w:lang w:val="en-US"/>
        </w:rPr>
        <w:t xml:space="preserve">Normally, some measures are taken when there is a problem with the permeability of the downstream zone, including the provision of a horizontal drainage blanket with the purpose of keeping the phreatic line well within the embankment body </w:t>
      </w:r>
      <w:r w:rsidRPr="00051297">
        <w:fldChar w:fldCharType="begin" w:fldLock="1"/>
      </w:r>
      <w:r w:rsidR="00FA5896">
        <w:rPr>
          <w:lang w:val="en-US"/>
        </w:rPr>
        <w:instrText>ADDIN CSL_CITATION {"citationItems":[{"id":"ITEM-1","itemData":{"DOI":"10.3390/app10113848","ISSN":"2076-3417","abstract":"Seepage flux is very important in many hydraulic projects such as in the upper reservoir of a pumped storage power station because of its effect on economic benefits. However, upper reservoirs with a relatively high altitude are generally located above the groundwater level; thus, their leakage is difficult to estimate accurately. Here, using steady seepage theory and Darcy’s law, we propose a simplified calculation method to estimate the leakage of slope-wall rock-fill dams with a horizontal blanket. Using a one-dimensional governing equation for unsaturated seepage flows with the assumption of porous continuous media, formulas are derived for calculating the seepage flux of the dam in a steady state with different groundwater levels, which are mainly divided into two situations: those that are lower or higher than the bottom of the horizontal blanket. Then, two engineering examples are developed to assess the proposed method; the relative errors between the analytical results and numerical results are less than 10%. The results obtained from other analytical methods introduced by other researchers are also compared with our numerical results. The comparison results show that the proposed method is reliable and can be used for the estimation of reservoir leakage in situations where rapid results are needed, such as benefit assessments and safety evaluations.","author":[{"dropping-particle":"","family":"Li","given":"Gehang","non-dropping-particle":"","parse-names":false,"suffix":""},{"dropping-particle":"","family":"Shen","given":"Zhenzhong","non-dropping-particle":"","parse-names":false,"suffix":""},{"dropping-particle":"","family":"Yang","given":"Chao","non-dropping-particle":"","parse-names":false,"suffix":""}],"container-title":"Applied Sciences","id":"ITEM-1","issue":"11","issued":{"date-parts":[["2020","6"]]},"page":"3848","title":"A Simplified Calculation Method of Seepage Flux for Slope-Wall Rock-Fill Dams with a Horizontal Blanket","type":"article-journal","volume":"10"},"uris":["http://www.mendeley.com/documents/?uuid=acbda690-e614-4cff-a1af-795e84cbd2bd","http://www.mendeley.com/documents/?uuid=43316901-70fd-4642-b0eb-3bb64aa3e961","http://www.mendeley.com/documents/?uuid=517b8b4b-62d5-4a2e-b717-4ef5465e3473"]}],"mendeley":{"formattedCitation":"[273]","plainTextFormattedCitation":"[273]","previouslyFormattedCitation":"[273]"},"properties":{"noteIndex":0},"schema":"https://github.com/citation-style-language/schema/raw/master/csl-citation.json"}</w:instrText>
      </w:r>
      <w:r w:rsidRPr="00051297">
        <w:fldChar w:fldCharType="separate"/>
      </w:r>
      <w:r w:rsidR="0032684D" w:rsidRPr="0032684D">
        <w:rPr>
          <w:noProof/>
          <w:lang w:val="en-US"/>
        </w:rPr>
        <w:t>[273]</w:t>
      </w:r>
      <w:r w:rsidRPr="00051297">
        <w:fldChar w:fldCharType="end"/>
      </w:r>
      <w:r w:rsidRPr="00051297">
        <w:rPr>
          <w:lang w:val="en-US"/>
        </w:rPr>
        <w:t xml:space="preserve">. Furthermore, from </w:t>
      </w:r>
      <w:r w:rsidRPr="00051297">
        <w:rPr>
          <w:lang w:val="en-US"/>
        </w:rPr>
        <w:fldChar w:fldCharType="begin"/>
      </w:r>
      <w:r w:rsidRPr="00051297">
        <w:rPr>
          <w:lang w:val="en-US"/>
        </w:rPr>
        <w:instrText xml:space="preserve"> REF _Ref98105730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17</w:t>
      </w:r>
      <w:r w:rsidRPr="00051297">
        <w:rPr>
          <w:lang w:val="en-US"/>
        </w:rPr>
        <w:fldChar w:fldCharType="end"/>
      </w:r>
      <w:r w:rsidRPr="00051297">
        <w:rPr>
          <w:lang w:val="en-US"/>
        </w:rPr>
        <w:t xml:space="preserve">, it can be observed that the phreatic lines are highly scattered at the upstream zone while well combined towards the toe drain. </w:t>
      </w:r>
    </w:p>
    <w:p w14:paraId="549D0394" w14:textId="65E9EE85" w:rsidR="00051297" w:rsidRPr="00051297" w:rsidRDefault="00051297" w:rsidP="00051297">
      <w:pPr>
        <w:rPr>
          <w:lang w:val="en-US"/>
        </w:rPr>
      </w:pPr>
      <w:r w:rsidRPr="00051297">
        <w:rPr>
          <w:lang w:val="en-US"/>
        </w:rPr>
        <w:lastRenderedPageBreak/>
        <w:t xml:space="preserve">Nevertheless, once the capillary fringe touches the downstream face of the embankment, the pressure within tends to change from negative (suction) to the so-called atmospheric pressure. Therefore, in such a phenomenon, the downstream slope is associated with the potential to become a seepage face leading to slope failure </w:t>
      </w:r>
      <w:r w:rsidRPr="00051297">
        <w:fldChar w:fldCharType="begin" w:fldLock="1"/>
      </w:r>
      <w:r w:rsidR="00FA5896">
        <w:rPr>
          <w:lang w:val="en-US"/>
        </w:rPr>
        <w:instrText>ADDIN CSL_CITATION {"citationItems":[{"id":"ITEM-1","itemData":{"DOI":"10.1139/cgj-2016-0315","ISSN":"0008-3674","abstract":"Rainfall and reservoir water level fluctuations are the main external factors of landslides in the Three Gorges Reservoir area. To improve the analysis of slope stability under the combined effect of reservoir water level fluctuations and rainfall, a simplified method for phreatic line calculation of slopes is proposed in this study. Based on the obtained phreatic line, the expression of normal stress on the sliding surface of the slope under the hydrodynamic forces is deduced, and a global analysis method to solve the slope safety factor under hydrodynamic force is proposed. Finally, the safety evolution of a slope in the Three Gorges Reservoir area is studied under the combined effect of reservoir water level fluctuations and rainfall.","author":[{"dropping-particle":"","family":"Sun","given":"Guanhua","non-dropping-particle":"","parse-names":false,"suffix":""},{"dropping-particle":"","family":"Yang","given":"Yongtao","non-dropping-particle":"","parse-names":false,"suffix":""},{"dropping-particle":"","family":"Cheng","given":"Shengguo","non-dropping-particle":"","parse-names":false,"suffix":""},{"dropping-particle":"","family":"Zheng","given":"Hong","non-dropping-particle":"","parse-names":false,"suffix":""}],"container-title":"Canadian Geotechnical Journal","id":"ITEM-1","issue":"5","issued":{"date-parts":[["2017","5"]]},"page":"631-645","title":"Phreatic line calculation and stability analysis of slopes under the combined effect of reservoir water level fluctuations and rainfall","type":"article-journal","volume":"54"},"uris":["http://www.mendeley.com/documents/?uuid=d7073170-2764-4448-8041-6a33ed154fb2"]}],"mendeley":{"formattedCitation":"[264]","plainTextFormattedCitation":"[264]","previouslyFormattedCitation":"[264]"},"properties":{"noteIndex":0},"schema":"https://github.com/citation-style-language/schema/raw/master/csl-citation.json"}</w:instrText>
      </w:r>
      <w:r w:rsidRPr="00051297">
        <w:fldChar w:fldCharType="separate"/>
      </w:r>
      <w:r w:rsidR="0032684D" w:rsidRPr="0032684D">
        <w:rPr>
          <w:noProof/>
          <w:lang w:val="en-US"/>
        </w:rPr>
        <w:t>[264]</w:t>
      </w:r>
      <w:r w:rsidRPr="00051297">
        <w:fldChar w:fldCharType="end"/>
      </w:r>
      <w:r w:rsidRPr="00051297">
        <w:rPr>
          <w:lang w:val="en-US"/>
        </w:rPr>
        <w:t>. In that matter, the phreatic line should always be kept within without intersecting the downstream face as well as being located at a distance greater than capillary rise. The entire phenomenon keeps the phreatic line below the sloping face to nullify the chances of the sloughing or piping.</w:t>
      </w:r>
    </w:p>
    <w:p w14:paraId="269F220E" w14:textId="31DBDF1A" w:rsidR="00051297" w:rsidRPr="00051297" w:rsidRDefault="000063D7" w:rsidP="00051297">
      <w:pPr>
        <w:keepNext/>
        <w:ind w:firstLine="0"/>
        <w:jc w:val="center"/>
        <w:rPr>
          <w:rFonts w:cs="Times New Roman"/>
          <w:szCs w:val="24"/>
        </w:rPr>
      </w:pPr>
      <w:r>
        <w:rPr>
          <w:noProof/>
        </w:rPr>
        <w:drawing>
          <wp:inline distT="0" distB="0" distL="0" distR="0" wp14:anchorId="68E9C1A6" wp14:editId="51C1FAAE">
            <wp:extent cx="5939790" cy="1892300"/>
            <wp:effectExtent l="0" t="0" r="381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39790" cy="1892300"/>
                    </a:xfrm>
                    <a:prstGeom prst="rect">
                      <a:avLst/>
                    </a:prstGeom>
                    <a:noFill/>
                    <a:ln>
                      <a:noFill/>
                    </a:ln>
                  </pic:spPr>
                </pic:pic>
              </a:graphicData>
            </a:graphic>
          </wp:inline>
        </w:drawing>
      </w:r>
    </w:p>
    <w:p w14:paraId="41EA2C08" w14:textId="7D7FEA88" w:rsidR="00051297" w:rsidRPr="00051297" w:rsidRDefault="00051297" w:rsidP="00051297">
      <w:pPr>
        <w:ind w:firstLine="0"/>
        <w:jc w:val="center"/>
        <w:rPr>
          <w:rFonts w:cs="Times New Roman"/>
          <w:szCs w:val="24"/>
          <w:lang w:val="en-US" w:bidi="en-US"/>
        </w:rPr>
      </w:pPr>
      <w:bookmarkStart w:id="998" w:name="_Ref98105730"/>
      <w:bookmarkStart w:id="999" w:name="_Toc97428262"/>
      <w:bookmarkStart w:id="1000" w:name="_Toc98085937"/>
      <w:bookmarkStart w:id="1001" w:name="_Toc103544132"/>
      <w:bookmarkStart w:id="1002" w:name="_Toc104985455"/>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17</w:t>
      </w:r>
      <w:r w:rsidR="00527861">
        <w:rPr>
          <w:rFonts w:cs="Times New Roman"/>
          <w:szCs w:val="24"/>
          <w:lang w:val="en-US" w:bidi="en-US"/>
        </w:rPr>
        <w:fldChar w:fldCharType="end"/>
      </w:r>
      <w:bookmarkEnd w:id="998"/>
      <w:r w:rsidRPr="00051297">
        <w:rPr>
          <w:lang w:val="en-US"/>
        </w:rPr>
        <w:t xml:space="preserve"> </w:t>
      </w:r>
      <w:r w:rsidRPr="00051297">
        <w:rPr>
          <w:rFonts w:cs="Times New Roman"/>
          <w:szCs w:val="24"/>
          <w:lang w:val="en-US" w:bidi="en-US"/>
        </w:rPr>
        <w:t>– Piezometric lines following the rapid drawdown</w:t>
      </w:r>
      <w:bookmarkEnd w:id="999"/>
      <w:bookmarkEnd w:id="1000"/>
      <w:bookmarkEnd w:id="1001"/>
      <w:bookmarkEnd w:id="1002"/>
    </w:p>
    <w:p w14:paraId="4FA80A8B" w14:textId="153F5C96" w:rsidR="00051297" w:rsidRPr="00051297" w:rsidRDefault="00051297" w:rsidP="004940F9">
      <w:pPr>
        <w:rPr>
          <w:color w:val="FF0000"/>
          <w:lang w:val="en-US"/>
        </w:rPr>
      </w:pPr>
      <w:r w:rsidRPr="00051297">
        <w:rPr>
          <w:lang w:val="en-US"/>
        </w:rPr>
        <w:t xml:space="preserve">The slope stability analysis was successfully executed. </w:t>
      </w:r>
      <w:r w:rsidRPr="00051297">
        <w:rPr>
          <w:lang w:val="en-US"/>
        </w:rPr>
        <w:fldChar w:fldCharType="begin"/>
      </w:r>
      <w:r w:rsidRPr="00051297">
        <w:rPr>
          <w:lang w:val="en-US"/>
        </w:rPr>
        <w:instrText xml:space="preserve"> REF _Ref98105755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18</w:t>
      </w:r>
      <w:r w:rsidRPr="00051297">
        <w:rPr>
          <w:lang w:val="en-US"/>
        </w:rPr>
        <w:fldChar w:fldCharType="end"/>
      </w:r>
      <w:r w:rsidRPr="00051297">
        <w:rPr>
          <w:lang w:val="en-US"/>
        </w:rPr>
        <w:t xml:space="preserve"> shows the critical slip surfaces for the 20</w:t>
      </w:r>
      <w:r w:rsidRPr="00051297">
        <w:rPr>
          <w:vertAlign w:val="superscript"/>
          <w:lang w:val="en-US"/>
        </w:rPr>
        <w:t>0</w:t>
      </w:r>
      <w:r w:rsidRPr="00051297">
        <w:rPr>
          <w:lang w:val="en-US"/>
        </w:rPr>
        <w:t xml:space="preserve"> angle of friction (</w:t>
      </w:r>
      <w:r w:rsidRPr="00051297">
        <w:rPr>
          <w:lang w:val="en-US"/>
        </w:rPr>
        <w:fldChar w:fldCharType="begin"/>
      </w:r>
      <w:r w:rsidRPr="00051297">
        <w:rPr>
          <w:lang w:val="en-US"/>
        </w:rPr>
        <w:instrText xml:space="preserve"> REF _Ref98105755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18</w:t>
      </w:r>
      <w:r w:rsidRPr="00051297">
        <w:rPr>
          <w:lang w:val="en-US"/>
        </w:rPr>
        <w:fldChar w:fldCharType="end"/>
      </w:r>
      <w:r w:rsidRPr="00051297">
        <w:rPr>
          <w:lang w:val="en-US"/>
        </w:rPr>
        <w:t>(a)) and 35</w:t>
      </w:r>
      <w:r w:rsidRPr="00051297">
        <w:rPr>
          <w:vertAlign w:val="superscript"/>
          <w:lang w:val="en-US"/>
        </w:rPr>
        <w:t>0</w:t>
      </w:r>
      <w:r w:rsidRPr="00051297">
        <w:rPr>
          <w:lang w:val="en-US"/>
        </w:rPr>
        <w:t xml:space="preserve"> angle of friction (</w:t>
      </w:r>
      <w:r w:rsidRPr="00051297">
        <w:rPr>
          <w:lang w:val="en-US"/>
        </w:rPr>
        <w:fldChar w:fldCharType="begin"/>
      </w:r>
      <w:r w:rsidRPr="00051297">
        <w:rPr>
          <w:lang w:val="en-US"/>
        </w:rPr>
        <w:instrText xml:space="preserve"> REF _Ref98105755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18</w:t>
      </w:r>
      <w:r w:rsidRPr="00051297">
        <w:rPr>
          <w:lang w:val="en-US"/>
        </w:rPr>
        <w:fldChar w:fldCharType="end"/>
      </w:r>
      <w:r w:rsidRPr="00051297">
        <w:rPr>
          <w:lang w:val="en-US"/>
        </w:rPr>
        <w:t xml:space="preserve">(b)). From </w:t>
      </w:r>
      <w:r w:rsidRPr="00051297">
        <w:rPr>
          <w:lang w:val="en-US"/>
        </w:rPr>
        <w:fldChar w:fldCharType="begin"/>
      </w:r>
      <w:r w:rsidRPr="00051297">
        <w:rPr>
          <w:lang w:val="en-US"/>
        </w:rPr>
        <w:instrText xml:space="preserve"> REF _Ref98105755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18</w:t>
      </w:r>
      <w:r w:rsidRPr="00051297">
        <w:rPr>
          <w:lang w:val="en-US"/>
        </w:rPr>
        <w:fldChar w:fldCharType="end"/>
      </w:r>
      <w:r w:rsidRPr="00051297">
        <w:rPr>
          <w:lang w:val="en-US"/>
        </w:rPr>
        <w:t>, it can be observed that when the embankment was subjected to an internal angle of friction of 20</w:t>
      </w:r>
      <w:r w:rsidRPr="00051297">
        <w:rPr>
          <w:vertAlign w:val="superscript"/>
          <w:lang w:val="en-US"/>
        </w:rPr>
        <w:t>0</w:t>
      </w:r>
      <w:r w:rsidRPr="00051297">
        <w:rPr>
          <w:lang w:val="en-US"/>
        </w:rPr>
        <w:t>, it was associated with a potential total failure of the embankment. It has to be noted that, in any bank of homogeneous earth, normally, the failure slip surface nearly follows the arc of a circle that crosses the bank's toe. Therefore, the stability of the structure depends upon fixing the position of the center of rotation of the slip surface. Specifically, fixing the surface along which the greatest shearing resistance is a significant requirement for equilibrium, of which for an embankment dam, the upstream zone in contact with the reservoir has to be properly designed to avoid potential failure.</w:t>
      </w:r>
    </w:p>
    <w:p w14:paraId="7CA955F4" w14:textId="068F18AE" w:rsidR="00051297" w:rsidRPr="00051297" w:rsidRDefault="00051297" w:rsidP="004940F9">
      <w:pPr>
        <w:rPr>
          <w:lang w:val="en-US"/>
        </w:rPr>
      </w:pPr>
      <w:r w:rsidRPr="00051297">
        <w:rPr>
          <w:lang w:val="en-US"/>
        </w:rPr>
        <w:t>However, higher stability can be observed when the embankment was subjected to 35</w:t>
      </w:r>
      <w:r w:rsidRPr="00051297">
        <w:rPr>
          <w:vertAlign w:val="superscript"/>
          <w:lang w:val="en-US"/>
        </w:rPr>
        <w:t>0</w:t>
      </w:r>
      <w:r w:rsidRPr="00051297">
        <w:rPr>
          <w:lang w:val="en-US"/>
        </w:rPr>
        <w:t xml:space="preserve"> as an internal angle of friction, with a higher minimum factor of safety value compared to when the embankment was subjected to 20</w:t>
      </w:r>
      <w:r w:rsidRPr="00051297">
        <w:rPr>
          <w:vertAlign w:val="superscript"/>
          <w:lang w:val="en-US"/>
        </w:rPr>
        <w:t>0</w:t>
      </w:r>
      <w:r w:rsidRPr="00051297">
        <w:rPr>
          <w:lang w:val="en-US"/>
        </w:rPr>
        <w:t xml:space="preserve"> as an angle of friction. In general, the embankment critical slip surface possessing the minimum factor of safety is the one that is always assumed to be the most likely slip or failure surface. The combination of slip surface and a minimum factor of safety is normally used as the failure slip surface during the analysis and design phases of slope stabilization activities </w:t>
      </w:r>
      <w:r w:rsidRPr="00051297">
        <w:rPr>
          <w:lang w:val="en-US"/>
        </w:rPr>
        <w:fldChar w:fldCharType="begin" w:fldLock="1"/>
      </w:r>
      <w:r w:rsidR="00FA5896">
        <w:rPr>
          <w:lang w:val="en-US"/>
        </w:rPr>
        <w:instrText>ADDIN CSL_CITATION {"citationItems":[{"id":"ITEM-1","itemData":{"DOI":"10.1016/j.enganabound.2021.03.012","ISSN":"09557997","abstract":"The numerical manifold method (NMM) has been used to solve geotechnical problems with valuable results. In this paper, a numerical model based on the NMM is proposed to investigate two primary concerns in slope stability analyses, i.e., critical slip surface (CSS) determination and safety factor (Fs) calculation. In our proposed numerical model, the optimization algorithm of MAX-MIN ant colony (MMACOA), which is considered to be an algorithm with the best performance for such optimization problems, will be used to determine CSS. In the process of determining the CSS, the trial safety factor for a trial slip surface is calculated with the vector sum method (VSM) according to the stress field produced by an NMM analysis. Accuracy of the numerical model is validated with three typical examples. The numerical model has great potential in the evaluation of stability of real slopes.","author":[{"dropping-particle":"","family":"Yang","given":"Yongtao","non-dropping-particle":"","parse-names":false,"suffix":""},{"dropping-particle":"","family":"Wu","given":"Wenan","non-dropping-particle":"","parse-names":false,"suffix":""},{"dropping-particle":"","family":"Zhang","given":"Jianhai","non-dropping-particle":"","parse-names":false,"suffix":""},{"dropping-particle":"","family":"Zheng","given":"Hong","non-dropping-particle":"","parse-names":false,"suffix":""},{"dropping-particle":"","family":"Xu","given":"Dongdong","non-dropping-particle":"","parse-names":false,"suffix":""}],"container-title":"Engineering Analysis with Boundary Elements","id":"ITEM-1","issued":{"date-parts":[["2021","6"]]},"page":"64-74","title":"Determination of critical slip surface and safety factor of slope using the vector sum numerical manifold method and MAX-MIN ant colony optimization algorithm","type":"article-journal","volume":"127"},"uris":["http://www.mendeley.com/documents/?uuid=d0e4321c-b841-4b9d-8142-f77ae2962e18"]}],"mendeley":{"formattedCitation":"[274]","plainTextFormattedCitation":"[274]","previouslyFormattedCitation":"[274]"},"properties":{"noteIndex":0},"schema":"https://github.com/citation-style-language/schema/raw/master/csl-citation.json"}</w:instrText>
      </w:r>
      <w:r w:rsidRPr="00051297">
        <w:rPr>
          <w:lang w:val="en-US"/>
        </w:rPr>
        <w:fldChar w:fldCharType="separate"/>
      </w:r>
      <w:r w:rsidR="0032684D" w:rsidRPr="0032684D">
        <w:rPr>
          <w:noProof/>
          <w:lang w:val="en-US"/>
        </w:rPr>
        <w:t>[274]</w:t>
      </w:r>
      <w:r w:rsidRPr="00051297">
        <w:rPr>
          <w:lang w:val="en-US"/>
        </w:rPr>
        <w:fldChar w:fldCharType="end"/>
      </w:r>
      <w:r w:rsidRPr="00051297">
        <w:rPr>
          <w:lang w:val="en-US"/>
        </w:rPr>
        <w:t>.</w:t>
      </w:r>
    </w:p>
    <w:tbl>
      <w:tblPr>
        <w:tblStyle w:val="TableGrid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54"/>
      </w:tblGrid>
      <w:tr w:rsidR="00051297" w:rsidRPr="00051297" w14:paraId="427F5C5C" w14:textId="77777777" w:rsidTr="0037422E">
        <w:trPr>
          <w:trHeight w:val="283"/>
          <w:jc w:val="center"/>
        </w:trPr>
        <w:tc>
          <w:tcPr>
            <w:tcW w:w="9344" w:type="dxa"/>
            <w:vAlign w:val="center"/>
          </w:tcPr>
          <w:p w14:paraId="07535B38" w14:textId="78AF1286" w:rsidR="00051297" w:rsidRPr="00051297" w:rsidRDefault="00EA6239" w:rsidP="004940F9">
            <w:pPr>
              <w:widowControl w:val="0"/>
              <w:wordWrap w:val="0"/>
              <w:autoSpaceDE w:val="0"/>
              <w:autoSpaceDN w:val="0"/>
              <w:adjustRightInd w:val="0"/>
              <w:snapToGrid w:val="0"/>
              <w:spacing w:line="240" w:lineRule="auto"/>
              <w:ind w:firstLine="0"/>
              <w:jc w:val="center"/>
              <w:rPr>
                <w:rFonts w:cs="Times New Roman"/>
                <w:szCs w:val="24"/>
                <w:shd w:val="clear" w:color="auto" w:fill="FFFFFF"/>
              </w:rPr>
            </w:pPr>
            <w:r>
              <w:rPr>
                <w:noProof/>
              </w:rPr>
              <w:lastRenderedPageBreak/>
              <w:drawing>
                <wp:inline distT="0" distB="0" distL="0" distR="0" wp14:anchorId="63DB0415" wp14:editId="71F81584">
                  <wp:extent cx="5328227" cy="1980000"/>
                  <wp:effectExtent l="0" t="0" r="6350" b="127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328227" cy="1980000"/>
                          </a:xfrm>
                          <a:prstGeom prst="rect">
                            <a:avLst/>
                          </a:prstGeom>
                          <a:noFill/>
                          <a:ln>
                            <a:noFill/>
                          </a:ln>
                        </pic:spPr>
                      </pic:pic>
                    </a:graphicData>
                  </a:graphic>
                </wp:inline>
              </w:drawing>
            </w:r>
          </w:p>
          <w:p w14:paraId="23DF2446" w14:textId="77777777" w:rsidR="00051297" w:rsidRPr="00051297" w:rsidRDefault="00051297" w:rsidP="004940F9">
            <w:pPr>
              <w:widowControl w:val="0"/>
              <w:wordWrap w:val="0"/>
              <w:autoSpaceDE w:val="0"/>
              <w:autoSpaceDN w:val="0"/>
              <w:adjustRightInd w:val="0"/>
              <w:snapToGrid w:val="0"/>
              <w:spacing w:line="240" w:lineRule="auto"/>
              <w:ind w:firstLine="0"/>
              <w:jc w:val="center"/>
              <w:rPr>
                <w:rFonts w:cs="Times New Roman"/>
                <w:szCs w:val="24"/>
                <w:shd w:val="clear" w:color="auto" w:fill="FFFFFF"/>
              </w:rPr>
            </w:pPr>
            <w:r w:rsidRPr="00051297">
              <w:rPr>
                <w:rFonts w:cs="Times New Roman"/>
                <w:szCs w:val="24"/>
                <w:shd w:val="clear" w:color="auto" w:fill="FFFFFF"/>
              </w:rPr>
              <w:t>(a)</w:t>
            </w:r>
          </w:p>
        </w:tc>
      </w:tr>
      <w:tr w:rsidR="00D51C53" w:rsidRPr="00051297" w14:paraId="68F0BD6C" w14:textId="77777777" w:rsidTr="0037422E">
        <w:trPr>
          <w:trHeight w:val="283"/>
          <w:jc w:val="center"/>
        </w:trPr>
        <w:tc>
          <w:tcPr>
            <w:tcW w:w="9344" w:type="dxa"/>
            <w:vAlign w:val="center"/>
          </w:tcPr>
          <w:p w14:paraId="76AAC298" w14:textId="000F835A" w:rsidR="00D51C53" w:rsidRDefault="00B16C0A" w:rsidP="004940F9">
            <w:pPr>
              <w:widowControl w:val="0"/>
              <w:wordWrap w:val="0"/>
              <w:autoSpaceDE w:val="0"/>
              <w:autoSpaceDN w:val="0"/>
              <w:adjustRightInd w:val="0"/>
              <w:snapToGrid w:val="0"/>
              <w:spacing w:line="240" w:lineRule="auto"/>
              <w:ind w:firstLine="0"/>
              <w:jc w:val="center"/>
              <w:rPr>
                <w:noProof/>
              </w:rPr>
            </w:pPr>
            <w:r>
              <w:rPr>
                <w:noProof/>
              </w:rPr>
              <w:drawing>
                <wp:inline distT="0" distB="0" distL="0" distR="0" wp14:anchorId="1FB78004" wp14:editId="5D64544D">
                  <wp:extent cx="5455352" cy="1980000"/>
                  <wp:effectExtent l="0" t="0" r="0" b="127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55352" cy="1980000"/>
                          </a:xfrm>
                          <a:prstGeom prst="rect">
                            <a:avLst/>
                          </a:prstGeom>
                          <a:noFill/>
                          <a:ln>
                            <a:noFill/>
                          </a:ln>
                        </pic:spPr>
                      </pic:pic>
                    </a:graphicData>
                  </a:graphic>
                </wp:inline>
              </w:drawing>
            </w:r>
          </w:p>
          <w:p w14:paraId="0304C470" w14:textId="03EFF19B" w:rsidR="00D51C53" w:rsidRDefault="00D51C53" w:rsidP="004940F9">
            <w:pPr>
              <w:widowControl w:val="0"/>
              <w:wordWrap w:val="0"/>
              <w:autoSpaceDE w:val="0"/>
              <w:autoSpaceDN w:val="0"/>
              <w:adjustRightInd w:val="0"/>
              <w:snapToGrid w:val="0"/>
              <w:spacing w:line="240" w:lineRule="auto"/>
              <w:ind w:firstLine="0"/>
              <w:jc w:val="center"/>
              <w:rPr>
                <w:noProof/>
              </w:rPr>
            </w:pPr>
            <w:r>
              <w:rPr>
                <w:noProof/>
              </w:rPr>
              <w:t>(b)</w:t>
            </w:r>
          </w:p>
        </w:tc>
      </w:tr>
      <w:tr w:rsidR="00D51C53" w:rsidRPr="00051297" w14:paraId="4D52A4E0" w14:textId="77777777" w:rsidTr="0037422E">
        <w:trPr>
          <w:trHeight w:val="283"/>
          <w:jc w:val="center"/>
        </w:trPr>
        <w:tc>
          <w:tcPr>
            <w:tcW w:w="9344" w:type="dxa"/>
            <w:vAlign w:val="center"/>
          </w:tcPr>
          <w:p w14:paraId="72B3DF32" w14:textId="4BF1134A" w:rsidR="00D51C53" w:rsidRDefault="00D51C53" w:rsidP="004940F9">
            <w:pPr>
              <w:widowControl w:val="0"/>
              <w:wordWrap w:val="0"/>
              <w:autoSpaceDE w:val="0"/>
              <w:autoSpaceDN w:val="0"/>
              <w:adjustRightInd w:val="0"/>
              <w:snapToGrid w:val="0"/>
              <w:spacing w:line="240" w:lineRule="auto"/>
              <w:ind w:firstLine="0"/>
              <w:jc w:val="center"/>
              <w:rPr>
                <w:noProof/>
              </w:rPr>
            </w:pPr>
            <w:r>
              <w:rPr>
                <w:noProof/>
              </w:rPr>
              <w:drawing>
                <wp:inline distT="0" distB="0" distL="0" distR="0" wp14:anchorId="1ABE2CD2" wp14:editId="0A0EDE1A">
                  <wp:extent cx="5424991" cy="1980000"/>
                  <wp:effectExtent l="0" t="0" r="4445" b="127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24991" cy="1980000"/>
                          </a:xfrm>
                          <a:prstGeom prst="rect">
                            <a:avLst/>
                          </a:prstGeom>
                          <a:noFill/>
                          <a:ln>
                            <a:noFill/>
                          </a:ln>
                        </pic:spPr>
                      </pic:pic>
                    </a:graphicData>
                  </a:graphic>
                </wp:inline>
              </w:drawing>
            </w:r>
          </w:p>
          <w:p w14:paraId="60F25FD0" w14:textId="52067AA5" w:rsidR="00D51C53" w:rsidRDefault="00D51C53" w:rsidP="004940F9">
            <w:pPr>
              <w:widowControl w:val="0"/>
              <w:wordWrap w:val="0"/>
              <w:autoSpaceDE w:val="0"/>
              <w:autoSpaceDN w:val="0"/>
              <w:adjustRightInd w:val="0"/>
              <w:snapToGrid w:val="0"/>
              <w:spacing w:line="240" w:lineRule="auto"/>
              <w:ind w:firstLine="0"/>
              <w:jc w:val="center"/>
              <w:rPr>
                <w:noProof/>
              </w:rPr>
            </w:pPr>
            <w:r>
              <w:rPr>
                <w:noProof/>
              </w:rPr>
              <w:t>(c)</w:t>
            </w:r>
          </w:p>
        </w:tc>
      </w:tr>
      <w:tr w:rsidR="00051297" w:rsidRPr="00051297" w14:paraId="4404E399" w14:textId="77777777" w:rsidTr="0037422E">
        <w:trPr>
          <w:trHeight w:val="283"/>
          <w:jc w:val="center"/>
        </w:trPr>
        <w:tc>
          <w:tcPr>
            <w:tcW w:w="9344" w:type="dxa"/>
            <w:vAlign w:val="center"/>
          </w:tcPr>
          <w:p w14:paraId="2B07017A" w14:textId="303FD610" w:rsidR="00051297" w:rsidRPr="00051297" w:rsidRDefault="0037422E" w:rsidP="004940F9">
            <w:pPr>
              <w:widowControl w:val="0"/>
              <w:wordWrap w:val="0"/>
              <w:autoSpaceDE w:val="0"/>
              <w:autoSpaceDN w:val="0"/>
              <w:adjustRightInd w:val="0"/>
              <w:snapToGrid w:val="0"/>
              <w:spacing w:line="240" w:lineRule="auto"/>
              <w:ind w:firstLine="0"/>
              <w:jc w:val="center"/>
              <w:rPr>
                <w:rFonts w:cs="Times New Roman"/>
                <w:noProof/>
                <w:szCs w:val="24"/>
                <w:lang w:eastAsia="en-US"/>
              </w:rPr>
            </w:pPr>
            <w:r>
              <w:rPr>
                <w:noProof/>
              </w:rPr>
              <w:drawing>
                <wp:inline distT="0" distB="0" distL="0" distR="0" wp14:anchorId="5DF089EC" wp14:editId="4AB1649B">
                  <wp:extent cx="5481183" cy="1980000"/>
                  <wp:effectExtent l="0" t="0" r="5715" b="127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81183" cy="1980000"/>
                          </a:xfrm>
                          <a:prstGeom prst="rect">
                            <a:avLst/>
                          </a:prstGeom>
                          <a:noFill/>
                          <a:ln>
                            <a:noFill/>
                          </a:ln>
                        </pic:spPr>
                      </pic:pic>
                    </a:graphicData>
                  </a:graphic>
                </wp:inline>
              </w:drawing>
            </w:r>
          </w:p>
          <w:p w14:paraId="46D066CF" w14:textId="0601891B" w:rsidR="00051297" w:rsidRPr="00051297" w:rsidRDefault="00051297" w:rsidP="004940F9">
            <w:pPr>
              <w:widowControl w:val="0"/>
              <w:wordWrap w:val="0"/>
              <w:autoSpaceDE w:val="0"/>
              <w:autoSpaceDN w:val="0"/>
              <w:adjustRightInd w:val="0"/>
              <w:snapToGrid w:val="0"/>
              <w:spacing w:line="240" w:lineRule="auto"/>
              <w:ind w:firstLine="0"/>
              <w:jc w:val="center"/>
              <w:rPr>
                <w:rFonts w:cs="Times New Roman"/>
                <w:noProof/>
                <w:szCs w:val="24"/>
                <w:lang w:eastAsia="en-US"/>
              </w:rPr>
            </w:pPr>
            <w:r w:rsidRPr="00051297">
              <w:rPr>
                <w:rFonts w:cs="Times New Roman"/>
                <w:noProof/>
                <w:szCs w:val="24"/>
                <w:lang w:eastAsia="en-US"/>
              </w:rPr>
              <w:t>(</w:t>
            </w:r>
            <w:r w:rsidR="0037422E">
              <w:rPr>
                <w:rFonts w:cs="Times New Roman"/>
                <w:noProof/>
                <w:szCs w:val="24"/>
                <w:lang w:eastAsia="en-US"/>
              </w:rPr>
              <w:t>d</w:t>
            </w:r>
            <w:r w:rsidRPr="00051297">
              <w:rPr>
                <w:rFonts w:cs="Times New Roman"/>
                <w:noProof/>
                <w:szCs w:val="24"/>
                <w:lang w:eastAsia="en-US"/>
              </w:rPr>
              <w:t>)</w:t>
            </w:r>
          </w:p>
        </w:tc>
      </w:tr>
    </w:tbl>
    <w:p w14:paraId="0A9C3A9A" w14:textId="2EB0E465" w:rsidR="00051297" w:rsidRPr="00051297" w:rsidRDefault="00051297" w:rsidP="00051297">
      <w:pPr>
        <w:ind w:firstLine="0"/>
        <w:jc w:val="center"/>
        <w:rPr>
          <w:rFonts w:cs="Times New Roman"/>
          <w:szCs w:val="24"/>
          <w:lang w:val="en-US" w:bidi="en-US"/>
        </w:rPr>
      </w:pPr>
      <w:bookmarkStart w:id="1003" w:name="_Ref98105755"/>
      <w:bookmarkStart w:id="1004" w:name="_Toc97428263"/>
      <w:bookmarkStart w:id="1005" w:name="_Toc98085938"/>
      <w:bookmarkStart w:id="1006" w:name="_Toc103544133"/>
      <w:bookmarkStart w:id="1007" w:name="_Toc104985456"/>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18</w:t>
      </w:r>
      <w:r w:rsidR="00527861">
        <w:rPr>
          <w:rFonts w:cs="Times New Roman"/>
          <w:szCs w:val="24"/>
          <w:lang w:val="en-US" w:bidi="en-US"/>
        </w:rPr>
        <w:fldChar w:fldCharType="end"/>
      </w:r>
      <w:bookmarkEnd w:id="1003"/>
      <w:r w:rsidRPr="00051297">
        <w:rPr>
          <w:lang w:val="en-US"/>
        </w:rPr>
        <w:t xml:space="preserve"> </w:t>
      </w:r>
      <w:r w:rsidRPr="00051297">
        <w:rPr>
          <w:rFonts w:cs="Times New Roman"/>
          <w:szCs w:val="24"/>
          <w:lang w:val="en-US" w:bidi="en-US"/>
        </w:rPr>
        <w:t>– Slip surfaces from 5 days drawdown rate; a) 20</w:t>
      </w:r>
      <w:r w:rsidRPr="00051297">
        <w:rPr>
          <w:rFonts w:cs="Times New Roman"/>
          <w:szCs w:val="24"/>
          <w:vertAlign w:val="superscript"/>
          <w:lang w:val="en-US" w:bidi="en-US"/>
        </w:rPr>
        <w:t>0</w:t>
      </w:r>
      <w:r w:rsidRPr="00051297">
        <w:rPr>
          <w:rFonts w:cs="Times New Roman"/>
          <w:szCs w:val="24"/>
          <w:lang w:val="en-US" w:bidi="en-US"/>
        </w:rPr>
        <w:t xml:space="preserve"> internal angle of friction</w:t>
      </w:r>
      <w:r w:rsidR="0037422E">
        <w:rPr>
          <w:rFonts w:cs="Times New Roman"/>
          <w:szCs w:val="24"/>
          <w:lang w:val="en-US" w:bidi="en-US"/>
        </w:rPr>
        <w:t>;</w:t>
      </w:r>
      <w:r w:rsidRPr="00051297">
        <w:rPr>
          <w:rFonts w:cs="Times New Roman"/>
          <w:szCs w:val="24"/>
          <w:lang w:val="en-US" w:bidi="en-US"/>
        </w:rPr>
        <w:t xml:space="preserve"> </w:t>
      </w:r>
      <w:r w:rsidR="0037422E" w:rsidRPr="00051297">
        <w:rPr>
          <w:rFonts w:cs="Times New Roman"/>
          <w:szCs w:val="24"/>
          <w:lang w:val="en-US" w:bidi="en-US"/>
        </w:rPr>
        <w:t xml:space="preserve">b) </w:t>
      </w:r>
      <w:r w:rsidR="0037422E">
        <w:rPr>
          <w:rFonts w:cs="Times New Roman"/>
          <w:szCs w:val="24"/>
          <w:lang w:val="en-US" w:bidi="en-US"/>
        </w:rPr>
        <w:t>2</w:t>
      </w:r>
      <w:r w:rsidR="0037422E" w:rsidRPr="00051297">
        <w:rPr>
          <w:rFonts w:cs="Times New Roman"/>
          <w:szCs w:val="24"/>
          <w:lang w:val="en-US" w:bidi="en-US"/>
        </w:rPr>
        <w:t>5</w:t>
      </w:r>
      <w:r w:rsidR="0037422E" w:rsidRPr="00051297">
        <w:rPr>
          <w:rFonts w:cs="Times New Roman"/>
          <w:szCs w:val="24"/>
          <w:vertAlign w:val="superscript"/>
          <w:lang w:val="en-US" w:bidi="en-US"/>
        </w:rPr>
        <w:t>0</w:t>
      </w:r>
      <w:r w:rsidR="0037422E" w:rsidRPr="00051297">
        <w:rPr>
          <w:rFonts w:cs="Times New Roman"/>
          <w:szCs w:val="24"/>
          <w:lang w:val="en-US" w:bidi="en-US"/>
        </w:rPr>
        <w:t xml:space="preserve"> internal angle of friction</w:t>
      </w:r>
      <w:r w:rsidR="0037422E">
        <w:rPr>
          <w:rFonts w:cs="Times New Roman"/>
          <w:szCs w:val="24"/>
          <w:lang w:val="en-US" w:bidi="en-US"/>
        </w:rPr>
        <w:t>;</w:t>
      </w:r>
      <w:r w:rsidR="0037422E" w:rsidRPr="00051297">
        <w:rPr>
          <w:rFonts w:cs="Times New Roman"/>
          <w:szCs w:val="24"/>
          <w:lang w:val="en-US" w:bidi="en-US"/>
        </w:rPr>
        <w:t xml:space="preserve"> </w:t>
      </w:r>
      <w:r w:rsidR="0037422E">
        <w:rPr>
          <w:rFonts w:cs="Times New Roman"/>
          <w:szCs w:val="24"/>
          <w:lang w:val="en-US" w:bidi="en-US"/>
        </w:rPr>
        <w:t>c</w:t>
      </w:r>
      <w:r w:rsidR="0037422E" w:rsidRPr="00051297">
        <w:rPr>
          <w:rFonts w:cs="Times New Roman"/>
          <w:szCs w:val="24"/>
          <w:lang w:val="en-US" w:bidi="en-US"/>
        </w:rPr>
        <w:t>) 3</w:t>
      </w:r>
      <w:r w:rsidR="0037422E">
        <w:rPr>
          <w:rFonts w:cs="Times New Roman"/>
          <w:szCs w:val="24"/>
          <w:lang w:val="en-US" w:bidi="en-US"/>
        </w:rPr>
        <w:t>0</w:t>
      </w:r>
      <w:r w:rsidR="0037422E" w:rsidRPr="00051297">
        <w:rPr>
          <w:rFonts w:cs="Times New Roman"/>
          <w:szCs w:val="24"/>
          <w:vertAlign w:val="superscript"/>
          <w:lang w:val="en-US" w:bidi="en-US"/>
        </w:rPr>
        <w:t>0</w:t>
      </w:r>
      <w:r w:rsidR="0037422E" w:rsidRPr="00051297">
        <w:rPr>
          <w:rFonts w:cs="Times New Roman"/>
          <w:szCs w:val="24"/>
          <w:lang w:val="en-US" w:bidi="en-US"/>
        </w:rPr>
        <w:t xml:space="preserve"> internal angle of friction</w:t>
      </w:r>
      <w:r w:rsidR="0037422E">
        <w:rPr>
          <w:rFonts w:cs="Times New Roman"/>
          <w:szCs w:val="24"/>
          <w:lang w:val="en-US" w:bidi="en-US"/>
        </w:rPr>
        <w:t>;</w:t>
      </w:r>
      <w:r w:rsidR="0037422E" w:rsidRPr="00051297">
        <w:rPr>
          <w:rFonts w:cs="Times New Roman"/>
          <w:szCs w:val="24"/>
          <w:lang w:val="en-US" w:bidi="en-US"/>
        </w:rPr>
        <w:t xml:space="preserve"> </w:t>
      </w:r>
      <w:r w:rsidR="0037422E">
        <w:rPr>
          <w:rFonts w:cs="Times New Roman"/>
          <w:szCs w:val="24"/>
          <w:lang w:val="en-US" w:bidi="en-US"/>
        </w:rPr>
        <w:t>d</w:t>
      </w:r>
      <w:r w:rsidRPr="00051297">
        <w:rPr>
          <w:rFonts w:cs="Times New Roman"/>
          <w:szCs w:val="24"/>
          <w:lang w:val="en-US" w:bidi="en-US"/>
        </w:rPr>
        <w:t>) 35</w:t>
      </w:r>
      <w:r w:rsidRPr="00051297">
        <w:rPr>
          <w:rFonts w:cs="Times New Roman"/>
          <w:szCs w:val="24"/>
          <w:vertAlign w:val="superscript"/>
          <w:lang w:val="en-US" w:bidi="en-US"/>
        </w:rPr>
        <w:t>0</w:t>
      </w:r>
      <w:r w:rsidRPr="00051297">
        <w:rPr>
          <w:rFonts w:cs="Times New Roman"/>
          <w:szCs w:val="24"/>
          <w:lang w:val="en-US" w:bidi="en-US"/>
        </w:rPr>
        <w:t xml:space="preserve"> internal angle of friction</w:t>
      </w:r>
      <w:bookmarkEnd w:id="1004"/>
      <w:bookmarkEnd w:id="1005"/>
      <w:bookmarkEnd w:id="1006"/>
      <w:bookmarkEnd w:id="1007"/>
    </w:p>
    <w:p w14:paraId="2680ED81" w14:textId="5DE30DCD" w:rsidR="00051297" w:rsidRPr="00051297" w:rsidRDefault="00051297" w:rsidP="00051297">
      <w:pPr>
        <w:rPr>
          <w:lang w:val="en-US"/>
        </w:rPr>
      </w:pPr>
      <w:r w:rsidRPr="00051297">
        <w:rPr>
          <w:highlight w:val="yellow"/>
          <w:lang w:val="en-US"/>
        </w:rPr>
        <w:lastRenderedPageBreak/>
        <w:fldChar w:fldCharType="begin"/>
      </w:r>
      <w:r w:rsidRPr="00051297">
        <w:rPr>
          <w:lang w:val="en-US"/>
        </w:rPr>
        <w:instrText xml:space="preserve"> REF _Ref98105816 \h </w:instrText>
      </w:r>
      <w:r w:rsidRPr="00051297">
        <w:rPr>
          <w:highlight w:val="yellow"/>
          <w:lang w:val="en-US"/>
        </w:rPr>
      </w:r>
      <w:r w:rsidRPr="00051297">
        <w:rPr>
          <w:highlight w:val="yellow"/>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19</w:t>
      </w:r>
      <w:r w:rsidRPr="00051297">
        <w:rPr>
          <w:highlight w:val="yellow"/>
          <w:lang w:val="en-US"/>
        </w:rPr>
        <w:fldChar w:fldCharType="end"/>
      </w:r>
      <w:r w:rsidRPr="00051297">
        <w:rPr>
          <w:lang w:val="en-US"/>
        </w:rPr>
        <w:t xml:space="preserve"> displays the slope stability analysis results after the embankment was subjected to a </w:t>
      </w:r>
      <w:r w:rsidR="00C15360" w:rsidRPr="00051297">
        <w:rPr>
          <w:lang w:val="en-US"/>
        </w:rPr>
        <w:t>5-day</w:t>
      </w:r>
      <w:r w:rsidRPr="00051297">
        <w:rPr>
          <w:lang w:val="en-US"/>
        </w:rPr>
        <w:t xml:space="preserve"> drawdown rate and various angles of internal friction. From </w:t>
      </w:r>
      <w:r w:rsidRPr="00051297">
        <w:rPr>
          <w:highlight w:val="yellow"/>
          <w:lang w:val="en-US"/>
        </w:rPr>
        <w:fldChar w:fldCharType="begin"/>
      </w:r>
      <w:r w:rsidRPr="00051297">
        <w:rPr>
          <w:lang w:val="en-US"/>
        </w:rPr>
        <w:instrText xml:space="preserve"> REF _Ref98105816 \h </w:instrText>
      </w:r>
      <w:r w:rsidRPr="00051297">
        <w:rPr>
          <w:highlight w:val="yellow"/>
          <w:lang w:val="en-US"/>
        </w:rPr>
      </w:r>
      <w:r w:rsidRPr="00051297">
        <w:rPr>
          <w:highlight w:val="yellow"/>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19</w:t>
      </w:r>
      <w:r w:rsidRPr="00051297">
        <w:rPr>
          <w:highlight w:val="yellow"/>
          <w:lang w:val="en-US"/>
        </w:rPr>
        <w:fldChar w:fldCharType="end"/>
      </w:r>
      <w:r w:rsidRPr="00C15360">
        <w:rPr>
          <w:lang w:val="en-US"/>
        </w:rPr>
        <w:t>,</w:t>
      </w:r>
      <w:r w:rsidRPr="00051297">
        <w:rPr>
          <w:lang w:val="en-US"/>
        </w:rPr>
        <w:t xml:space="preserve"> it can be observed that the factor of safety values for all the investigated cases, as determined by the internal angles of friction, dropped rapidly within the 5 days of draining the reservoir. However, the minimum values of the factor of safety increased with the increase in the internal angle of friction. The lowest factor of safety can be observed from 20</w:t>
      </w:r>
      <w:r w:rsidRPr="00051297">
        <w:rPr>
          <w:vertAlign w:val="superscript"/>
          <w:lang w:val="en-US"/>
        </w:rPr>
        <w:t xml:space="preserve"> </w:t>
      </w:r>
      <w:r w:rsidRPr="00051297">
        <w:rPr>
          <w:lang w:val="en-US"/>
        </w:rPr>
        <w:t>degrees and the highest from 35 degrees. As previously noted, the stability of an embankment is highly determined by the available balance between shear stress and shear strength. Therefore, if the forces available to resist movement are sufficient enough and greater than the forces driving movement, the slope of the embankment can be considered stable. In that matter, the computation of the factor of safety is achieved by dividing the forces resisting movement by the forces driving movement.</w:t>
      </w:r>
    </w:p>
    <w:p w14:paraId="3B24333F" w14:textId="3ACB96AB" w:rsidR="00051297" w:rsidRPr="00051297" w:rsidRDefault="00051297" w:rsidP="00051297">
      <w:pPr>
        <w:rPr>
          <w:lang w:val="en-US"/>
        </w:rPr>
      </w:pPr>
      <w:r w:rsidRPr="00051297">
        <w:rPr>
          <w:lang w:val="en-US"/>
        </w:rPr>
        <w:t>Also, the capacity of the embankment to regain the factor of safety after the drawdown and reach the minimum factor of safety was highly affected by the internal angle of friction supplied. From 20</w:t>
      </w:r>
      <w:r w:rsidRPr="00051297">
        <w:rPr>
          <w:vertAlign w:val="superscript"/>
          <w:lang w:val="en-US"/>
        </w:rPr>
        <w:t>0</w:t>
      </w:r>
      <w:r w:rsidRPr="00051297">
        <w:rPr>
          <w:lang w:val="en-US"/>
        </w:rPr>
        <w:t xml:space="preserve"> (</w:t>
      </w:r>
      <w:r w:rsidRPr="00051297">
        <w:rPr>
          <w:lang w:val="en-US"/>
        </w:rPr>
        <w:fldChar w:fldCharType="begin"/>
      </w:r>
      <w:r w:rsidRPr="00051297">
        <w:rPr>
          <w:lang w:val="en-US"/>
        </w:rPr>
        <w:instrText xml:space="preserve"> REF _Ref98105816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19</w:t>
      </w:r>
      <w:r w:rsidRPr="00051297">
        <w:rPr>
          <w:lang w:val="en-US"/>
        </w:rPr>
        <w:fldChar w:fldCharType="end"/>
      </w:r>
      <w:r w:rsidRPr="00051297">
        <w:rPr>
          <w:lang w:val="en-US"/>
        </w:rPr>
        <w:t>(a)), it can be observed that the embankment completely failed to regain stability of the minimum factor of safety, with the capacity increasing with the increase in the internal angle of friction.</w:t>
      </w:r>
      <w:r w:rsidR="001B5AD0" w:rsidRPr="001B5AD0">
        <w:rPr>
          <w:rFonts w:eastAsia="Times New Roman"/>
          <w:noProof/>
          <w:szCs w:val="24"/>
          <w:lang w:val="en-US"/>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5178"/>
      </w:tblGrid>
      <w:tr w:rsidR="00051297" w:rsidRPr="00051297" w14:paraId="7DE80D0E" w14:textId="77777777" w:rsidTr="001B5AD0">
        <w:tc>
          <w:tcPr>
            <w:tcW w:w="3828" w:type="dxa"/>
          </w:tcPr>
          <w:p w14:paraId="76CED95E" w14:textId="27420E49" w:rsidR="00051297" w:rsidRPr="00051297" w:rsidRDefault="001E144B" w:rsidP="001B5AD0">
            <w:pPr>
              <w:widowControl w:val="0"/>
              <w:wordWrap w:val="0"/>
              <w:autoSpaceDE w:val="0"/>
              <w:autoSpaceDN w:val="0"/>
              <w:adjustRightInd w:val="0"/>
              <w:snapToGrid w:val="0"/>
              <w:ind w:firstLine="0"/>
              <w:jc w:val="left"/>
              <w:rPr>
                <w:rFonts w:eastAsia="SimSun"/>
                <w:noProof/>
                <w:szCs w:val="24"/>
              </w:rPr>
            </w:pPr>
            <w:r>
              <w:rPr>
                <w:rFonts w:eastAsia="Times New Roman"/>
                <w:noProof/>
                <w:szCs w:val="24"/>
              </w:rPr>
              <mc:AlternateContent>
                <mc:Choice Requires="wps">
                  <w:drawing>
                    <wp:anchor distT="0" distB="0" distL="114300" distR="114300" simplePos="0" relativeHeight="251674624" behindDoc="0" locked="0" layoutInCell="1" allowOverlap="1" wp14:anchorId="1537D295" wp14:editId="01CCB02F">
                      <wp:simplePos x="0" y="0"/>
                      <wp:positionH relativeFrom="column">
                        <wp:posOffset>813435</wp:posOffset>
                      </wp:positionH>
                      <wp:positionV relativeFrom="paragraph">
                        <wp:posOffset>2049780</wp:posOffset>
                      </wp:positionV>
                      <wp:extent cx="1381125" cy="70485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1381125" cy="7048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F71D9D4" id="Rectangle 17" o:spid="_x0000_s1026" style="position:absolute;margin-left:64.05pt;margin-top:161.4pt;width:108.75pt;height:5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" filled="f" strokecolor="red" strokeweight="1pt"/>
                  </w:pict>
                </mc:Fallback>
              </mc:AlternateContent>
            </w:r>
            <w:r w:rsidRPr="00B52473">
              <w:rPr>
                <w:rFonts w:eastAsia="Times New Roman"/>
                <w:noProof/>
                <w:szCs w:val="24"/>
              </w:rPr>
              <mc:AlternateContent>
                <mc:Choice Requires="wps">
                  <w:drawing>
                    <wp:anchor distT="45720" distB="45720" distL="114300" distR="114300" simplePos="0" relativeHeight="251676672" behindDoc="0" locked="0" layoutInCell="1" allowOverlap="1" wp14:anchorId="250B2932" wp14:editId="248F9D05">
                      <wp:simplePos x="0" y="0"/>
                      <wp:positionH relativeFrom="column">
                        <wp:posOffset>1327785</wp:posOffset>
                      </wp:positionH>
                      <wp:positionV relativeFrom="paragraph">
                        <wp:posOffset>2240281</wp:posOffset>
                      </wp:positionV>
                      <wp:extent cx="885825" cy="57150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571500"/>
                              </a:xfrm>
                              <a:prstGeom prst="rect">
                                <a:avLst/>
                              </a:prstGeom>
                              <a:noFill/>
                              <a:ln w="9525">
                                <a:noFill/>
                                <a:miter lim="800000"/>
                                <a:headEnd/>
                                <a:tailEnd/>
                              </a:ln>
                            </wps:spPr>
                            <wps:txbx>
                              <w:txbxContent>
                                <w:p w14:paraId="1A11E720" w14:textId="7C120632" w:rsidR="001E144B" w:rsidRPr="001E144B" w:rsidRDefault="001E144B" w:rsidP="001E144B">
                                  <w:pPr>
                                    <w:ind w:firstLine="0"/>
                                    <w:rPr>
                                      <w:sz w:val="22"/>
                                      <w:lang w:val="en-US"/>
                                    </w:rPr>
                                  </w:pPr>
                                  <w:r w:rsidRPr="001E144B">
                                    <w:rPr>
                                      <w:sz w:val="22"/>
                                      <w:lang w:val="en-US"/>
                                    </w:rPr>
                                    <w:t>HRAF: Min FS = 0.</w:t>
                                  </w:r>
                                  <w:r w:rsidR="00312650">
                                    <w:rPr>
                                      <w:sz w:val="22"/>
                                      <w:lang w:val="en-US"/>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B2932" id="_x0000_s1036" type="#_x0000_t202" style="position:absolute;margin-left:104.55pt;margin-top:176.4pt;width:69.75pt;height:4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" filled="f" stroked="f">
                      <v:textbox>
                        <w:txbxContent>
                          <w:p w14:paraId="1A11E720" w14:textId="7C120632" w:rsidR="001E144B" w:rsidRPr="001E144B" w:rsidRDefault="001E144B" w:rsidP="001E144B">
                            <w:pPr>
                              <w:ind w:firstLine="0"/>
                              <w:rPr>
                                <w:sz w:val="22"/>
                                <w:lang w:val="en-US"/>
                              </w:rPr>
                            </w:pPr>
                            <w:r w:rsidRPr="001E144B">
                              <w:rPr>
                                <w:sz w:val="22"/>
                                <w:lang w:val="en-US"/>
                              </w:rPr>
                              <w:t>HRAF: Min FS = 0.</w:t>
                            </w:r>
                            <w:r w:rsidR="00312650">
                              <w:rPr>
                                <w:sz w:val="22"/>
                                <w:lang w:val="en-US"/>
                              </w:rPr>
                              <w:t>8</w:t>
                            </w:r>
                          </w:p>
                        </w:txbxContent>
                      </v:textbox>
                    </v:shape>
                  </w:pict>
                </mc:Fallback>
              </mc:AlternateContent>
            </w:r>
            <w:r w:rsidR="00F13BE3" w:rsidRPr="00F13BE3">
              <w:rPr>
                <w:rFonts w:eastAsia="SimSun"/>
                <w:noProof/>
                <w:szCs w:val="24"/>
              </w:rPr>
              <w:drawing>
                <wp:inline distT="0" distB="0" distL="0" distR="0" wp14:anchorId="02B4909A" wp14:editId="34878729">
                  <wp:extent cx="2390775" cy="3347085"/>
                  <wp:effectExtent l="0" t="0" r="9525" b="571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93274" cy="3350584"/>
                          </a:xfrm>
                          <a:prstGeom prst="rect">
                            <a:avLst/>
                          </a:prstGeom>
                          <a:noFill/>
                          <a:ln>
                            <a:noFill/>
                          </a:ln>
                        </pic:spPr>
                      </pic:pic>
                    </a:graphicData>
                  </a:graphic>
                </wp:inline>
              </w:drawing>
            </w:r>
          </w:p>
          <w:p w14:paraId="7875D10C" w14:textId="37059FF6" w:rsidR="00051297" w:rsidRPr="00051297" w:rsidRDefault="00051297" w:rsidP="00051297">
            <w:pPr>
              <w:widowControl w:val="0"/>
              <w:wordWrap w:val="0"/>
              <w:autoSpaceDE w:val="0"/>
              <w:autoSpaceDN w:val="0"/>
              <w:adjustRightInd w:val="0"/>
              <w:snapToGrid w:val="0"/>
              <w:jc w:val="center"/>
              <w:rPr>
                <w:rFonts w:eastAsia="SimSun"/>
                <w:noProof/>
                <w:szCs w:val="24"/>
              </w:rPr>
            </w:pPr>
            <w:r w:rsidRPr="00051297">
              <w:rPr>
                <w:szCs w:val="24"/>
              </w:rPr>
              <w:t>(</w:t>
            </w:r>
            <w:r w:rsidRPr="00051297">
              <w:rPr>
                <w:szCs w:val="24"/>
                <w:lang w:val="en-US"/>
              </w:rPr>
              <w:t>a</w:t>
            </w:r>
            <w:r w:rsidRPr="00051297">
              <w:rPr>
                <w:szCs w:val="24"/>
              </w:rPr>
              <w:t xml:space="preserve">) </w:t>
            </w:r>
          </w:p>
        </w:tc>
        <w:tc>
          <w:tcPr>
            <w:tcW w:w="5516" w:type="dxa"/>
          </w:tcPr>
          <w:p w14:paraId="5AE1BAC2" w14:textId="02B38BDE" w:rsidR="00051297" w:rsidRPr="00051297" w:rsidRDefault="001B5AD0" w:rsidP="001B5AD0">
            <w:pPr>
              <w:widowControl w:val="0"/>
              <w:wordWrap w:val="0"/>
              <w:autoSpaceDE w:val="0"/>
              <w:autoSpaceDN w:val="0"/>
              <w:adjustRightInd w:val="0"/>
              <w:snapToGrid w:val="0"/>
              <w:ind w:firstLine="0"/>
              <w:jc w:val="left"/>
              <w:rPr>
                <w:rFonts w:eastAsia="SimSun"/>
                <w:noProof/>
                <w:szCs w:val="24"/>
              </w:rPr>
            </w:pPr>
            <w:r w:rsidRPr="00B52473">
              <w:rPr>
                <w:rFonts w:eastAsia="Times New Roman"/>
                <w:noProof/>
                <w:szCs w:val="24"/>
              </w:rPr>
              <mc:AlternateContent>
                <mc:Choice Requires="wps">
                  <w:drawing>
                    <wp:anchor distT="45720" distB="45720" distL="114300" distR="114300" simplePos="0" relativeHeight="251672576" behindDoc="0" locked="0" layoutInCell="1" allowOverlap="1" wp14:anchorId="46B95EA6" wp14:editId="4E58FF2B">
                      <wp:simplePos x="0" y="0"/>
                      <wp:positionH relativeFrom="column">
                        <wp:posOffset>2343149</wp:posOffset>
                      </wp:positionH>
                      <wp:positionV relativeFrom="paragraph">
                        <wp:posOffset>2097405</wp:posOffset>
                      </wp:positionV>
                      <wp:extent cx="942975" cy="83820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838200"/>
                              </a:xfrm>
                              <a:prstGeom prst="rect">
                                <a:avLst/>
                              </a:prstGeom>
                              <a:noFill/>
                              <a:ln w="9525">
                                <a:noFill/>
                                <a:miter lim="800000"/>
                                <a:headEnd/>
                                <a:tailEnd/>
                              </a:ln>
                            </wps:spPr>
                            <wps:txbx>
                              <w:txbxContent>
                                <w:p w14:paraId="209E0E48" w14:textId="569A0867" w:rsidR="001B5AD0" w:rsidRPr="00B52473" w:rsidRDefault="001B5AD0" w:rsidP="001B5AD0">
                                  <w:pPr>
                                    <w:ind w:firstLine="0"/>
                                    <w:rPr>
                                      <w:lang w:val="en-US"/>
                                    </w:rPr>
                                  </w:pPr>
                                  <w:r>
                                    <w:rPr>
                                      <w:lang w:val="en-US"/>
                                    </w:rPr>
                                    <w:t>HRAF: Min FS = 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95EA6" id="_x0000_s1037" type="#_x0000_t202" style="position:absolute;margin-left:184.5pt;margin-top:165.15pt;width:74.25pt;height:66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" filled="f" stroked="f">
                      <v:textbox>
                        <w:txbxContent>
                          <w:p w14:paraId="209E0E48" w14:textId="569A0867" w:rsidR="001B5AD0" w:rsidRPr="00B52473" w:rsidRDefault="001B5AD0" w:rsidP="001B5AD0">
                            <w:pPr>
                              <w:ind w:firstLine="0"/>
                              <w:rPr>
                                <w:lang w:val="en-US"/>
                              </w:rPr>
                            </w:pPr>
                            <w:r>
                              <w:rPr>
                                <w:lang w:val="en-US"/>
                              </w:rPr>
                              <w:t>HRAF: Min FS = 0.9</w:t>
                            </w:r>
                          </w:p>
                        </w:txbxContent>
                      </v:textbox>
                    </v:shape>
                  </w:pict>
                </mc:Fallback>
              </mc:AlternateContent>
            </w:r>
            <w:r>
              <w:rPr>
                <w:rFonts w:eastAsia="Times New Roman"/>
                <w:noProof/>
                <w:szCs w:val="24"/>
              </w:rPr>
              <mc:AlternateContent>
                <mc:Choice Requires="wps">
                  <w:drawing>
                    <wp:anchor distT="0" distB="0" distL="114300" distR="114300" simplePos="0" relativeHeight="251671552" behindDoc="0" locked="0" layoutInCell="1" allowOverlap="1" wp14:anchorId="21081CA2" wp14:editId="4741F534">
                      <wp:simplePos x="0" y="0"/>
                      <wp:positionH relativeFrom="column">
                        <wp:posOffset>2233930</wp:posOffset>
                      </wp:positionH>
                      <wp:positionV relativeFrom="paragraph">
                        <wp:posOffset>2654935</wp:posOffset>
                      </wp:positionV>
                      <wp:extent cx="356870" cy="0"/>
                      <wp:effectExtent l="38100" t="76200" r="0" b="95250"/>
                      <wp:wrapNone/>
                      <wp:docPr id="12" name="Straight Arrow Connector 12"/>
                      <wp:cNvGraphicFramePr/>
                      <a:graphic xmlns:a="http://schemas.openxmlformats.org/drawingml/2006/main">
                        <a:graphicData uri="http://schemas.microsoft.com/office/word/2010/wordprocessingShape">
                          <wps:wsp>
                            <wps:cNvCnPr/>
                            <wps:spPr>
                              <a:xfrm flipH="1">
                                <a:off x="0" y="0"/>
                                <a:ext cx="356870" cy="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12C1E21" id="_x0000_t32" coordsize="21600,21600" o:spt="32" o:oned="t" path="m,l21600,21600e" filled="f">
                      <v:path arrowok="t" fillok="f" o:connecttype="none"/>
                      <o:lock v:ext="edit" shapetype="t"/>
                    </v:shapetype>
                    <v:shape id="Straight Arrow Connector 12" o:spid="_x0000_s1026" type="#_x0000_t32" style="position:absolute;margin-left:175.9pt;margin-top:209.05pt;width:28.1pt;height:0;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" strokecolor="red" strokeweight=".5pt">
                      <v:stroke endarrow="block" joinstyle="miter"/>
                    </v:shape>
                  </w:pict>
                </mc:Fallback>
              </mc:AlternateContent>
            </w:r>
            <w:r>
              <w:rPr>
                <w:rFonts w:eastAsia="Times New Roman"/>
                <w:noProof/>
                <w:szCs w:val="24"/>
              </w:rPr>
              <mc:AlternateContent>
                <mc:Choice Requires="wps">
                  <w:drawing>
                    <wp:anchor distT="0" distB="0" distL="114300" distR="114300" simplePos="0" relativeHeight="251670528" behindDoc="0" locked="0" layoutInCell="1" allowOverlap="1" wp14:anchorId="4F8C16DE" wp14:editId="4868AAE6">
                      <wp:simplePos x="0" y="0"/>
                      <wp:positionH relativeFrom="column">
                        <wp:posOffset>828040</wp:posOffset>
                      </wp:positionH>
                      <wp:positionV relativeFrom="paragraph">
                        <wp:posOffset>2268855</wp:posOffset>
                      </wp:positionV>
                      <wp:extent cx="1461770" cy="542925"/>
                      <wp:effectExtent l="0" t="0" r="24130" b="28575"/>
                      <wp:wrapNone/>
                      <wp:docPr id="11" name="Rectangle 11"/>
                      <wp:cNvGraphicFramePr/>
                      <a:graphic xmlns:a="http://schemas.openxmlformats.org/drawingml/2006/main">
                        <a:graphicData uri="http://schemas.microsoft.com/office/word/2010/wordprocessingShape">
                          <wps:wsp>
                            <wps:cNvSpPr/>
                            <wps:spPr>
                              <a:xfrm>
                                <a:off x="0" y="0"/>
                                <a:ext cx="1461770" cy="5429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BD30895" id="Rectangle 11" o:spid="_x0000_s1026" style="position:absolute;margin-left:65.2pt;margin-top:178.65pt;width:115.1pt;height:42.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" filled="f" strokecolor="red" strokeweight="1pt"/>
                  </w:pict>
                </mc:Fallback>
              </mc:AlternateContent>
            </w:r>
            <w:r w:rsidR="00A516B9" w:rsidRPr="00A516B9">
              <w:rPr>
                <w:rFonts w:eastAsia="SimSun"/>
                <w:noProof/>
                <w:szCs w:val="24"/>
              </w:rPr>
              <w:drawing>
                <wp:inline distT="0" distB="0" distL="0" distR="0" wp14:anchorId="5A4F611F" wp14:editId="72711FAE">
                  <wp:extent cx="2447925" cy="3427095"/>
                  <wp:effectExtent l="0" t="0" r="9525" b="190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47925" cy="3427095"/>
                          </a:xfrm>
                          <a:prstGeom prst="rect">
                            <a:avLst/>
                          </a:prstGeom>
                          <a:noFill/>
                          <a:ln>
                            <a:noFill/>
                          </a:ln>
                        </pic:spPr>
                      </pic:pic>
                    </a:graphicData>
                  </a:graphic>
                </wp:inline>
              </w:drawing>
            </w:r>
          </w:p>
          <w:p w14:paraId="20C698FE" w14:textId="7095F111" w:rsidR="00051297" w:rsidRPr="00051297" w:rsidRDefault="00051297" w:rsidP="00051297">
            <w:pPr>
              <w:widowControl w:val="0"/>
              <w:wordWrap w:val="0"/>
              <w:autoSpaceDE w:val="0"/>
              <w:autoSpaceDN w:val="0"/>
              <w:adjustRightInd w:val="0"/>
              <w:snapToGrid w:val="0"/>
              <w:jc w:val="center"/>
              <w:rPr>
                <w:rFonts w:eastAsia="SimSun"/>
                <w:noProof/>
                <w:szCs w:val="24"/>
              </w:rPr>
            </w:pPr>
            <w:r w:rsidRPr="00051297">
              <w:rPr>
                <w:szCs w:val="24"/>
              </w:rPr>
              <w:t>(</w:t>
            </w:r>
            <w:r w:rsidRPr="00051297">
              <w:rPr>
                <w:szCs w:val="24"/>
                <w:lang w:val="en-US"/>
              </w:rPr>
              <w:t>b</w:t>
            </w:r>
            <w:r w:rsidRPr="00051297">
              <w:rPr>
                <w:szCs w:val="24"/>
              </w:rPr>
              <w:t>)</w:t>
            </w:r>
          </w:p>
        </w:tc>
      </w:tr>
      <w:tr w:rsidR="00051297" w:rsidRPr="00051297" w14:paraId="7E13B558" w14:textId="77777777" w:rsidTr="001B5AD0">
        <w:trPr>
          <w:trHeight w:val="5210"/>
        </w:trPr>
        <w:tc>
          <w:tcPr>
            <w:tcW w:w="3828" w:type="dxa"/>
          </w:tcPr>
          <w:p w14:paraId="4A49C88C" w14:textId="5A064AC6" w:rsidR="00051297" w:rsidRPr="00051297" w:rsidRDefault="00A516B9" w:rsidP="001B5AD0">
            <w:pPr>
              <w:widowControl w:val="0"/>
              <w:wordWrap w:val="0"/>
              <w:autoSpaceDE w:val="0"/>
              <w:autoSpaceDN w:val="0"/>
              <w:adjustRightInd w:val="0"/>
              <w:snapToGrid w:val="0"/>
              <w:ind w:firstLine="0"/>
              <w:jc w:val="left"/>
              <w:rPr>
                <w:rFonts w:eastAsia="SimSun"/>
                <w:noProof/>
                <w:szCs w:val="24"/>
              </w:rPr>
            </w:pPr>
            <w:r w:rsidRPr="00A516B9">
              <w:rPr>
                <w:rFonts w:eastAsia="SimSun"/>
                <w:noProof/>
                <w:szCs w:val="24"/>
              </w:rPr>
              <w:lastRenderedPageBreak/>
              <w:drawing>
                <wp:inline distT="0" distB="0" distL="0" distR="0" wp14:anchorId="3C95B176" wp14:editId="78D94627">
                  <wp:extent cx="2514600" cy="3520440"/>
                  <wp:effectExtent l="0" t="0" r="0" b="381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14600" cy="3520440"/>
                          </a:xfrm>
                          <a:prstGeom prst="rect">
                            <a:avLst/>
                          </a:prstGeom>
                          <a:noFill/>
                          <a:ln>
                            <a:noFill/>
                          </a:ln>
                        </pic:spPr>
                      </pic:pic>
                    </a:graphicData>
                  </a:graphic>
                </wp:inline>
              </w:drawing>
            </w:r>
          </w:p>
          <w:p w14:paraId="0B9F8372" w14:textId="49B10B9B" w:rsidR="00051297" w:rsidRPr="00051297" w:rsidRDefault="00051297" w:rsidP="00051297">
            <w:pPr>
              <w:widowControl w:val="0"/>
              <w:wordWrap w:val="0"/>
              <w:autoSpaceDE w:val="0"/>
              <w:autoSpaceDN w:val="0"/>
              <w:adjustRightInd w:val="0"/>
              <w:snapToGrid w:val="0"/>
              <w:jc w:val="center"/>
              <w:rPr>
                <w:rFonts w:eastAsia="SimSun"/>
                <w:noProof/>
                <w:szCs w:val="24"/>
              </w:rPr>
            </w:pPr>
            <w:r w:rsidRPr="00051297">
              <w:rPr>
                <w:szCs w:val="24"/>
              </w:rPr>
              <w:t>(</w:t>
            </w:r>
            <w:r w:rsidRPr="00051297">
              <w:rPr>
                <w:szCs w:val="24"/>
                <w:lang w:val="en-US"/>
              </w:rPr>
              <w:t>c</w:t>
            </w:r>
            <w:r w:rsidRPr="00051297">
              <w:rPr>
                <w:szCs w:val="24"/>
              </w:rPr>
              <w:t xml:space="preserve">) </w:t>
            </w:r>
          </w:p>
        </w:tc>
        <w:tc>
          <w:tcPr>
            <w:tcW w:w="5516" w:type="dxa"/>
          </w:tcPr>
          <w:p w14:paraId="01826510" w14:textId="356F16A8" w:rsidR="00051297" w:rsidRPr="00051297" w:rsidRDefault="00A516B9" w:rsidP="001B5AD0">
            <w:pPr>
              <w:widowControl w:val="0"/>
              <w:wordWrap w:val="0"/>
              <w:autoSpaceDE w:val="0"/>
              <w:autoSpaceDN w:val="0"/>
              <w:adjustRightInd w:val="0"/>
              <w:snapToGrid w:val="0"/>
              <w:ind w:firstLine="0"/>
              <w:jc w:val="left"/>
              <w:rPr>
                <w:rFonts w:eastAsia="SimSun"/>
                <w:noProof/>
                <w:szCs w:val="24"/>
              </w:rPr>
            </w:pPr>
            <w:r w:rsidRPr="00A516B9">
              <w:rPr>
                <w:rFonts w:eastAsia="SimSun"/>
                <w:noProof/>
                <w:szCs w:val="24"/>
              </w:rPr>
              <w:drawing>
                <wp:inline distT="0" distB="0" distL="0" distR="0" wp14:anchorId="37DA0394" wp14:editId="42652E65">
                  <wp:extent cx="2514600" cy="3520440"/>
                  <wp:effectExtent l="0" t="0" r="0" b="381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26094" cy="3536532"/>
                          </a:xfrm>
                          <a:prstGeom prst="rect">
                            <a:avLst/>
                          </a:prstGeom>
                          <a:noFill/>
                          <a:ln>
                            <a:noFill/>
                          </a:ln>
                        </pic:spPr>
                      </pic:pic>
                    </a:graphicData>
                  </a:graphic>
                </wp:inline>
              </w:drawing>
            </w:r>
          </w:p>
          <w:p w14:paraId="026BD695" w14:textId="3135C7CA" w:rsidR="00051297" w:rsidRPr="00051297" w:rsidRDefault="00051297" w:rsidP="00051297">
            <w:pPr>
              <w:keepNext/>
              <w:widowControl w:val="0"/>
              <w:wordWrap w:val="0"/>
              <w:autoSpaceDE w:val="0"/>
              <w:autoSpaceDN w:val="0"/>
              <w:adjustRightInd w:val="0"/>
              <w:snapToGrid w:val="0"/>
              <w:jc w:val="center"/>
              <w:rPr>
                <w:rFonts w:eastAsia="SimSun"/>
                <w:noProof/>
                <w:szCs w:val="24"/>
              </w:rPr>
            </w:pPr>
            <w:r w:rsidRPr="00051297">
              <w:rPr>
                <w:szCs w:val="24"/>
              </w:rPr>
              <w:t>(</w:t>
            </w:r>
            <w:r w:rsidRPr="00051297">
              <w:rPr>
                <w:szCs w:val="24"/>
                <w:lang w:val="en-US"/>
              </w:rPr>
              <w:t>d</w:t>
            </w:r>
            <w:r w:rsidRPr="00051297">
              <w:rPr>
                <w:szCs w:val="24"/>
              </w:rPr>
              <w:t xml:space="preserve">) </w:t>
            </w:r>
          </w:p>
        </w:tc>
      </w:tr>
    </w:tbl>
    <w:p w14:paraId="2D8F410C" w14:textId="089F9158" w:rsidR="001F036E" w:rsidRDefault="00051297" w:rsidP="00051297">
      <w:pPr>
        <w:ind w:firstLine="0"/>
        <w:jc w:val="center"/>
        <w:rPr>
          <w:szCs w:val="24"/>
          <w:lang w:val="en-US"/>
        </w:rPr>
      </w:pPr>
      <w:bookmarkStart w:id="1008" w:name="_Ref98105816"/>
      <w:bookmarkStart w:id="1009" w:name="_Toc97428264"/>
      <w:bookmarkStart w:id="1010" w:name="_Toc98085939"/>
      <w:bookmarkStart w:id="1011" w:name="_Toc103544134"/>
      <w:bookmarkStart w:id="1012" w:name="_Toc104985457"/>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19</w:t>
      </w:r>
      <w:r w:rsidR="00527861">
        <w:rPr>
          <w:rFonts w:cs="Times New Roman"/>
          <w:szCs w:val="24"/>
          <w:lang w:val="en-US" w:bidi="en-US"/>
        </w:rPr>
        <w:fldChar w:fldCharType="end"/>
      </w:r>
      <w:bookmarkEnd w:id="1008"/>
      <w:r w:rsidRPr="00051297">
        <w:rPr>
          <w:lang w:val="en-US"/>
        </w:rPr>
        <w:t xml:space="preserve"> </w:t>
      </w:r>
      <w:r w:rsidRPr="00051297">
        <w:rPr>
          <w:rFonts w:cs="Times New Roman"/>
          <w:szCs w:val="24"/>
          <w:lang w:val="en-US" w:bidi="en-US"/>
        </w:rPr>
        <w:t>– Factor of safety values with time from 5 days drawdown rate and different internal angles of friction</w:t>
      </w:r>
      <w:bookmarkEnd w:id="1009"/>
      <w:bookmarkEnd w:id="1010"/>
      <w:bookmarkEnd w:id="1011"/>
      <w:r w:rsidR="00F13BE3">
        <w:rPr>
          <w:rFonts w:cs="Times New Roman"/>
          <w:szCs w:val="24"/>
          <w:lang w:val="en-US" w:bidi="en-US"/>
        </w:rPr>
        <w:t xml:space="preserve">; </w:t>
      </w:r>
      <w:r w:rsidR="00F13BE3" w:rsidRPr="00F13BE3">
        <w:rPr>
          <w:szCs w:val="24"/>
          <w:lang w:val="en-US"/>
        </w:rPr>
        <w:t>(</w:t>
      </w:r>
      <w:r w:rsidR="00F13BE3" w:rsidRPr="00051297">
        <w:rPr>
          <w:szCs w:val="24"/>
          <w:lang w:val="en-US"/>
        </w:rPr>
        <w:t>a</w:t>
      </w:r>
      <w:r w:rsidR="00F13BE3" w:rsidRPr="00F13BE3">
        <w:rPr>
          <w:szCs w:val="24"/>
          <w:lang w:val="en-US"/>
        </w:rPr>
        <w:t>) 20</w:t>
      </w:r>
      <w:r w:rsidR="00F13BE3" w:rsidRPr="00F13BE3">
        <w:rPr>
          <w:szCs w:val="24"/>
          <w:vertAlign w:val="superscript"/>
          <w:lang w:val="en-US"/>
        </w:rPr>
        <w:t>0</w:t>
      </w:r>
      <w:r w:rsidR="00F13BE3">
        <w:rPr>
          <w:szCs w:val="24"/>
          <w:lang w:val="en-US"/>
        </w:rPr>
        <w:t xml:space="preserve">; </w:t>
      </w:r>
      <w:r w:rsidR="00F13BE3" w:rsidRPr="00F13BE3">
        <w:rPr>
          <w:szCs w:val="24"/>
          <w:lang w:val="en-US"/>
        </w:rPr>
        <w:t>(</w:t>
      </w:r>
      <w:r w:rsidR="00F13BE3">
        <w:rPr>
          <w:szCs w:val="24"/>
          <w:lang w:val="en-US"/>
        </w:rPr>
        <w:t>b</w:t>
      </w:r>
      <w:r w:rsidR="00F13BE3" w:rsidRPr="00F13BE3">
        <w:rPr>
          <w:szCs w:val="24"/>
          <w:lang w:val="en-US"/>
        </w:rPr>
        <w:t>) 2</w:t>
      </w:r>
      <w:r w:rsidR="00F13BE3">
        <w:rPr>
          <w:szCs w:val="24"/>
          <w:lang w:val="en-US"/>
        </w:rPr>
        <w:t>5</w:t>
      </w:r>
      <w:r w:rsidR="00F13BE3" w:rsidRPr="00F13BE3">
        <w:rPr>
          <w:szCs w:val="24"/>
          <w:vertAlign w:val="superscript"/>
          <w:lang w:val="en-US"/>
        </w:rPr>
        <w:t>0</w:t>
      </w:r>
      <w:r w:rsidR="00F13BE3">
        <w:rPr>
          <w:szCs w:val="24"/>
          <w:lang w:val="en-US"/>
        </w:rPr>
        <w:t xml:space="preserve"> </w:t>
      </w:r>
      <w:r w:rsidR="00F13BE3" w:rsidRPr="00F13BE3">
        <w:rPr>
          <w:szCs w:val="24"/>
          <w:lang w:val="en-US"/>
        </w:rPr>
        <w:t>(</w:t>
      </w:r>
      <w:r w:rsidR="00F13BE3">
        <w:rPr>
          <w:szCs w:val="24"/>
          <w:lang w:val="en-US"/>
        </w:rPr>
        <w:t>c</w:t>
      </w:r>
      <w:r w:rsidR="00F13BE3" w:rsidRPr="00F13BE3">
        <w:rPr>
          <w:szCs w:val="24"/>
          <w:lang w:val="en-US"/>
        </w:rPr>
        <w:t xml:space="preserve">) </w:t>
      </w:r>
      <w:r w:rsidR="00F13BE3">
        <w:rPr>
          <w:szCs w:val="24"/>
          <w:lang w:val="en-US"/>
        </w:rPr>
        <w:t>3</w:t>
      </w:r>
      <w:r w:rsidR="00F13BE3" w:rsidRPr="00F13BE3">
        <w:rPr>
          <w:szCs w:val="24"/>
          <w:lang w:val="en-US"/>
        </w:rPr>
        <w:t>0</w:t>
      </w:r>
      <w:r w:rsidR="00F13BE3" w:rsidRPr="00F13BE3">
        <w:rPr>
          <w:szCs w:val="24"/>
          <w:vertAlign w:val="superscript"/>
          <w:lang w:val="en-US"/>
        </w:rPr>
        <w:t>0</w:t>
      </w:r>
      <w:r w:rsidR="00F13BE3">
        <w:rPr>
          <w:szCs w:val="24"/>
          <w:lang w:val="en-US"/>
        </w:rPr>
        <w:t xml:space="preserve"> </w:t>
      </w:r>
      <w:r w:rsidR="00F13BE3" w:rsidRPr="00F13BE3">
        <w:rPr>
          <w:szCs w:val="24"/>
          <w:lang w:val="en-US"/>
        </w:rPr>
        <w:t>(</w:t>
      </w:r>
      <w:r w:rsidR="00F13BE3">
        <w:rPr>
          <w:szCs w:val="24"/>
          <w:lang w:val="en-US"/>
        </w:rPr>
        <w:t>d</w:t>
      </w:r>
      <w:r w:rsidR="00F13BE3" w:rsidRPr="00F13BE3">
        <w:rPr>
          <w:szCs w:val="24"/>
          <w:lang w:val="en-US"/>
        </w:rPr>
        <w:t xml:space="preserve">) </w:t>
      </w:r>
      <w:r w:rsidR="00F13BE3">
        <w:rPr>
          <w:szCs w:val="24"/>
          <w:lang w:val="en-US"/>
        </w:rPr>
        <w:t>35</w:t>
      </w:r>
      <w:r w:rsidR="00F13BE3" w:rsidRPr="00F13BE3">
        <w:rPr>
          <w:szCs w:val="24"/>
          <w:vertAlign w:val="superscript"/>
          <w:lang w:val="en-US"/>
        </w:rPr>
        <w:t>0</w:t>
      </w:r>
      <w:r w:rsidR="001F036E">
        <w:rPr>
          <w:szCs w:val="24"/>
          <w:lang w:val="en-US"/>
        </w:rPr>
        <w:t>.</w:t>
      </w:r>
      <w:bookmarkEnd w:id="1012"/>
      <w:r w:rsidR="001F036E">
        <w:rPr>
          <w:szCs w:val="24"/>
          <w:lang w:val="en-US"/>
        </w:rPr>
        <w:t xml:space="preserve"> </w:t>
      </w:r>
    </w:p>
    <w:p w14:paraId="5520E48B" w14:textId="13223889" w:rsidR="00051297" w:rsidRPr="001F036E" w:rsidRDefault="001F036E" w:rsidP="00051297">
      <w:pPr>
        <w:ind w:firstLine="0"/>
        <w:jc w:val="center"/>
        <w:rPr>
          <w:rFonts w:cs="Times New Roman"/>
          <w:szCs w:val="24"/>
          <w:lang w:val="en-US" w:bidi="en-US"/>
        </w:rPr>
      </w:pPr>
      <w:r>
        <w:rPr>
          <w:szCs w:val="24"/>
          <w:lang w:val="en-US"/>
        </w:rPr>
        <w:t>HRAF = hypothetical region after failure.</w:t>
      </w:r>
    </w:p>
    <w:p w14:paraId="69EC857B" w14:textId="553B952E" w:rsidR="00051297" w:rsidRPr="00051297" w:rsidRDefault="00051297" w:rsidP="00051297">
      <w:pPr>
        <w:rPr>
          <w:lang w:val="en-US"/>
        </w:rPr>
      </w:pPr>
      <w:r w:rsidRPr="00051297">
        <w:rPr>
          <w:lang w:val="en-US"/>
        </w:rPr>
        <w:t xml:space="preserve">From </w:t>
      </w:r>
      <w:r w:rsidRPr="00051297">
        <w:rPr>
          <w:lang w:val="en-US"/>
        </w:rPr>
        <w:fldChar w:fldCharType="begin"/>
      </w:r>
      <w:r w:rsidRPr="00051297">
        <w:rPr>
          <w:lang w:val="en-US"/>
        </w:rPr>
        <w:instrText xml:space="preserve"> REF _Ref98105874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4</w:t>
      </w:r>
      <w:r w:rsidR="004870F1">
        <w:rPr>
          <w:rFonts w:cs="Times New Roman"/>
          <w:szCs w:val="24"/>
          <w:lang w:val="en-US" w:bidi="en-US"/>
        </w:rPr>
        <w:t>.</w:t>
      </w:r>
      <w:r w:rsidR="004870F1">
        <w:rPr>
          <w:rFonts w:cs="Times New Roman"/>
          <w:noProof/>
          <w:szCs w:val="24"/>
          <w:lang w:val="en-US" w:bidi="en-US"/>
        </w:rPr>
        <w:t>20</w:t>
      </w:r>
      <w:r w:rsidRPr="00051297">
        <w:rPr>
          <w:lang w:val="en-US"/>
        </w:rPr>
        <w:fldChar w:fldCharType="end"/>
      </w:r>
      <w:r w:rsidRPr="00051297">
        <w:rPr>
          <w:lang w:val="en-US"/>
        </w:rPr>
        <w:t xml:space="preserve">, it can be observed that the minimum factor of safety values from the instantaneous drawdown were obtained within the first day of draining the reservoir. From the five-day drawdown rate, the minimum factor of safety </w:t>
      </w:r>
      <w:r w:rsidR="005E2D18" w:rsidRPr="00051297">
        <w:rPr>
          <w:lang w:val="en-US"/>
        </w:rPr>
        <w:t xml:space="preserve">values </w:t>
      </w:r>
      <w:r w:rsidRPr="00051297">
        <w:rPr>
          <w:lang w:val="en-US"/>
        </w:rPr>
        <w:t>were obtained somewhere around the fifth day of draining the reservoir.</w:t>
      </w:r>
    </w:p>
    <w:tbl>
      <w:tblPr>
        <w:tblStyle w:val="TableGrid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54"/>
      </w:tblGrid>
      <w:tr w:rsidR="00051297" w:rsidRPr="00051297" w14:paraId="2D061FCC" w14:textId="77777777" w:rsidTr="00D20B01">
        <w:trPr>
          <w:trHeight w:val="3982"/>
          <w:jc w:val="center"/>
        </w:trPr>
        <w:tc>
          <w:tcPr>
            <w:tcW w:w="9350" w:type="dxa"/>
            <w:vAlign w:val="center"/>
          </w:tcPr>
          <w:p w14:paraId="31C9A97C" w14:textId="77777777" w:rsidR="00051297" w:rsidRPr="00051297" w:rsidRDefault="00051297" w:rsidP="00051297">
            <w:pPr>
              <w:widowControl w:val="0"/>
              <w:wordWrap w:val="0"/>
              <w:autoSpaceDE w:val="0"/>
              <w:autoSpaceDN w:val="0"/>
              <w:adjustRightInd w:val="0"/>
              <w:snapToGrid w:val="0"/>
              <w:jc w:val="center"/>
              <w:rPr>
                <w:rFonts w:cs="Times New Roman"/>
                <w:szCs w:val="24"/>
                <w:shd w:val="clear" w:color="auto" w:fill="FFFFFF"/>
              </w:rPr>
            </w:pPr>
            <w:r w:rsidRPr="00051297">
              <w:rPr>
                <w:noProof/>
              </w:rPr>
              <w:drawing>
                <wp:inline distT="0" distB="0" distL="0" distR="0" wp14:anchorId="0B7AC0D0" wp14:editId="56FA5CB5">
                  <wp:extent cx="4800600" cy="3040380"/>
                  <wp:effectExtent l="0" t="0" r="0" b="7620"/>
                  <wp:docPr id="448" name="Chart 448">
                    <a:extLst xmlns:a="http://schemas.openxmlformats.org/drawingml/2006/main">
                      <a:ext uri="{FF2B5EF4-FFF2-40B4-BE49-F238E27FC236}">
                        <a16:creationId xmlns:a16="http://schemas.microsoft.com/office/drawing/2014/main" id="{FA5CF3AE-19F6-4979-8BCD-EC41004453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2077BFCF" w14:textId="77777777" w:rsidR="00051297" w:rsidRPr="00051297" w:rsidRDefault="00051297" w:rsidP="00051297">
            <w:pPr>
              <w:widowControl w:val="0"/>
              <w:wordWrap w:val="0"/>
              <w:autoSpaceDE w:val="0"/>
              <w:autoSpaceDN w:val="0"/>
              <w:adjustRightInd w:val="0"/>
              <w:snapToGrid w:val="0"/>
              <w:jc w:val="center"/>
              <w:rPr>
                <w:rFonts w:cs="Times New Roman"/>
                <w:szCs w:val="24"/>
                <w:shd w:val="clear" w:color="auto" w:fill="FFFFFF"/>
              </w:rPr>
            </w:pPr>
            <w:r w:rsidRPr="00051297">
              <w:rPr>
                <w:rFonts w:cs="Times New Roman"/>
                <w:noProof/>
                <w:szCs w:val="24"/>
                <w:lang w:eastAsia="en-US"/>
              </w:rPr>
              <w:t xml:space="preserve"> (a)</w:t>
            </w:r>
          </w:p>
        </w:tc>
      </w:tr>
      <w:tr w:rsidR="00051297" w:rsidRPr="00051297" w14:paraId="1DE72922" w14:textId="77777777" w:rsidTr="00D20B01">
        <w:trPr>
          <w:trHeight w:val="3140"/>
          <w:jc w:val="center"/>
        </w:trPr>
        <w:tc>
          <w:tcPr>
            <w:tcW w:w="9350" w:type="dxa"/>
            <w:vAlign w:val="center"/>
          </w:tcPr>
          <w:p w14:paraId="5EFEA668" w14:textId="77777777" w:rsidR="00051297" w:rsidRPr="00051297" w:rsidRDefault="00051297" w:rsidP="00051297">
            <w:pPr>
              <w:widowControl w:val="0"/>
              <w:wordWrap w:val="0"/>
              <w:autoSpaceDE w:val="0"/>
              <w:autoSpaceDN w:val="0"/>
              <w:adjustRightInd w:val="0"/>
              <w:snapToGrid w:val="0"/>
              <w:jc w:val="center"/>
              <w:rPr>
                <w:rFonts w:cs="Times New Roman"/>
                <w:noProof/>
                <w:szCs w:val="24"/>
                <w:lang w:eastAsia="en-US"/>
              </w:rPr>
            </w:pPr>
            <w:r w:rsidRPr="00051297">
              <w:rPr>
                <w:noProof/>
              </w:rPr>
              <w:lastRenderedPageBreak/>
              <w:drawing>
                <wp:inline distT="0" distB="0" distL="0" distR="0" wp14:anchorId="62699B16" wp14:editId="402C7353">
                  <wp:extent cx="4724400" cy="3552825"/>
                  <wp:effectExtent l="0" t="0" r="0" b="0"/>
                  <wp:docPr id="449" name="Chart 449">
                    <a:extLst xmlns:a="http://schemas.openxmlformats.org/drawingml/2006/main">
                      <a:ext uri="{FF2B5EF4-FFF2-40B4-BE49-F238E27FC236}">
                        <a16:creationId xmlns:a16="http://schemas.microsoft.com/office/drawing/2014/main" id="{7856A56D-421D-44DD-90D6-95251FA2A6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6A42C0B1" w14:textId="77777777" w:rsidR="00051297" w:rsidRPr="00051297" w:rsidRDefault="00051297" w:rsidP="00051297">
            <w:pPr>
              <w:keepNext/>
              <w:widowControl w:val="0"/>
              <w:wordWrap w:val="0"/>
              <w:autoSpaceDE w:val="0"/>
              <w:autoSpaceDN w:val="0"/>
              <w:adjustRightInd w:val="0"/>
              <w:snapToGrid w:val="0"/>
              <w:jc w:val="center"/>
              <w:rPr>
                <w:rFonts w:cs="Times New Roman"/>
                <w:noProof/>
                <w:szCs w:val="24"/>
                <w:lang w:eastAsia="en-US"/>
              </w:rPr>
            </w:pPr>
            <w:r w:rsidRPr="00051297">
              <w:rPr>
                <w:rFonts w:cs="Times New Roman"/>
                <w:noProof/>
                <w:szCs w:val="24"/>
                <w:lang w:eastAsia="en-US"/>
              </w:rPr>
              <w:t>(b)</w:t>
            </w:r>
          </w:p>
        </w:tc>
      </w:tr>
    </w:tbl>
    <w:p w14:paraId="4821C73B" w14:textId="00C4F2BF" w:rsidR="00051297" w:rsidRPr="00051297" w:rsidRDefault="00051297" w:rsidP="00051297">
      <w:pPr>
        <w:ind w:firstLine="0"/>
        <w:jc w:val="center"/>
        <w:rPr>
          <w:rFonts w:cs="Times New Roman"/>
          <w:szCs w:val="24"/>
          <w:lang w:val="en-US" w:bidi="en-US"/>
        </w:rPr>
      </w:pPr>
      <w:bookmarkStart w:id="1013" w:name="_Ref98105874"/>
      <w:bookmarkStart w:id="1014" w:name="_Toc97428265"/>
      <w:bookmarkStart w:id="1015" w:name="_Toc98085940"/>
      <w:bookmarkStart w:id="1016" w:name="_Toc103544135"/>
      <w:bookmarkStart w:id="1017" w:name="_Toc104985458"/>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20</w:t>
      </w:r>
      <w:r w:rsidR="00527861">
        <w:rPr>
          <w:rFonts w:cs="Times New Roman"/>
          <w:szCs w:val="24"/>
          <w:lang w:val="en-US" w:bidi="en-US"/>
        </w:rPr>
        <w:fldChar w:fldCharType="end"/>
      </w:r>
      <w:bookmarkEnd w:id="1013"/>
      <w:r w:rsidRPr="00051297">
        <w:rPr>
          <w:lang w:val="en-US"/>
        </w:rPr>
        <w:t xml:space="preserve"> </w:t>
      </w:r>
      <w:r w:rsidRPr="00051297">
        <w:rPr>
          <w:rFonts w:cs="Times New Roman"/>
          <w:szCs w:val="24"/>
          <w:lang w:val="en-US" w:bidi="en-US"/>
        </w:rPr>
        <w:t>– The factor of safety values with time: a) instantaneous drawdown;(b) 5 days drawdown</w:t>
      </w:r>
      <w:bookmarkEnd w:id="1014"/>
      <w:bookmarkEnd w:id="1015"/>
      <w:bookmarkEnd w:id="1016"/>
      <w:bookmarkEnd w:id="1017"/>
    </w:p>
    <w:p w14:paraId="52E50005" w14:textId="13BDD8A6" w:rsidR="00051297" w:rsidRPr="00051297" w:rsidRDefault="00051297" w:rsidP="00051297">
      <w:pPr>
        <w:rPr>
          <w:lang w:val="en-US"/>
        </w:rPr>
      </w:pPr>
      <w:r w:rsidRPr="00051297">
        <w:rPr>
          <w:lang w:val="en-US"/>
        </w:rPr>
        <w:fldChar w:fldCharType="begin"/>
      </w:r>
      <w:r w:rsidRPr="00051297">
        <w:rPr>
          <w:lang w:val="en-US"/>
        </w:rPr>
        <w:instrText xml:space="preserve"> REF _Ref98105901 \h  \* MERGEFORMAT </w:instrText>
      </w:r>
      <w:r w:rsidRPr="00051297">
        <w:rPr>
          <w:lang w:val="en-US"/>
        </w:rPr>
      </w:r>
      <w:r w:rsidRPr="00051297">
        <w:rPr>
          <w:lang w:val="en-US"/>
        </w:rPr>
        <w:fldChar w:fldCharType="separate"/>
      </w:r>
      <w:r w:rsidR="004870F1" w:rsidRPr="004870F1">
        <w:rPr>
          <w:lang w:val="en-US" w:bidi="en-US"/>
        </w:rPr>
        <w:t xml:space="preserve">Figure </w:t>
      </w:r>
      <w:r w:rsidR="004870F1" w:rsidRPr="004870F1">
        <w:rPr>
          <w:noProof/>
          <w:lang w:val="en-US" w:bidi="en-US"/>
        </w:rPr>
        <w:t>4.21</w:t>
      </w:r>
      <w:r w:rsidRPr="00051297">
        <w:rPr>
          <w:lang w:val="en-US"/>
        </w:rPr>
        <w:fldChar w:fldCharType="end"/>
      </w:r>
      <w:r w:rsidRPr="00051297">
        <w:rPr>
          <w:lang w:val="en-US"/>
        </w:rPr>
        <w:t xml:space="preserve"> summarizes the minimum values of factor of safety from both instantaneous and five-day drawdown rates. It can be observed that when the angle of internal friction was 20</w:t>
      </w:r>
      <w:r w:rsidRPr="00051297">
        <w:rPr>
          <w:vertAlign w:val="superscript"/>
          <w:lang w:val="en-US"/>
        </w:rPr>
        <w:t>0</w:t>
      </w:r>
      <w:r w:rsidRPr="00051297">
        <w:rPr>
          <w:lang w:val="en-US"/>
        </w:rPr>
        <w:t>, the minimum value of factor of safety for instantaneous drawdown was almost similar to the five days drawdown rate. From the phenomenon, we can understand that when the angle of internal friction is small, the influence of a drawdown rate on the slope stability becomes relatively low. Moreover, it can be observed that the minimum factor of safety values were increasing with the increase in the internal angle of friction.</w:t>
      </w:r>
    </w:p>
    <w:p w14:paraId="363E94A3" w14:textId="77777777" w:rsidR="00051297" w:rsidRPr="00051297" w:rsidRDefault="00051297" w:rsidP="005E2D18">
      <w:pPr>
        <w:keepNext/>
        <w:widowControl w:val="0"/>
        <w:kinsoku w:val="0"/>
        <w:overflowPunct w:val="0"/>
        <w:autoSpaceDE w:val="0"/>
        <w:autoSpaceDN w:val="0"/>
        <w:adjustRightInd w:val="0"/>
        <w:snapToGrid w:val="0"/>
        <w:ind w:firstLine="0"/>
        <w:jc w:val="center"/>
        <w:rPr>
          <w:rFonts w:cs="Times New Roman"/>
          <w:szCs w:val="24"/>
        </w:rPr>
      </w:pPr>
      <w:r w:rsidRPr="00051297">
        <w:rPr>
          <w:rFonts w:cs="Times New Roman"/>
          <w:noProof/>
          <w:szCs w:val="24"/>
        </w:rPr>
        <w:drawing>
          <wp:inline distT="0" distB="0" distL="0" distR="0" wp14:anchorId="37211E35" wp14:editId="764C869E">
            <wp:extent cx="4324350" cy="2476500"/>
            <wp:effectExtent l="0" t="0" r="0" b="0"/>
            <wp:docPr id="72" name="Chart 72">
              <a:extLst xmlns:a="http://schemas.openxmlformats.org/drawingml/2006/main">
                <a:ext uri="{FF2B5EF4-FFF2-40B4-BE49-F238E27FC236}">
                  <a16:creationId xmlns:a16="http://schemas.microsoft.com/office/drawing/2014/main" id="{01B36799-A8F5-4D86-9A57-19CE56F31D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19D8FC5F" w14:textId="1BCF0B2E" w:rsidR="00051297" w:rsidRPr="00051297" w:rsidRDefault="00051297" w:rsidP="00051297">
      <w:pPr>
        <w:ind w:firstLine="0"/>
        <w:jc w:val="center"/>
        <w:rPr>
          <w:rFonts w:cs="Times New Roman"/>
          <w:szCs w:val="24"/>
          <w:lang w:val="en-US" w:bidi="en-US"/>
        </w:rPr>
      </w:pPr>
      <w:bookmarkStart w:id="1018" w:name="_Ref98105901"/>
      <w:bookmarkStart w:id="1019" w:name="_Toc97428266"/>
      <w:bookmarkStart w:id="1020" w:name="_Toc98085941"/>
      <w:bookmarkStart w:id="1021" w:name="_Toc103544136"/>
      <w:bookmarkStart w:id="1022" w:name="_Toc104985459"/>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21</w:t>
      </w:r>
      <w:r w:rsidR="00527861">
        <w:rPr>
          <w:rFonts w:cs="Times New Roman"/>
          <w:szCs w:val="24"/>
          <w:lang w:val="en-US" w:bidi="en-US"/>
        </w:rPr>
        <w:fldChar w:fldCharType="end"/>
      </w:r>
      <w:bookmarkEnd w:id="1018"/>
      <w:r w:rsidRPr="00051297">
        <w:rPr>
          <w:lang w:val="en-US"/>
        </w:rPr>
        <w:t xml:space="preserve"> </w:t>
      </w:r>
      <w:r w:rsidRPr="00051297">
        <w:rPr>
          <w:rFonts w:cs="Times New Roman"/>
          <w:szCs w:val="24"/>
          <w:lang w:val="en-US" w:bidi="en-US"/>
        </w:rPr>
        <w:t>– Minimum values of factor of safety from instantaneous and 5 days drawdown rate</w:t>
      </w:r>
      <w:bookmarkEnd w:id="1019"/>
      <w:bookmarkEnd w:id="1020"/>
      <w:bookmarkEnd w:id="1021"/>
      <w:bookmarkEnd w:id="1022"/>
    </w:p>
    <w:p w14:paraId="3456831B" w14:textId="435DC3A3" w:rsidR="00051297" w:rsidRPr="00051297" w:rsidRDefault="00051297" w:rsidP="004940F9">
      <w:pPr>
        <w:pStyle w:val="4"/>
        <w:rPr>
          <w:rFonts w:eastAsia="Malgun Gothic"/>
          <w:lang w:val="en-GB" w:eastAsia="ko-KR"/>
        </w:rPr>
      </w:pPr>
      <w:bookmarkStart w:id="1023" w:name="_Toc103543978"/>
      <w:bookmarkStart w:id="1024" w:name="_Toc104985303"/>
      <w:r w:rsidRPr="00051297">
        <w:rPr>
          <w:rFonts w:eastAsia="Malgun Gothic"/>
          <w:lang w:val="en-GB" w:eastAsia="ko-KR"/>
        </w:rPr>
        <w:lastRenderedPageBreak/>
        <w:t>Summary of the sub-section</w:t>
      </w:r>
      <w:bookmarkEnd w:id="1023"/>
      <w:bookmarkEnd w:id="1024"/>
    </w:p>
    <w:p w14:paraId="1B0CA7AC" w14:textId="088314D1" w:rsidR="00D16E25" w:rsidRPr="00051297" w:rsidRDefault="00051297" w:rsidP="00E72BDA">
      <w:pPr>
        <w:rPr>
          <w:rFonts w:eastAsia="Malgun Gothic" w:cs="Times New Roman"/>
          <w:bCs/>
          <w:kern w:val="2"/>
          <w:szCs w:val="24"/>
          <w:lang w:val="en-GB" w:eastAsia="ko-KR"/>
        </w:rPr>
      </w:pPr>
      <w:bookmarkStart w:id="1025" w:name="_Hlk98029574"/>
      <w:r w:rsidRPr="00051297">
        <w:rPr>
          <w:rFonts w:eastAsia="Malgun Gothic" w:cs="Times New Roman"/>
          <w:bCs/>
          <w:kern w:val="2"/>
          <w:szCs w:val="24"/>
          <w:lang w:val="en-GB" w:eastAsia="ko-KR"/>
        </w:rPr>
        <w:t>The potential effect of an internal angle of friction on the slope stability of a homogeneous embankment dam under rapid drawdown loading conditions has been investigated. From the results, it was observed that when the embankment was subjected to 35</w:t>
      </w:r>
      <w:r w:rsidRPr="00051297">
        <w:rPr>
          <w:rFonts w:eastAsia="Malgun Gothic" w:cs="Times New Roman"/>
          <w:bCs/>
          <w:kern w:val="2"/>
          <w:szCs w:val="24"/>
          <w:vertAlign w:val="superscript"/>
          <w:lang w:val="en-GB" w:eastAsia="ko-KR"/>
        </w:rPr>
        <w:t>0</w:t>
      </w:r>
      <w:r w:rsidRPr="00051297">
        <w:rPr>
          <w:rFonts w:eastAsia="Malgun Gothic" w:cs="Times New Roman"/>
          <w:bCs/>
          <w:kern w:val="2"/>
          <w:szCs w:val="24"/>
          <w:lang w:val="en-GB" w:eastAsia="ko-KR"/>
        </w:rPr>
        <w:t xml:space="preserve"> as an internal angle of friction in conjunction with the five days drawdown rate, a relatively high minimum factor of safety value of 1.25 was achieved (higher than that when the embankment was subjected to 20</w:t>
      </w:r>
      <w:r w:rsidRPr="00051297">
        <w:rPr>
          <w:rFonts w:eastAsia="Malgun Gothic" w:cs="Times New Roman"/>
          <w:bCs/>
          <w:kern w:val="2"/>
          <w:szCs w:val="24"/>
          <w:vertAlign w:val="superscript"/>
          <w:lang w:val="en-GB" w:eastAsia="ko-KR"/>
        </w:rPr>
        <w:t>0</w:t>
      </w:r>
      <w:r w:rsidRPr="00051297">
        <w:rPr>
          <w:rFonts w:eastAsia="Malgun Gothic" w:cs="Times New Roman"/>
          <w:bCs/>
          <w:kern w:val="2"/>
          <w:szCs w:val="24"/>
          <w:lang w:val="en-GB" w:eastAsia="ko-KR"/>
        </w:rPr>
        <w:t xml:space="preserve"> as an internal angle of friction). In general, the phenomenon suggests that the embankment is relatively stable with a higher internal angle of friction than lower values when the embankment is subjected to the rapid drawdown scenarios. The findings of this research also showed that throughout the design and operation phases of embankment dams, it is critical to analyze shear strength parameters in conjunction with rapid drawdown situations.</w:t>
      </w:r>
    </w:p>
    <w:p w14:paraId="2629FB22" w14:textId="20573FAA" w:rsidR="00051297" w:rsidRPr="00051297" w:rsidRDefault="00051297" w:rsidP="005E2D18">
      <w:pPr>
        <w:keepNext/>
        <w:keepLines/>
        <w:pageBreakBefore/>
        <w:ind w:firstLine="0"/>
        <w:jc w:val="center"/>
        <w:outlineLvl w:val="5"/>
        <w:rPr>
          <w:rFonts w:eastAsiaTheme="majorEastAsia" w:cstheme="majorBidi"/>
          <w:b/>
          <w:lang w:val="en-US"/>
        </w:rPr>
      </w:pPr>
      <w:bookmarkStart w:id="1026" w:name="_Toc103543979"/>
      <w:bookmarkStart w:id="1027" w:name="_Toc104985304"/>
      <w:bookmarkEnd w:id="1025"/>
      <w:r w:rsidRPr="00051297">
        <w:rPr>
          <w:rFonts w:eastAsiaTheme="majorEastAsia" w:cstheme="majorBidi"/>
          <w:b/>
          <w:lang w:val="en-US"/>
        </w:rPr>
        <w:lastRenderedPageBreak/>
        <w:t xml:space="preserve">Summary of chapter </w:t>
      </w:r>
      <w:bookmarkEnd w:id="1026"/>
      <w:r w:rsidRPr="00051297">
        <w:rPr>
          <w:rFonts w:eastAsiaTheme="majorEastAsia" w:cstheme="majorBidi"/>
          <w:b/>
          <w:lang w:val="en-US"/>
        </w:rPr>
        <w:t>four</w:t>
      </w:r>
      <w:bookmarkEnd w:id="1027"/>
    </w:p>
    <w:p w14:paraId="339412CE" w14:textId="77777777" w:rsidR="00051297" w:rsidRPr="00051297" w:rsidRDefault="00051297" w:rsidP="00051297">
      <w:pPr>
        <w:rPr>
          <w:rFonts w:eastAsia="Malgun Gothic" w:cs="Times New Roman"/>
          <w:bCs/>
          <w:kern w:val="2"/>
          <w:szCs w:val="24"/>
          <w:lang w:val="en-GB" w:eastAsia="ko-KR"/>
        </w:rPr>
      </w:pPr>
      <w:r w:rsidRPr="00051297">
        <w:rPr>
          <w:rFonts w:eastAsia="Malgun Gothic" w:cs="Times New Roman"/>
          <w:bCs/>
          <w:kern w:val="2"/>
          <w:szCs w:val="24"/>
          <w:lang w:val="en-GB" w:eastAsia="ko-KR"/>
        </w:rPr>
        <w:t>In this chapter, several slope stability aspects related to homogeneous embankments have been investigated, including the effects of long-term water level on slope stability when subjected to a rapid drawdown scenario and the effect of internal angle of friction on slope stability of an embankment.</w:t>
      </w:r>
    </w:p>
    <w:p w14:paraId="52A23F4D" w14:textId="77777777" w:rsidR="00051297" w:rsidRPr="00051297" w:rsidRDefault="00051297" w:rsidP="00051297">
      <w:pPr>
        <w:rPr>
          <w:rFonts w:eastAsia="Malgun Gothic" w:cs="Times New Roman"/>
          <w:bCs/>
          <w:kern w:val="2"/>
          <w:szCs w:val="24"/>
          <w:lang w:val="en-GB" w:eastAsia="ko-KR"/>
        </w:rPr>
      </w:pPr>
      <w:r w:rsidRPr="00051297">
        <w:rPr>
          <w:rFonts w:eastAsia="Malgun Gothic" w:cs="Times New Roman"/>
          <w:bCs/>
          <w:kern w:val="2"/>
          <w:szCs w:val="24"/>
          <w:lang w:val="en-GB" w:eastAsia="ko-KR"/>
        </w:rPr>
        <w:t>With the use of numerical modeling, the potential impact of changes in long-term water level on the slope stability of an embankment under rapid drawdown conditions was explored. Three possible long-term water levels (ten, eight, and six meters) were considered. The findings of the investigation show that as the long-term operational water level changes, the factor of safety values changes as well. When the water level was dropped from 10 m to 6 m for a 13 m high embankment, the steady-state factor of safety was shown to be decreasing with the reduction in water level, with the steady-state factor of safety reducing by roughly 13.44%. While the upstream slope became more stable as the long-term water level dropped under rapid drawdown scenarios, the downstream slope became more unstable. The results suggest that embankment freeboard can have a big impact on the steady-state factor of safety. Changes in long-term operating water levels also influenced the minimum values of the factor of safety, with the highest minimum factor of safety value obtained from a 6m water level under a 5-day drawdown rate and the lowest minimum factor of safety value obtained from a combination of 10 m water level and instantaneous drawdown scenario. An immediate drawdown scenario is a cautious strategy for analyzing embankment slope stability when a reservoir is being drawn down, and it represents the worst drawdown scenario.</w:t>
      </w:r>
    </w:p>
    <w:p w14:paraId="35635E57" w14:textId="77777777" w:rsidR="00051297" w:rsidRPr="00051297" w:rsidRDefault="00051297" w:rsidP="00051297">
      <w:pPr>
        <w:rPr>
          <w:rFonts w:eastAsia="Malgun Gothic" w:cs="Times New Roman"/>
          <w:bCs/>
          <w:kern w:val="2"/>
          <w:szCs w:val="24"/>
          <w:lang w:val="en-GB" w:eastAsia="ko-KR"/>
        </w:rPr>
      </w:pPr>
      <w:r w:rsidRPr="00051297">
        <w:rPr>
          <w:rFonts w:eastAsia="Malgun Gothic" w:cs="Times New Roman"/>
          <w:bCs/>
          <w:kern w:val="2"/>
          <w:szCs w:val="24"/>
          <w:lang w:val="en-GB" w:eastAsia="ko-KR"/>
        </w:rPr>
        <w:t>The impact of the size of a toe drain on the slope stability of an embankment dam during rapid drawdown conditions has been studied. According to the findings, pore-water pressures at the upstream face of the embankment decreased as the toe drain size increased, whereas pore-water pressures at the downstream toe increased. Changes in the toe drain size were also discovered to alter the factor of safety values. Whereby the findings demonstrated that when an embankment is subjected to a rapid drawdown situation, there is a substantial potential association between toe drain size and factor of safety.</w:t>
      </w:r>
    </w:p>
    <w:p w14:paraId="402702A0" w14:textId="77777777" w:rsidR="00051297" w:rsidRPr="00051297" w:rsidRDefault="00051297" w:rsidP="00051297">
      <w:pPr>
        <w:rPr>
          <w:rFonts w:eastAsia="Malgun Gothic" w:cs="Times New Roman"/>
          <w:bCs/>
          <w:kern w:val="2"/>
          <w:szCs w:val="24"/>
          <w:lang w:val="en-GB" w:eastAsia="ko-KR"/>
        </w:rPr>
      </w:pPr>
      <w:r w:rsidRPr="00051297">
        <w:rPr>
          <w:rFonts w:eastAsia="Malgun Gothic" w:cs="Times New Roman"/>
          <w:bCs/>
          <w:kern w:val="2"/>
          <w:szCs w:val="24"/>
          <w:lang w:val="en-GB" w:eastAsia="ko-KR"/>
        </w:rPr>
        <w:t>Under fast drawdown loading conditions, the influence of an internal angle of friction on the slope stability of a homogeneous embankment dam was also examined. In comparison to when the embankment was subjected to 20</w:t>
      </w:r>
      <w:r w:rsidRPr="00051297">
        <w:rPr>
          <w:rFonts w:eastAsia="Malgun Gothic" w:cs="Times New Roman"/>
          <w:bCs/>
          <w:kern w:val="2"/>
          <w:szCs w:val="24"/>
          <w:vertAlign w:val="superscript"/>
          <w:lang w:val="en-GB" w:eastAsia="ko-KR"/>
        </w:rPr>
        <w:t>0</w:t>
      </w:r>
      <w:r w:rsidRPr="00051297">
        <w:rPr>
          <w:rFonts w:eastAsia="Malgun Gothic" w:cs="Times New Roman"/>
          <w:bCs/>
          <w:kern w:val="2"/>
          <w:szCs w:val="24"/>
          <w:lang w:val="en-GB" w:eastAsia="ko-KR"/>
        </w:rPr>
        <w:t xml:space="preserve"> as an internal angle of friction and the 5-day drawdown rate, the results showed that when the embankment was subjected to 35</w:t>
      </w:r>
      <w:r w:rsidRPr="00051297">
        <w:rPr>
          <w:rFonts w:eastAsia="Malgun Gothic" w:cs="Times New Roman"/>
          <w:bCs/>
          <w:kern w:val="2"/>
          <w:szCs w:val="24"/>
          <w:vertAlign w:val="superscript"/>
          <w:lang w:val="en-GB" w:eastAsia="ko-KR"/>
        </w:rPr>
        <w:t>0</w:t>
      </w:r>
      <w:r w:rsidRPr="00051297">
        <w:rPr>
          <w:rFonts w:eastAsia="Malgun Gothic" w:cs="Times New Roman"/>
          <w:bCs/>
          <w:kern w:val="2"/>
          <w:szCs w:val="24"/>
          <w:lang w:val="en-GB" w:eastAsia="ko-KR"/>
        </w:rPr>
        <w:t xml:space="preserve"> as an internal angle of friction and the 5-day drawdown rate, a relatively high minimum factor of safety value of 1.25 was achieved. When the embankment is subjected to fast drawdown situations, the phenomena show that the embankment is relatively stable with a larger internal angle of friction than lower values. </w:t>
      </w:r>
    </w:p>
    <w:p w14:paraId="339C97DB" w14:textId="7BB26187" w:rsidR="00051297" w:rsidRPr="00051297" w:rsidRDefault="00051297" w:rsidP="004940F9">
      <w:pPr>
        <w:pStyle w:val="1"/>
        <w:rPr>
          <w:lang w:val="en-US"/>
        </w:rPr>
      </w:pPr>
      <w:bookmarkStart w:id="1028" w:name="_Toc103543980"/>
      <w:bookmarkStart w:id="1029" w:name="_Toc104985305"/>
      <w:r w:rsidRPr="00051297">
        <w:rPr>
          <w:lang w:val="en-US"/>
        </w:rPr>
        <w:lastRenderedPageBreak/>
        <w:t>Slope stability analysis based on case studies</w:t>
      </w:r>
      <w:bookmarkEnd w:id="1028"/>
      <w:bookmarkEnd w:id="1029"/>
    </w:p>
    <w:p w14:paraId="197A7D55" w14:textId="3C7A97A3" w:rsidR="00051297" w:rsidRPr="00051297" w:rsidRDefault="00051297" w:rsidP="00C925D9">
      <w:pPr>
        <w:pStyle w:val="2"/>
      </w:pPr>
      <w:bookmarkStart w:id="1030" w:name="_Toc97504846"/>
      <w:bookmarkStart w:id="1031" w:name="_Toc103543981"/>
      <w:bookmarkStart w:id="1032" w:name="_Toc104985306"/>
      <w:r w:rsidRPr="00051297">
        <w:t>Samarkand dam in Kazakhstan</w:t>
      </w:r>
      <w:bookmarkEnd w:id="1030"/>
      <w:bookmarkEnd w:id="1031"/>
      <w:bookmarkEnd w:id="1032"/>
    </w:p>
    <w:p w14:paraId="0B26F861" w14:textId="236E2C7E" w:rsidR="00051297" w:rsidRPr="00051297" w:rsidRDefault="00051297" w:rsidP="00C925D9">
      <w:pPr>
        <w:pStyle w:val="3"/>
      </w:pPr>
      <w:bookmarkStart w:id="1033" w:name="_Toc97504847"/>
      <w:bookmarkStart w:id="1034" w:name="_Toc103543982"/>
      <w:bookmarkStart w:id="1035" w:name="_Toc104985307"/>
      <w:r w:rsidRPr="00051297">
        <w:t>Materials and methods</w:t>
      </w:r>
      <w:bookmarkEnd w:id="1033"/>
      <w:bookmarkEnd w:id="1034"/>
      <w:bookmarkEnd w:id="1035"/>
    </w:p>
    <w:p w14:paraId="71135430" w14:textId="5A657184" w:rsidR="00051297" w:rsidRPr="00051297" w:rsidRDefault="00051297" w:rsidP="00C925D9">
      <w:pPr>
        <w:pStyle w:val="4"/>
        <w:rPr>
          <w:rFonts w:eastAsia="Times New Roman"/>
        </w:rPr>
      </w:pPr>
      <w:bookmarkStart w:id="1036" w:name="_Toc97504848"/>
      <w:bookmarkStart w:id="1037" w:name="_Toc103543983"/>
      <w:bookmarkStart w:id="1038" w:name="_Toc104985308"/>
      <w:r w:rsidRPr="00051297">
        <w:rPr>
          <w:rFonts w:eastAsia="Times New Roman"/>
        </w:rPr>
        <w:t>Case study description</w:t>
      </w:r>
      <w:bookmarkEnd w:id="1036"/>
      <w:bookmarkEnd w:id="1037"/>
      <w:bookmarkEnd w:id="1038"/>
    </w:p>
    <w:p w14:paraId="0D91A310" w14:textId="77777777" w:rsidR="00051297" w:rsidRPr="00051297" w:rsidRDefault="00051297" w:rsidP="00051297">
      <w:pPr>
        <w:rPr>
          <w:lang w:val="en-US"/>
        </w:rPr>
      </w:pPr>
      <w:r w:rsidRPr="00051297">
        <w:rPr>
          <w:lang w:val="en-US"/>
        </w:rPr>
        <w:t>Samarkand dam is located in the Nura-Sarysu catchment in Karaganda region, Kazakhstan with the region font code of Eastern Europe. In DMS (Degrees Minutes Seconds), its coordinates are 50°5'54" N and 73°0'55" E, or 50.0983 and 73.0153. (in decimal degrees). CR55 is its UTM position, and NM43-04 is its Joint Operation Graphics reference.</w:t>
      </w:r>
    </w:p>
    <w:p w14:paraId="27294666" w14:textId="77777777" w:rsidR="00051297" w:rsidRPr="00051297" w:rsidRDefault="00051297" w:rsidP="00051297">
      <w:pPr>
        <w:rPr>
          <w:lang w:val="en-US"/>
        </w:rPr>
      </w:pPr>
      <w:r w:rsidRPr="00051297">
        <w:rPr>
          <w:lang w:val="en-US"/>
        </w:rPr>
        <w:t>The climate in Karaganda is humid continental, with pleasant summers and bitterly cold winters. Throughout the year, precipitation is generally low, with a modest increase from May to July. During the winter period, the region is characterized by snow, but it is only light. The lowest temperature ever recorded was 42.9 °C in 1938, and the highest temperature ever recorded was 40.2 °C (104.4 °F) in 2002.</w:t>
      </w:r>
    </w:p>
    <w:p w14:paraId="757E899F" w14:textId="77777777" w:rsidR="00051297" w:rsidRPr="00051297" w:rsidRDefault="00051297" w:rsidP="00051297">
      <w:pPr>
        <w:rPr>
          <w:lang w:val="en-US"/>
        </w:rPr>
      </w:pPr>
      <w:r w:rsidRPr="00051297">
        <w:rPr>
          <w:lang w:val="en-US"/>
        </w:rPr>
        <w:t>The geology of Kazakhstan includes extensive basement rocks from the Precambrian and widespread Paleozoic rocks, as well as sediments formed in rift basins during the Mesozoic.</w:t>
      </w:r>
      <w:r w:rsidRPr="00051297">
        <w:rPr>
          <w:rFonts w:eastAsia="Times New Roman"/>
          <w:lang w:val="en-US"/>
        </w:rPr>
        <w:t xml:space="preserve"> </w:t>
      </w:r>
      <w:r w:rsidRPr="00051297">
        <w:rPr>
          <w:lang w:val="en-US"/>
        </w:rPr>
        <w:t>Small synclines in the Karaganda Foredeep Basin show Deepwater limestone and shale 450 meters thick from the Carboniferous and Permian, as well as 4.5-kilometer-thick coal-bearing molasse. Within the Tengiz Basin, deposits are never more than two kilometers thick and grow thicker to the south. The Chu Basin is filled with undeformed Middle Devonian through Permian red molasse and carbonate deposits. Calc-alkaline magmatism was extensive in the southeast Kazakh Uplands and the Tien Shan Mountains.</w:t>
      </w:r>
    </w:p>
    <w:p w14:paraId="12729F69" w14:textId="4D39FD20" w:rsidR="00051297" w:rsidRPr="00051297" w:rsidRDefault="00051297" w:rsidP="00C925D9">
      <w:pPr>
        <w:pStyle w:val="4"/>
        <w:rPr>
          <w:rFonts w:eastAsia="Times New Roman"/>
          <w:lang w:val="en-US"/>
        </w:rPr>
      </w:pPr>
      <w:bookmarkStart w:id="1039" w:name="_Toc97504850"/>
      <w:bookmarkStart w:id="1040" w:name="_Toc103543984"/>
      <w:bookmarkStart w:id="1041" w:name="_Toc104985309"/>
      <w:r w:rsidRPr="00051297">
        <w:rPr>
          <w:rFonts w:eastAsia="Times New Roman"/>
          <w:lang w:val="en-US"/>
        </w:rPr>
        <w:t>The historical perspective of the Samarkand dam</w:t>
      </w:r>
      <w:bookmarkEnd w:id="1039"/>
      <w:bookmarkEnd w:id="1040"/>
      <w:bookmarkEnd w:id="1041"/>
    </w:p>
    <w:p w14:paraId="525A425B" w14:textId="77777777" w:rsidR="00051297" w:rsidRPr="00051297" w:rsidRDefault="00051297" w:rsidP="00051297">
      <w:pPr>
        <w:rPr>
          <w:lang w:val="en-US"/>
        </w:rPr>
      </w:pPr>
      <w:r w:rsidRPr="00051297">
        <w:rPr>
          <w:lang w:val="en-US"/>
        </w:rPr>
        <w:t>The construction of the Samarkand hydroelectric complex</w:t>
      </w:r>
      <w:r w:rsidRPr="00051297">
        <w:rPr>
          <w:rFonts w:eastAsia="Times New Roman"/>
          <w:lang w:val="en-US"/>
        </w:rPr>
        <w:t xml:space="preserve"> was done in</w:t>
      </w:r>
      <w:r w:rsidRPr="00051297">
        <w:rPr>
          <w:lang w:val="en-US"/>
        </w:rPr>
        <w:t xml:space="preserve"> 5 years, from 1934. When the construction started, people became the main labor force; it was with their hands that the dam was constructed because the first excavator appeared on the construction site only in 1936. Mainly, during the time, the main labor force was the prisoners of KarLAG, two departments of which were specially transferred closer to construction to the village of Samarkand. It should be emphasized, however, that the Samarkand dam is not the only artificial dam on Nura; it is, however, the largest of these artificial reservoirs.</w:t>
      </w:r>
    </w:p>
    <w:p w14:paraId="6BB07446" w14:textId="77777777" w:rsidR="00051297" w:rsidRPr="00051297" w:rsidRDefault="00051297" w:rsidP="00051297">
      <w:pPr>
        <w:rPr>
          <w:lang w:val="en-US"/>
        </w:rPr>
      </w:pPr>
      <w:r w:rsidRPr="00051297">
        <w:rPr>
          <w:lang w:val="en-US"/>
        </w:rPr>
        <w:t>From 1934, the construction process was completed in 1939, which turned out to be arid, and therefore, the dam was able to be under full operation in 1941, which for this reason is mistakenly considered the year of completion of its construction. The dam erected on Nura was 20 meters high and 300 meters wide. The process of filing an area of 8000 hectares with water lasted a lot - 22 years, until 1961, when the reservoir mirror was formed.</w:t>
      </w:r>
    </w:p>
    <w:p w14:paraId="6B698BC0" w14:textId="77777777" w:rsidR="00051297" w:rsidRPr="00051297" w:rsidRDefault="00051297" w:rsidP="00051297">
      <w:pPr>
        <w:rPr>
          <w:lang w:val="en-US"/>
        </w:rPr>
      </w:pPr>
      <w:r w:rsidRPr="00051297">
        <w:rPr>
          <w:lang w:val="en-US"/>
        </w:rPr>
        <w:lastRenderedPageBreak/>
        <w:t>After the construction of the Samarkand dam, it became the most significant artificial reservoir in Central Kazakhstan. According to the Kazakh Academy of Sciences, the total length of the reservoir was 20 kilometers, the width was 6.5 kilometers, and the maximum depth was 17 meters.</w:t>
      </w:r>
    </w:p>
    <w:p w14:paraId="4B233B5C" w14:textId="77777777" w:rsidR="00051297" w:rsidRPr="00051297" w:rsidRDefault="00051297" w:rsidP="00051297">
      <w:pPr>
        <w:rPr>
          <w:color w:val="FF0000"/>
          <w:lang w:val="en-US"/>
        </w:rPr>
      </w:pPr>
      <w:r w:rsidRPr="00051297">
        <w:rPr>
          <w:lang w:val="en-US"/>
        </w:rPr>
        <w:t xml:space="preserve">Then later, in 1982, a new hydroelectric complex started to be constructed and was delayed for various reasons. In 1988, the facility was put into operation, but its technical re-equipment and bringing into line with modern standards became possible today when the construction was transferred to the balance of the state. The old dam is currently associated with a number of geotechnical issues, making the operation of the hydroelectric complex of more significance. However, the fact that people used to live on the site of the dam has been producing a lot of mysterious rumors, to the extent that people believe that there is an old cemetery at the bottom of the reservoir. However, local historians cannot confirm this information since there is no official data on any burials in this area. </w:t>
      </w:r>
    </w:p>
    <w:p w14:paraId="21A926F1" w14:textId="2EEB356B" w:rsidR="00051297" w:rsidRPr="00051297" w:rsidRDefault="00051297" w:rsidP="00C925D9">
      <w:pPr>
        <w:pStyle w:val="4"/>
        <w:rPr>
          <w:rFonts w:eastAsia="Times New Roman"/>
        </w:rPr>
      </w:pPr>
      <w:bookmarkStart w:id="1042" w:name="_Toc97504851"/>
      <w:bookmarkStart w:id="1043" w:name="_Toc103543985"/>
      <w:bookmarkStart w:id="1044" w:name="_Toc104985310"/>
      <w:r w:rsidRPr="00051297">
        <w:rPr>
          <w:rFonts w:eastAsia="Times New Roman"/>
        </w:rPr>
        <w:t>General modeling process</w:t>
      </w:r>
      <w:bookmarkEnd w:id="1042"/>
      <w:bookmarkEnd w:id="1043"/>
      <w:bookmarkEnd w:id="1044"/>
    </w:p>
    <w:p w14:paraId="7147C251" w14:textId="1832CF88" w:rsidR="00051297" w:rsidRPr="00051297" w:rsidRDefault="00051297" w:rsidP="00051297">
      <w:pPr>
        <w:rPr>
          <w:color w:val="FF0000"/>
          <w:lang w:val="en-US"/>
        </w:rPr>
      </w:pPr>
      <w:r w:rsidRPr="00051297">
        <w:rPr>
          <w:lang w:val="en-US"/>
        </w:rPr>
        <w:t xml:space="preserve">The potential influence of the rapid drawdown scenarios on the stability of the embankment dam was investigated with the help of the finite element method. The other parameters in the analyses were kept constant while changing the drawdown rates. The embankment geometry (as shown in </w:t>
      </w:r>
      <w:r w:rsidRPr="00051297">
        <w:rPr>
          <w:lang w:val="en-US"/>
        </w:rPr>
        <w:fldChar w:fldCharType="begin"/>
      </w:r>
      <w:r w:rsidRPr="00051297">
        <w:rPr>
          <w:lang w:val="en-US"/>
        </w:rPr>
        <w:instrText xml:space="preserve"> REF _Ref98105918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1</w:t>
      </w:r>
      <w:r w:rsidRPr="00051297">
        <w:rPr>
          <w:lang w:val="en-US"/>
        </w:rPr>
        <w:fldChar w:fldCharType="end"/>
      </w:r>
      <w:r w:rsidRPr="00051297">
        <w:rPr>
          <w:lang w:val="en-US"/>
        </w:rPr>
        <w:t>) is composed of</w:t>
      </w:r>
      <w:r w:rsidRPr="00051297">
        <w:rPr>
          <w:color w:val="FF0000"/>
          <w:lang w:val="en-US"/>
        </w:rPr>
        <w:t xml:space="preserve"> </w:t>
      </w:r>
      <w:r w:rsidRPr="00051297">
        <w:rPr>
          <w:lang w:val="en-US"/>
        </w:rPr>
        <w:t>four different zones, with zones 1a and 1b being similar.</w:t>
      </w:r>
      <w:r w:rsidRPr="00051297">
        <w:rPr>
          <w:color w:val="FF0000"/>
          <w:lang w:val="en-US"/>
        </w:rPr>
        <w:t xml:space="preserve"> </w:t>
      </w:r>
      <w:r w:rsidRPr="00051297">
        <w:rPr>
          <w:lang w:val="en-US"/>
        </w:rPr>
        <w:t>The inquiry was divided into five categories based on the drawdown rates: steady-state, instantaneous drawdown, 5-days drawdown, 10-days drawdown, and one-minute drawdown rate. In all the investigated cases, the stability factors were investigated at the end of the modeling processes.</w:t>
      </w:r>
      <w:r w:rsidRPr="00051297">
        <w:rPr>
          <w:color w:val="FF0000"/>
          <w:lang w:val="en-US"/>
        </w:rPr>
        <w:t xml:space="preserve"> </w:t>
      </w:r>
      <w:r w:rsidRPr="00051297">
        <w:rPr>
          <w:lang w:val="en-US"/>
        </w:rPr>
        <w:t xml:space="preserve">In this study, the instantaneous drawdown was considered the most extreme condition (worst scenario). </w:t>
      </w:r>
    </w:p>
    <w:p w14:paraId="68F6844D" w14:textId="62751404" w:rsidR="00051297" w:rsidRPr="00051297" w:rsidRDefault="00051297" w:rsidP="00051297">
      <w:pPr>
        <w:rPr>
          <w:color w:val="FF0000"/>
          <w:lang w:val="en-US"/>
        </w:rPr>
      </w:pPr>
      <w:r w:rsidRPr="00051297">
        <w:rPr>
          <w:lang w:val="en-US"/>
        </w:rPr>
        <w:t xml:space="preserve">Moreover, the analyses were accomplished using the  SEEP/W </w:t>
      </w:r>
      <w:r w:rsidRPr="00051297">
        <w:fldChar w:fldCharType="begin" w:fldLock="1"/>
      </w:r>
      <w:r w:rsidR="00FA5896">
        <w:rPr>
          <w:lang w:val="en-US"/>
        </w:rPr>
        <w:instrText>ADDIN CSL_CITATION {"citationItems":[{"id":"ITEM-1","itemData":{"DOI":"10.25046/aj010102","ISSN":"24156698","abstract":"In the present study a computer model of a pumping well has been developed and calibrated by using two slave programs of Geo-Slope software, i.e. (SIGMA/W and SEEP/W). The model has been used to study the behaviour of watertable and drawdown in an aquifer during pumping. SIGMA/W program was used to compute initial pore-pressure within an aquifer, while SEEP/W program was used to analyze the change in pore-pressure and drawdown during pumping respectively. From the results it is revealed that the vectors displaying the movement of the flow direction towards discharge well due to which decline in watertable occurs and a cone of depression and drawdown curve was formed. Comparison of the experimental and simulated data showed a good agreement among them. The drawdown line has been simulated for each concern depth and at each interval of time, which was further compared with the actual data for the computation of model efficiency. The performance of the model was evaluated on the basis of statistical parameters, i.e. mean error, root mean square error and model efficiency; these results are presented in Table 7. Statistical analysis of all the research data, i.e. RMSE, ME, R.E, and EF was found to be 0.134 m and 0.126 m, 3.05% and 98.86% respectively. Additionally verifiability of the model was also made by comparing observed and simulated values of observation wells (piezometeric heads); such graph is illustrated in Figure 5. The slope of the line was observed to be approximately at 45 degrees; thus the figure indicates no considerable difference between observed and simulated head values for all the observation wells. Consequently, it is concluded that simulated values of piezometeric heads are not much different than the observed ones. The results support the use of SIGMA/W and SEEP/W programs as a tool for investigating and designing pumping well practices.","author":[{"dropping-particle":"","family":"Arshad","given":"Imran","non-dropping-particle":"","parse-names":false,"suffix":""},{"dropping-particle":"","family":"Babar","given":"Muhammed Muneer","non-dropping-particle":"","parse-names":false,"suffix":""},{"dropping-particle":"","family":"Javed","given":"Natasha","non-dropping-particle":"","parse-names":false,"suffix":""}],"container-title":"Advances in Science, Technology and Engineering Systems Journal","id":"ITEM-1","issue":"1","issued":{"date-parts":[["2016","4"]]},"page":"11-18","title":"Numerical Analysis of Drawdown in an Unconfined Aquifer due to Pumping Well by SIGMA/W and SEEP/W Simulations","type":"article-journal","volume":"1"},"uris":["http://www.mendeley.com/documents/?uuid=d82e5f8b-f03c-4203-8a03-0e8ff383803e","http://www.mendeley.com/documents/?uuid=ebc6bd30-3f34-4d37-ad2b-7dc8c99f7f81","http://www.mendeley.com/documents/?uuid=8021903f-da12-4de6-ab9f-b134030ba8aa"]}],"mendeley":{"formattedCitation":"[275]","plainTextFormattedCitation":"[275]","previouslyFormattedCitation":"[275]"},"properties":{"noteIndex":0},"schema":"https://github.com/citation-style-language/schema/raw/master/csl-citation.json"}</w:instrText>
      </w:r>
      <w:r w:rsidRPr="00051297">
        <w:fldChar w:fldCharType="separate"/>
      </w:r>
      <w:r w:rsidR="0032684D" w:rsidRPr="0032684D">
        <w:rPr>
          <w:noProof/>
          <w:lang w:val="en-US"/>
        </w:rPr>
        <w:t>[275]</w:t>
      </w:r>
      <w:r w:rsidRPr="00051297">
        <w:fldChar w:fldCharType="end"/>
      </w:r>
      <w:r w:rsidRPr="00051297">
        <w:rPr>
          <w:lang w:val="en-US"/>
        </w:rPr>
        <w:t xml:space="preserve">, which is mainly for seepage analysis, and SLOPE/W </w:t>
      </w:r>
      <w:r w:rsidRPr="00051297">
        <w:fldChar w:fldCharType="begin" w:fldLock="1"/>
      </w:r>
      <w:r w:rsidR="00FA5896">
        <w:rPr>
          <w:lang w:val="en-US"/>
        </w:rPr>
        <w:instrText>ADDIN CSL_CITATION {"citationItems":[{"id":"ITEM-1","itemData":{"DOI":"10.14419/ijet.v7i4.28.22355","ISSN":"2227-524X","abstract":"There are many factors that influence slope failure such as natural disasters and human activities. Amongst the major causes are the rise of groundwater and infiltration of prolonged and antecedent rainfalls. Together with its geographical condition; high lands and mountains, Malaysia is prone to have landslides especially at the Main Range area where most of the soil is residual soil. This study investigated a slope which had a history of landslide due to circular failure landslide using Slope/W, resistivity and seismic surveys to determine the physical and mechanical properties of the on-site materials. Based on the resistivity survey, the existence of groundwater level has been detected at a depth of 10.0 m from the ground level. Seismic analysis showed that the subsurface area was made up of Weathered Granite Grade VI (sandy soil) which is loose to medium dense. SLOPE/W analysis showed that the factor of safety (FOS) was 0.186 which was unstable for slope stability condition. The assessment showed that the slope condition is still not stable despite slope stabilization measurement using cement grouting. It is proposed that erosion control measures on the slope surface should be implemented to prevent recurrent of slope failure and to ensure slope stability.","author":[{"dropping-particle":"","family":"Omar","given":"RC","non-dropping-particle":"","parse-names":false,"suffix":""},{"dropping-particle":"","family":"Baharuddin","given":"INZ","non-dropping-particle":"","parse-names":false,"suffix":""},{"dropping-particle":"","family":"Taha","given":"Hairin","non-dropping-particle":"","parse-names":false,"suffix":""},{"dropping-particle":"","family":"Roslan","given":"R.","non-dropping-particle":"","parse-names":false,"suffix":""},{"dropping-particle":"","family":"NK","given":"Hazwani","non-dropping-particle":"","parse-names":false,"suffix":""},{"dropping-particle":"","family":"MF","given":"Muzad","non-dropping-particle":"","parse-names":false,"suffix":""}],"container-title":"International Journal of Engineering &amp; Technology","id":"ITEM-1","issue":"4.35","issued":{"date-parts":[["2018","11"]]},"page":"172","title":"Slope Stability Analysis of Granitic Residual Soil Using SLOPE/W, Resistivity and Seismic","type":"article-journal","volume":"7"},"uris":["http://www.mendeley.com/documents/?uuid=30ed5a5a-b4b0-4817-8546-50651bac9610","http://www.mendeley.com/documents/?uuid=8e2a256a-8986-4cfe-af06-721f355249da","http://www.mendeley.com/documents/?uuid=42ffc041-d948-4afd-8020-92492a5c24cf"]}],"mendeley":{"formattedCitation":"[276]","plainTextFormattedCitation":"[276]","previouslyFormattedCitation":"[276]"},"properties":{"noteIndex":0},"schema":"https://github.com/citation-style-language/schema/raw/master/csl-citation.json"}</w:instrText>
      </w:r>
      <w:r w:rsidRPr="00051297">
        <w:fldChar w:fldCharType="separate"/>
      </w:r>
      <w:r w:rsidR="0032684D" w:rsidRPr="0032684D">
        <w:rPr>
          <w:noProof/>
          <w:lang w:val="en-US"/>
        </w:rPr>
        <w:t>[276]</w:t>
      </w:r>
      <w:r w:rsidRPr="00051297">
        <w:fldChar w:fldCharType="end"/>
      </w:r>
      <w:r w:rsidRPr="00051297">
        <w:rPr>
          <w:lang w:val="en-US"/>
        </w:rPr>
        <w:t xml:space="preserve">, which is mainly for stability analysis. The modeling processes in the two sub-units of the GeoStudio used slip surfaces, pore-water pressure conditions, soil properties, and loading conditions as inputs. </w:t>
      </w:r>
    </w:p>
    <w:p w14:paraId="543E66F2" w14:textId="77426BF0" w:rsidR="00051297" w:rsidRPr="00051297" w:rsidRDefault="00672E9E" w:rsidP="00051297">
      <w:pPr>
        <w:keepNext/>
        <w:tabs>
          <w:tab w:val="left" w:pos="4706"/>
        </w:tabs>
        <w:overflowPunct w:val="0"/>
        <w:autoSpaceDE w:val="0"/>
        <w:autoSpaceDN w:val="0"/>
        <w:adjustRightInd w:val="0"/>
        <w:ind w:firstLine="0"/>
        <w:jc w:val="center"/>
        <w:textAlignment w:val="baseline"/>
        <w:rPr>
          <w:rFonts w:cs="Times New Roman"/>
          <w:szCs w:val="24"/>
        </w:rPr>
      </w:pPr>
      <w:r>
        <w:rPr>
          <w:noProof/>
        </w:rPr>
        <w:drawing>
          <wp:inline distT="0" distB="0" distL="0" distR="0" wp14:anchorId="31A6A9E5" wp14:editId="31F21562">
            <wp:extent cx="5939790" cy="1363980"/>
            <wp:effectExtent l="0" t="0" r="3810" b="762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39790" cy="1363980"/>
                    </a:xfrm>
                    <a:prstGeom prst="rect">
                      <a:avLst/>
                    </a:prstGeom>
                    <a:noFill/>
                    <a:ln>
                      <a:noFill/>
                    </a:ln>
                  </pic:spPr>
                </pic:pic>
              </a:graphicData>
            </a:graphic>
          </wp:inline>
        </w:drawing>
      </w:r>
    </w:p>
    <w:p w14:paraId="79003E1B" w14:textId="7A9351B3" w:rsidR="00051297" w:rsidRPr="00051297" w:rsidRDefault="00051297" w:rsidP="00051297">
      <w:pPr>
        <w:ind w:firstLine="0"/>
        <w:jc w:val="center"/>
        <w:rPr>
          <w:rFonts w:cs="Times New Roman"/>
          <w:szCs w:val="24"/>
          <w:lang w:val="en-US" w:bidi="en-US"/>
        </w:rPr>
      </w:pPr>
      <w:bookmarkStart w:id="1045" w:name="_Ref98105918"/>
      <w:bookmarkStart w:id="1046" w:name="_Toc97428267"/>
      <w:bookmarkStart w:id="1047" w:name="_Toc98085942"/>
      <w:bookmarkStart w:id="1048" w:name="_Toc103544137"/>
      <w:bookmarkStart w:id="1049" w:name="_Toc104985460"/>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w:t>
      </w:r>
      <w:r w:rsidR="00527861">
        <w:rPr>
          <w:rFonts w:cs="Times New Roman"/>
          <w:szCs w:val="24"/>
          <w:lang w:val="en-US" w:bidi="en-US"/>
        </w:rPr>
        <w:fldChar w:fldCharType="end"/>
      </w:r>
      <w:bookmarkEnd w:id="1045"/>
      <w:r w:rsidRPr="00051297">
        <w:t xml:space="preserve"> </w:t>
      </w:r>
      <w:r w:rsidRPr="00051297">
        <w:rPr>
          <w:rFonts w:cs="Times New Roman"/>
          <w:szCs w:val="24"/>
          <w:lang w:val="en-US" w:bidi="en-US"/>
        </w:rPr>
        <w:t>– Embankment geometry</w:t>
      </w:r>
      <w:bookmarkEnd w:id="1046"/>
      <w:bookmarkEnd w:id="1047"/>
      <w:bookmarkEnd w:id="1048"/>
      <w:bookmarkEnd w:id="1049"/>
    </w:p>
    <w:p w14:paraId="195B9D1A" w14:textId="3A62EBE8" w:rsidR="00051297" w:rsidRPr="00051297" w:rsidRDefault="00051297" w:rsidP="00C925D9">
      <w:pPr>
        <w:pStyle w:val="4"/>
        <w:rPr>
          <w:rFonts w:eastAsia="Times New Roman"/>
          <w:lang w:val="en-US"/>
        </w:rPr>
      </w:pPr>
      <w:bookmarkStart w:id="1050" w:name="_Toc97504852"/>
      <w:bookmarkStart w:id="1051" w:name="_Toc103543986"/>
      <w:bookmarkStart w:id="1052" w:name="_Toc104985311"/>
      <w:r w:rsidRPr="00051297">
        <w:rPr>
          <w:rFonts w:eastAsia="Times New Roman"/>
          <w:lang w:val="en-US"/>
        </w:rPr>
        <w:lastRenderedPageBreak/>
        <w:t>Seepage analysis through the embankment</w:t>
      </w:r>
      <w:bookmarkStart w:id="1053" w:name="_Hlk89633117"/>
      <w:bookmarkEnd w:id="1050"/>
      <w:bookmarkEnd w:id="1051"/>
      <w:bookmarkEnd w:id="1052"/>
    </w:p>
    <w:bookmarkEnd w:id="1053"/>
    <w:p w14:paraId="6AA6BBB2" w14:textId="4577AE05" w:rsidR="00051297" w:rsidRPr="00051297" w:rsidRDefault="00051297" w:rsidP="00051297">
      <w:pPr>
        <w:rPr>
          <w:lang w:val="en-US"/>
        </w:rPr>
      </w:pPr>
      <w:r w:rsidRPr="00051297">
        <w:rPr>
          <w:lang w:val="en-US"/>
        </w:rPr>
        <w:t xml:space="preserve">Before the simulation of the transient conditions based on the drawdown rates, the model was subjected to a long-term steady-state simulation using the Steady-state analysis method. The seepage-induced pore-pressures generated from the long-term steady-state were used in the transient flow modeling. The boundary condition approach was used to specify the extent of the water level variations during the rapid drawdown process (as shown in </w:t>
      </w:r>
      <w:r w:rsidRPr="00051297">
        <w:rPr>
          <w:lang w:val="en-US"/>
        </w:rPr>
        <w:fldChar w:fldCharType="begin"/>
      </w:r>
      <w:r w:rsidRPr="00051297">
        <w:rPr>
          <w:lang w:val="en-US"/>
        </w:rPr>
        <w:instrText xml:space="preserve"> REF _Ref98105954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2</w:t>
      </w:r>
      <w:r w:rsidRPr="00051297">
        <w:rPr>
          <w:lang w:val="en-US"/>
        </w:rPr>
        <w:fldChar w:fldCharType="end"/>
      </w:r>
      <w:r w:rsidRPr="00051297">
        <w:rPr>
          <w:lang w:val="en-US"/>
        </w:rPr>
        <w:t xml:space="preserve">); Moreover, in the study, the transient seepage analyses were used as parents to the slope stability analyses. </w:t>
      </w:r>
    </w:p>
    <w:tbl>
      <w:tblPr>
        <w:tblStyle w:val="TableGrid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051297" w:rsidRPr="00051297" w14:paraId="3C5B144E" w14:textId="77777777" w:rsidTr="00D20B01">
        <w:trPr>
          <w:jc w:val="center"/>
        </w:trPr>
        <w:tc>
          <w:tcPr>
            <w:tcW w:w="4247" w:type="dxa"/>
          </w:tcPr>
          <w:p w14:paraId="197B7FEC" w14:textId="1B04DDAC" w:rsidR="00051297" w:rsidRPr="00051297" w:rsidRDefault="006E1E27" w:rsidP="00051297">
            <w:pPr>
              <w:overflowPunct w:val="0"/>
              <w:autoSpaceDE w:val="0"/>
              <w:autoSpaceDN w:val="0"/>
              <w:adjustRightInd w:val="0"/>
              <w:spacing w:after="120"/>
              <w:ind w:firstLine="0"/>
              <w:textAlignment w:val="baseline"/>
              <w:rPr>
                <w:szCs w:val="24"/>
              </w:rPr>
            </w:pPr>
            <w:r w:rsidRPr="006E1E27">
              <w:rPr>
                <w:noProof/>
                <w:szCs w:val="24"/>
              </w:rPr>
              <w:drawing>
                <wp:inline distT="0" distB="0" distL="0" distR="0" wp14:anchorId="577DA02A" wp14:editId="2F2B1443">
                  <wp:extent cx="2504995" cy="2712733"/>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31242" cy="2741156"/>
                          </a:xfrm>
                          <a:prstGeom prst="rect">
                            <a:avLst/>
                          </a:prstGeom>
                          <a:noFill/>
                          <a:ln>
                            <a:noFill/>
                          </a:ln>
                        </pic:spPr>
                      </pic:pic>
                    </a:graphicData>
                  </a:graphic>
                </wp:inline>
              </w:drawing>
            </w:r>
          </w:p>
          <w:p w14:paraId="31E7358F" w14:textId="77777777" w:rsidR="00051297" w:rsidRPr="00051297" w:rsidRDefault="00051297" w:rsidP="00051297">
            <w:pPr>
              <w:overflowPunct w:val="0"/>
              <w:autoSpaceDE w:val="0"/>
              <w:autoSpaceDN w:val="0"/>
              <w:adjustRightInd w:val="0"/>
              <w:spacing w:after="120"/>
              <w:jc w:val="center"/>
              <w:textAlignment w:val="baseline"/>
              <w:rPr>
                <w:szCs w:val="24"/>
              </w:rPr>
            </w:pPr>
            <w:r w:rsidRPr="00051297">
              <w:rPr>
                <w:szCs w:val="24"/>
              </w:rPr>
              <w:t>(a)</w:t>
            </w:r>
          </w:p>
        </w:tc>
        <w:tc>
          <w:tcPr>
            <w:tcW w:w="4248" w:type="dxa"/>
          </w:tcPr>
          <w:p w14:paraId="0DFE8AF7" w14:textId="363736CB" w:rsidR="00051297" w:rsidRPr="00051297" w:rsidRDefault="006E1E27" w:rsidP="00051297">
            <w:pPr>
              <w:overflowPunct w:val="0"/>
              <w:autoSpaceDE w:val="0"/>
              <w:autoSpaceDN w:val="0"/>
              <w:adjustRightInd w:val="0"/>
              <w:spacing w:after="120"/>
              <w:ind w:firstLine="0"/>
              <w:textAlignment w:val="baseline"/>
              <w:rPr>
                <w:szCs w:val="24"/>
              </w:rPr>
            </w:pPr>
            <w:r w:rsidRPr="006E1E27">
              <w:rPr>
                <w:noProof/>
                <w:szCs w:val="24"/>
              </w:rPr>
              <w:drawing>
                <wp:inline distT="0" distB="0" distL="0" distR="0" wp14:anchorId="010F2A5D" wp14:editId="22B52901">
                  <wp:extent cx="2520363" cy="2729376"/>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37001" cy="2747394"/>
                          </a:xfrm>
                          <a:prstGeom prst="rect">
                            <a:avLst/>
                          </a:prstGeom>
                          <a:noFill/>
                          <a:ln>
                            <a:noFill/>
                          </a:ln>
                        </pic:spPr>
                      </pic:pic>
                    </a:graphicData>
                  </a:graphic>
                </wp:inline>
              </w:drawing>
            </w:r>
          </w:p>
          <w:p w14:paraId="7925DB4D" w14:textId="77777777" w:rsidR="00051297" w:rsidRPr="00051297" w:rsidRDefault="00051297" w:rsidP="00051297">
            <w:pPr>
              <w:keepNext/>
              <w:overflowPunct w:val="0"/>
              <w:autoSpaceDE w:val="0"/>
              <w:autoSpaceDN w:val="0"/>
              <w:adjustRightInd w:val="0"/>
              <w:spacing w:after="120"/>
              <w:jc w:val="center"/>
              <w:textAlignment w:val="baseline"/>
              <w:rPr>
                <w:szCs w:val="24"/>
              </w:rPr>
            </w:pPr>
            <w:r w:rsidRPr="00051297">
              <w:rPr>
                <w:szCs w:val="24"/>
              </w:rPr>
              <w:t>(b)</w:t>
            </w:r>
          </w:p>
        </w:tc>
      </w:tr>
    </w:tbl>
    <w:p w14:paraId="0D26CD94" w14:textId="716D3CA5" w:rsidR="00051297" w:rsidRPr="00051297" w:rsidRDefault="00051297" w:rsidP="00051297">
      <w:pPr>
        <w:ind w:firstLine="0"/>
        <w:jc w:val="center"/>
        <w:rPr>
          <w:rFonts w:cs="Times New Roman"/>
          <w:szCs w:val="24"/>
          <w:lang w:val="en-US" w:bidi="en-US"/>
        </w:rPr>
      </w:pPr>
      <w:bookmarkStart w:id="1054" w:name="_Ref98105954"/>
      <w:bookmarkStart w:id="1055" w:name="_Toc97428268"/>
      <w:bookmarkStart w:id="1056" w:name="_Toc98085943"/>
      <w:bookmarkStart w:id="1057" w:name="_Toc103544138"/>
      <w:bookmarkStart w:id="1058" w:name="_Toc104985461"/>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w:t>
      </w:r>
      <w:r w:rsidR="00527861">
        <w:rPr>
          <w:rFonts w:cs="Times New Roman"/>
          <w:szCs w:val="24"/>
          <w:lang w:val="en-US" w:bidi="en-US"/>
        </w:rPr>
        <w:fldChar w:fldCharType="end"/>
      </w:r>
      <w:bookmarkEnd w:id="1054"/>
      <w:r w:rsidRPr="00051297">
        <w:rPr>
          <w:lang w:val="en-US"/>
        </w:rPr>
        <w:t xml:space="preserve"> </w:t>
      </w:r>
      <w:r w:rsidRPr="00051297">
        <w:rPr>
          <w:rFonts w:cs="Times New Roman"/>
          <w:szCs w:val="24"/>
          <w:lang w:val="en-US" w:bidi="en-US"/>
        </w:rPr>
        <w:t>– Some of the defined functions (a) the boundary condition for 10 days drawdown rate (b) volumetric water content function from zone 1</w:t>
      </w:r>
      <w:bookmarkEnd w:id="1055"/>
      <w:bookmarkEnd w:id="1056"/>
      <w:bookmarkEnd w:id="1057"/>
      <w:bookmarkEnd w:id="1058"/>
    </w:p>
    <w:p w14:paraId="24A9670E" w14:textId="7E66881D" w:rsidR="00051297" w:rsidRPr="00051297" w:rsidRDefault="00051297" w:rsidP="00C925D9">
      <w:pPr>
        <w:pStyle w:val="4"/>
        <w:rPr>
          <w:rFonts w:eastAsia="Times New Roman"/>
        </w:rPr>
      </w:pPr>
      <w:bookmarkStart w:id="1059" w:name="_Toc97504853"/>
      <w:bookmarkStart w:id="1060" w:name="_Toc103543987"/>
      <w:bookmarkStart w:id="1061" w:name="_Toc104985312"/>
      <w:r w:rsidRPr="00051297">
        <w:rPr>
          <w:rFonts w:eastAsia="Times New Roman"/>
        </w:rPr>
        <w:t>Slope stability analysis</w:t>
      </w:r>
      <w:bookmarkStart w:id="1062" w:name="_Hlk89633590"/>
      <w:bookmarkEnd w:id="1059"/>
      <w:bookmarkEnd w:id="1060"/>
      <w:bookmarkEnd w:id="1061"/>
    </w:p>
    <w:bookmarkEnd w:id="1062"/>
    <w:p w14:paraId="11E35815" w14:textId="4AB5F766" w:rsidR="00051297" w:rsidRPr="00051297" w:rsidRDefault="00051297" w:rsidP="00051297">
      <w:pPr>
        <w:rPr>
          <w:color w:val="FF0000"/>
          <w:lang w:val="en-US"/>
        </w:rPr>
      </w:pPr>
      <w:r w:rsidRPr="00051297">
        <w:rPr>
          <w:lang w:val="en-US"/>
        </w:rPr>
        <w:t xml:space="preserve">On the other hand, the help of the SLOPE/W of the GeoStudio accomplished the investigation of the embankment slope stability. The Morgenstern–Price </w:t>
      </w:r>
      <w:r w:rsidRPr="00051297">
        <w:fldChar w:fldCharType="begin" w:fldLock="1"/>
      </w:r>
      <w:r w:rsidR="00FA5896">
        <w:rPr>
          <w:lang w:val="en-US"/>
        </w:rPr>
        <w:instrText>ADDIN CSL_CITATION {"citationItems":[{"id":"ITEM-1","itemData":{"DOI":"10.1139/t02-034","ISSN":"0008-3674","abstract":"The impact of uncertainty on the reliability of slope design and performance assessment is often significant. Conventional slope practice based on the factor of safety cannot explicitly address uncertainty, thus compromising the adequacy of projections. Probabilistic techniques are rational means to quantify and incorporate uncertainty into slope analysis and design. A spreadsheet approach for probabilistic slope stability analysis is developed. The methodology is based on Monte Carlo simulation using the familiar and readily available software, Microsoft® Excel 97 and @Risk. The analysis accounts for the spatial variability of the input variables, the statistical uncertainty due to limited data, and biases in the empirical factors and correlations used. The approach is simple and can be applied in practice with little effort beyond that needed in a conventional analysis. The methodology is illustrated by a probabilistic slope analysis of the dykes of the James Bay hydroelectric project. The results are compared with those obtained using the first-order second-moment method, and the practical insights gained through the analysis are highlighted. The deficiencies of a simpler probabilistic analysis are illustrated. Key words: probabilistic analysis, slope stability, Monte Carlo simulation, spatial variability.","author":[{"dropping-particle":"","family":"El-Ramly","given":"Hassan","non-dropping-particle":"","parse-names":false,"suffix":""},{"dropping-particle":"","family":"Morgenstern","given":"N. R.","non-dropping-particle":"","parse-names":false,"suffix":""},{"dropping-particle":"","family":"Cruden","given":"D. M.","non-dropping-particle":"","parse-names":false,"suffix":""}],"container-title":"Canadian Geotechnical Journal","id":"ITEM-1","issue":"3","issued":{"date-parts":[["2002","6"]]},"page":"665-683","title":"Probabilistic slope stability analysis for practice","type":"article-journal","volume":"39"},"uris":["http://www.mendeley.com/documents/?uuid=7f1fa28b-13d7-4ca5-9b5f-ba716419107a","http://www.mendeley.com/documents/?uuid=58f932aa-9f47-4cce-a47f-fd45bed267f6","http://www.mendeley.com/documents/?uuid=51af3dfb-78cc-4f41-8b73-651f38847f29"]}],"mendeley":{"formattedCitation":"[277]","plainTextFormattedCitation":"[277]","previouslyFormattedCitation":"[277]"},"properties":{"noteIndex":0},"schema":"https://github.com/citation-style-language/schema/raw/master/csl-citation.json"}</w:instrText>
      </w:r>
      <w:r w:rsidRPr="00051297">
        <w:fldChar w:fldCharType="separate"/>
      </w:r>
      <w:r w:rsidR="0032684D" w:rsidRPr="0032684D">
        <w:rPr>
          <w:noProof/>
          <w:lang w:val="en-US"/>
        </w:rPr>
        <w:t>[277]</w:t>
      </w:r>
      <w:r w:rsidRPr="00051297">
        <w:fldChar w:fldCharType="end"/>
      </w:r>
      <w:r w:rsidRPr="00051297">
        <w:rPr>
          <w:lang w:val="en-US"/>
        </w:rPr>
        <w:t xml:space="preserve"> analysis method under the general limit equilibrium (GLE) </w:t>
      </w:r>
      <w:r w:rsidRPr="00051297">
        <w:fldChar w:fldCharType="begin" w:fldLock="1"/>
      </w:r>
      <w:r w:rsidR="00FA5896">
        <w:rPr>
          <w:lang w:val="en-US"/>
        </w:rPr>
        <w:instrText>ADDIN CSL_CITATION {"citationItems":[{"id":"ITEM-1","itemData":{"DOI":"10.1139/t93-089","ISSN":"0008-3674","abstract":"A generalized model for three-dimensional analysis, using the method of columns, is presented. The model is an extension of the two-dimensional general limit equilibrium formulation. Intercolumn force functions of arbitrary shape can be specified to simulate various directions for the intercolumn resultant forces. A unique feature of the model involves the use of a geostatistical procedure (i.e., the Kriging technique) in modelling the geometry of the slope, the stratigraphy, the potential slip surface, and the pore-water pressure conditions. The technique simplifies the data-input procedure and expedites the column discretization and the factor of safety computations. The shape of the intercolumn force functions was investigated for several slope geometries using a three-dimensional finite element stress analysis. The significance of the intercolumn force functions in three-dimensional stability analyses was also studied. The model was utilized to study a case history involving an open-pit mining failure. The results indicate that the model is able to provide a more realistic simulation of the case history than was possible using a conventional two-dimensional model. Key words : stability analysis, general limit equilibrium, three-dimensional, method of columns, factor of safety.","author":[{"dropping-particle":"","family":"Lam","given":"L.","non-dropping-particle":"","parse-names":false,"suffix":""},{"dropping-particle":"","family":"Fredlund","given":"D.G.","non-dropping-particle":"","parse-names":false,"suffix":""}],"container-title":"Canadian Geotechnical Journal","id":"ITEM-1","issue":"6","issued":{"date-parts":[["1993","12"]]},"page":"905-919","title":"A general limit equilibrium model for three-dimensional slope stability analysis","type":"article-journal","volume":"30"},"uris":["http://www.mendeley.com/documents/?uuid=bd8effd2-d498-47cb-b16f-a84c9345d65d","http://www.mendeley.com/documents/?uuid=9399397c-acbb-4a60-9699-2bb0873f4dc3","http://www.mendeley.com/documents/?uuid=0de15387-7ab4-453a-b0d0-fbfab94b0026"]}],"mendeley":{"formattedCitation":"[278]","plainTextFormattedCitation":"[278]","previouslyFormattedCitation":"[278]"},"properties":{"noteIndex":0},"schema":"https://github.com/citation-style-language/schema/raw/master/csl-citation.json"}</w:instrText>
      </w:r>
      <w:r w:rsidRPr="00051297">
        <w:fldChar w:fldCharType="separate"/>
      </w:r>
      <w:r w:rsidR="0032684D" w:rsidRPr="0032684D">
        <w:rPr>
          <w:noProof/>
          <w:lang w:val="en-US"/>
        </w:rPr>
        <w:t>[278]</w:t>
      </w:r>
      <w:r w:rsidRPr="00051297">
        <w:fldChar w:fldCharType="end"/>
      </w:r>
      <w:r w:rsidRPr="00051297">
        <w:rPr>
          <w:lang w:val="en-US"/>
        </w:rPr>
        <w:t xml:space="preserve"> was used in the slope stability modeling. </w:t>
      </w:r>
    </w:p>
    <w:p w14:paraId="59B6E8DB" w14:textId="3A8C70B5" w:rsidR="00051297" w:rsidRPr="00051297" w:rsidRDefault="00051297" w:rsidP="00051297">
      <w:pPr>
        <w:overflowPunct w:val="0"/>
        <w:autoSpaceDE w:val="0"/>
        <w:autoSpaceDN w:val="0"/>
        <w:adjustRightInd w:val="0"/>
        <w:spacing w:after="120"/>
        <w:ind w:firstLine="227"/>
        <w:textAlignment w:val="baseline"/>
        <w:rPr>
          <w:rFonts w:eastAsia="Calibri" w:cs="Times New Roman"/>
          <w:szCs w:val="24"/>
          <w:lang w:val="en-US"/>
        </w:rPr>
      </w:pPr>
      <w:r w:rsidRPr="00051297">
        <w:rPr>
          <w:rFonts w:eastAsia="Calibri" w:cs="Times New Roman"/>
          <w:szCs w:val="24"/>
          <w:lang w:val="en-US"/>
        </w:rPr>
        <w:t xml:space="preserve">To be more specific, the Morgenstern–Price is a general method of slices that works based on limit equilibrium with the sustaining equilibrium of forces and moments acting on individual blocks. To create the blocks, the soil above the slip surface has to be divided by dividing planes </w:t>
      </w:r>
      <w:r w:rsidRPr="00051297">
        <w:rPr>
          <w:rFonts w:eastAsia="Calibri" w:cs="Times New Roman"/>
          <w:szCs w:val="24"/>
        </w:rPr>
        <w:fldChar w:fldCharType="begin" w:fldLock="1"/>
      </w:r>
      <w:r w:rsidR="00FA5896">
        <w:rPr>
          <w:rFonts w:eastAsia="Calibri" w:cs="Times New Roman"/>
          <w:szCs w:val="24"/>
          <w:lang w:val="en-US"/>
        </w:rPr>
        <w:instrText>ADDIN CSL_CITATION {"citationItems":[{"id":"ITEM-1","itemData":{"DOI":"10.1007/978-3-319-07167-1_20","author":[{"dropping-particle":"","family":"Atashband","given":"Shaham","non-dropping-particle":"","parse-names":false,"suffix":""}],"container-title":"Numerical Methods for Reliability and Safety Assessment","id":"ITEM-1","issued":{"date-parts":[["2015"]]},"title":"Evaluate Reliability of Morgenstern–Price Method in Vertical Excavations","type":"chapter"},"uris":["http://www.mendeley.com/documents/?uuid=d2ffcadf-0e16-4b38-a2f3-b5877339e6ea","http://www.mendeley.com/documents/?uuid=d412d287-370c-42cd-8828-9845ec20fe34","http://www.mendeley.com/documents/?uuid=8c6d588f-6adc-4e67-99ff-d3122baed7d1"]}],"mendeley":{"formattedCitation":"[279]","plainTextFormattedCitation":"[279]","previouslyFormattedCitation":"[279]"},"properties":{"noteIndex":0},"schema":"https://github.com/citation-style-language/schema/raw/master/csl-citation.json"}</w:instrText>
      </w:r>
      <w:r w:rsidRPr="00051297">
        <w:rPr>
          <w:rFonts w:eastAsia="Calibri" w:cs="Times New Roman"/>
          <w:szCs w:val="24"/>
        </w:rPr>
        <w:fldChar w:fldCharType="separate"/>
      </w:r>
      <w:r w:rsidR="0032684D" w:rsidRPr="0032684D">
        <w:rPr>
          <w:rFonts w:eastAsia="Calibri" w:cs="Times New Roman"/>
          <w:noProof/>
          <w:szCs w:val="24"/>
          <w:lang w:val="en-US"/>
        </w:rPr>
        <w:t>[279]</w:t>
      </w:r>
      <w:r w:rsidRPr="00051297">
        <w:rPr>
          <w:rFonts w:eastAsia="Calibri" w:cs="Times New Roman"/>
          <w:szCs w:val="24"/>
        </w:rPr>
        <w:fldChar w:fldCharType="end"/>
      </w:r>
      <w:r w:rsidRPr="00051297">
        <w:rPr>
          <w:rFonts w:eastAsia="Calibri" w:cs="Times New Roman"/>
          <w:szCs w:val="24"/>
          <w:lang w:val="en-US"/>
        </w:rPr>
        <w:t xml:space="preserve">. It is also important to be noted that the interslice shear forces used in the general limit equilibrium methodology are dealt with in an equation developed by Morgenstern and Price </w:t>
      </w:r>
      <w:r w:rsidR="00DD63E3" w:rsidRPr="00051297">
        <w:rPr>
          <w:rFonts w:cs="Times New Roman"/>
          <w:szCs w:val="24"/>
        </w:rPr>
        <w:fldChar w:fldCharType="begin" w:fldLock="1"/>
      </w:r>
      <w:r w:rsidR="00FA5896">
        <w:rPr>
          <w:rFonts w:cs="Times New Roman"/>
          <w:szCs w:val="24"/>
          <w:lang w:val="en-US"/>
        </w:rPr>
        <w:instrText>ADDIN CSL_CITATION {"citationItems":[{"id":"ITEM-1","itemData":{"DOI":"10.1680/geot.1965.15.1.79","ISSN":"0016-8505","abstract":"Synopsis","author":[{"dropping-particle":"","family":"Morgenstern","given":"N. R.","non-dropping-particle":"","parse-names":false,"suffix":""},{"dropping-particle":"","family":"Price","given":"V. E.","non-dropping-particle":"","parse-names":false,"suffix":""}],"container-title":"Géotechnique","id":"ITEM-1","issue":"1","issued":{"date-parts":[["1965","3"]]},"page":"79-93","title":"The Analysis of the Stability of General Slip Surfaces","type":"article-journal","volume":"15"},"uris":["http://www.mendeley.com/documents/?uuid=ec8c4396-a6b5-48b7-b6ad-60f2d9a3a0e4","http://www.mendeley.com/documents/?uuid=37a63744-c64d-440c-b690-833a2a862498","http://www.mendeley.com/documents/?uuid=9b86f174-ba37-4d7d-bf9a-83d010e5bf31"]}],"mendeley":{"formattedCitation":"[156]","plainTextFormattedCitation":"[156]","previouslyFormattedCitation":"[156]"},"properties":{"noteIndex":0},"schema":"https://github.com/citation-style-language/schema/raw/master/csl-citation.json"}</w:instrText>
      </w:r>
      <w:r w:rsidR="00DD63E3" w:rsidRPr="00051297">
        <w:rPr>
          <w:rFonts w:cs="Times New Roman"/>
          <w:szCs w:val="24"/>
        </w:rPr>
        <w:fldChar w:fldCharType="separate"/>
      </w:r>
      <w:r w:rsidR="00DD63E3" w:rsidRPr="0032684D">
        <w:rPr>
          <w:rFonts w:cs="Times New Roman"/>
          <w:noProof/>
          <w:szCs w:val="24"/>
          <w:lang w:val="en-US"/>
        </w:rPr>
        <w:t>[156]</w:t>
      </w:r>
      <w:r w:rsidR="00DD63E3" w:rsidRPr="00051297">
        <w:rPr>
          <w:rFonts w:cs="Times New Roman"/>
          <w:szCs w:val="24"/>
        </w:rPr>
        <w:fldChar w:fldCharType="end"/>
      </w:r>
      <w:r w:rsidRPr="00051297">
        <w:rPr>
          <w:rFonts w:eastAsia="Calibri" w:cs="Times New Roman"/>
          <w:szCs w:val="24"/>
          <w:lang w:val="en-US"/>
        </w:rPr>
        <w:t xml:space="preserve"> (Equation </w:t>
      </w:r>
      <w:r w:rsidRPr="00051297">
        <w:rPr>
          <w:rFonts w:eastAsia="Calibri" w:cs="Times New Roman"/>
          <w:szCs w:val="24"/>
          <w:lang w:val="en-US"/>
        </w:rPr>
        <w:fldChar w:fldCharType="begin"/>
      </w:r>
      <w:r w:rsidRPr="00051297">
        <w:rPr>
          <w:rFonts w:eastAsia="Calibri" w:cs="Times New Roman"/>
          <w:szCs w:val="24"/>
          <w:lang w:val="en-US"/>
        </w:rPr>
        <w:instrText xml:space="preserve"> REF _Ref103557633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rPr>
        <w:t>(</w:t>
      </w:r>
      <w:r w:rsidR="004870F1">
        <w:rPr>
          <w:rFonts w:cs="Times New Roman"/>
          <w:noProof/>
          <w:szCs w:val="24"/>
        </w:rPr>
        <w:t>5</w:t>
      </w:r>
      <w:r w:rsidR="004870F1" w:rsidRPr="00051297">
        <w:rPr>
          <w:rFonts w:cs="Times New Roman"/>
          <w:szCs w:val="24"/>
        </w:rPr>
        <w:t>.</w:t>
      </w:r>
      <w:r w:rsidR="004870F1">
        <w:rPr>
          <w:rFonts w:cs="Times New Roman"/>
          <w:noProof/>
          <w:szCs w:val="24"/>
        </w:rPr>
        <w:t>1</w:t>
      </w:r>
      <w:r w:rsidR="004870F1" w:rsidRPr="00051297">
        <w:rPr>
          <w:rFonts w:cs="Times New Roman"/>
          <w:szCs w:val="24"/>
        </w:rPr>
        <w:t>)</w:t>
      </w:r>
      <w:r w:rsidRPr="00051297">
        <w:rPr>
          <w:rFonts w:eastAsia="Calibri" w:cs="Times New Roman"/>
          <w:szCs w:val="24"/>
          <w:lang w:val="en-US"/>
        </w:rPr>
        <w:fldChar w:fldCharType="end"/>
      </w:r>
      <w:r w:rsidRPr="00051297">
        <w:rPr>
          <w:rFonts w:eastAsia="Calibri" w:cs="Times New Roman"/>
          <w:szCs w:val="24"/>
          <w:lang w:val="en-US"/>
        </w:rPr>
        <w:t>)</w:t>
      </w:r>
    </w:p>
    <w:tbl>
      <w:tblPr>
        <w:tblStyle w:val="TableGrid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
        <w:gridCol w:w="8191"/>
        <w:gridCol w:w="903"/>
      </w:tblGrid>
      <w:tr w:rsidR="00051297" w:rsidRPr="0032684D" w14:paraId="5AC192B6" w14:textId="77777777" w:rsidTr="00D20B01">
        <w:tc>
          <w:tcPr>
            <w:tcW w:w="265" w:type="dxa"/>
          </w:tcPr>
          <w:p w14:paraId="5910017C" w14:textId="77777777" w:rsidR="00051297" w:rsidRPr="00051297" w:rsidRDefault="00051297" w:rsidP="00051297">
            <w:pPr>
              <w:overflowPunct w:val="0"/>
              <w:adjustRightInd w:val="0"/>
              <w:spacing w:after="120"/>
              <w:ind w:firstLine="227"/>
              <w:textAlignment w:val="baseline"/>
              <w:rPr>
                <w:rFonts w:cs="Times New Roman"/>
                <w:szCs w:val="24"/>
              </w:rPr>
            </w:pPr>
          </w:p>
        </w:tc>
        <w:tc>
          <w:tcPr>
            <w:tcW w:w="9090" w:type="dxa"/>
          </w:tcPr>
          <w:p w14:paraId="5615C96A" w14:textId="77777777" w:rsidR="00051297" w:rsidRPr="00051297" w:rsidRDefault="00051297" w:rsidP="00051297">
            <w:pPr>
              <w:overflowPunct w:val="0"/>
              <w:adjustRightInd w:val="0"/>
              <w:spacing w:after="120"/>
              <w:ind w:firstLine="227"/>
              <w:textAlignment w:val="baseline"/>
              <w:rPr>
                <w:rFonts w:eastAsia="Times New Roman" w:cs="Times New Roman"/>
                <w:szCs w:val="24"/>
              </w:rPr>
            </w:pPr>
            <m:oMathPara>
              <m:oMath>
                <m:r>
                  <w:rPr>
                    <w:rFonts w:ascii="Cambria Math" w:hAnsi="Cambria Math" w:cs="Times New Roman"/>
                    <w:szCs w:val="24"/>
                  </w:rPr>
                  <m:t>X=Eλf(x)</m:t>
                </m:r>
              </m:oMath>
            </m:oMathPara>
          </w:p>
        </w:tc>
        <w:tc>
          <w:tcPr>
            <w:tcW w:w="273" w:type="dxa"/>
          </w:tcPr>
          <w:p w14:paraId="1CDCB968" w14:textId="32885670" w:rsidR="00051297" w:rsidRPr="00051297" w:rsidRDefault="00051297" w:rsidP="00051297">
            <w:pPr>
              <w:overflowPunct w:val="0"/>
              <w:adjustRightInd w:val="0"/>
              <w:spacing w:after="120"/>
              <w:ind w:firstLine="227"/>
              <w:textAlignment w:val="baseline"/>
            </w:pPr>
            <w:bookmarkStart w:id="1063" w:name="_Ref103557633"/>
            <w:r w:rsidRPr="00051297">
              <w:rPr>
                <w:rFonts w:cs="Times New Roman"/>
                <w:szCs w:val="24"/>
              </w:rPr>
              <w:t>(</w:t>
            </w:r>
            <w:r w:rsidRPr="00051297">
              <w:rPr>
                <w:rFonts w:cs="Times New Roman"/>
                <w:szCs w:val="24"/>
              </w:rPr>
              <w:fldChar w:fldCharType="begin"/>
            </w:r>
            <w:r w:rsidRPr="00051297">
              <w:rPr>
                <w:rFonts w:cs="Times New Roman"/>
                <w:szCs w:val="24"/>
              </w:rPr>
              <w:instrText xml:space="preserve"> STYLEREF 1 \s </w:instrText>
            </w:r>
            <w:r w:rsidRPr="00051297">
              <w:rPr>
                <w:rFonts w:cs="Times New Roman"/>
                <w:szCs w:val="24"/>
              </w:rPr>
              <w:fldChar w:fldCharType="separate"/>
            </w:r>
            <w:r w:rsidR="004870F1">
              <w:rPr>
                <w:rFonts w:cs="Times New Roman"/>
                <w:noProof/>
                <w:szCs w:val="24"/>
              </w:rPr>
              <w:t>5</w:t>
            </w:r>
            <w:r w:rsidRPr="00051297">
              <w:rPr>
                <w:rFonts w:cs="Times New Roman"/>
                <w:szCs w:val="24"/>
              </w:rPr>
              <w:fldChar w:fldCharType="end"/>
            </w:r>
            <w:r w:rsidRPr="00051297">
              <w:rPr>
                <w:rFonts w:cs="Times New Roman"/>
                <w:szCs w:val="24"/>
              </w:rPr>
              <w:t>.</w:t>
            </w:r>
            <w:r w:rsidRPr="00051297">
              <w:rPr>
                <w:rFonts w:cs="Times New Roman"/>
                <w:szCs w:val="24"/>
              </w:rPr>
              <w:fldChar w:fldCharType="begin"/>
            </w:r>
            <w:r w:rsidRPr="00051297">
              <w:rPr>
                <w:rFonts w:cs="Times New Roman"/>
                <w:szCs w:val="24"/>
              </w:rPr>
              <w:instrText xml:space="preserve"> SEQ Equation \* ARABIC \s 1 </w:instrText>
            </w:r>
            <w:r w:rsidRPr="00051297">
              <w:rPr>
                <w:rFonts w:cs="Times New Roman"/>
                <w:szCs w:val="24"/>
              </w:rPr>
              <w:fldChar w:fldCharType="separate"/>
            </w:r>
            <w:r w:rsidR="004870F1">
              <w:rPr>
                <w:rFonts w:cs="Times New Roman"/>
                <w:noProof/>
                <w:szCs w:val="24"/>
              </w:rPr>
              <w:t>1</w:t>
            </w:r>
            <w:r w:rsidRPr="00051297">
              <w:rPr>
                <w:rFonts w:cs="Times New Roman"/>
                <w:szCs w:val="24"/>
              </w:rPr>
              <w:fldChar w:fldCharType="end"/>
            </w:r>
            <w:r w:rsidRPr="00051297">
              <w:rPr>
                <w:rFonts w:cs="Times New Roman"/>
                <w:szCs w:val="24"/>
              </w:rPr>
              <w:t>)</w:t>
            </w:r>
            <w:bookmarkEnd w:id="1063"/>
          </w:p>
        </w:tc>
      </w:tr>
    </w:tbl>
    <w:p w14:paraId="4F263858" w14:textId="77777777" w:rsidR="00051297" w:rsidRPr="00051297" w:rsidRDefault="00051297" w:rsidP="00051297">
      <w:pPr>
        <w:rPr>
          <w:lang w:val="en-US"/>
        </w:rPr>
      </w:pPr>
      <w:r w:rsidRPr="00051297">
        <w:rPr>
          <w:lang w:val="en-US"/>
        </w:rPr>
        <w:t xml:space="preserve">Whereby: </w:t>
      </w:r>
    </w:p>
    <w:p w14:paraId="084C54D9" w14:textId="77777777" w:rsidR="00051297" w:rsidRPr="00051297" w:rsidRDefault="00051297" w:rsidP="00051297">
      <w:pPr>
        <w:rPr>
          <w:lang w:val="en-US"/>
        </w:rPr>
      </w:pPr>
      <w:r w:rsidRPr="00051297">
        <w:rPr>
          <w:rFonts w:eastAsia="TimesNewRoman,Italic"/>
          <w:i/>
          <w:iCs/>
          <w:lang w:val="en-US"/>
        </w:rPr>
        <w:lastRenderedPageBreak/>
        <w:t xml:space="preserve">f(x) </w:t>
      </w:r>
      <w:r w:rsidRPr="00051297">
        <w:rPr>
          <w:rFonts w:cs="Times New Roman"/>
          <w:szCs w:val="24"/>
          <w:lang w:val="en-US"/>
        </w:rPr>
        <w:t xml:space="preserve">– </w:t>
      </w:r>
      <w:r w:rsidRPr="00051297">
        <w:rPr>
          <w:lang w:val="en-US"/>
        </w:rPr>
        <w:t xml:space="preserve">represents a function; </w:t>
      </w:r>
      <m:oMath>
        <m:r>
          <w:rPr>
            <w:rFonts w:ascii="Cambria Math" w:hAnsi="Cambria Math"/>
          </w:rPr>
          <m:t>λ</m:t>
        </m:r>
      </m:oMath>
      <w:r w:rsidRPr="00051297">
        <w:rPr>
          <w:rFonts w:eastAsia="UniversalMath1BT"/>
          <w:lang w:val="en-US"/>
        </w:rPr>
        <w:t xml:space="preserve"> </w:t>
      </w:r>
      <w:r w:rsidRPr="00051297">
        <w:rPr>
          <w:rFonts w:cs="Times New Roman"/>
          <w:szCs w:val="24"/>
          <w:lang w:val="en-US"/>
        </w:rPr>
        <w:t xml:space="preserve">– </w:t>
      </w:r>
      <w:r w:rsidRPr="00051297">
        <w:rPr>
          <w:lang w:val="en-US"/>
        </w:rPr>
        <w:t xml:space="preserve">represents the percentage (in decimal form) of the function used; </w:t>
      </w:r>
      <w:r w:rsidRPr="00051297">
        <w:rPr>
          <w:rFonts w:eastAsia="TimesNewRoman,Italic"/>
          <w:i/>
          <w:iCs/>
          <w:lang w:val="en-US"/>
        </w:rPr>
        <w:t xml:space="preserve">E </w:t>
      </w:r>
      <w:r w:rsidRPr="00051297">
        <w:rPr>
          <w:rFonts w:cs="Times New Roman"/>
          <w:szCs w:val="24"/>
          <w:lang w:val="en-US"/>
        </w:rPr>
        <w:t xml:space="preserve">– </w:t>
      </w:r>
      <w:r w:rsidRPr="00051297">
        <w:rPr>
          <w:lang w:val="en-US"/>
        </w:rPr>
        <w:t xml:space="preserve">represents the interslice normal force, and X </w:t>
      </w:r>
      <w:r w:rsidRPr="00051297">
        <w:rPr>
          <w:rFonts w:cs="Times New Roman"/>
          <w:szCs w:val="24"/>
          <w:lang w:val="en-US"/>
        </w:rPr>
        <w:t xml:space="preserve">– </w:t>
      </w:r>
      <w:r w:rsidRPr="00051297">
        <w:rPr>
          <w:lang w:val="en-US"/>
        </w:rPr>
        <w:t>represents the interslice shear force.</w:t>
      </w:r>
    </w:p>
    <w:p w14:paraId="735FCA3E" w14:textId="001B7F4D" w:rsidR="00051297" w:rsidRPr="00051297" w:rsidRDefault="00051297" w:rsidP="00C925D9">
      <w:pPr>
        <w:pStyle w:val="5"/>
        <w:rPr>
          <w:rFonts w:eastAsia="Times New Roman"/>
          <w:lang w:val="en-US"/>
        </w:rPr>
      </w:pPr>
      <w:bookmarkStart w:id="1064" w:name="_Toc97504854"/>
      <w:bookmarkStart w:id="1065" w:name="_Toc103543988"/>
      <w:bookmarkStart w:id="1066" w:name="_Toc104985313"/>
      <w:r w:rsidRPr="00051297">
        <w:rPr>
          <w:rFonts w:eastAsia="Times New Roman"/>
          <w:lang w:val="en-US"/>
        </w:rPr>
        <w:t>Material characteristics</w:t>
      </w:r>
      <w:bookmarkEnd w:id="1064"/>
      <w:bookmarkEnd w:id="1065"/>
      <w:bookmarkEnd w:id="1066"/>
    </w:p>
    <w:p w14:paraId="3CDE9C51" w14:textId="6622AA2A" w:rsidR="00051297" w:rsidRPr="00051297" w:rsidRDefault="00051297" w:rsidP="00051297">
      <w:pPr>
        <w:rPr>
          <w:color w:val="FF0000"/>
          <w:lang w:val="en-US"/>
        </w:rPr>
      </w:pPr>
      <w:r w:rsidRPr="00051297">
        <w:rPr>
          <w:lang w:val="en-US"/>
        </w:rPr>
        <w:t>The dam embankment is divided into different zones based on the material properties; zone 1 (a and b) is more of coarse materials mixed with fine materials (mainly silt and clay) and liquid limit (w</w:t>
      </w:r>
      <w:r w:rsidRPr="00051297">
        <w:rPr>
          <w:vertAlign w:val="subscript"/>
          <w:lang w:val="en-US"/>
        </w:rPr>
        <w:t>L</w:t>
      </w:r>
      <w:r w:rsidRPr="00051297">
        <w:rPr>
          <w:lang w:val="en-US"/>
        </w:rPr>
        <w:t>)</w:t>
      </w:r>
      <w:r w:rsidRPr="00051297">
        <w:rPr>
          <w:vertAlign w:val="subscript"/>
          <w:lang w:val="en-US"/>
        </w:rPr>
        <w:t xml:space="preserve"> </w:t>
      </w:r>
      <w:r w:rsidRPr="00051297">
        <w:rPr>
          <w:lang w:val="en-US"/>
        </w:rPr>
        <w:t xml:space="preserve">ranging from 25% up to 45%. Zone 2 (core) is composed of cohesive material and fine-grained material (clay). While Zone 3 is more of non-cohesive soil and filter material (sand and gravel). </w:t>
      </w:r>
      <w:r w:rsidRPr="00051297">
        <w:rPr>
          <w:lang w:val="en-US"/>
        </w:rPr>
        <w:fldChar w:fldCharType="begin"/>
      </w:r>
      <w:r w:rsidRPr="00051297">
        <w:rPr>
          <w:lang w:val="en-US"/>
        </w:rPr>
        <w:instrText xml:space="preserve"> REF _Ref98106016 \h </w:instrText>
      </w:r>
      <w:r w:rsidRPr="00051297">
        <w:rPr>
          <w:lang w:val="en-US"/>
        </w:rPr>
      </w:r>
      <w:r w:rsidRPr="00051297">
        <w:rPr>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5</w:t>
      </w:r>
      <w:r w:rsidR="004870F1" w:rsidRPr="00051297">
        <w:rPr>
          <w:rFonts w:cs="Times New Roman"/>
          <w:szCs w:val="24"/>
          <w:lang w:val="en-US" w:bidi="en-US"/>
        </w:rPr>
        <w:t>.</w:t>
      </w:r>
      <w:r w:rsidR="004870F1">
        <w:rPr>
          <w:rFonts w:cs="Times New Roman"/>
          <w:noProof/>
          <w:szCs w:val="24"/>
          <w:lang w:val="en-US" w:bidi="en-US"/>
        </w:rPr>
        <w:t>1</w:t>
      </w:r>
      <w:r w:rsidRPr="00051297">
        <w:rPr>
          <w:lang w:val="en-US"/>
        </w:rPr>
        <w:fldChar w:fldCharType="end"/>
      </w:r>
      <w:r w:rsidRPr="00051297">
        <w:rPr>
          <w:lang w:val="en-US"/>
        </w:rPr>
        <w:t xml:space="preserve"> provides a summary of the material characteristics. </w:t>
      </w:r>
    </w:p>
    <w:p w14:paraId="431FA991" w14:textId="2C18CB6A" w:rsidR="00051297" w:rsidRPr="00051297" w:rsidRDefault="00051297" w:rsidP="00051297">
      <w:pPr>
        <w:rPr>
          <w:rFonts w:cs="Times New Roman"/>
          <w:szCs w:val="24"/>
          <w:lang w:val="en-US" w:bidi="en-US"/>
        </w:rPr>
      </w:pPr>
      <w:bookmarkStart w:id="1067" w:name="_Ref98106016"/>
      <w:bookmarkStart w:id="1068" w:name="_Toc97077207"/>
      <w:bookmarkStart w:id="1069" w:name="_Toc103544256"/>
      <w:bookmarkStart w:id="1070" w:name="_Toc104985582"/>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5</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1</w:t>
      </w:r>
      <w:r w:rsidRPr="00051297">
        <w:rPr>
          <w:rFonts w:cs="Times New Roman"/>
          <w:szCs w:val="24"/>
          <w:lang w:val="en-US" w:bidi="en-US"/>
        </w:rPr>
        <w:fldChar w:fldCharType="end"/>
      </w:r>
      <w:bookmarkEnd w:id="1067"/>
      <w:r w:rsidRPr="00051297">
        <w:rPr>
          <w:lang w:val="en-US"/>
        </w:rPr>
        <w:t xml:space="preserve"> </w:t>
      </w:r>
      <w:r w:rsidRPr="00051297">
        <w:rPr>
          <w:rFonts w:cs="Times New Roman"/>
          <w:szCs w:val="24"/>
          <w:lang w:val="en-US" w:bidi="en-US"/>
        </w:rPr>
        <w:t>– Material properties of the embankment</w:t>
      </w:r>
      <w:bookmarkEnd w:id="1068"/>
      <w:bookmarkEnd w:id="1069"/>
      <w:bookmarkEnd w:id="1070"/>
    </w:p>
    <w:tbl>
      <w:tblPr>
        <w:tblStyle w:val="TableGrid14"/>
        <w:tblW w:w="0" w:type="auto"/>
        <w:jc w:val="center"/>
        <w:tblLook w:val="04A0" w:firstRow="1" w:lastRow="0" w:firstColumn="1" w:lastColumn="0" w:noHBand="0" w:noVBand="1"/>
      </w:tblPr>
      <w:tblGrid>
        <w:gridCol w:w="4140"/>
        <w:gridCol w:w="1260"/>
        <w:gridCol w:w="1095"/>
        <w:gridCol w:w="2055"/>
      </w:tblGrid>
      <w:tr w:rsidR="00051297" w:rsidRPr="0032684D" w14:paraId="2245EABE" w14:textId="77777777" w:rsidTr="00D20B01">
        <w:trPr>
          <w:trHeight w:val="53"/>
          <w:jc w:val="center"/>
        </w:trPr>
        <w:tc>
          <w:tcPr>
            <w:tcW w:w="4140" w:type="dxa"/>
            <w:noWrap/>
            <w:vAlign w:val="center"/>
            <w:hideMark/>
          </w:tcPr>
          <w:p w14:paraId="30B8E6D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Parameter</w:t>
            </w:r>
          </w:p>
        </w:tc>
        <w:tc>
          <w:tcPr>
            <w:tcW w:w="4410" w:type="dxa"/>
            <w:gridSpan w:val="3"/>
            <w:noWrap/>
            <w:vAlign w:val="center"/>
            <w:hideMark/>
          </w:tcPr>
          <w:p w14:paraId="407D4ED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Zone</w:t>
            </w:r>
          </w:p>
        </w:tc>
      </w:tr>
      <w:tr w:rsidR="00051297" w:rsidRPr="0032684D" w14:paraId="2E6A032A" w14:textId="77777777" w:rsidTr="00D20B01">
        <w:trPr>
          <w:trHeight w:val="53"/>
          <w:jc w:val="center"/>
        </w:trPr>
        <w:tc>
          <w:tcPr>
            <w:tcW w:w="4140" w:type="dxa"/>
            <w:noWrap/>
            <w:vAlign w:val="center"/>
            <w:hideMark/>
          </w:tcPr>
          <w:p w14:paraId="6F4B38B0" w14:textId="77777777" w:rsidR="00051297" w:rsidRPr="00051297" w:rsidRDefault="00051297" w:rsidP="00051297">
            <w:pPr>
              <w:spacing w:line="240" w:lineRule="auto"/>
              <w:ind w:firstLine="0"/>
              <w:jc w:val="center"/>
              <w:rPr>
                <w:rFonts w:cs="Times New Roman"/>
                <w:lang w:val="en-US"/>
              </w:rPr>
            </w:pPr>
          </w:p>
        </w:tc>
        <w:tc>
          <w:tcPr>
            <w:tcW w:w="1260" w:type="dxa"/>
            <w:noWrap/>
            <w:vAlign w:val="center"/>
            <w:hideMark/>
          </w:tcPr>
          <w:p w14:paraId="33CAA49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Zone 1a,b</w:t>
            </w:r>
          </w:p>
        </w:tc>
        <w:tc>
          <w:tcPr>
            <w:tcW w:w="1095" w:type="dxa"/>
            <w:noWrap/>
            <w:vAlign w:val="center"/>
            <w:hideMark/>
          </w:tcPr>
          <w:p w14:paraId="0018D0A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Zone 2</w:t>
            </w:r>
          </w:p>
        </w:tc>
        <w:tc>
          <w:tcPr>
            <w:tcW w:w="2055" w:type="dxa"/>
            <w:noWrap/>
            <w:vAlign w:val="center"/>
            <w:hideMark/>
          </w:tcPr>
          <w:p w14:paraId="53097F6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Zone 3</w:t>
            </w:r>
          </w:p>
        </w:tc>
      </w:tr>
      <w:tr w:rsidR="00051297" w:rsidRPr="0032684D" w14:paraId="622D20D5" w14:textId="77777777" w:rsidTr="00D20B01">
        <w:trPr>
          <w:trHeight w:val="242"/>
          <w:jc w:val="center"/>
        </w:trPr>
        <w:tc>
          <w:tcPr>
            <w:tcW w:w="4140" w:type="dxa"/>
            <w:noWrap/>
            <w:vAlign w:val="center"/>
            <w:hideMark/>
          </w:tcPr>
          <w:p w14:paraId="34083AD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Saturated hydraulic conductivity (ksat), m/s</w:t>
            </w:r>
          </w:p>
        </w:tc>
        <w:tc>
          <w:tcPr>
            <w:tcW w:w="1260" w:type="dxa"/>
            <w:vAlign w:val="center"/>
            <w:hideMark/>
          </w:tcPr>
          <w:p w14:paraId="3AC57EF4" w14:textId="74F3E364" w:rsidR="00051297" w:rsidRPr="00051297" w:rsidRDefault="00EA4B69" w:rsidP="00051297">
            <w:pPr>
              <w:spacing w:line="240" w:lineRule="auto"/>
              <w:ind w:firstLine="0"/>
              <w:jc w:val="center"/>
              <w:rPr>
                <w:rFonts w:cs="Times New Roman"/>
                <w:lang w:val="en-US"/>
              </w:rPr>
            </w:pPr>
            <w:r>
              <w:rPr>
                <w:rFonts w:cs="Times New Roman"/>
                <w:lang w:val="en-US"/>
              </w:rPr>
              <w:t>4.69</w:t>
            </w:r>
            <w:r w:rsidR="00051297" w:rsidRPr="00051297">
              <w:rPr>
                <w:rFonts w:cs="Times New Roman"/>
                <w:lang w:val="en-US"/>
              </w:rPr>
              <w:t xml:space="preserve"> ∙ 10</w:t>
            </w:r>
            <w:r w:rsidR="00051297" w:rsidRPr="00051297">
              <w:rPr>
                <w:rFonts w:cs="Times New Roman"/>
                <w:vertAlign w:val="superscript"/>
                <w:lang w:val="en-US"/>
              </w:rPr>
              <w:t>-5</w:t>
            </w:r>
          </w:p>
        </w:tc>
        <w:tc>
          <w:tcPr>
            <w:tcW w:w="1095" w:type="dxa"/>
            <w:noWrap/>
            <w:vAlign w:val="center"/>
            <w:hideMark/>
          </w:tcPr>
          <w:p w14:paraId="45A4295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10</w:t>
            </w:r>
            <w:r w:rsidRPr="00051297">
              <w:rPr>
                <w:rFonts w:cs="Times New Roman"/>
                <w:vertAlign w:val="superscript"/>
                <w:lang w:val="en-US"/>
              </w:rPr>
              <w:t>-8</w:t>
            </w:r>
          </w:p>
        </w:tc>
        <w:tc>
          <w:tcPr>
            <w:tcW w:w="2055" w:type="dxa"/>
            <w:noWrap/>
            <w:vAlign w:val="center"/>
            <w:hideMark/>
          </w:tcPr>
          <w:p w14:paraId="45D39CA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10</w:t>
            </w:r>
            <w:r w:rsidRPr="00051297">
              <w:rPr>
                <w:rFonts w:cs="Times New Roman"/>
                <w:vertAlign w:val="superscript"/>
                <w:lang w:val="en-US"/>
              </w:rPr>
              <w:t>-4</w:t>
            </w:r>
          </w:p>
        </w:tc>
      </w:tr>
      <w:tr w:rsidR="00051297" w:rsidRPr="0032684D" w14:paraId="510CF0CD" w14:textId="77777777" w:rsidTr="00D20B01">
        <w:trPr>
          <w:trHeight w:val="53"/>
          <w:jc w:val="center"/>
        </w:trPr>
        <w:tc>
          <w:tcPr>
            <w:tcW w:w="4140" w:type="dxa"/>
            <w:noWrap/>
            <w:vAlign w:val="center"/>
            <w:hideMark/>
          </w:tcPr>
          <w:p w14:paraId="785182B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Diameter at passing 10% (mm)</w:t>
            </w:r>
          </w:p>
        </w:tc>
        <w:tc>
          <w:tcPr>
            <w:tcW w:w="1260" w:type="dxa"/>
            <w:vAlign w:val="center"/>
            <w:hideMark/>
          </w:tcPr>
          <w:p w14:paraId="6A11740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0.1</w:t>
            </w:r>
          </w:p>
        </w:tc>
        <w:tc>
          <w:tcPr>
            <w:tcW w:w="1095" w:type="dxa"/>
            <w:noWrap/>
            <w:vAlign w:val="center"/>
            <w:hideMark/>
          </w:tcPr>
          <w:p w14:paraId="3A9E56C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0.002</w:t>
            </w:r>
          </w:p>
        </w:tc>
        <w:tc>
          <w:tcPr>
            <w:tcW w:w="2055" w:type="dxa"/>
            <w:noWrap/>
            <w:vAlign w:val="center"/>
            <w:hideMark/>
          </w:tcPr>
          <w:p w14:paraId="6773659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0.2</w:t>
            </w:r>
          </w:p>
        </w:tc>
      </w:tr>
      <w:tr w:rsidR="00051297" w:rsidRPr="0032684D" w14:paraId="1BED1E60" w14:textId="77777777" w:rsidTr="00D20B01">
        <w:trPr>
          <w:trHeight w:val="53"/>
          <w:jc w:val="center"/>
        </w:trPr>
        <w:tc>
          <w:tcPr>
            <w:tcW w:w="4140" w:type="dxa"/>
            <w:noWrap/>
            <w:vAlign w:val="center"/>
            <w:hideMark/>
          </w:tcPr>
          <w:p w14:paraId="787EC2F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Diameter at passing 60% (mm)</w:t>
            </w:r>
          </w:p>
        </w:tc>
        <w:tc>
          <w:tcPr>
            <w:tcW w:w="1260" w:type="dxa"/>
            <w:vAlign w:val="center"/>
            <w:hideMark/>
          </w:tcPr>
          <w:p w14:paraId="320B279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40</w:t>
            </w:r>
          </w:p>
        </w:tc>
        <w:tc>
          <w:tcPr>
            <w:tcW w:w="1095" w:type="dxa"/>
            <w:noWrap/>
            <w:vAlign w:val="center"/>
            <w:hideMark/>
          </w:tcPr>
          <w:p w14:paraId="70F9E6C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0.05</w:t>
            </w:r>
          </w:p>
        </w:tc>
        <w:tc>
          <w:tcPr>
            <w:tcW w:w="2055" w:type="dxa"/>
            <w:noWrap/>
            <w:vAlign w:val="center"/>
            <w:hideMark/>
          </w:tcPr>
          <w:p w14:paraId="3E1738D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0.8</w:t>
            </w:r>
          </w:p>
        </w:tc>
      </w:tr>
      <w:tr w:rsidR="00051297" w:rsidRPr="0032684D" w14:paraId="39AF82A5" w14:textId="77777777" w:rsidTr="00D20B01">
        <w:trPr>
          <w:trHeight w:val="53"/>
          <w:jc w:val="center"/>
        </w:trPr>
        <w:tc>
          <w:tcPr>
            <w:tcW w:w="4140" w:type="dxa"/>
            <w:noWrap/>
            <w:vAlign w:val="center"/>
            <w:hideMark/>
          </w:tcPr>
          <w:p w14:paraId="72B3032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Liquid limit (%)</w:t>
            </w:r>
          </w:p>
        </w:tc>
        <w:tc>
          <w:tcPr>
            <w:tcW w:w="1260" w:type="dxa"/>
            <w:noWrap/>
            <w:vAlign w:val="center"/>
            <w:hideMark/>
          </w:tcPr>
          <w:p w14:paraId="588D6E9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25 to 45</w:t>
            </w:r>
          </w:p>
        </w:tc>
        <w:tc>
          <w:tcPr>
            <w:tcW w:w="1095" w:type="dxa"/>
            <w:noWrap/>
            <w:vAlign w:val="center"/>
            <w:hideMark/>
          </w:tcPr>
          <w:p w14:paraId="44D8C5A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50</w:t>
            </w:r>
          </w:p>
        </w:tc>
        <w:tc>
          <w:tcPr>
            <w:tcW w:w="2055" w:type="dxa"/>
            <w:noWrap/>
            <w:vAlign w:val="center"/>
            <w:hideMark/>
          </w:tcPr>
          <w:p w14:paraId="4B23DBAE" w14:textId="77777777" w:rsidR="00051297" w:rsidRPr="00051297" w:rsidRDefault="00051297" w:rsidP="00051297">
            <w:pPr>
              <w:spacing w:line="240" w:lineRule="auto"/>
              <w:ind w:firstLine="0"/>
              <w:jc w:val="center"/>
              <w:rPr>
                <w:rFonts w:cs="Times New Roman"/>
                <w:lang w:val="en-US"/>
              </w:rPr>
            </w:pPr>
          </w:p>
        </w:tc>
      </w:tr>
      <w:tr w:rsidR="00051297" w:rsidRPr="0032684D" w14:paraId="24E858CF" w14:textId="77777777" w:rsidTr="00D20B01">
        <w:trPr>
          <w:trHeight w:val="53"/>
          <w:jc w:val="center"/>
        </w:trPr>
        <w:tc>
          <w:tcPr>
            <w:tcW w:w="4140" w:type="dxa"/>
            <w:noWrap/>
            <w:vAlign w:val="center"/>
            <w:hideMark/>
          </w:tcPr>
          <w:p w14:paraId="1D33C50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Unit weight (kN/m</w:t>
            </w:r>
            <w:r w:rsidRPr="00051297">
              <w:rPr>
                <w:rFonts w:cs="Times New Roman"/>
                <w:vertAlign w:val="superscript"/>
                <w:lang w:val="en-US"/>
              </w:rPr>
              <w:t>3</w:t>
            </w:r>
            <w:r w:rsidRPr="00051297">
              <w:rPr>
                <w:rFonts w:cs="Times New Roman"/>
                <w:lang w:val="en-US"/>
              </w:rPr>
              <w:t>)</w:t>
            </w:r>
          </w:p>
        </w:tc>
        <w:tc>
          <w:tcPr>
            <w:tcW w:w="1260" w:type="dxa"/>
            <w:noWrap/>
            <w:vAlign w:val="center"/>
            <w:hideMark/>
          </w:tcPr>
          <w:p w14:paraId="6619F27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20.5</w:t>
            </w:r>
          </w:p>
        </w:tc>
        <w:tc>
          <w:tcPr>
            <w:tcW w:w="1095" w:type="dxa"/>
            <w:noWrap/>
            <w:vAlign w:val="center"/>
            <w:hideMark/>
          </w:tcPr>
          <w:p w14:paraId="0C7761B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20</w:t>
            </w:r>
          </w:p>
        </w:tc>
        <w:tc>
          <w:tcPr>
            <w:tcW w:w="2055" w:type="dxa"/>
            <w:noWrap/>
            <w:vAlign w:val="center"/>
            <w:hideMark/>
          </w:tcPr>
          <w:p w14:paraId="5AEBD8C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18.5</w:t>
            </w:r>
          </w:p>
        </w:tc>
      </w:tr>
      <w:tr w:rsidR="00051297" w:rsidRPr="0032684D" w14:paraId="067557D3" w14:textId="77777777" w:rsidTr="00D20B01">
        <w:trPr>
          <w:trHeight w:val="53"/>
          <w:jc w:val="center"/>
        </w:trPr>
        <w:tc>
          <w:tcPr>
            <w:tcW w:w="4140" w:type="dxa"/>
            <w:noWrap/>
            <w:vAlign w:val="center"/>
            <w:hideMark/>
          </w:tcPr>
          <w:p w14:paraId="00A3C31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Saturated water content (%)</w:t>
            </w:r>
          </w:p>
        </w:tc>
        <w:tc>
          <w:tcPr>
            <w:tcW w:w="1260" w:type="dxa"/>
            <w:noWrap/>
            <w:vAlign w:val="center"/>
            <w:hideMark/>
          </w:tcPr>
          <w:p w14:paraId="2580CEB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29.6</w:t>
            </w:r>
          </w:p>
        </w:tc>
        <w:tc>
          <w:tcPr>
            <w:tcW w:w="1095" w:type="dxa"/>
            <w:noWrap/>
            <w:vAlign w:val="center"/>
            <w:hideMark/>
          </w:tcPr>
          <w:p w14:paraId="5986BEC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36.8</w:t>
            </w:r>
          </w:p>
        </w:tc>
        <w:tc>
          <w:tcPr>
            <w:tcW w:w="2055" w:type="dxa"/>
            <w:noWrap/>
            <w:vAlign w:val="center"/>
            <w:hideMark/>
          </w:tcPr>
          <w:p w14:paraId="2152F45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40.1</w:t>
            </w:r>
          </w:p>
        </w:tc>
      </w:tr>
      <w:tr w:rsidR="00051297" w:rsidRPr="0032684D" w14:paraId="6B15E45A" w14:textId="77777777" w:rsidTr="00D20B01">
        <w:trPr>
          <w:trHeight w:val="53"/>
          <w:jc w:val="center"/>
        </w:trPr>
        <w:tc>
          <w:tcPr>
            <w:tcW w:w="4140" w:type="dxa"/>
            <w:noWrap/>
            <w:vAlign w:val="center"/>
            <w:hideMark/>
          </w:tcPr>
          <w:p w14:paraId="5EB6EA6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Internal angle of friction (degree)</w:t>
            </w:r>
          </w:p>
        </w:tc>
        <w:tc>
          <w:tcPr>
            <w:tcW w:w="1260" w:type="dxa"/>
            <w:noWrap/>
            <w:vAlign w:val="center"/>
            <w:hideMark/>
          </w:tcPr>
          <w:p w14:paraId="2A4C615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40</w:t>
            </w:r>
          </w:p>
        </w:tc>
        <w:tc>
          <w:tcPr>
            <w:tcW w:w="1095" w:type="dxa"/>
            <w:noWrap/>
            <w:vAlign w:val="center"/>
            <w:hideMark/>
          </w:tcPr>
          <w:p w14:paraId="4F3E34B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28</w:t>
            </w:r>
          </w:p>
        </w:tc>
        <w:tc>
          <w:tcPr>
            <w:tcW w:w="2055" w:type="dxa"/>
            <w:noWrap/>
            <w:vAlign w:val="center"/>
            <w:hideMark/>
          </w:tcPr>
          <w:p w14:paraId="20795DF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38</w:t>
            </w:r>
          </w:p>
        </w:tc>
      </w:tr>
      <w:tr w:rsidR="00051297" w:rsidRPr="0032684D" w14:paraId="68169514" w14:textId="77777777" w:rsidTr="00D20B01">
        <w:trPr>
          <w:trHeight w:val="53"/>
          <w:jc w:val="center"/>
        </w:trPr>
        <w:tc>
          <w:tcPr>
            <w:tcW w:w="4140" w:type="dxa"/>
            <w:noWrap/>
            <w:vAlign w:val="center"/>
            <w:hideMark/>
          </w:tcPr>
          <w:p w14:paraId="41E64FE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Cohesion (kPa)</w:t>
            </w:r>
          </w:p>
        </w:tc>
        <w:tc>
          <w:tcPr>
            <w:tcW w:w="1260" w:type="dxa"/>
            <w:noWrap/>
            <w:vAlign w:val="center"/>
            <w:hideMark/>
          </w:tcPr>
          <w:p w14:paraId="3B94FB0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w:t>
            </w:r>
          </w:p>
        </w:tc>
        <w:tc>
          <w:tcPr>
            <w:tcW w:w="1095" w:type="dxa"/>
            <w:noWrap/>
            <w:vAlign w:val="center"/>
            <w:hideMark/>
          </w:tcPr>
          <w:p w14:paraId="5D703E9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15</w:t>
            </w:r>
          </w:p>
        </w:tc>
        <w:tc>
          <w:tcPr>
            <w:tcW w:w="2055" w:type="dxa"/>
            <w:noWrap/>
            <w:vAlign w:val="center"/>
            <w:hideMark/>
          </w:tcPr>
          <w:p w14:paraId="361F413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w:t>
            </w:r>
          </w:p>
        </w:tc>
      </w:tr>
    </w:tbl>
    <w:p w14:paraId="45620AE3" w14:textId="77777777" w:rsidR="00051297" w:rsidRPr="00051297" w:rsidRDefault="00051297" w:rsidP="00C925D9">
      <w:pPr>
        <w:overflowPunct w:val="0"/>
        <w:autoSpaceDE w:val="0"/>
        <w:autoSpaceDN w:val="0"/>
        <w:adjustRightInd w:val="0"/>
        <w:spacing w:after="120" w:line="240" w:lineRule="auto"/>
        <w:ind w:firstLine="227"/>
        <w:textAlignment w:val="baseline"/>
        <w:rPr>
          <w:rFonts w:eastAsia="Calibri" w:cs="Times New Roman"/>
          <w:szCs w:val="24"/>
          <w:lang w:val="en-US"/>
        </w:rPr>
      </w:pPr>
    </w:p>
    <w:p w14:paraId="5D489283" w14:textId="661D4583" w:rsidR="00051297" w:rsidRPr="00051297" w:rsidRDefault="00051297" w:rsidP="00C925D9">
      <w:pPr>
        <w:pStyle w:val="3"/>
        <w:rPr>
          <w:rFonts w:eastAsia="Times New Roman"/>
          <w:lang w:val="en-US"/>
        </w:rPr>
      </w:pPr>
      <w:bookmarkStart w:id="1071" w:name="_Toc97504855"/>
      <w:bookmarkStart w:id="1072" w:name="_Toc103543989"/>
      <w:bookmarkStart w:id="1073" w:name="_Toc104985314"/>
      <w:r w:rsidRPr="00051297">
        <w:rPr>
          <w:rFonts w:eastAsia="Times New Roman"/>
          <w:lang w:val="en-US"/>
        </w:rPr>
        <w:t>Results and discussion</w:t>
      </w:r>
      <w:bookmarkEnd w:id="1071"/>
      <w:bookmarkEnd w:id="1072"/>
      <w:bookmarkEnd w:id="1073"/>
    </w:p>
    <w:p w14:paraId="44298295" w14:textId="1144C3B9" w:rsidR="00051297" w:rsidRPr="00051297" w:rsidRDefault="00051297" w:rsidP="00C925D9">
      <w:pPr>
        <w:pStyle w:val="4"/>
        <w:rPr>
          <w:rFonts w:eastAsia="Times New Roman"/>
          <w:lang w:val="en-US"/>
        </w:rPr>
      </w:pPr>
      <w:bookmarkStart w:id="1074" w:name="_Toc97504856"/>
      <w:bookmarkStart w:id="1075" w:name="_Toc103543990"/>
      <w:bookmarkStart w:id="1076" w:name="_Toc104985315"/>
      <w:r w:rsidRPr="00051297">
        <w:rPr>
          <w:rFonts w:eastAsia="Times New Roman"/>
          <w:lang w:val="en-US"/>
        </w:rPr>
        <w:t>Seepage analysis</w:t>
      </w:r>
      <w:bookmarkEnd w:id="1074"/>
      <w:bookmarkEnd w:id="1075"/>
      <w:bookmarkEnd w:id="1076"/>
    </w:p>
    <w:p w14:paraId="0783638D" w14:textId="471FB80A" w:rsidR="00051297" w:rsidRPr="00051297" w:rsidRDefault="00051297" w:rsidP="00051297">
      <w:pPr>
        <w:rPr>
          <w:lang w:val="en-US"/>
        </w:rPr>
      </w:pPr>
      <w:r w:rsidRPr="00051297">
        <w:rPr>
          <w:lang w:val="en-US"/>
        </w:rPr>
        <w:t xml:space="preserve">The numerical modeling was successfully executed; from </w:t>
      </w:r>
      <w:r w:rsidRPr="00051297">
        <w:rPr>
          <w:lang w:val="en-US"/>
        </w:rPr>
        <w:fldChar w:fldCharType="begin"/>
      </w:r>
      <w:r w:rsidRPr="00051297">
        <w:rPr>
          <w:lang w:val="en-US"/>
        </w:rPr>
        <w:instrText xml:space="preserve"> REF _Ref98106074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3</w:t>
      </w:r>
      <w:r w:rsidRPr="00051297">
        <w:rPr>
          <w:lang w:val="en-US"/>
        </w:rPr>
        <w:fldChar w:fldCharType="end"/>
      </w:r>
      <w:r w:rsidRPr="00051297">
        <w:rPr>
          <w:lang w:val="en-US"/>
        </w:rPr>
        <w:t>, it can be observed that the seepage within the embankment was safely carried away through zone 1a and zone 2. The general setup shows that the embankment was properly designed to not allow seepage along the downstream face of the embankment. The phenomenon was similar to all the investigated drawdown cases.</w:t>
      </w:r>
    </w:p>
    <w:p w14:paraId="568ECE65" w14:textId="77777777" w:rsidR="00051297" w:rsidRPr="00051297" w:rsidRDefault="00051297" w:rsidP="00051297">
      <w:pPr>
        <w:rPr>
          <w:lang w:val="en-US"/>
        </w:rPr>
      </w:pPr>
      <w:r w:rsidRPr="00051297">
        <w:rPr>
          <w:lang w:val="en-US"/>
        </w:rPr>
        <w:t>Generally, based on the phreatic lines, the seepage within the embankment can be observed to be evenly distributed (more of linear flow), while due to change in soil properties in zone 2 a more parabolic flow can be observed. In the instantaneous drawdown case, it can be observed that most of the phreatic lines are concentrated somewhere close to the foundation of the embankment. The distribution of phreatic lines becomes more evenly when the drawdown rate is reduced from fast to slow.</w:t>
      </w:r>
    </w:p>
    <w:tbl>
      <w:tblPr>
        <w:tblStyle w:val="TableGrid2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0"/>
        <w:gridCol w:w="5004"/>
      </w:tblGrid>
      <w:tr w:rsidR="00B62E79" w:rsidRPr="00051297" w14:paraId="72316659" w14:textId="77777777" w:rsidTr="00B62E79">
        <w:tc>
          <w:tcPr>
            <w:tcW w:w="4365" w:type="dxa"/>
          </w:tcPr>
          <w:p w14:paraId="3F90DF0B" w14:textId="32C8BD35" w:rsidR="00051297" w:rsidRPr="00051297" w:rsidRDefault="00A2770B" w:rsidP="00051297">
            <w:pPr>
              <w:ind w:firstLine="0"/>
              <w:rPr>
                <w:szCs w:val="24"/>
              </w:rPr>
            </w:pPr>
            <w:r>
              <w:rPr>
                <w:noProof/>
              </w:rPr>
              <w:drawing>
                <wp:inline distT="0" distB="0" distL="0" distR="0" wp14:anchorId="39ED7C9F" wp14:editId="1AF2DCF6">
                  <wp:extent cx="2640869" cy="680720"/>
                  <wp:effectExtent l="0" t="0" r="762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40869" cy="680720"/>
                          </a:xfrm>
                          <a:prstGeom prst="rect">
                            <a:avLst/>
                          </a:prstGeom>
                          <a:noFill/>
                          <a:ln>
                            <a:noFill/>
                          </a:ln>
                        </pic:spPr>
                      </pic:pic>
                    </a:graphicData>
                  </a:graphic>
                </wp:inline>
              </w:drawing>
            </w:r>
          </w:p>
          <w:p w14:paraId="33C9877B" w14:textId="77777777" w:rsidR="00051297" w:rsidRPr="00051297" w:rsidRDefault="00051297" w:rsidP="00051297">
            <w:pPr>
              <w:jc w:val="center"/>
              <w:rPr>
                <w:szCs w:val="24"/>
              </w:rPr>
            </w:pPr>
            <w:r w:rsidRPr="00051297">
              <w:rPr>
                <w:szCs w:val="24"/>
              </w:rPr>
              <w:t>(a)</w:t>
            </w:r>
          </w:p>
        </w:tc>
        <w:tc>
          <w:tcPr>
            <w:tcW w:w="4985" w:type="dxa"/>
          </w:tcPr>
          <w:p w14:paraId="555F5565" w14:textId="61F85907" w:rsidR="00051297" w:rsidRPr="00051297" w:rsidRDefault="00A2770B" w:rsidP="00051297">
            <w:pPr>
              <w:ind w:firstLine="0"/>
              <w:rPr>
                <w:szCs w:val="24"/>
              </w:rPr>
            </w:pPr>
            <w:r>
              <w:rPr>
                <w:noProof/>
              </w:rPr>
              <w:drawing>
                <wp:inline distT="0" distB="0" distL="0" distR="0" wp14:anchorId="6990982D" wp14:editId="72139BC9">
                  <wp:extent cx="3010616" cy="680720"/>
                  <wp:effectExtent l="0" t="0" r="0" b="508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69150" cy="716566"/>
                          </a:xfrm>
                          <a:prstGeom prst="rect">
                            <a:avLst/>
                          </a:prstGeom>
                          <a:noFill/>
                          <a:ln>
                            <a:noFill/>
                          </a:ln>
                        </pic:spPr>
                      </pic:pic>
                    </a:graphicData>
                  </a:graphic>
                </wp:inline>
              </w:drawing>
            </w:r>
          </w:p>
          <w:p w14:paraId="455BEA1E" w14:textId="77777777" w:rsidR="00051297" w:rsidRPr="00051297" w:rsidRDefault="00051297" w:rsidP="00051297">
            <w:pPr>
              <w:jc w:val="center"/>
              <w:rPr>
                <w:szCs w:val="24"/>
              </w:rPr>
            </w:pPr>
            <w:r w:rsidRPr="00051297">
              <w:rPr>
                <w:szCs w:val="24"/>
              </w:rPr>
              <w:t>(b)</w:t>
            </w:r>
          </w:p>
        </w:tc>
      </w:tr>
      <w:tr w:rsidR="00B62E79" w:rsidRPr="00051297" w14:paraId="44A2FE92" w14:textId="77777777" w:rsidTr="00B62E79">
        <w:tc>
          <w:tcPr>
            <w:tcW w:w="4365" w:type="dxa"/>
          </w:tcPr>
          <w:p w14:paraId="6C306249" w14:textId="508D37C3" w:rsidR="00051297" w:rsidRPr="00051297" w:rsidRDefault="00B62E79" w:rsidP="00051297">
            <w:pPr>
              <w:ind w:firstLine="0"/>
              <w:jc w:val="center"/>
              <w:rPr>
                <w:noProof/>
                <w:szCs w:val="24"/>
              </w:rPr>
            </w:pPr>
            <w:r>
              <w:rPr>
                <w:noProof/>
              </w:rPr>
              <w:lastRenderedPageBreak/>
              <w:drawing>
                <wp:inline distT="0" distB="0" distL="0" distR="0" wp14:anchorId="09189372" wp14:editId="754C66BA">
                  <wp:extent cx="2665651" cy="675640"/>
                  <wp:effectExtent l="0" t="0" r="1905"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95043" cy="784474"/>
                          </a:xfrm>
                          <a:prstGeom prst="rect">
                            <a:avLst/>
                          </a:prstGeom>
                          <a:noFill/>
                          <a:ln>
                            <a:noFill/>
                          </a:ln>
                        </pic:spPr>
                      </pic:pic>
                    </a:graphicData>
                  </a:graphic>
                </wp:inline>
              </w:drawing>
            </w:r>
          </w:p>
          <w:p w14:paraId="17377166" w14:textId="77777777" w:rsidR="00051297" w:rsidRPr="00051297" w:rsidRDefault="00051297" w:rsidP="00051297">
            <w:pPr>
              <w:jc w:val="center"/>
              <w:rPr>
                <w:noProof/>
                <w:szCs w:val="24"/>
              </w:rPr>
            </w:pPr>
            <w:r w:rsidRPr="00051297">
              <w:rPr>
                <w:noProof/>
                <w:szCs w:val="24"/>
              </w:rPr>
              <w:t>(c)</w:t>
            </w:r>
          </w:p>
        </w:tc>
        <w:tc>
          <w:tcPr>
            <w:tcW w:w="4985" w:type="dxa"/>
          </w:tcPr>
          <w:p w14:paraId="450618AA" w14:textId="39B91E91" w:rsidR="00051297" w:rsidRPr="00051297" w:rsidRDefault="00B62E79" w:rsidP="00051297">
            <w:pPr>
              <w:ind w:firstLine="0"/>
              <w:rPr>
                <w:noProof/>
                <w:szCs w:val="24"/>
              </w:rPr>
            </w:pPr>
            <w:r>
              <w:rPr>
                <w:noProof/>
              </w:rPr>
              <w:drawing>
                <wp:inline distT="0" distB="0" distL="0" distR="0" wp14:anchorId="0FFF21A5" wp14:editId="0F0DDF64">
                  <wp:extent cx="3088982" cy="675653"/>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154251" cy="689929"/>
                          </a:xfrm>
                          <a:prstGeom prst="rect">
                            <a:avLst/>
                          </a:prstGeom>
                          <a:noFill/>
                          <a:ln>
                            <a:noFill/>
                          </a:ln>
                        </pic:spPr>
                      </pic:pic>
                    </a:graphicData>
                  </a:graphic>
                </wp:inline>
              </w:drawing>
            </w:r>
          </w:p>
          <w:p w14:paraId="15ED1DF5" w14:textId="77777777" w:rsidR="00051297" w:rsidRPr="00051297" w:rsidRDefault="00051297" w:rsidP="00051297">
            <w:pPr>
              <w:jc w:val="center"/>
              <w:rPr>
                <w:noProof/>
                <w:szCs w:val="24"/>
              </w:rPr>
            </w:pPr>
            <w:r w:rsidRPr="00051297">
              <w:rPr>
                <w:noProof/>
                <w:szCs w:val="24"/>
              </w:rPr>
              <w:t>(d)</w:t>
            </w:r>
          </w:p>
        </w:tc>
      </w:tr>
      <w:tr w:rsidR="00051297" w:rsidRPr="00051297" w14:paraId="56137303" w14:textId="77777777" w:rsidTr="00B62E79">
        <w:tc>
          <w:tcPr>
            <w:tcW w:w="9350" w:type="dxa"/>
            <w:gridSpan w:val="2"/>
          </w:tcPr>
          <w:p w14:paraId="3C0CF437" w14:textId="7658E87D" w:rsidR="00051297" w:rsidRPr="00051297" w:rsidRDefault="00B62E79" w:rsidP="00051297">
            <w:pPr>
              <w:ind w:firstLine="0"/>
              <w:rPr>
                <w:noProof/>
                <w:szCs w:val="24"/>
              </w:rPr>
            </w:pPr>
            <w:r>
              <w:rPr>
                <w:noProof/>
              </w:rPr>
              <w:drawing>
                <wp:inline distT="0" distB="0" distL="0" distR="0" wp14:anchorId="2E0D1B3D" wp14:editId="223FAF82">
                  <wp:extent cx="5847208" cy="1301463"/>
                  <wp:effectExtent l="0" t="0" r="127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853374" cy="1302835"/>
                          </a:xfrm>
                          <a:prstGeom prst="rect">
                            <a:avLst/>
                          </a:prstGeom>
                          <a:noFill/>
                          <a:ln>
                            <a:noFill/>
                          </a:ln>
                        </pic:spPr>
                      </pic:pic>
                    </a:graphicData>
                  </a:graphic>
                </wp:inline>
              </w:drawing>
            </w:r>
          </w:p>
          <w:p w14:paraId="5801BF44" w14:textId="77777777" w:rsidR="00051297" w:rsidRPr="00051297" w:rsidRDefault="00051297" w:rsidP="00051297">
            <w:pPr>
              <w:keepNext/>
              <w:jc w:val="center"/>
              <w:rPr>
                <w:noProof/>
                <w:szCs w:val="24"/>
              </w:rPr>
            </w:pPr>
            <w:r w:rsidRPr="00051297">
              <w:rPr>
                <w:noProof/>
                <w:szCs w:val="24"/>
              </w:rPr>
              <w:t>(e)</w:t>
            </w:r>
          </w:p>
        </w:tc>
      </w:tr>
    </w:tbl>
    <w:p w14:paraId="433015BA" w14:textId="28352852" w:rsidR="00051297" w:rsidRPr="00051297" w:rsidRDefault="00051297" w:rsidP="00051297">
      <w:pPr>
        <w:ind w:firstLine="0"/>
        <w:jc w:val="center"/>
        <w:rPr>
          <w:rFonts w:cs="Times New Roman"/>
          <w:szCs w:val="24"/>
          <w:lang w:val="en-US" w:bidi="en-US"/>
        </w:rPr>
      </w:pPr>
      <w:bookmarkStart w:id="1077" w:name="_Ref98106074"/>
      <w:bookmarkStart w:id="1078" w:name="_Toc97428269"/>
      <w:bookmarkStart w:id="1079" w:name="_Toc98085944"/>
      <w:bookmarkStart w:id="1080" w:name="_Toc103544139"/>
      <w:bookmarkStart w:id="1081" w:name="_Toc104985462"/>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3</w:t>
      </w:r>
      <w:r w:rsidR="00527861">
        <w:rPr>
          <w:rFonts w:cs="Times New Roman"/>
          <w:szCs w:val="24"/>
          <w:lang w:val="en-US" w:bidi="en-US"/>
        </w:rPr>
        <w:fldChar w:fldCharType="end"/>
      </w:r>
      <w:bookmarkEnd w:id="1077"/>
      <w:r w:rsidRPr="00051297">
        <w:rPr>
          <w:lang w:val="en-US"/>
        </w:rPr>
        <w:t xml:space="preserve"> </w:t>
      </w:r>
      <w:r w:rsidRPr="00051297">
        <w:rPr>
          <w:rFonts w:cs="Times New Roman"/>
          <w:szCs w:val="24"/>
          <w:lang w:val="en-US" w:bidi="en-US"/>
        </w:rPr>
        <w:t>– Seepage analysis (a) long-term steady-state (b) Instantaneous drawdown (c) 5 days drawdown (d) 10 days drawdown (e) 1m per day drawdown</w:t>
      </w:r>
      <w:bookmarkEnd w:id="1078"/>
      <w:bookmarkEnd w:id="1079"/>
      <w:bookmarkEnd w:id="1080"/>
      <w:bookmarkEnd w:id="1081"/>
    </w:p>
    <w:p w14:paraId="26BE6008" w14:textId="622ED0CC" w:rsidR="00051297" w:rsidRPr="00051297" w:rsidRDefault="00051297" w:rsidP="00051297">
      <w:pPr>
        <w:rPr>
          <w:lang w:val="en-US"/>
        </w:rPr>
      </w:pPr>
      <w:r w:rsidRPr="00051297">
        <w:rPr>
          <w:lang w:val="en-US"/>
        </w:rPr>
        <w:t xml:space="preserve">Normally, embankment dams are characterized by seepage as the impounded water seeks paths of least resistance through the dam and its foundation. However, seepage must be controlled to prevent erosion of the embankment </w:t>
      </w:r>
      <w:r w:rsidRPr="00051297">
        <w:fldChar w:fldCharType="begin" w:fldLock="1"/>
      </w:r>
      <w:r w:rsidR="0044426E">
        <w:rPr>
          <w:lang w:val="en-US"/>
        </w:rPr>
        <w:instrText>ADDIN CSL_CITATION {"citationItems":[{"id":"ITEM-1","itemData":{"DOI":"10.9734/CJAST/2017/28538","ISSN":"24571024","abstract":"All earthfill dams have seepage from water percolating slowly through the dam and its foundation. Many seepage problems and failure of earth-fill dams have occurred because of inadequate seepage control measures. This study was reviewed the conditions, causes, and effects of seepage and control measures in the earth dam. Types of earth dams such as homogeneous embankment, zoned embankment and diaphragm embankment well were highlighted. Seepage conditions, such as rapid water level decreases or the water falling below the level expected with normal use (sudden drawdown condition), wet spots and aquatic vegetation (like cattails) below the dam; causes, such as poor compaction of environment soil, poor foundation and abutment preparation, Rodent holes, Rooted tree roots and wood and so no and effects due to piping, internal erosion, solutioning, internal pressure and saturation and uplift, heave and blowout were highlighted. This study also examines the control measures included cut-offs; upstream clay blanket; filter blanket; seepage drains; berms and loading berm; upstream and downstream slope protections; And relief well. Besides, in order to keep continuous watch on the health of dam and monitor that is, take curative Original Research Article Omofunmi et al.; CJAST, 22(5): 1-11, 2017; Article no.BJAST.28538 2 steps before failure occurs., instruments such as pore pressure, settlement gauges, horizontal movement devices, and seismic activity measurements should be embedded into the dam were mentioned.","author":[{"dropping-particle":"","family":"Omofunmi","given":"O","non-dropping-particle":"","parse-names":false,"suffix":""},{"dropping-particle":"","family":"Kolo","given":"J","non-dropping-particle":"","parse-names":false,"suffix":""},{"dropping-particle":"","family":"Oladipo","given":"A","non-dropping-particle":"","parse-names":false,"suffix":""},{"dropping-particle":"","family":"Diabana","given":"P","non-dropping-particle":"","parse-names":false,"suffix":""},{"dropping-particle":"","family":"Ojo","given":"A","non-dropping-particle":"","parse-names":false,"suffix":""}],"container-title":"Current Journal of Applied Science and Technology","id":"ITEM-1","issue":"5","issued":{"date-parts":[["2017","7"]]},"page":"1-11","title":"A Review on Effects and Control of Seepage through Earth-fill Dam","type":"article-journal","volume":"22"},"uris":["http://www.mendeley.com/documents/?uuid=fa50f016-59ca-4604-84c0-e33d7fb943c3","http://www.mendeley.com/documents/?uuid=e7ec54aa-a917-47c0-bb7a-ec023fa6a3d3","http://www.mendeley.com/documents/?uuid=bb2c076e-3f53-4b47-ba03-48731dce85cc"]}],"mendeley":{"formattedCitation":"[280]","plainTextFormattedCitation":"[280]","previouslyFormattedCitation":"[280]"},"properties":{"noteIndex":0},"schema":"https://github.com/citation-style-language/schema/raw/master/csl-citation.json"}</w:instrText>
      </w:r>
      <w:r w:rsidRPr="00051297">
        <w:fldChar w:fldCharType="separate"/>
      </w:r>
      <w:r w:rsidR="00FA5896" w:rsidRPr="00FA5896">
        <w:rPr>
          <w:noProof/>
          <w:lang w:val="en-US"/>
        </w:rPr>
        <w:t>[280]</w:t>
      </w:r>
      <w:r w:rsidRPr="00051297">
        <w:fldChar w:fldCharType="end"/>
      </w:r>
      <w:r w:rsidRPr="00051297">
        <w:rPr>
          <w:lang w:val="en-US"/>
        </w:rPr>
        <w:t>. If the seepage forces are relatively large enough within the embankment, there is a high chance that soil will be eroded, affecting the stability of the embankment with time. It should also be noted that the seepage control requirement is highly dependent on the quantity, content, and location of the seepage problem. Moreover, reducing the extent of the seepage problem when the embankment is already constructed is difficult and expensive; and it is in most cases not attempted unless the seepage has been threatening the stability of the embankment.</w:t>
      </w:r>
    </w:p>
    <w:p w14:paraId="7076D61D" w14:textId="3A0F54D5" w:rsidR="00051297" w:rsidRPr="00051297" w:rsidRDefault="00051297" w:rsidP="00051297">
      <w:r w:rsidRPr="00051297">
        <w:rPr>
          <w:lang w:val="en-US"/>
        </w:rPr>
        <w:t xml:space="preserve">During the process of solving the seepage problems in embankment dams, regular monitoring is significantly essential to detect seepage and prevent a potential dam failure. The monitoring activities should include having a clear knowledge of the dam's history; this helps to determine the condition of the seepage </w:t>
      </w:r>
      <w:r w:rsidRPr="00051297">
        <w:fldChar w:fldCharType="begin" w:fldLock="1"/>
      </w:r>
      <w:r w:rsidR="0044426E">
        <w:rPr>
          <w:lang w:val="en-US"/>
        </w:rPr>
        <w:instrText>ADDIN CSL_CITATION {"citationItems":[{"id":"ITEM-1","itemData":{"abstract":"Dam is a solid barrier constructed at a suitable location across a river valley to store flowing water. Earth Dams are mainly built with clay, sand and gravel, hence they are also known as Earth fill dam or Rock fill Dam. They are trapezoidal in shape. They are constructed where the foundation or underlying material or rocks are weak to support the masonry dam. Earthen dams are relatively smaller in height and broad at the base. Earth Dams are less rigid and hence more susceptible to failure. Earth Dams may fail, like other engineering structures, due to improper designs, faulty considerations, lack of maintenance etc. The various causes leading to the failure of earth dams can be grouped into three categories i.e. Hydraulic failure, Seepage failure and Structural failure. About 40% of earth dams failure have been attributed to hydraulic failure. The failure under this category may be due to overtopping, wave erosion, top erosion and gullying. Uncontrolled or concentrated seepage through the dam body or through its foundation may lead to piping or sloughing and the subsequent failure of the dam. More than 1/3 rd of the earth dams have failed because of these reasons. About 25% of the dam failures have been attributed to structural failures. Structural failures are generally caused by shear failures, causing slides. Various remedial measures has been suggested for controlling dam failures. This includes treatment of control of excessive seepage, structural defects failure and non-structural defects failure. This paper deals with the various causes of failure of earthen dams and the various remedial measures.","author":[{"dropping-particle":"","family":"Singh Saluja ZHCET","given":"Ismeet","non-dropping-particle":"","parse-names":false,"suffix":""},{"dropping-particle":"","family":"Mohammad Athar ZHCET","given":"Aligarh","non-dropping-particle":"","parse-names":false,"suffix":""},{"dropping-particle":"","family":"Sarfaraz Ansari ZHCET","given":"Aligarh A","non-dropping-particle":"","parse-names":false,"suffix":""}],"container-title":"Prof. Sarfaraz A. Ansari International Journal of Computer &amp; Mathematical Sciences IJCMS","id":"ITEM-1","issued":{"date-parts":[["2018"]]},"title":"Causes of Failure of Earthen Dams and Suggested Remedial Measures","type":"article-journal"},"uris":["http://www.mendeley.com/documents/?uuid=72a6351e-aad2-41eb-983b-e734f31e889b"]}],"mendeley":{"formattedCitation":"[281]","plainTextFormattedCitation":"[281]","previouslyFormattedCitation":"[281]"},"properties":{"noteIndex":0},"schema":"https://github.com/citation-style-language/schema/raw/master/csl-citation.json"}</w:instrText>
      </w:r>
      <w:r w:rsidRPr="00051297">
        <w:fldChar w:fldCharType="separate"/>
      </w:r>
      <w:r w:rsidR="00FA5896" w:rsidRPr="00FA5896">
        <w:rPr>
          <w:noProof/>
        </w:rPr>
        <w:t>[281]</w:t>
      </w:r>
      <w:r w:rsidRPr="00051297">
        <w:fldChar w:fldCharType="end"/>
      </w:r>
      <w:r w:rsidRPr="00051297">
        <w:t>.</w:t>
      </w:r>
    </w:p>
    <w:p w14:paraId="1A01141E" w14:textId="07FE7784" w:rsidR="00051297" w:rsidRPr="00051297" w:rsidRDefault="00051297" w:rsidP="00C925D9">
      <w:pPr>
        <w:pStyle w:val="4"/>
        <w:rPr>
          <w:rFonts w:eastAsia="Times New Roman"/>
        </w:rPr>
      </w:pPr>
      <w:bookmarkStart w:id="1082" w:name="_Toc97504857"/>
      <w:bookmarkStart w:id="1083" w:name="_Toc103543991"/>
      <w:bookmarkStart w:id="1084" w:name="_Toc104985316"/>
      <w:r w:rsidRPr="00051297">
        <w:rPr>
          <w:rFonts w:eastAsia="Times New Roman"/>
        </w:rPr>
        <w:t>Slope stability</w:t>
      </w:r>
      <w:bookmarkEnd w:id="1082"/>
      <w:bookmarkEnd w:id="1083"/>
      <w:bookmarkEnd w:id="1084"/>
    </w:p>
    <w:p w14:paraId="366D86DC" w14:textId="45C8A943" w:rsidR="00051297" w:rsidRPr="00051297" w:rsidRDefault="00051297" w:rsidP="00051297">
      <w:pPr>
        <w:rPr>
          <w:lang w:val="en-US"/>
        </w:rPr>
      </w:pPr>
      <w:r w:rsidRPr="00051297">
        <w:rPr>
          <w:lang w:val="en-US"/>
        </w:rPr>
        <w:t>Firstly, the embankment was subjected to the long-term steady-state slope stability analysis, whereby a factor of safety of 2.344 was achieved (</w:t>
      </w:r>
      <w:r w:rsidRPr="00051297">
        <w:rPr>
          <w:lang w:val="en-US"/>
        </w:rPr>
        <w:fldChar w:fldCharType="begin"/>
      </w:r>
      <w:r w:rsidRPr="00051297">
        <w:rPr>
          <w:lang w:val="en-US"/>
        </w:rPr>
        <w:instrText xml:space="preserve"> REF _Ref98106093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4</w:t>
      </w:r>
      <w:r w:rsidRPr="00051297">
        <w:rPr>
          <w:lang w:val="en-US"/>
        </w:rPr>
        <w:fldChar w:fldCharType="end"/>
      </w:r>
      <w:r w:rsidRPr="00051297">
        <w:rPr>
          <w:lang w:val="en-US"/>
        </w:rPr>
        <w:t>). A steady-state flow condition is one in which the pressure at any location in the reservoir remains constant across time. It is also worth noting that the long-term reservoir steady-state plays a significant role in the embankment stability.</w:t>
      </w:r>
    </w:p>
    <w:p w14:paraId="22DB7619" w14:textId="4B8AFC53" w:rsidR="00051297" w:rsidRPr="00051297" w:rsidRDefault="00F74716" w:rsidP="00051297">
      <w:pPr>
        <w:keepNext/>
        <w:tabs>
          <w:tab w:val="left" w:pos="4706"/>
        </w:tabs>
        <w:overflowPunct w:val="0"/>
        <w:autoSpaceDE w:val="0"/>
        <w:autoSpaceDN w:val="0"/>
        <w:adjustRightInd w:val="0"/>
        <w:ind w:firstLine="0"/>
        <w:jc w:val="center"/>
        <w:textAlignment w:val="baseline"/>
        <w:rPr>
          <w:rFonts w:cs="Times New Roman"/>
          <w:szCs w:val="24"/>
        </w:rPr>
      </w:pPr>
      <w:r>
        <w:rPr>
          <w:noProof/>
        </w:rPr>
        <w:lastRenderedPageBreak/>
        <w:drawing>
          <wp:inline distT="0" distB="0" distL="0" distR="0" wp14:anchorId="618433F7" wp14:editId="003CE034">
            <wp:extent cx="5939790" cy="1558925"/>
            <wp:effectExtent l="0" t="0" r="3810" b="3175"/>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39790" cy="1558925"/>
                    </a:xfrm>
                    <a:prstGeom prst="rect">
                      <a:avLst/>
                    </a:prstGeom>
                    <a:noFill/>
                    <a:ln>
                      <a:noFill/>
                    </a:ln>
                  </pic:spPr>
                </pic:pic>
              </a:graphicData>
            </a:graphic>
          </wp:inline>
        </w:drawing>
      </w:r>
    </w:p>
    <w:p w14:paraId="584E5E32" w14:textId="19534FC4" w:rsidR="00051297" w:rsidRPr="00051297" w:rsidRDefault="00051297" w:rsidP="00051297">
      <w:pPr>
        <w:ind w:firstLine="0"/>
        <w:jc w:val="center"/>
        <w:rPr>
          <w:rFonts w:cs="Times New Roman"/>
          <w:szCs w:val="24"/>
          <w:lang w:val="en-US" w:bidi="en-US"/>
        </w:rPr>
      </w:pPr>
      <w:bookmarkStart w:id="1085" w:name="_Ref98106093"/>
      <w:bookmarkStart w:id="1086" w:name="_Toc97428270"/>
      <w:bookmarkStart w:id="1087" w:name="_Toc98085945"/>
      <w:bookmarkStart w:id="1088" w:name="_Toc103544140"/>
      <w:bookmarkStart w:id="1089" w:name="_Toc104985463"/>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4</w:t>
      </w:r>
      <w:r w:rsidR="00527861">
        <w:rPr>
          <w:rFonts w:cs="Times New Roman"/>
          <w:szCs w:val="24"/>
          <w:lang w:val="en-US" w:bidi="en-US"/>
        </w:rPr>
        <w:fldChar w:fldCharType="end"/>
      </w:r>
      <w:bookmarkEnd w:id="1085"/>
      <w:r w:rsidRPr="00051297">
        <w:rPr>
          <w:lang w:val="en-US"/>
        </w:rPr>
        <w:t xml:space="preserve"> </w:t>
      </w:r>
      <w:r w:rsidRPr="00051297">
        <w:rPr>
          <w:rFonts w:cs="Times New Roman"/>
          <w:szCs w:val="24"/>
          <w:lang w:val="en-US" w:bidi="en-US"/>
        </w:rPr>
        <w:t>– Steady-state slope stability</w:t>
      </w:r>
      <w:bookmarkEnd w:id="1086"/>
      <w:bookmarkEnd w:id="1087"/>
      <w:bookmarkEnd w:id="1088"/>
      <w:bookmarkEnd w:id="1089"/>
    </w:p>
    <w:p w14:paraId="51807815" w14:textId="0B035BB3" w:rsidR="00051297" w:rsidRDefault="00051297" w:rsidP="00051297">
      <w:pPr>
        <w:rPr>
          <w:lang w:val="en-US"/>
        </w:rPr>
      </w:pPr>
      <w:r w:rsidRPr="00051297">
        <w:rPr>
          <w:lang w:val="en-US"/>
        </w:rPr>
        <w:fldChar w:fldCharType="begin"/>
      </w:r>
      <w:r w:rsidRPr="00051297">
        <w:rPr>
          <w:lang w:val="en-US"/>
        </w:rPr>
        <w:instrText xml:space="preserve"> REF _Ref98106106 \h  \* MERGEFORMAT </w:instrText>
      </w:r>
      <w:r w:rsidRPr="00051297">
        <w:rPr>
          <w:lang w:val="en-US"/>
        </w:rPr>
      </w:r>
      <w:r w:rsidRPr="00051297">
        <w:rPr>
          <w:lang w:val="en-US"/>
        </w:rPr>
        <w:fldChar w:fldCharType="separate"/>
      </w:r>
      <w:r w:rsidR="004870F1" w:rsidRPr="004870F1">
        <w:rPr>
          <w:lang w:val="en-US" w:bidi="en-US"/>
        </w:rPr>
        <w:t xml:space="preserve">Figure </w:t>
      </w:r>
      <w:r w:rsidR="004870F1" w:rsidRPr="004870F1">
        <w:rPr>
          <w:noProof/>
          <w:lang w:val="en-US" w:bidi="en-US"/>
        </w:rPr>
        <w:t>5.5</w:t>
      </w:r>
      <w:r w:rsidRPr="00051297">
        <w:rPr>
          <w:lang w:val="en-US"/>
        </w:rPr>
        <w:fldChar w:fldCharType="end"/>
      </w:r>
      <w:r w:rsidRPr="00051297">
        <w:rPr>
          <w:lang w:val="en-US"/>
        </w:rPr>
        <w:t xml:space="preserve"> presents the results when the embankment was subjected to the 1 m per day drawdown rate. The embankment began to lose stability during the first four days and began to restore stability on day five, as shown in the Figure. A minimal factor of safety of 2.149 was also obtained when the embankment was subjected to the 1 m per day drawdown rate; the minimum factor of safety value was attained on the fourth day of the drawdown. The retrieved factor of safety from the 1 m per day drawdown rate is equivalent to 8.32% less than the one retrieved from the long-term steady-state condition.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4E63E3" w14:paraId="4D7033CF" w14:textId="77777777" w:rsidTr="00ED29B8">
        <w:tc>
          <w:tcPr>
            <w:tcW w:w="9344" w:type="dxa"/>
          </w:tcPr>
          <w:p w14:paraId="32873E09" w14:textId="51E1D101" w:rsidR="004E63E3" w:rsidRDefault="00093CC3" w:rsidP="005E2D18">
            <w:pPr>
              <w:spacing w:line="240" w:lineRule="auto"/>
              <w:ind w:firstLine="0"/>
              <w:rPr>
                <w:noProof/>
              </w:rPr>
            </w:pPr>
            <w:r>
              <w:rPr>
                <w:noProof/>
              </w:rPr>
              <w:drawing>
                <wp:inline distT="0" distB="0" distL="0" distR="0" wp14:anchorId="62F21C41" wp14:editId="3A71D36D">
                  <wp:extent cx="5839866" cy="1512721"/>
                  <wp:effectExtent l="0" t="0" r="889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850306" cy="1515425"/>
                          </a:xfrm>
                          <a:prstGeom prst="rect">
                            <a:avLst/>
                          </a:prstGeom>
                          <a:noFill/>
                          <a:ln>
                            <a:noFill/>
                          </a:ln>
                        </pic:spPr>
                      </pic:pic>
                    </a:graphicData>
                  </a:graphic>
                </wp:inline>
              </w:drawing>
            </w:r>
          </w:p>
          <w:p w14:paraId="4E988D43" w14:textId="380C72CE" w:rsidR="004E63E3" w:rsidRDefault="004E63E3" w:rsidP="005E2D18">
            <w:pPr>
              <w:spacing w:line="240" w:lineRule="auto"/>
              <w:ind w:firstLine="0"/>
              <w:jc w:val="center"/>
              <w:rPr>
                <w:lang w:val="en-US"/>
              </w:rPr>
            </w:pPr>
            <w:r>
              <w:rPr>
                <w:noProof/>
              </w:rPr>
              <w:t>(a)</w:t>
            </w:r>
          </w:p>
        </w:tc>
      </w:tr>
      <w:tr w:rsidR="004E63E3" w14:paraId="2AC956F9" w14:textId="77777777" w:rsidTr="00ED29B8">
        <w:tc>
          <w:tcPr>
            <w:tcW w:w="9344" w:type="dxa"/>
          </w:tcPr>
          <w:p w14:paraId="79B39C91" w14:textId="6A3F6B78" w:rsidR="004E63E3" w:rsidRDefault="00093CC3" w:rsidP="005E2D18">
            <w:pPr>
              <w:spacing w:line="240" w:lineRule="auto"/>
              <w:ind w:firstLine="0"/>
              <w:jc w:val="center"/>
              <w:rPr>
                <w:lang w:val="en-US"/>
              </w:rPr>
            </w:pPr>
            <w:r w:rsidRPr="00093CC3">
              <w:rPr>
                <w:noProof/>
                <w:lang w:val="en-US"/>
              </w:rPr>
              <w:drawing>
                <wp:inline distT="0" distB="0" distL="0" distR="0" wp14:anchorId="72628946" wp14:editId="243A19EA">
                  <wp:extent cx="2335266" cy="3009900"/>
                  <wp:effectExtent l="0" t="0" r="8255"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rotWithShape="1">
                          <a:blip r:embed="rId138">
                            <a:extLst>
                              <a:ext uri="{28A0092B-C50C-407E-A947-70E740481C1C}">
                                <a14:useLocalDpi xmlns:a14="http://schemas.microsoft.com/office/drawing/2010/main" val="0"/>
                              </a:ext>
                            </a:extLst>
                          </a:blip>
                          <a:srcRect t="5192" b="2690"/>
                          <a:stretch/>
                        </pic:blipFill>
                        <pic:spPr bwMode="auto">
                          <a:xfrm>
                            <a:off x="0" y="0"/>
                            <a:ext cx="2337560" cy="3012857"/>
                          </a:xfrm>
                          <a:prstGeom prst="rect">
                            <a:avLst/>
                          </a:prstGeom>
                          <a:noFill/>
                          <a:ln>
                            <a:noFill/>
                          </a:ln>
                          <a:extLst>
                            <a:ext uri="{53640926-AAD7-44D8-BBD7-CCE9431645EC}">
                              <a14:shadowObscured xmlns:a14="http://schemas.microsoft.com/office/drawing/2010/main"/>
                            </a:ext>
                          </a:extLst>
                        </pic:spPr>
                      </pic:pic>
                    </a:graphicData>
                  </a:graphic>
                </wp:inline>
              </w:drawing>
            </w:r>
          </w:p>
          <w:p w14:paraId="64805853" w14:textId="595F48C6" w:rsidR="00093CC3" w:rsidRDefault="00093CC3" w:rsidP="005E2D18">
            <w:pPr>
              <w:spacing w:line="240" w:lineRule="auto"/>
              <w:ind w:firstLine="0"/>
              <w:jc w:val="center"/>
              <w:rPr>
                <w:lang w:val="en-US"/>
              </w:rPr>
            </w:pPr>
            <w:r>
              <w:rPr>
                <w:lang w:val="en-US"/>
              </w:rPr>
              <w:t>(b)</w:t>
            </w:r>
          </w:p>
        </w:tc>
      </w:tr>
    </w:tbl>
    <w:p w14:paraId="29EB1E5E" w14:textId="092C1023" w:rsidR="00051297" w:rsidRPr="00051297" w:rsidRDefault="00051297" w:rsidP="00051297">
      <w:pPr>
        <w:ind w:firstLine="0"/>
        <w:jc w:val="center"/>
        <w:rPr>
          <w:rFonts w:cs="Times New Roman"/>
          <w:szCs w:val="24"/>
          <w:lang w:val="en-US" w:bidi="en-US"/>
        </w:rPr>
      </w:pPr>
      <w:bookmarkStart w:id="1090" w:name="_Ref98106106"/>
      <w:bookmarkStart w:id="1091" w:name="_Toc97428271"/>
      <w:bookmarkStart w:id="1092" w:name="_Toc98085946"/>
      <w:bookmarkStart w:id="1093" w:name="_Toc103544141"/>
      <w:bookmarkStart w:id="1094" w:name="_Toc104985464"/>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bookmarkEnd w:id="1090"/>
      <w:r w:rsidRPr="00051297">
        <w:rPr>
          <w:lang w:val="en-US"/>
        </w:rPr>
        <w:t xml:space="preserve"> </w:t>
      </w:r>
      <w:r w:rsidRPr="00051297">
        <w:rPr>
          <w:rFonts w:cs="Times New Roman"/>
          <w:szCs w:val="24"/>
          <w:lang w:val="en-US" w:bidi="en-US"/>
        </w:rPr>
        <w:t>– Drawdown: 1 m per day drawdown rate</w:t>
      </w:r>
      <w:bookmarkEnd w:id="1091"/>
      <w:bookmarkEnd w:id="1092"/>
      <w:bookmarkEnd w:id="1093"/>
      <w:r w:rsidR="00E75C69" w:rsidRPr="00FF7C30">
        <w:rPr>
          <w:rFonts w:cs="Times New Roman"/>
          <w:szCs w:val="24"/>
          <w:lang w:val="en-US" w:bidi="en-US"/>
        </w:rPr>
        <w:t>; a) embankment with slip surface; b) graph of factor of safety values</w:t>
      </w:r>
      <w:bookmarkEnd w:id="1094"/>
    </w:p>
    <w:p w14:paraId="3BF8B252" w14:textId="47F774CA" w:rsidR="00051297" w:rsidRDefault="00051297" w:rsidP="00051297">
      <w:pPr>
        <w:rPr>
          <w:lang w:val="en-US"/>
        </w:rPr>
      </w:pPr>
      <w:r w:rsidRPr="00051297">
        <w:rPr>
          <w:lang w:val="en-US"/>
        </w:rPr>
        <w:lastRenderedPageBreak/>
        <w:fldChar w:fldCharType="begin"/>
      </w:r>
      <w:r w:rsidRPr="00051297">
        <w:rPr>
          <w:lang w:val="en-US"/>
        </w:rPr>
        <w:instrText xml:space="preserve"> REF _Ref98106122 \h  \* MERGEFORMAT </w:instrText>
      </w:r>
      <w:r w:rsidRPr="00051297">
        <w:rPr>
          <w:lang w:val="en-US"/>
        </w:rPr>
      </w:r>
      <w:r w:rsidRPr="00051297">
        <w:rPr>
          <w:lang w:val="en-US"/>
        </w:rPr>
        <w:fldChar w:fldCharType="separate"/>
      </w:r>
      <w:r w:rsidR="004870F1" w:rsidRPr="004870F1">
        <w:rPr>
          <w:lang w:val="en-US" w:bidi="en-US"/>
        </w:rPr>
        <w:t xml:space="preserve">Figure </w:t>
      </w:r>
      <w:r w:rsidR="004870F1" w:rsidRPr="004870F1">
        <w:rPr>
          <w:noProof/>
          <w:lang w:val="en-US" w:bidi="en-US"/>
        </w:rPr>
        <w:t>5.6</w:t>
      </w:r>
      <w:r w:rsidRPr="00051297">
        <w:rPr>
          <w:lang w:val="en-US"/>
        </w:rPr>
        <w:fldChar w:fldCharType="end"/>
      </w:r>
      <w:r w:rsidRPr="00051297">
        <w:rPr>
          <w:lang w:val="en-US"/>
        </w:rPr>
        <w:t xml:space="preserve"> presents the results when the embankment was subjected to the 10 days drawdown rate, and it can be observed that the embankment was losing stability within the nine first days of the drawdown. Whereby a minimum factor of safety of 1.804 was achieved from the 9</w:t>
      </w:r>
      <w:r w:rsidRPr="00051297">
        <w:rPr>
          <w:vertAlign w:val="superscript"/>
          <w:lang w:val="en-US"/>
        </w:rPr>
        <w:t>th</w:t>
      </w:r>
      <w:r w:rsidRPr="00051297">
        <w:rPr>
          <w:lang w:val="en-US"/>
        </w:rPr>
        <w:t xml:space="preserve"> day of the drawdown. Moreover, it can be observed that the embankment started regaining stability from the 10</w:t>
      </w:r>
      <w:r w:rsidRPr="00051297">
        <w:rPr>
          <w:vertAlign w:val="superscript"/>
          <w:lang w:val="en-US"/>
        </w:rPr>
        <w:t>th</w:t>
      </w:r>
      <w:r w:rsidRPr="00051297">
        <w:rPr>
          <w:lang w:val="en-US"/>
        </w:rPr>
        <w:t xml:space="preserve"> day.</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974998" w14:paraId="49D33A21" w14:textId="77777777" w:rsidTr="00C231DE">
        <w:tc>
          <w:tcPr>
            <w:tcW w:w="9344" w:type="dxa"/>
          </w:tcPr>
          <w:p w14:paraId="326F0EAE" w14:textId="14BCF574" w:rsidR="00974998" w:rsidRDefault="00974998" w:rsidP="00974998">
            <w:pPr>
              <w:ind w:firstLine="0"/>
              <w:rPr>
                <w:lang w:val="en-US"/>
              </w:rPr>
            </w:pPr>
            <w:r>
              <w:rPr>
                <w:noProof/>
              </w:rPr>
              <w:drawing>
                <wp:inline distT="0" distB="0" distL="0" distR="0" wp14:anchorId="0025D702" wp14:editId="24613508">
                  <wp:extent cx="5824498" cy="1566027"/>
                  <wp:effectExtent l="0" t="0" r="508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825967" cy="1566422"/>
                          </a:xfrm>
                          <a:prstGeom prst="rect">
                            <a:avLst/>
                          </a:prstGeom>
                          <a:noFill/>
                          <a:ln>
                            <a:noFill/>
                          </a:ln>
                        </pic:spPr>
                      </pic:pic>
                    </a:graphicData>
                  </a:graphic>
                </wp:inline>
              </w:drawing>
            </w:r>
          </w:p>
          <w:p w14:paraId="2C26067A" w14:textId="3F6EDB61" w:rsidR="00974998" w:rsidRDefault="00974998" w:rsidP="00974998">
            <w:pPr>
              <w:ind w:firstLine="0"/>
              <w:jc w:val="center"/>
              <w:rPr>
                <w:lang w:val="en-US"/>
              </w:rPr>
            </w:pPr>
            <w:r>
              <w:rPr>
                <w:lang w:val="en-US"/>
              </w:rPr>
              <w:t>(a)</w:t>
            </w:r>
          </w:p>
        </w:tc>
      </w:tr>
      <w:tr w:rsidR="00974998" w14:paraId="45A62636" w14:textId="77777777" w:rsidTr="00C231DE">
        <w:tc>
          <w:tcPr>
            <w:tcW w:w="9344" w:type="dxa"/>
          </w:tcPr>
          <w:p w14:paraId="05EA5972" w14:textId="48D1131C" w:rsidR="00974998" w:rsidRDefault="00C231DE" w:rsidP="00C231DE">
            <w:pPr>
              <w:ind w:firstLine="0"/>
              <w:jc w:val="center"/>
              <w:rPr>
                <w:lang w:val="en-US"/>
              </w:rPr>
            </w:pPr>
            <w:r w:rsidRPr="00C231DE">
              <w:rPr>
                <w:noProof/>
                <w:lang w:val="en-US"/>
              </w:rPr>
              <w:drawing>
                <wp:inline distT="0" distB="0" distL="0" distR="0" wp14:anchorId="3697E21A" wp14:editId="384ABFB0">
                  <wp:extent cx="2537849" cy="355092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50448" cy="3568548"/>
                          </a:xfrm>
                          <a:prstGeom prst="rect">
                            <a:avLst/>
                          </a:prstGeom>
                          <a:noFill/>
                          <a:ln>
                            <a:noFill/>
                          </a:ln>
                        </pic:spPr>
                      </pic:pic>
                    </a:graphicData>
                  </a:graphic>
                </wp:inline>
              </w:drawing>
            </w:r>
          </w:p>
          <w:p w14:paraId="4769EC97" w14:textId="5E0DF275" w:rsidR="00974998" w:rsidRDefault="00974998" w:rsidP="00974998">
            <w:pPr>
              <w:ind w:firstLine="0"/>
              <w:jc w:val="center"/>
              <w:rPr>
                <w:lang w:val="en-US"/>
              </w:rPr>
            </w:pPr>
            <w:r>
              <w:rPr>
                <w:lang w:val="en-US"/>
              </w:rPr>
              <w:t>(b)</w:t>
            </w:r>
          </w:p>
        </w:tc>
      </w:tr>
    </w:tbl>
    <w:p w14:paraId="57A3599B" w14:textId="1810397C" w:rsidR="00051297" w:rsidRPr="00051297" w:rsidRDefault="00051297" w:rsidP="00051297">
      <w:pPr>
        <w:ind w:firstLine="0"/>
        <w:jc w:val="center"/>
        <w:rPr>
          <w:rFonts w:cs="Times New Roman"/>
          <w:szCs w:val="24"/>
          <w:lang w:val="en-US" w:bidi="en-US"/>
        </w:rPr>
      </w:pPr>
      <w:bookmarkStart w:id="1095" w:name="_Ref98106122"/>
      <w:bookmarkStart w:id="1096" w:name="_Toc97428272"/>
      <w:bookmarkStart w:id="1097" w:name="_Toc98085947"/>
      <w:bookmarkStart w:id="1098" w:name="_Toc103544142"/>
      <w:bookmarkStart w:id="1099" w:name="_Toc104985465"/>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6</w:t>
      </w:r>
      <w:r w:rsidR="00527861">
        <w:rPr>
          <w:rFonts w:cs="Times New Roman"/>
          <w:szCs w:val="24"/>
          <w:lang w:val="en-US" w:bidi="en-US"/>
        </w:rPr>
        <w:fldChar w:fldCharType="end"/>
      </w:r>
      <w:bookmarkEnd w:id="1095"/>
      <w:r w:rsidRPr="00051297">
        <w:rPr>
          <w:lang w:val="en-US"/>
        </w:rPr>
        <w:t xml:space="preserve"> </w:t>
      </w:r>
      <w:r w:rsidRPr="00051297">
        <w:rPr>
          <w:rFonts w:cs="Times New Roman"/>
          <w:szCs w:val="24"/>
          <w:lang w:val="en-US" w:bidi="en-US"/>
        </w:rPr>
        <w:t>– Drawdown:10 days drawdown rate</w:t>
      </w:r>
      <w:bookmarkEnd w:id="1096"/>
      <w:bookmarkEnd w:id="1097"/>
      <w:bookmarkEnd w:id="1098"/>
      <w:r w:rsidR="00E75C69" w:rsidRPr="00FF7C30">
        <w:rPr>
          <w:rFonts w:cs="Times New Roman"/>
          <w:szCs w:val="24"/>
          <w:lang w:val="en-US" w:bidi="en-US"/>
        </w:rPr>
        <w:t>; a) embankment with slip surface; b) graph of factor of safety values</w:t>
      </w:r>
      <w:bookmarkEnd w:id="1099"/>
    </w:p>
    <w:p w14:paraId="30B174C4" w14:textId="2BE0A3B6" w:rsidR="00051297" w:rsidRDefault="00051297" w:rsidP="00051297">
      <w:pPr>
        <w:rPr>
          <w:lang w:val="en-US"/>
        </w:rPr>
      </w:pPr>
      <w:r w:rsidRPr="00051297">
        <w:rPr>
          <w:lang w:val="en-US"/>
        </w:rPr>
        <w:fldChar w:fldCharType="begin"/>
      </w:r>
      <w:r w:rsidRPr="00051297">
        <w:rPr>
          <w:lang w:val="en-US"/>
        </w:rPr>
        <w:instrText xml:space="preserve"> REF _Ref98106173 \h  \* MERGEFORMAT </w:instrText>
      </w:r>
      <w:r w:rsidRPr="00051297">
        <w:rPr>
          <w:lang w:val="en-US"/>
        </w:rPr>
      </w:r>
      <w:r w:rsidRPr="00051297">
        <w:rPr>
          <w:lang w:val="en-US"/>
        </w:rPr>
        <w:fldChar w:fldCharType="separate"/>
      </w:r>
      <w:r w:rsidR="004870F1" w:rsidRPr="004870F1">
        <w:rPr>
          <w:lang w:val="en-US" w:bidi="en-US"/>
        </w:rPr>
        <w:t xml:space="preserve">Figure </w:t>
      </w:r>
      <w:r w:rsidR="004870F1" w:rsidRPr="004870F1">
        <w:rPr>
          <w:noProof/>
          <w:lang w:val="en-US" w:bidi="en-US"/>
        </w:rPr>
        <w:t>5.7</w:t>
      </w:r>
      <w:r w:rsidRPr="00051297">
        <w:rPr>
          <w:lang w:val="en-US"/>
        </w:rPr>
        <w:fldChar w:fldCharType="end"/>
      </w:r>
      <w:r w:rsidRPr="00051297">
        <w:rPr>
          <w:lang w:val="en-US"/>
        </w:rPr>
        <w:t xml:space="preserve"> presents the results from the 5 days drawdown rate, and it can be observed that the embankment was losing stability within the five days of the drawdown process, whereby it started regaining stability from the 5</w:t>
      </w:r>
      <w:r w:rsidRPr="00051297">
        <w:rPr>
          <w:vertAlign w:val="superscript"/>
          <w:lang w:val="en-US"/>
        </w:rPr>
        <w:t>th</w:t>
      </w:r>
      <w:r w:rsidRPr="00051297">
        <w:rPr>
          <w:lang w:val="en-US"/>
        </w:rPr>
        <w:t xml:space="preserve"> to 6</w:t>
      </w:r>
      <w:r w:rsidRPr="00051297">
        <w:rPr>
          <w:vertAlign w:val="superscript"/>
          <w:lang w:val="en-US"/>
        </w:rPr>
        <w:t>th</w:t>
      </w:r>
      <w:r w:rsidRPr="00051297">
        <w:rPr>
          <w:lang w:val="en-US"/>
        </w:rPr>
        <w:t xml:space="preserve"> day. Also, it can be observed that the minimum factor of safety of 1.706 was obtained within the 5</w:t>
      </w:r>
      <w:r w:rsidRPr="00051297">
        <w:rPr>
          <w:vertAlign w:val="superscript"/>
          <w:lang w:val="en-US"/>
        </w:rPr>
        <w:t>th</w:t>
      </w:r>
      <w:r w:rsidRPr="00051297">
        <w:rPr>
          <w:lang w:val="en-US"/>
        </w:rPr>
        <w:t xml:space="preserve"> day of the reservoir draining.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E75C69" w14:paraId="4E66066C" w14:textId="77777777" w:rsidTr="00EE691F">
        <w:tc>
          <w:tcPr>
            <w:tcW w:w="9344" w:type="dxa"/>
          </w:tcPr>
          <w:p w14:paraId="67FFC1B7" w14:textId="27A21F66" w:rsidR="00E75C69" w:rsidRDefault="00EE691F" w:rsidP="00E75C69">
            <w:pPr>
              <w:ind w:firstLine="0"/>
              <w:rPr>
                <w:lang w:val="en-US"/>
              </w:rPr>
            </w:pPr>
            <w:r>
              <w:rPr>
                <w:noProof/>
              </w:rPr>
              <w:lastRenderedPageBreak/>
              <w:drawing>
                <wp:inline distT="0" distB="0" distL="0" distR="0" wp14:anchorId="34BA1F7C" wp14:editId="5F974293">
                  <wp:extent cx="5855234" cy="1537985"/>
                  <wp:effectExtent l="0" t="0" r="0" b="508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864010" cy="1540290"/>
                          </a:xfrm>
                          <a:prstGeom prst="rect">
                            <a:avLst/>
                          </a:prstGeom>
                          <a:noFill/>
                          <a:ln>
                            <a:noFill/>
                          </a:ln>
                        </pic:spPr>
                      </pic:pic>
                    </a:graphicData>
                  </a:graphic>
                </wp:inline>
              </w:drawing>
            </w:r>
          </w:p>
          <w:p w14:paraId="5E53C2D3" w14:textId="296BA14A" w:rsidR="00E75C69" w:rsidRDefault="00E75C69" w:rsidP="00E75C69">
            <w:pPr>
              <w:ind w:firstLine="0"/>
              <w:jc w:val="center"/>
              <w:rPr>
                <w:lang w:val="en-US"/>
              </w:rPr>
            </w:pPr>
            <w:r>
              <w:rPr>
                <w:lang w:val="en-US"/>
              </w:rPr>
              <w:t>(a)</w:t>
            </w:r>
          </w:p>
        </w:tc>
      </w:tr>
      <w:tr w:rsidR="00E75C69" w14:paraId="1F12FEB9" w14:textId="77777777" w:rsidTr="00EE691F">
        <w:tc>
          <w:tcPr>
            <w:tcW w:w="9344" w:type="dxa"/>
          </w:tcPr>
          <w:p w14:paraId="41069D07" w14:textId="17F891ED" w:rsidR="00E75C69" w:rsidRDefault="00EE691F" w:rsidP="00EE691F">
            <w:pPr>
              <w:ind w:firstLine="0"/>
              <w:jc w:val="center"/>
              <w:rPr>
                <w:lang w:val="en-US"/>
              </w:rPr>
            </w:pPr>
            <w:r w:rsidRPr="00EE691F">
              <w:rPr>
                <w:noProof/>
                <w:lang w:val="en-US"/>
              </w:rPr>
              <w:drawing>
                <wp:inline distT="0" distB="0" distL="0" distR="0" wp14:anchorId="03D2D949" wp14:editId="5F1EEB4D">
                  <wp:extent cx="2545080" cy="3561039"/>
                  <wp:effectExtent l="0" t="0" r="7620" b="190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559278" cy="3580905"/>
                          </a:xfrm>
                          <a:prstGeom prst="rect">
                            <a:avLst/>
                          </a:prstGeom>
                          <a:noFill/>
                          <a:ln>
                            <a:noFill/>
                          </a:ln>
                        </pic:spPr>
                      </pic:pic>
                    </a:graphicData>
                  </a:graphic>
                </wp:inline>
              </w:drawing>
            </w:r>
          </w:p>
          <w:p w14:paraId="3B113B0C" w14:textId="78D4F6C1" w:rsidR="00E75C69" w:rsidRDefault="00E75C69" w:rsidP="00B5405E">
            <w:pPr>
              <w:ind w:firstLine="0"/>
              <w:jc w:val="center"/>
              <w:rPr>
                <w:lang w:val="en-US"/>
              </w:rPr>
            </w:pPr>
            <w:r>
              <w:rPr>
                <w:lang w:val="en-US"/>
              </w:rPr>
              <w:t>(b)</w:t>
            </w:r>
          </w:p>
        </w:tc>
      </w:tr>
    </w:tbl>
    <w:p w14:paraId="0220052B" w14:textId="4C988576" w:rsidR="00051297" w:rsidRPr="00051297" w:rsidRDefault="00051297" w:rsidP="004A7B9D">
      <w:pPr>
        <w:ind w:firstLine="0"/>
        <w:jc w:val="center"/>
        <w:rPr>
          <w:rFonts w:cs="Times New Roman"/>
          <w:szCs w:val="24"/>
          <w:lang w:val="en-US" w:bidi="en-US"/>
        </w:rPr>
      </w:pPr>
      <w:bookmarkStart w:id="1100" w:name="_Ref98106173"/>
      <w:bookmarkStart w:id="1101" w:name="_Toc97428273"/>
      <w:bookmarkStart w:id="1102" w:name="_Toc98085948"/>
      <w:bookmarkStart w:id="1103" w:name="_Toc103544143"/>
      <w:bookmarkStart w:id="1104" w:name="_Toc104985466"/>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7</w:t>
      </w:r>
      <w:r w:rsidR="00527861">
        <w:rPr>
          <w:rFonts w:cs="Times New Roman"/>
          <w:szCs w:val="24"/>
          <w:lang w:val="en-US" w:bidi="en-US"/>
        </w:rPr>
        <w:fldChar w:fldCharType="end"/>
      </w:r>
      <w:bookmarkEnd w:id="1100"/>
      <w:r w:rsidRPr="00051297">
        <w:rPr>
          <w:rFonts w:cs="Times New Roman"/>
          <w:szCs w:val="24"/>
          <w:lang w:val="en-US" w:bidi="en-US"/>
        </w:rPr>
        <w:t xml:space="preserve"> – Drawdown: 5 days drawdown</w:t>
      </w:r>
      <w:bookmarkEnd w:id="1101"/>
      <w:bookmarkEnd w:id="1102"/>
      <w:bookmarkEnd w:id="1103"/>
      <w:r w:rsidR="004A7B9D" w:rsidRPr="00FF7C30">
        <w:rPr>
          <w:rFonts w:cs="Times New Roman"/>
          <w:szCs w:val="24"/>
          <w:lang w:val="en-US" w:bidi="en-US"/>
        </w:rPr>
        <w:t>; a) embankment with slip surface; b) graph of factor of safety values</w:t>
      </w:r>
      <w:bookmarkEnd w:id="1104"/>
    </w:p>
    <w:p w14:paraId="2172FDF7" w14:textId="5C12962D" w:rsidR="00051297" w:rsidRDefault="00051297" w:rsidP="00051297">
      <w:pPr>
        <w:rPr>
          <w:lang w:val="en-US"/>
        </w:rPr>
      </w:pPr>
      <w:r w:rsidRPr="00051297">
        <w:rPr>
          <w:lang w:val="en-US"/>
        </w:rPr>
        <w:fldChar w:fldCharType="begin"/>
      </w:r>
      <w:r w:rsidRPr="00051297">
        <w:rPr>
          <w:lang w:val="en-US"/>
        </w:rPr>
        <w:instrText xml:space="preserve"> REF _Ref98106318 \h  \* MERGEFORMAT </w:instrText>
      </w:r>
      <w:r w:rsidRPr="00051297">
        <w:rPr>
          <w:lang w:val="en-US"/>
        </w:rPr>
      </w:r>
      <w:r w:rsidRPr="00051297">
        <w:rPr>
          <w:lang w:val="en-US"/>
        </w:rPr>
        <w:fldChar w:fldCharType="separate"/>
      </w:r>
      <w:r w:rsidR="004870F1" w:rsidRPr="004870F1">
        <w:rPr>
          <w:lang w:val="en-US" w:bidi="en-US"/>
        </w:rPr>
        <w:t xml:space="preserve">Figure </w:t>
      </w:r>
      <w:r w:rsidR="004870F1" w:rsidRPr="004870F1">
        <w:rPr>
          <w:noProof/>
          <w:lang w:val="en-US" w:bidi="en-US"/>
        </w:rPr>
        <w:t>5.8</w:t>
      </w:r>
      <w:r w:rsidRPr="00051297">
        <w:rPr>
          <w:lang w:val="en-US"/>
        </w:rPr>
        <w:fldChar w:fldCharType="end"/>
      </w:r>
      <w:r w:rsidRPr="00051297">
        <w:rPr>
          <w:lang w:val="en-US"/>
        </w:rPr>
        <w:t xml:space="preserve"> presents the results when the embankment was subjected to the worst scenario of rapid drawdown (instantaneous), and it can be observed that the embankment lost stability from approximately 2.5 factors of safety to 1.574 within the same day of drawdown. Moreover, it can be observed that the embankment started regaining stability within the same day; however, it was not able to reach the 2.5 initial factor of safety, which is an indication of a potential failure. The obtained factor of safety from the instantaneous drawdown rate is equivalent to 32.85% less than the factor of safety retrieved from the long-term steady-state conditions.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414127" w14:paraId="61D91797" w14:textId="77777777" w:rsidTr="004A7B9D">
        <w:tc>
          <w:tcPr>
            <w:tcW w:w="9344" w:type="dxa"/>
          </w:tcPr>
          <w:p w14:paraId="124B45E8" w14:textId="1C4B29BD" w:rsidR="00414127" w:rsidRDefault="004A7B9D" w:rsidP="00A01314">
            <w:pPr>
              <w:spacing w:line="240" w:lineRule="auto"/>
              <w:ind w:firstLine="0"/>
              <w:rPr>
                <w:lang w:val="en-US"/>
              </w:rPr>
            </w:pPr>
            <w:r>
              <w:rPr>
                <w:noProof/>
              </w:rPr>
              <w:lastRenderedPageBreak/>
              <w:drawing>
                <wp:inline distT="0" distB="0" distL="0" distR="0" wp14:anchorId="5D3E6311" wp14:editId="1B400FB9">
                  <wp:extent cx="5847550" cy="1554095"/>
                  <wp:effectExtent l="0" t="0" r="1270" b="825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854407" cy="1555917"/>
                          </a:xfrm>
                          <a:prstGeom prst="rect">
                            <a:avLst/>
                          </a:prstGeom>
                          <a:noFill/>
                          <a:ln>
                            <a:noFill/>
                          </a:ln>
                        </pic:spPr>
                      </pic:pic>
                    </a:graphicData>
                  </a:graphic>
                </wp:inline>
              </w:drawing>
            </w:r>
          </w:p>
          <w:p w14:paraId="793E308A" w14:textId="1E7D948C" w:rsidR="00414127" w:rsidRDefault="00414127" w:rsidP="00A01314">
            <w:pPr>
              <w:spacing w:line="240" w:lineRule="auto"/>
              <w:ind w:firstLine="0"/>
              <w:jc w:val="center"/>
              <w:rPr>
                <w:lang w:val="en-US"/>
              </w:rPr>
            </w:pPr>
            <w:r>
              <w:rPr>
                <w:lang w:val="en-US"/>
              </w:rPr>
              <w:t>(a)</w:t>
            </w:r>
          </w:p>
        </w:tc>
      </w:tr>
      <w:tr w:rsidR="00414127" w14:paraId="001E821D" w14:textId="77777777" w:rsidTr="004A7B9D">
        <w:tc>
          <w:tcPr>
            <w:tcW w:w="9344" w:type="dxa"/>
          </w:tcPr>
          <w:p w14:paraId="3E4F8508" w14:textId="6ED5221D" w:rsidR="00414127" w:rsidRDefault="004A7B9D" w:rsidP="00A01314">
            <w:pPr>
              <w:spacing w:line="240" w:lineRule="auto"/>
              <w:ind w:firstLine="0"/>
              <w:jc w:val="center"/>
              <w:rPr>
                <w:lang w:val="en-US"/>
              </w:rPr>
            </w:pPr>
            <w:r w:rsidRPr="004A7B9D">
              <w:rPr>
                <w:noProof/>
                <w:lang w:val="en-US"/>
              </w:rPr>
              <w:drawing>
                <wp:inline distT="0" distB="0" distL="0" distR="0" wp14:anchorId="203E42BC" wp14:editId="7B0F3916">
                  <wp:extent cx="2258261" cy="2880360"/>
                  <wp:effectExtent l="0" t="0" r="889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rotWithShape="1">
                          <a:blip r:embed="rId144">
                            <a:extLst>
                              <a:ext uri="{28A0092B-C50C-407E-A947-70E740481C1C}">
                                <a14:useLocalDpi xmlns:a14="http://schemas.microsoft.com/office/drawing/2010/main" val="0"/>
                              </a:ext>
                            </a:extLst>
                          </a:blip>
                          <a:srcRect t="6028" b="2814"/>
                          <a:stretch/>
                        </pic:blipFill>
                        <pic:spPr bwMode="auto">
                          <a:xfrm>
                            <a:off x="0" y="0"/>
                            <a:ext cx="2259106" cy="2881438"/>
                          </a:xfrm>
                          <a:prstGeom prst="rect">
                            <a:avLst/>
                          </a:prstGeom>
                          <a:noFill/>
                          <a:ln>
                            <a:noFill/>
                          </a:ln>
                          <a:extLst>
                            <a:ext uri="{53640926-AAD7-44D8-BBD7-CCE9431645EC}">
                              <a14:shadowObscured xmlns:a14="http://schemas.microsoft.com/office/drawing/2010/main"/>
                            </a:ext>
                          </a:extLst>
                        </pic:spPr>
                      </pic:pic>
                    </a:graphicData>
                  </a:graphic>
                </wp:inline>
              </w:drawing>
            </w:r>
          </w:p>
          <w:p w14:paraId="606AE6A0" w14:textId="5E6EEE56" w:rsidR="00414127" w:rsidRDefault="00414127" w:rsidP="00A01314">
            <w:pPr>
              <w:spacing w:line="240" w:lineRule="auto"/>
              <w:ind w:firstLine="0"/>
              <w:jc w:val="center"/>
              <w:rPr>
                <w:lang w:val="en-US"/>
              </w:rPr>
            </w:pPr>
            <w:r>
              <w:rPr>
                <w:lang w:val="en-US"/>
              </w:rPr>
              <w:t>(b)</w:t>
            </w:r>
          </w:p>
        </w:tc>
      </w:tr>
    </w:tbl>
    <w:p w14:paraId="4E3C9A49" w14:textId="66075D66" w:rsidR="00051297" w:rsidRPr="00051297" w:rsidRDefault="00051297" w:rsidP="004A7B9D">
      <w:pPr>
        <w:ind w:firstLine="0"/>
        <w:jc w:val="center"/>
        <w:rPr>
          <w:rFonts w:cs="Times New Roman"/>
          <w:szCs w:val="24"/>
          <w:lang w:val="en-US" w:bidi="en-US"/>
        </w:rPr>
      </w:pPr>
      <w:bookmarkStart w:id="1105" w:name="_Ref98106318"/>
      <w:bookmarkStart w:id="1106" w:name="_Toc97428274"/>
      <w:bookmarkStart w:id="1107" w:name="_Toc98085949"/>
      <w:bookmarkStart w:id="1108" w:name="_Toc103544144"/>
      <w:bookmarkStart w:id="1109" w:name="_Toc104985467"/>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8</w:t>
      </w:r>
      <w:r w:rsidR="00527861">
        <w:rPr>
          <w:rFonts w:cs="Times New Roman"/>
          <w:szCs w:val="24"/>
          <w:lang w:val="en-US" w:bidi="en-US"/>
        </w:rPr>
        <w:fldChar w:fldCharType="end"/>
      </w:r>
      <w:bookmarkEnd w:id="1105"/>
      <w:r w:rsidRPr="00051297">
        <w:rPr>
          <w:lang w:val="en-US"/>
        </w:rPr>
        <w:t xml:space="preserve"> </w:t>
      </w:r>
      <w:r w:rsidRPr="00051297">
        <w:rPr>
          <w:rFonts w:cs="Times New Roman"/>
          <w:szCs w:val="24"/>
          <w:lang w:val="en-US" w:bidi="en-US"/>
        </w:rPr>
        <w:t>– Instantaneous drawdown</w:t>
      </w:r>
      <w:bookmarkEnd w:id="1106"/>
      <w:bookmarkEnd w:id="1107"/>
      <w:bookmarkEnd w:id="1108"/>
      <w:r w:rsidR="004A7B9D" w:rsidRPr="00FF7C30">
        <w:rPr>
          <w:rFonts w:cs="Times New Roman"/>
          <w:szCs w:val="24"/>
          <w:lang w:val="en-US" w:bidi="en-US"/>
        </w:rPr>
        <w:t>; a) embankment with slip surface; b) graph of factor of safety values</w:t>
      </w:r>
      <w:bookmarkEnd w:id="1109"/>
    </w:p>
    <w:p w14:paraId="05F7C594" w14:textId="7DC04CF5" w:rsidR="00051297" w:rsidRPr="00051297" w:rsidRDefault="00051297" w:rsidP="00051297">
      <w:pPr>
        <w:rPr>
          <w:lang w:val="en-US"/>
        </w:rPr>
      </w:pPr>
      <w:r w:rsidRPr="00051297">
        <w:rPr>
          <w:lang w:val="en-US"/>
        </w:rPr>
        <w:t xml:space="preserve"> </w:t>
      </w:r>
      <w:r w:rsidRPr="00051297">
        <w:rPr>
          <w:lang w:val="en-US"/>
        </w:rPr>
        <w:fldChar w:fldCharType="begin"/>
      </w:r>
      <w:r w:rsidRPr="00051297">
        <w:rPr>
          <w:lang w:val="en-US"/>
        </w:rPr>
        <w:instrText xml:space="preserve"> REF _Ref98106413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9</w:t>
      </w:r>
      <w:r w:rsidRPr="00051297">
        <w:rPr>
          <w:lang w:val="en-US"/>
        </w:rPr>
        <w:fldChar w:fldCharType="end"/>
      </w:r>
      <w:r w:rsidRPr="00051297">
        <w:rPr>
          <w:lang w:val="en-US"/>
        </w:rPr>
        <w:t xml:space="preserve"> provides a clearer overview of the potential influence of the rapid drawdown loading conditions on the slope stability of the embankment. It can be seen that as the drawdown rate has increased, the minimum factor of safety has decreased.</w:t>
      </w:r>
    </w:p>
    <w:p w14:paraId="0D637731" w14:textId="77777777" w:rsidR="00051297" w:rsidRPr="00051297" w:rsidRDefault="00051297" w:rsidP="00051297">
      <w:pPr>
        <w:keepNext/>
        <w:overflowPunct w:val="0"/>
        <w:autoSpaceDE w:val="0"/>
        <w:autoSpaceDN w:val="0"/>
        <w:adjustRightInd w:val="0"/>
        <w:jc w:val="center"/>
        <w:textAlignment w:val="baseline"/>
        <w:rPr>
          <w:rFonts w:cs="Times New Roman"/>
          <w:szCs w:val="24"/>
        </w:rPr>
      </w:pPr>
      <w:r w:rsidRPr="00051297">
        <w:rPr>
          <w:noProof/>
        </w:rPr>
        <w:drawing>
          <wp:inline distT="0" distB="0" distL="0" distR="0" wp14:anchorId="1D92D89E" wp14:editId="5E89FCB6">
            <wp:extent cx="4572000" cy="2743200"/>
            <wp:effectExtent l="0" t="0" r="0" b="0"/>
            <wp:docPr id="471" name="Chart 471">
              <a:extLst xmlns:a="http://schemas.openxmlformats.org/drawingml/2006/main">
                <a:ext uri="{FF2B5EF4-FFF2-40B4-BE49-F238E27FC236}">
                  <a16:creationId xmlns:a16="http://schemas.microsoft.com/office/drawing/2014/main" id="{A32BEB0E-4142-DEC6-07B7-9DA4112F09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3BE03DA9" w14:textId="576140E6" w:rsidR="00051297" w:rsidRPr="00051297" w:rsidRDefault="00051297" w:rsidP="00051297">
      <w:pPr>
        <w:ind w:firstLine="0"/>
        <w:jc w:val="center"/>
        <w:rPr>
          <w:rFonts w:cs="Times New Roman"/>
          <w:szCs w:val="24"/>
          <w:lang w:val="en-US" w:bidi="en-US"/>
        </w:rPr>
      </w:pPr>
      <w:bookmarkStart w:id="1110" w:name="_Ref98106413"/>
      <w:bookmarkStart w:id="1111" w:name="_Toc97428275"/>
      <w:bookmarkStart w:id="1112" w:name="_Toc98085950"/>
      <w:bookmarkStart w:id="1113" w:name="_Toc103544145"/>
      <w:bookmarkStart w:id="1114" w:name="_Toc104985468"/>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9</w:t>
      </w:r>
      <w:r w:rsidR="00527861">
        <w:rPr>
          <w:rFonts w:cs="Times New Roman"/>
          <w:szCs w:val="24"/>
          <w:lang w:val="en-US" w:bidi="en-US"/>
        </w:rPr>
        <w:fldChar w:fldCharType="end"/>
      </w:r>
      <w:bookmarkEnd w:id="1110"/>
      <w:r w:rsidRPr="00051297">
        <w:rPr>
          <w:lang w:val="en-US"/>
        </w:rPr>
        <w:t xml:space="preserve"> </w:t>
      </w:r>
      <w:r w:rsidRPr="00051297">
        <w:rPr>
          <w:rFonts w:cs="Times New Roman"/>
          <w:szCs w:val="24"/>
          <w:lang w:val="en-US" w:bidi="en-US"/>
        </w:rPr>
        <w:t>– Summary of the minimum factor of safety values</w:t>
      </w:r>
      <w:bookmarkEnd w:id="1111"/>
      <w:bookmarkEnd w:id="1112"/>
      <w:bookmarkEnd w:id="1113"/>
      <w:bookmarkEnd w:id="1114"/>
    </w:p>
    <w:p w14:paraId="24AA5257" w14:textId="0AB3043C" w:rsidR="00051297" w:rsidRPr="00051297" w:rsidRDefault="00051297" w:rsidP="00051297">
      <w:pPr>
        <w:rPr>
          <w:lang w:val="en-US"/>
        </w:rPr>
      </w:pPr>
      <w:r w:rsidRPr="00051297">
        <w:rPr>
          <w:lang w:val="en-US"/>
        </w:rPr>
        <w:lastRenderedPageBreak/>
        <w:t xml:space="preserve">According to the literature, a minimum factor of safety of 1.3 for temporary or low-risk slopes and 1.5 for permanent slopes is appropriate for a static two-dimensional (2D) slope </w:t>
      </w:r>
      <w:r w:rsidRPr="00051297">
        <w:fldChar w:fldCharType="begin" w:fldLock="1"/>
      </w:r>
      <w:r w:rsidR="0044426E">
        <w:rPr>
          <w:lang w:val="en-US"/>
        </w:rPr>
        <w:instrText>ADDIN CSL_CITATION {"citationItems":[{"id":"ITEM-1","itemData":{"DOI":"10.1061/9780784480700.025","ISBN":"9780784480700","ISSN":"08950563","abstract":"Geotechnical engineers understand there is uncertainty and risk in the input parameters for slope stability analyses and within the analysis methodologies themselves. Decades of research and inverse analyses of slope failures have resulted in widespread acceptance of certain factors of safety (FS) in typical situations, e.g., a static two-dimensional (2D) factor of safety of 1.3 is often used for temporary or low risk slopes and 1.5 for permanent slopes. However, these FSs are not appropriate for use with three-dimensional (3D) analyses because 3D analyses account for additional shear resistance that is generated along the sides of the slide mass. The contribution of the additional shear resistance can be significant in shallow slide masses or for translational slide masses with a width to height ratio less than six, resulting in calculated values of 3D FS that are greater than the calculated 2D FS. To achieve the same level of safety or risk as a static 2D FS of 1.3 or 1.5, the user must use a greater minimum FS for 3D analyses. This paper presents methods for calculating a suitable minimum 3D FS to achieve a similar level of safety or risk as a minimum 2D FS, such as 1.3 or 1.5, would afford.","author":[{"dropping-particle":"","family":"Stark","given":"T. D.","non-dropping-particle":"","parse-names":false,"suffix":""},{"dropping-particle":"","family":"Ruffing","given":"D. G.","non-dropping-particle":"","parse-names":false,"suffix":""}],"container-title":"Geo-Risk 2017","id":"ITEM-1","issued":{"date-parts":[["2017","6"]]},"page":"259-266","publisher":"American Society of Civil Engineers","publisher-place":"Reston, VA","title":"Selecting Minimum Factors of Safety for 3D Slope Stability Analyses","type":"paper-conference"},"uris":["http://www.mendeley.com/documents/?uuid=eeab6465-cee2-490a-a296-7cbb2ef94af8","http://www.mendeley.com/documents/?uuid=1769a660-a393-4e85-8ba5-145811931778","http://www.mendeley.com/documents/?uuid=d0a711c9-000f-4d25-830a-371ffb4b2df4"]}],"mendeley":{"formattedCitation":"[282]","plainTextFormattedCitation":"[282]","previouslyFormattedCitation":"[282]"},"properties":{"noteIndex":0},"schema":"https://github.com/citation-style-language/schema/raw/master/csl-citation.json"}</w:instrText>
      </w:r>
      <w:r w:rsidRPr="00051297">
        <w:fldChar w:fldCharType="separate"/>
      </w:r>
      <w:r w:rsidR="00FA5896" w:rsidRPr="00FA5896">
        <w:rPr>
          <w:noProof/>
          <w:lang w:val="en-US"/>
        </w:rPr>
        <w:t>[282]</w:t>
      </w:r>
      <w:r w:rsidRPr="00051297">
        <w:fldChar w:fldCharType="end"/>
      </w:r>
      <w:r w:rsidRPr="00051297">
        <w:rPr>
          <w:lang w:val="en-US"/>
        </w:rPr>
        <w:t>. However, in most cases, when a factor of safety is below 1, then it is considered a total embankment failure.</w:t>
      </w:r>
    </w:p>
    <w:p w14:paraId="35259432" w14:textId="50253A20" w:rsidR="00051297" w:rsidRPr="00051297" w:rsidRDefault="00051297" w:rsidP="00C925D9">
      <w:pPr>
        <w:pStyle w:val="3"/>
        <w:rPr>
          <w:rFonts w:eastAsia="Times New Roman"/>
        </w:rPr>
      </w:pPr>
      <w:bookmarkStart w:id="1115" w:name="_Toc103543992"/>
      <w:bookmarkStart w:id="1116" w:name="_Toc104985317"/>
      <w:r w:rsidRPr="00051297">
        <w:rPr>
          <w:rFonts w:eastAsia="Times New Roman"/>
          <w:lang w:val="en-US"/>
        </w:rPr>
        <w:t>Summary of the sub-section</w:t>
      </w:r>
      <w:bookmarkEnd w:id="1115"/>
      <w:bookmarkEnd w:id="1116"/>
    </w:p>
    <w:p w14:paraId="7DB30BAA" w14:textId="77777777" w:rsidR="00051297" w:rsidRPr="00051297" w:rsidRDefault="00051297" w:rsidP="00051297">
      <w:pPr>
        <w:rPr>
          <w:lang w:val="en-US"/>
        </w:rPr>
      </w:pPr>
      <w:bookmarkStart w:id="1117" w:name="_Hlk98028696"/>
      <w:r w:rsidRPr="00051297">
        <w:rPr>
          <w:lang w:val="en-US"/>
        </w:rPr>
        <w:t>The potential effect of rapid drawdown scenarios on the stability of old dams for the case of Samarkand in Kazakhstan has been investigated. The dam has a maximum depth of 12 m and a length of 25 km; located in Karaganda province in Kazakhstan that was put into operation in 1941. Both seepage and slope stability with the help of numerical modeling were investigated based on steady and transient (rapid drawdown) flow conditions. The finite element method-based modeling is achieved using SEEP/W and SLOPE/W of the GeoStudio software. The embankment was first subjected to a long-term steady-state slope stability analysis, which resulted in a factor of safety of 2.344. In a steady-state flow scenario, the pressure at any location in the reservoir remains constant across time. It's also worth noting that the reservoir's long-term stable state has a significant impact on the stability of the embankment. When the embankment was subjected to a 1 m per day draw-down rate, a minimum factor of safety of 2.149 was obtained; the minimum factor of safety value was reached on the fourth day of the drawdown. The factor of safety recovered from the 1 m per day drawdown rate is 8.32% lower than the one retrieved from the long-term steady state. Moreover, the factor of safety determined from the instantaneous drawdown rate is 32.85% lower than the factor of safety obtained from long-term steady-state conditions.</w:t>
      </w:r>
    </w:p>
    <w:p w14:paraId="58D3803A" w14:textId="30A4AF0C" w:rsidR="00051297" w:rsidRPr="00051297" w:rsidRDefault="00051297" w:rsidP="00C925D9">
      <w:pPr>
        <w:pStyle w:val="2"/>
      </w:pPr>
      <w:bookmarkStart w:id="1118" w:name="_Toc97504859"/>
      <w:bookmarkStart w:id="1119" w:name="_Toc103543993"/>
      <w:bookmarkStart w:id="1120" w:name="_Toc104985318"/>
      <w:bookmarkEnd w:id="1117"/>
      <w:r w:rsidRPr="00051297">
        <w:t>Ndembera dam in Tanzania</w:t>
      </w:r>
      <w:bookmarkEnd w:id="1118"/>
      <w:bookmarkEnd w:id="1119"/>
      <w:bookmarkEnd w:id="1120"/>
    </w:p>
    <w:p w14:paraId="44EB1A7F" w14:textId="68CEF0C9" w:rsidR="00051297" w:rsidRPr="00051297" w:rsidRDefault="00051297" w:rsidP="00C925D9">
      <w:pPr>
        <w:pStyle w:val="3"/>
      </w:pPr>
      <w:bookmarkStart w:id="1121" w:name="_Toc97504860"/>
      <w:bookmarkStart w:id="1122" w:name="_Toc103543994"/>
      <w:bookmarkStart w:id="1123" w:name="_Toc104985319"/>
      <w:r w:rsidRPr="00051297">
        <w:t>Materials and methods</w:t>
      </w:r>
      <w:bookmarkEnd w:id="1121"/>
      <w:bookmarkEnd w:id="1122"/>
      <w:bookmarkEnd w:id="1123"/>
    </w:p>
    <w:p w14:paraId="0A64436C" w14:textId="71304BB6" w:rsidR="00051297" w:rsidRPr="00051297" w:rsidRDefault="00051297" w:rsidP="00C925D9">
      <w:pPr>
        <w:pStyle w:val="4"/>
        <w:rPr>
          <w:lang w:val="en-US"/>
        </w:rPr>
      </w:pPr>
      <w:bookmarkStart w:id="1124" w:name="_Toc97504861"/>
      <w:bookmarkStart w:id="1125" w:name="_Toc79511139"/>
      <w:bookmarkStart w:id="1126" w:name="_Toc103543995"/>
      <w:bookmarkStart w:id="1127" w:name="_Toc104985320"/>
      <w:r w:rsidRPr="00051297">
        <w:rPr>
          <w:lang w:val="en-US"/>
        </w:rPr>
        <w:t>Geological, hydrogeological, and geotechnical conditions</w:t>
      </w:r>
      <w:bookmarkEnd w:id="1124"/>
      <w:bookmarkEnd w:id="1125"/>
      <w:bookmarkEnd w:id="1126"/>
      <w:bookmarkEnd w:id="1127"/>
    </w:p>
    <w:p w14:paraId="437B2C13" w14:textId="55D049BC" w:rsidR="00051297" w:rsidRPr="00051297" w:rsidRDefault="00051297" w:rsidP="00051297">
      <w:pPr>
        <w:rPr>
          <w:rFonts w:cs="Times New Roman"/>
          <w:szCs w:val="24"/>
          <w:lang w:val="en-US"/>
        </w:rPr>
      </w:pPr>
      <w:r w:rsidRPr="00051297">
        <w:rPr>
          <w:rFonts w:cs="Times New Roman"/>
          <w:szCs w:val="24"/>
          <w:lang w:val="en-US"/>
        </w:rPr>
        <w:t>In the Lugoda dam Project, most of the structure is located on rock formations as the direct foundation and fault, and the fracture zone is partially located in the local area. In the case of this situation, problems with the bearing capacity and settlement of structures are expected. Hence, the analyses on the bearing capacity and settlement were carried out to secure the foundation stability of structures. The reservoir region in the Ndembera catchment is a geologically incoherent superficial material area (yellow hue) made up of gravel, sand, silt, and clay that is alluvial or lacustrine. While the area around the dam is made up of foliated crystalline rock such as gneiss and schist, amphibolites granularities, and meta-dolerites, the surrounding area is made up of foliated magmatic granites, gneiss, schist, amphibolites granularities, and meta-dolerites (</w:t>
      </w:r>
      <w:r w:rsidRPr="00051297">
        <w:rPr>
          <w:rFonts w:cs="Times New Roman"/>
          <w:szCs w:val="24"/>
          <w:lang w:val="en-US"/>
        </w:rPr>
        <w:fldChar w:fldCharType="begin"/>
      </w:r>
      <w:r w:rsidRPr="00051297">
        <w:rPr>
          <w:rFonts w:cs="Times New Roman"/>
          <w:szCs w:val="24"/>
          <w:lang w:val="en-US"/>
        </w:rPr>
        <w:instrText xml:space="preserve"> REF _Ref98106501 \h </w:instrText>
      </w:r>
      <w:r w:rsidRPr="00051297">
        <w:rPr>
          <w:rFonts w:cs="Times New Roman"/>
          <w:szCs w:val="24"/>
          <w:lang w:val="en-US"/>
        </w:rPr>
      </w:r>
      <w:r w:rsidRPr="00051297">
        <w:rPr>
          <w:rFonts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10</w:t>
      </w:r>
      <w:r w:rsidRPr="00051297">
        <w:rPr>
          <w:rFonts w:cs="Times New Roman"/>
          <w:szCs w:val="24"/>
          <w:lang w:val="en-US"/>
        </w:rPr>
        <w:fldChar w:fldCharType="end"/>
      </w:r>
      <w:r w:rsidRPr="00051297">
        <w:rPr>
          <w:rFonts w:cs="Times New Roman"/>
          <w:szCs w:val="24"/>
          <w:lang w:val="en-US"/>
        </w:rPr>
        <w:t>).</w:t>
      </w:r>
    </w:p>
    <w:p w14:paraId="6756A453" w14:textId="77777777" w:rsidR="00051297" w:rsidRPr="00051297" w:rsidRDefault="00051297" w:rsidP="00051297">
      <w:pPr>
        <w:rPr>
          <w:rFonts w:cs="Times New Roman"/>
          <w:szCs w:val="24"/>
          <w:lang w:val="en-US"/>
        </w:rPr>
      </w:pPr>
      <w:r w:rsidRPr="00051297">
        <w:rPr>
          <w:rFonts w:cs="Times New Roman"/>
          <w:szCs w:val="24"/>
          <w:lang w:val="en-US"/>
        </w:rPr>
        <w:lastRenderedPageBreak/>
        <w:t>Moreover, the Paleoarchean era yellowish-brown granite gneiss formation is scattered at the dam site, and topsoil is used to cover the bedrock. The topsoil is made up of silty sand and boulder stone. Milky white silt and fine-grained sand are visible along the river. Whereby because of the heavy weathering, the rock outcrops are rarely visible. Also, differential weathering leads to the large bedrock dispersion on the dam's left side. The small-scaled fault runs from the dam's left side to its center.</w:t>
      </w:r>
    </w:p>
    <w:p w14:paraId="01EAF2AD" w14:textId="77777777" w:rsidR="00051297" w:rsidRPr="00051297" w:rsidRDefault="00051297" w:rsidP="00051297">
      <w:pPr>
        <w:rPr>
          <w:rFonts w:cs="Times New Roman"/>
          <w:szCs w:val="24"/>
          <w:lang w:val="en-US"/>
        </w:rPr>
      </w:pPr>
      <w:r w:rsidRPr="00051297">
        <w:rPr>
          <w:rFonts w:cs="Times New Roman"/>
          <w:szCs w:val="24"/>
          <w:lang w:val="en-US"/>
        </w:rPr>
        <w:t xml:space="preserve">To investigate the geological condition of the study catchment, several trench pits were excavated; this was an important aspect of having a full view of the rock. </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320"/>
      </w:tblGrid>
      <w:tr w:rsidR="00051297" w:rsidRPr="00051297" w14:paraId="4BD29087" w14:textId="77777777" w:rsidTr="00D20B01">
        <w:trPr>
          <w:jc w:val="center"/>
        </w:trPr>
        <w:tc>
          <w:tcPr>
            <w:tcW w:w="4675" w:type="dxa"/>
            <w:vAlign w:val="center"/>
          </w:tcPr>
          <w:p w14:paraId="2D6C8741" w14:textId="77777777" w:rsidR="00051297" w:rsidRPr="00051297" w:rsidRDefault="00051297" w:rsidP="00051297">
            <w:pPr>
              <w:ind w:firstLine="0"/>
              <w:jc w:val="center"/>
              <w:rPr>
                <w:szCs w:val="24"/>
              </w:rPr>
            </w:pPr>
            <w:r w:rsidRPr="00051297">
              <w:rPr>
                <w:noProof/>
                <w:szCs w:val="24"/>
              </w:rPr>
              <w:drawing>
                <wp:inline distT="0" distB="0" distL="0" distR="0" wp14:anchorId="2ADE3337" wp14:editId="6EB0CC66">
                  <wp:extent cx="2771775" cy="2398652"/>
                  <wp:effectExtent l="0" t="0" r="0" b="190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08952" cy="2430824"/>
                          </a:xfrm>
                          <a:prstGeom prst="rect">
                            <a:avLst/>
                          </a:prstGeom>
                          <a:noFill/>
                          <a:ln>
                            <a:noFill/>
                          </a:ln>
                        </pic:spPr>
                      </pic:pic>
                    </a:graphicData>
                  </a:graphic>
                </wp:inline>
              </w:drawing>
            </w:r>
          </w:p>
        </w:tc>
        <w:tc>
          <w:tcPr>
            <w:tcW w:w="4320" w:type="dxa"/>
          </w:tcPr>
          <w:p w14:paraId="378D8921" w14:textId="77777777" w:rsidR="00051297" w:rsidRPr="00051297" w:rsidRDefault="00051297" w:rsidP="00051297">
            <w:pPr>
              <w:keepNext/>
              <w:ind w:firstLine="0"/>
              <w:rPr>
                <w:szCs w:val="24"/>
              </w:rPr>
            </w:pPr>
            <w:r w:rsidRPr="00051297">
              <w:rPr>
                <w:noProof/>
                <w:szCs w:val="24"/>
              </w:rPr>
              <w:drawing>
                <wp:inline distT="0" distB="0" distL="0" distR="0" wp14:anchorId="53CCF66D" wp14:editId="0F9E4FAE">
                  <wp:extent cx="2600325" cy="2415950"/>
                  <wp:effectExtent l="0" t="0" r="0" b="381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20080" cy="2434304"/>
                          </a:xfrm>
                          <a:prstGeom prst="rect">
                            <a:avLst/>
                          </a:prstGeom>
                          <a:noFill/>
                          <a:ln>
                            <a:noFill/>
                          </a:ln>
                        </pic:spPr>
                      </pic:pic>
                    </a:graphicData>
                  </a:graphic>
                </wp:inline>
              </w:drawing>
            </w:r>
          </w:p>
        </w:tc>
      </w:tr>
    </w:tbl>
    <w:p w14:paraId="67FF6734" w14:textId="3F7FDE30" w:rsidR="00051297" w:rsidRPr="00051297" w:rsidRDefault="00051297" w:rsidP="00051297">
      <w:pPr>
        <w:ind w:firstLine="0"/>
        <w:jc w:val="center"/>
        <w:rPr>
          <w:rFonts w:cs="Times New Roman"/>
          <w:szCs w:val="24"/>
          <w:lang w:val="en-US" w:bidi="en-US"/>
        </w:rPr>
      </w:pPr>
      <w:bookmarkStart w:id="1128" w:name="_Ref98106501"/>
      <w:bookmarkStart w:id="1129" w:name="_Toc97428276"/>
      <w:bookmarkStart w:id="1130" w:name="_Toc98085951"/>
      <w:bookmarkStart w:id="1131" w:name="_Toc103544146"/>
      <w:bookmarkStart w:id="1132" w:name="_Toc104985469"/>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10</w:t>
      </w:r>
      <w:r w:rsidR="00527861">
        <w:rPr>
          <w:rFonts w:cs="Times New Roman"/>
          <w:szCs w:val="24"/>
          <w:lang w:val="en-US" w:bidi="en-US"/>
        </w:rPr>
        <w:fldChar w:fldCharType="end"/>
      </w:r>
      <w:bookmarkEnd w:id="1128"/>
      <w:r w:rsidRPr="00051297">
        <w:rPr>
          <w:lang w:val="en-US"/>
        </w:rPr>
        <w:t xml:space="preserve"> </w:t>
      </w:r>
      <w:r w:rsidRPr="00051297">
        <w:rPr>
          <w:rFonts w:cs="Times New Roman"/>
          <w:szCs w:val="24"/>
          <w:lang w:val="en-US" w:bidi="en-US"/>
        </w:rPr>
        <w:t>– Trench pits at the dam site</w:t>
      </w:r>
      <w:bookmarkEnd w:id="1129"/>
      <w:bookmarkEnd w:id="1130"/>
      <w:bookmarkEnd w:id="1131"/>
      <w:bookmarkEnd w:id="1132"/>
    </w:p>
    <w:p w14:paraId="4C271FC4" w14:textId="50A673AA" w:rsidR="00051297" w:rsidRPr="00051297" w:rsidRDefault="00051297" w:rsidP="00C925D9">
      <w:pPr>
        <w:pStyle w:val="4"/>
        <w:rPr>
          <w:lang w:val="en-US"/>
        </w:rPr>
      </w:pPr>
      <w:r w:rsidRPr="00051297">
        <w:rPr>
          <w:lang w:val="en-US"/>
        </w:rPr>
        <w:t xml:space="preserve"> </w:t>
      </w:r>
      <w:bookmarkStart w:id="1133" w:name="_Toc79511140"/>
      <w:bookmarkStart w:id="1134" w:name="_Toc97504862"/>
      <w:bookmarkStart w:id="1135" w:name="_Toc103543996"/>
      <w:bookmarkStart w:id="1136" w:name="_Toc104985321"/>
      <w:r w:rsidRPr="00051297">
        <w:rPr>
          <w:lang w:val="en-US"/>
        </w:rPr>
        <w:t>Design assumptions of the dam and materials used</w:t>
      </w:r>
      <w:bookmarkEnd w:id="1133"/>
      <w:bookmarkEnd w:id="1134"/>
      <w:bookmarkEnd w:id="1135"/>
      <w:bookmarkEnd w:id="1136"/>
    </w:p>
    <w:p w14:paraId="13FA6EEF" w14:textId="77777777" w:rsidR="00051297" w:rsidRPr="00051297" w:rsidRDefault="00051297" w:rsidP="00051297">
      <w:pPr>
        <w:autoSpaceDE w:val="0"/>
        <w:autoSpaceDN w:val="0"/>
        <w:adjustRightInd w:val="0"/>
        <w:rPr>
          <w:rFonts w:cs="Times New Roman"/>
          <w:szCs w:val="24"/>
          <w:lang w:val="en-US"/>
        </w:rPr>
      </w:pPr>
      <w:bookmarkStart w:id="1137" w:name="_Toc79511141"/>
      <w:r w:rsidRPr="00051297">
        <w:rPr>
          <w:rFonts w:eastAsiaTheme="majorEastAsia" w:cs="Times New Roman"/>
          <w:szCs w:val="24"/>
          <w:lang w:val="en-US"/>
        </w:rPr>
        <w:t>The geometrical dimension of the LUGODA dam</w:t>
      </w:r>
      <w:bookmarkEnd w:id="1137"/>
      <w:r w:rsidRPr="00051297">
        <w:rPr>
          <w:rFonts w:cs="Times New Roman"/>
          <w:szCs w:val="24"/>
          <w:lang w:val="en-US"/>
        </w:rPr>
        <w:t xml:space="preserve"> has the following: </w:t>
      </w:r>
    </w:p>
    <w:p w14:paraId="097E7A4E" w14:textId="492D4ECF" w:rsidR="00051297" w:rsidRPr="00051297" w:rsidRDefault="00051297" w:rsidP="00051297">
      <w:pPr>
        <w:numPr>
          <w:ilvl w:val="0"/>
          <w:numId w:val="5"/>
        </w:numPr>
        <w:tabs>
          <w:tab w:val="left" w:pos="993"/>
        </w:tabs>
        <w:autoSpaceDE w:val="0"/>
        <w:autoSpaceDN w:val="0"/>
        <w:adjustRightInd w:val="0"/>
        <w:ind w:left="0" w:firstLine="709"/>
        <w:rPr>
          <w:rFonts w:cs="Times New Roman"/>
          <w:szCs w:val="24"/>
        </w:rPr>
      </w:pPr>
      <w:r w:rsidRPr="00051297">
        <w:rPr>
          <w:rFonts w:cs="Times New Roman"/>
          <w:szCs w:val="24"/>
        </w:rPr>
        <w:t>Total length: 721 M</w:t>
      </w:r>
      <w:r w:rsidR="00A01314">
        <w:rPr>
          <w:rFonts w:cs="Times New Roman"/>
          <w:szCs w:val="24"/>
          <w:lang w:val="en-US"/>
        </w:rPr>
        <w:t>.</w:t>
      </w:r>
      <w:r w:rsidRPr="00051297">
        <w:rPr>
          <w:rFonts w:cs="Times New Roman"/>
          <w:szCs w:val="24"/>
        </w:rPr>
        <w:t xml:space="preserve"> </w:t>
      </w:r>
    </w:p>
    <w:p w14:paraId="5426ADA5" w14:textId="16D32BB6" w:rsidR="00051297" w:rsidRPr="00051297" w:rsidRDefault="00051297" w:rsidP="00051297">
      <w:pPr>
        <w:numPr>
          <w:ilvl w:val="0"/>
          <w:numId w:val="5"/>
        </w:numPr>
        <w:tabs>
          <w:tab w:val="left" w:pos="993"/>
        </w:tabs>
        <w:autoSpaceDE w:val="0"/>
        <w:autoSpaceDN w:val="0"/>
        <w:adjustRightInd w:val="0"/>
        <w:ind w:left="0" w:firstLine="709"/>
        <w:rPr>
          <w:rFonts w:cs="Times New Roman"/>
          <w:szCs w:val="24"/>
        </w:rPr>
      </w:pPr>
      <w:r w:rsidRPr="00051297">
        <w:rPr>
          <w:rFonts w:cs="Times New Roman"/>
          <w:szCs w:val="24"/>
        </w:rPr>
        <w:t>Maximum height: 60 M</w:t>
      </w:r>
      <w:r w:rsidR="00A01314">
        <w:rPr>
          <w:rFonts w:cs="Times New Roman"/>
          <w:szCs w:val="24"/>
          <w:lang w:val="en-US"/>
        </w:rPr>
        <w:t>.</w:t>
      </w:r>
    </w:p>
    <w:p w14:paraId="6AE06C54" w14:textId="3E40AC26" w:rsidR="00051297" w:rsidRPr="00051297" w:rsidRDefault="00051297" w:rsidP="00051297">
      <w:pPr>
        <w:numPr>
          <w:ilvl w:val="0"/>
          <w:numId w:val="5"/>
        </w:numPr>
        <w:tabs>
          <w:tab w:val="left" w:pos="993"/>
        </w:tabs>
        <w:autoSpaceDE w:val="0"/>
        <w:autoSpaceDN w:val="0"/>
        <w:adjustRightInd w:val="0"/>
        <w:ind w:left="0" w:firstLine="709"/>
        <w:rPr>
          <w:rFonts w:cs="Times New Roman"/>
          <w:szCs w:val="24"/>
          <w:lang w:val="en-US"/>
        </w:rPr>
      </w:pPr>
      <w:r w:rsidRPr="00051297">
        <w:rPr>
          <w:rFonts w:cs="Times New Roman"/>
          <w:szCs w:val="24"/>
          <w:lang w:val="en-US"/>
        </w:rPr>
        <w:t>Upstream and downstream embankment slope: 1.5:1 (H: V)</w:t>
      </w:r>
      <w:r w:rsidR="00A01314">
        <w:rPr>
          <w:rFonts w:cs="Times New Roman"/>
          <w:szCs w:val="24"/>
          <w:lang w:val="en-US"/>
        </w:rPr>
        <w:t>.</w:t>
      </w:r>
      <w:r w:rsidRPr="00051297">
        <w:rPr>
          <w:rFonts w:cs="Times New Roman"/>
          <w:szCs w:val="24"/>
          <w:lang w:val="en-US"/>
        </w:rPr>
        <w:t xml:space="preserve"> </w:t>
      </w:r>
    </w:p>
    <w:p w14:paraId="3EA8C71B" w14:textId="52190F23" w:rsidR="00051297" w:rsidRPr="00051297" w:rsidRDefault="00051297" w:rsidP="00051297">
      <w:pPr>
        <w:numPr>
          <w:ilvl w:val="0"/>
          <w:numId w:val="5"/>
        </w:numPr>
        <w:tabs>
          <w:tab w:val="left" w:pos="993"/>
        </w:tabs>
        <w:autoSpaceDE w:val="0"/>
        <w:autoSpaceDN w:val="0"/>
        <w:adjustRightInd w:val="0"/>
        <w:ind w:left="0" w:firstLine="709"/>
        <w:rPr>
          <w:rFonts w:cs="Times New Roman"/>
          <w:szCs w:val="24"/>
          <w:lang w:val="en-US"/>
        </w:rPr>
      </w:pPr>
      <w:r w:rsidRPr="00051297">
        <w:rPr>
          <w:rFonts w:cs="Times New Roman"/>
          <w:szCs w:val="24"/>
          <w:lang w:val="en-US"/>
        </w:rPr>
        <w:t>Maximum width (based on the fundamental triangle): 190 M</w:t>
      </w:r>
      <w:r w:rsidR="00A01314">
        <w:rPr>
          <w:rFonts w:cs="Times New Roman"/>
          <w:szCs w:val="24"/>
          <w:lang w:val="en-US"/>
        </w:rPr>
        <w:t>.</w:t>
      </w:r>
      <w:r w:rsidRPr="00051297">
        <w:rPr>
          <w:rFonts w:cs="Times New Roman"/>
          <w:szCs w:val="24"/>
          <w:lang w:val="en-US"/>
        </w:rPr>
        <w:t xml:space="preserve"> </w:t>
      </w:r>
    </w:p>
    <w:p w14:paraId="6BEB228F" w14:textId="266689AF" w:rsidR="00051297" w:rsidRPr="00051297" w:rsidRDefault="00051297" w:rsidP="00051297">
      <w:pPr>
        <w:numPr>
          <w:ilvl w:val="0"/>
          <w:numId w:val="5"/>
        </w:numPr>
        <w:tabs>
          <w:tab w:val="left" w:pos="993"/>
        </w:tabs>
        <w:autoSpaceDE w:val="0"/>
        <w:autoSpaceDN w:val="0"/>
        <w:adjustRightInd w:val="0"/>
        <w:ind w:left="0" w:firstLine="709"/>
        <w:rPr>
          <w:rFonts w:cs="Times New Roman"/>
          <w:szCs w:val="24"/>
        </w:rPr>
      </w:pPr>
      <w:r w:rsidRPr="00051297">
        <w:rPr>
          <w:rFonts w:cs="Times New Roman"/>
          <w:szCs w:val="24"/>
        </w:rPr>
        <w:t>Crest road width: 8M</w:t>
      </w:r>
      <w:r w:rsidR="00A01314">
        <w:rPr>
          <w:rFonts w:cs="Times New Roman"/>
          <w:szCs w:val="24"/>
          <w:lang w:val="en-US"/>
        </w:rPr>
        <w:t>.</w:t>
      </w:r>
      <w:r w:rsidRPr="00051297">
        <w:rPr>
          <w:rFonts w:cs="Times New Roman"/>
          <w:szCs w:val="24"/>
        </w:rPr>
        <w:t xml:space="preserve"> </w:t>
      </w:r>
    </w:p>
    <w:p w14:paraId="3699BA4A" w14:textId="1F3D5768" w:rsidR="00051297" w:rsidRPr="00051297" w:rsidRDefault="00051297" w:rsidP="00A01314">
      <w:r w:rsidRPr="00051297">
        <w:t>Operating water levels are</w:t>
      </w:r>
      <w:r w:rsidR="00A01314">
        <w:rPr>
          <w:lang w:val="en-US"/>
        </w:rPr>
        <w:t>:</w:t>
      </w:r>
      <w:r w:rsidRPr="00051297">
        <w:t xml:space="preserve"> </w:t>
      </w:r>
    </w:p>
    <w:p w14:paraId="428C89EA" w14:textId="51719E19" w:rsidR="00051297" w:rsidRPr="00051297" w:rsidRDefault="00051297" w:rsidP="00051297">
      <w:pPr>
        <w:numPr>
          <w:ilvl w:val="0"/>
          <w:numId w:val="5"/>
        </w:numPr>
        <w:tabs>
          <w:tab w:val="left" w:pos="993"/>
        </w:tabs>
        <w:autoSpaceDE w:val="0"/>
        <w:autoSpaceDN w:val="0"/>
        <w:adjustRightInd w:val="0"/>
        <w:ind w:left="0" w:firstLine="709"/>
        <w:rPr>
          <w:rFonts w:cs="Times New Roman"/>
          <w:szCs w:val="24"/>
          <w:lang w:val="en-US"/>
        </w:rPr>
      </w:pPr>
      <w:r w:rsidRPr="00051297">
        <w:rPr>
          <w:rFonts w:cs="Times New Roman"/>
          <w:szCs w:val="24"/>
          <w:lang w:val="en-US"/>
        </w:rPr>
        <w:t>Minimum operating level (low water level): EL. 1663.0</w:t>
      </w:r>
      <w:r w:rsidR="00A01314">
        <w:rPr>
          <w:rFonts w:cs="Times New Roman"/>
          <w:szCs w:val="24"/>
          <w:lang w:val="en-US"/>
        </w:rPr>
        <w:t>.</w:t>
      </w:r>
      <w:r w:rsidRPr="00051297">
        <w:rPr>
          <w:rFonts w:cs="Times New Roman"/>
          <w:szCs w:val="24"/>
          <w:lang w:val="en-US"/>
        </w:rPr>
        <w:t xml:space="preserve"> </w:t>
      </w:r>
    </w:p>
    <w:p w14:paraId="2493B877" w14:textId="0F4EE6CF" w:rsidR="00051297" w:rsidRPr="00051297" w:rsidRDefault="00051297" w:rsidP="00051297">
      <w:pPr>
        <w:numPr>
          <w:ilvl w:val="0"/>
          <w:numId w:val="5"/>
        </w:numPr>
        <w:tabs>
          <w:tab w:val="left" w:pos="993"/>
        </w:tabs>
        <w:autoSpaceDE w:val="0"/>
        <w:autoSpaceDN w:val="0"/>
        <w:adjustRightInd w:val="0"/>
        <w:ind w:left="0" w:firstLine="709"/>
        <w:rPr>
          <w:rFonts w:cs="Times New Roman"/>
          <w:szCs w:val="24"/>
          <w:lang w:val="en-US"/>
        </w:rPr>
      </w:pPr>
      <w:r w:rsidRPr="00051297">
        <w:rPr>
          <w:rFonts w:cs="Times New Roman"/>
          <w:szCs w:val="24"/>
          <w:lang w:val="en-US"/>
        </w:rPr>
        <w:t>Maximum operating level (normal high-water level): EL. 1677.0</w:t>
      </w:r>
      <w:r w:rsidR="00A01314">
        <w:rPr>
          <w:rFonts w:cs="Times New Roman"/>
          <w:szCs w:val="24"/>
          <w:lang w:val="en-US"/>
        </w:rPr>
        <w:t>.</w:t>
      </w:r>
      <w:r w:rsidRPr="00051297">
        <w:rPr>
          <w:rFonts w:cs="Times New Roman"/>
          <w:szCs w:val="24"/>
          <w:lang w:val="en-US"/>
        </w:rPr>
        <w:t xml:space="preserve"> </w:t>
      </w:r>
    </w:p>
    <w:p w14:paraId="52187AA1" w14:textId="60F94540" w:rsidR="00051297" w:rsidRPr="00051297" w:rsidRDefault="00051297" w:rsidP="00051297">
      <w:pPr>
        <w:numPr>
          <w:ilvl w:val="0"/>
          <w:numId w:val="5"/>
        </w:numPr>
        <w:tabs>
          <w:tab w:val="left" w:pos="993"/>
        </w:tabs>
        <w:ind w:left="0" w:firstLine="709"/>
        <w:contextualSpacing/>
        <w:rPr>
          <w:rFonts w:cs="Times New Roman"/>
          <w:szCs w:val="24"/>
          <w:lang w:val="en-US"/>
        </w:rPr>
      </w:pPr>
      <w:r w:rsidRPr="00051297">
        <w:rPr>
          <w:rFonts w:cs="Times New Roman"/>
          <w:szCs w:val="24"/>
          <w:lang w:val="en-US"/>
        </w:rPr>
        <w:t>Maximum flood level (maximum water level): EL. 1678.6</w:t>
      </w:r>
      <w:r w:rsidR="00A01314">
        <w:rPr>
          <w:rFonts w:cs="Times New Roman"/>
          <w:szCs w:val="24"/>
          <w:lang w:val="en-US"/>
        </w:rPr>
        <w:t>.</w:t>
      </w:r>
    </w:p>
    <w:p w14:paraId="102564AF" w14:textId="1D30A9C5" w:rsidR="00051297" w:rsidRPr="00051297" w:rsidRDefault="00051297" w:rsidP="00C925D9">
      <w:pPr>
        <w:pStyle w:val="4"/>
        <w:rPr>
          <w:lang w:val="en-US"/>
        </w:rPr>
      </w:pPr>
      <w:bookmarkStart w:id="1138" w:name="_Toc97504863"/>
      <w:bookmarkStart w:id="1139" w:name="_Toc103543997"/>
      <w:bookmarkStart w:id="1140" w:name="_Toc104985322"/>
      <w:r w:rsidRPr="00051297">
        <w:rPr>
          <w:lang w:val="en-US"/>
        </w:rPr>
        <w:t>The embankment geometry and soil characteristics</w:t>
      </w:r>
      <w:bookmarkEnd w:id="1138"/>
      <w:bookmarkEnd w:id="1139"/>
      <w:bookmarkEnd w:id="1140"/>
      <w:r w:rsidRPr="00051297">
        <w:rPr>
          <w:lang w:val="en-US"/>
        </w:rPr>
        <w:t xml:space="preserve">  </w:t>
      </w:r>
    </w:p>
    <w:p w14:paraId="05943A29" w14:textId="2A4D4150" w:rsidR="00051297" w:rsidRPr="00051297" w:rsidRDefault="00051297" w:rsidP="00051297">
      <w:pPr>
        <w:rPr>
          <w:rFonts w:eastAsia="Calibri" w:cs="Times New Roman"/>
          <w:szCs w:val="24"/>
          <w:lang w:val="en-US"/>
        </w:rPr>
      </w:pPr>
      <w:r w:rsidRPr="00051297">
        <w:rPr>
          <w:rFonts w:eastAsia="Calibri" w:cs="Times New Roman"/>
          <w:szCs w:val="24"/>
          <w:lang w:val="en-US"/>
        </w:rPr>
        <w:t>The embankment geometry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_Ref98106536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11</w:t>
      </w:r>
      <w:r w:rsidRPr="00051297">
        <w:rPr>
          <w:rFonts w:eastAsia="Calibri" w:cs="Times New Roman"/>
          <w:szCs w:val="24"/>
          <w:lang w:val="en-US"/>
        </w:rPr>
        <w:fldChar w:fldCharType="end"/>
      </w:r>
      <w:r w:rsidRPr="00051297">
        <w:rPr>
          <w:rFonts w:eastAsia="Calibri" w:cs="Times New Roman"/>
          <w:szCs w:val="24"/>
          <w:lang w:val="en-US"/>
        </w:rPr>
        <w:t>) is divided into five zones, with zones 3a and 3b having similar material characteristics. Zone 1 of the embankment was assigned diverse material properties, with coarse material combined with fine materials (silt and clay percentage) and saturated hydraulic conductivities (k</w:t>
      </w:r>
      <w:r w:rsidRPr="00051297">
        <w:rPr>
          <w:rFonts w:eastAsia="Calibri" w:cs="Times New Roman"/>
          <w:szCs w:val="24"/>
          <w:vertAlign w:val="subscript"/>
          <w:lang w:val="en-US"/>
        </w:rPr>
        <w:t>sat</w:t>
      </w:r>
      <w:r w:rsidRPr="00051297">
        <w:rPr>
          <w:rFonts w:eastAsia="Calibri" w:cs="Times New Roman"/>
          <w:szCs w:val="24"/>
          <w:lang w:val="en-US"/>
        </w:rPr>
        <w:t xml:space="preserve">) as well as liquid limit ranging (from 25% to 45%). </w:t>
      </w:r>
      <w:r w:rsidRPr="00051297">
        <w:rPr>
          <w:rFonts w:eastAsia="Calibri" w:cs="Times New Roman"/>
          <w:szCs w:val="24"/>
          <w:lang w:val="en-US"/>
        </w:rPr>
        <w:lastRenderedPageBreak/>
        <w:t>Cohesive material, fine-grained material, and clay with varying ksat values characterize Zone 2. Zones 3a and 3b are distinguished by non-cohesive soil and filter material (sand and gravel), whereas Zone 4 is distinguished by coarse material with a low fines concentration.</w:t>
      </w:r>
    </w:p>
    <w:p w14:paraId="2287ED4B" w14:textId="5CAA3652" w:rsidR="00051297" w:rsidRPr="00051297" w:rsidRDefault="00C1744E" w:rsidP="00051297">
      <w:pPr>
        <w:keepNext/>
        <w:spacing w:after="120"/>
        <w:ind w:firstLine="0"/>
        <w:jc w:val="center"/>
        <w:rPr>
          <w:rFonts w:cs="Times New Roman"/>
          <w:szCs w:val="24"/>
        </w:rPr>
      </w:pPr>
      <w:r>
        <w:rPr>
          <w:noProof/>
        </w:rPr>
        <w:drawing>
          <wp:inline distT="0" distB="0" distL="0" distR="0" wp14:anchorId="74BA36D4" wp14:editId="47638BF8">
            <wp:extent cx="5939790" cy="2092325"/>
            <wp:effectExtent l="0" t="0" r="3810" b="317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39790" cy="2092325"/>
                    </a:xfrm>
                    <a:prstGeom prst="rect">
                      <a:avLst/>
                    </a:prstGeom>
                    <a:noFill/>
                    <a:ln>
                      <a:noFill/>
                    </a:ln>
                  </pic:spPr>
                </pic:pic>
              </a:graphicData>
            </a:graphic>
          </wp:inline>
        </w:drawing>
      </w:r>
    </w:p>
    <w:p w14:paraId="53A72B24" w14:textId="658686FA" w:rsidR="00051297" w:rsidRPr="00051297" w:rsidRDefault="00051297" w:rsidP="00051297">
      <w:pPr>
        <w:ind w:firstLine="0"/>
        <w:jc w:val="center"/>
        <w:rPr>
          <w:rFonts w:cs="Times New Roman"/>
          <w:szCs w:val="24"/>
          <w:lang w:val="en-US" w:bidi="en-US"/>
        </w:rPr>
      </w:pPr>
      <w:bookmarkStart w:id="1141" w:name="_Ref98106536"/>
      <w:bookmarkStart w:id="1142" w:name="_Toc97428277"/>
      <w:bookmarkStart w:id="1143" w:name="_Toc98085952"/>
      <w:bookmarkStart w:id="1144" w:name="_Toc103544147"/>
      <w:bookmarkStart w:id="1145" w:name="_Toc104985470"/>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11</w:t>
      </w:r>
      <w:r w:rsidR="00527861">
        <w:rPr>
          <w:rFonts w:cs="Times New Roman"/>
          <w:szCs w:val="24"/>
          <w:lang w:val="en-US" w:bidi="en-US"/>
        </w:rPr>
        <w:fldChar w:fldCharType="end"/>
      </w:r>
      <w:bookmarkEnd w:id="1141"/>
      <w:r w:rsidRPr="00051297">
        <w:rPr>
          <w:lang w:val="en-US"/>
        </w:rPr>
        <w:t xml:space="preserve"> </w:t>
      </w:r>
      <w:r w:rsidRPr="00051297">
        <w:rPr>
          <w:rFonts w:cs="Times New Roman"/>
          <w:szCs w:val="24"/>
          <w:lang w:val="en-US" w:bidi="en-US"/>
        </w:rPr>
        <w:t>– Embankment geometry</w:t>
      </w:r>
      <w:bookmarkEnd w:id="1142"/>
      <w:bookmarkEnd w:id="1143"/>
      <w:bookmarkEnd w:id="1144"/>
      <w:bookmarkEnd w:id="1145"/>
    </w:p>
    <w:p w14:paraId="4F2ED633" w14:textId="3581008E" w:rsidR="00051297" w:rsidRPr="00051297" w:rsidRDefault="00051297" w:rsidP="00051297">
      <w:pPr>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_Ref98106598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5</w:t>
      </w:r>
      <w:r w:rsidR="004870F1" w:rsidRPr="00051297">
        <w:rPr>
          <w:rFonts w:cs="Times New Roman"/>
          <w:szCs w:val="24"/>
          <w:lang w:val="en-US" w:bidi="en-US"/>
        </w:rPr>
        <w:t>.</w:t>
      </w:r>
      <w:r w:rsidR="004870F1">
        <w:rPr>
          <w:rFonts w:cs="Times New Roman"/>
          <w:noProof/>
          <w:szCs w:val="24"/>
          <w:lang w:val="en-US" w:bidi="en-US"/>
        </w:rPr>
        <w:t>2</w:t>
      </w:r>
      <w:r w:rsidRPr="00051297">
        <w:rPr>
          <w:rFonts w:eastAsia="Calibri" w:cs="Times New Roman"/>
          <w:szCs w:val="24"/>
          <w:lang w:val="en-US"/>
        </w:rPr>
        <w:fldChar w:fldCharType="end"/>
      </w:r>
      <w:r w:rsidRPr="00051297">
        <w:rPr>
          <w:rFonts w:eastAsia="Calibri" w:cs="Times New Roman"/>
          <w:szCs w:val="24"/>
          <w:lang w:val="en-US"/>
        </w:rPr>
        <w:t xml:space="preserve"> provides a summary of the material characteristics for each zone of the embankment investigated in this study. The geotechnical parameters were derived both from laboratory tests and previous testing.</w:t>
      </w:r>
    </w:p>
    <w:p w14:paraId="52DC3F5D" w14:textId="355F3927" w:rsidR="00051297" w:rsidRPr="00051297" w:rsidRDefault="00051297" w:rsidP="00051297">
      <w:pPr>
        <w:rPr>
          <w:rFonts w:cs="Times New Roman"/>
          <w:szCs w:val="24"/>
          <w:lang w:val="en-US" w:bidi="en-US"/>
        </w:rPr>
      </w:pPr>
      <w:bookmarkStart w:id="1146" w:name="_Ref98106598"/>
      <w:bookmarkStart w:id="1147" w:name="_Toc97077208"/>
      <w:bookmarkStart w:id="1148" w:name="_Toc103544257"/>
      <w:bookmarkStart w:id="1149" w:name="_Toc104985583"/>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5</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2</w:t>
      </w:r>
      <w:r w:rsidRPr="00051297">
        <w:rPr>
          <w:rFonts w:cs="Times New Roman"/>
          <w:szCs w:val="24"/>
          <w:lang w:val="en-US" w:bidi="en-US"/>
        </w:rPr>
        <w:fldChar w:fldCharType="end"/>
      </w:r>
      <w:bookmarkEnd w:id="1146"/>
      <w:r w:rsidRPr="00051297">
        <w:t xml:space="preserve"> </w:t>
      </w:r>
      <w:r w:rsidRPr="00051297">
        <w:rPr>
          <w:rFonts w:cs="Times New Roman"/>
          <w:szCs w:val="24"/>
          <w:lang w:val="en-US" w:bidi="en-US"/>
        </w:rPr>
        <w:t>– Material properties</w:t>
      </w:r>
      <w:bookmarkEnd w:id="1147"/>
      <w:bookmarkEnd w:id="1148"/>
      <w:bookmarkEnd w:id="1149"/>
      <w:r w:rsidRPr="00051297">
        <w:rPr>
          <w:rFonts w:cs="Times New Roman"/>
          <w:szCs w:val="24"/>
          <w:lang w:val="en-US" w:bidi="en-US"/>
        </w:rPr>
        <w:t xml:space="preserve"> </w:t>
      </w:r>
    </w:p>
    <w:tbl>
      <w:tblPr>
        <w:tblStyle w:val="TableGrid1"/>
        <w:tblW w:w="0" w:type="auto"/>
        <w:jc w:val="center"/>
        <w:tblInd w:w="0" w:type="dxa"/>
        <w:tblLook w:val="04A0" w:firstRow="1" w:lastRow="0" w:firstColumn="1" w:lastColumn="0" w:noHBand="0" w:noVBand="1"/>
      </w:tblPr>
      <w:tblGrid>
        <w:gridCol w:w="4018"/>
        <w:gridCol w:w="1144"/>
        <w:gridCol w:w="1329"/>
        <w:gridCol w:w="1310"/>
        <w:gridCol w:w="1543"/>
      </w:tblGrid>
      <w:tr w:rsidR="00051297" w:rsidRPr="00051297" w14:paraId="310A618C" w14:textId="77777777" w:rsidTr="00D20B01">
        <w:trPr>
          <w:trHeight w:val="300"/>
          <w:jc w:val="center"/>
        </w:trPr>
        <w:tc>
          <w:tcPr>
            <w:tcW w:w="4018" w:type="dxa"/>
            <w:noWrap/>
            <w:hideMark/>
          </w:tcPr>
          <w:p w14:paraId="6677AEA5" w14:textId="77777777" w:rsidR="00051297" w:rsidRPr="00051297" w:rsidRDefault="00051297" w:rsidP="00051297">
            <w:pPr>
              <w:spacing w:line="240" w:lineRule="auto"/>
              <w:ind w:firstLine="0"/>
              <w:jc w:val="center"/>
              <w:rPr>
                <w:lang w:val="en-US"/>
              </w:rPr>
            </w:pPr>
            <w:r w:rsidRPr="00051297">
              <w:rPr>
                <w:lang w:val="en-US"/>
              </w:rPr>
              <w:t>Parameter</w:t>
            </w:r>
          </w:p>
        </w:tc>
        <w:tc>
          <w:tcPr>
            <w:tcW w:w="5326" w:type="dxa"/>
            <w:gridSpan w:val="4"/>
            <w:noWrap/>
            <w:hideMark/>
          </w:tcPr>
          <w:p w14:paraId="1873E44F" w14:textId="77777777" w:rsidR="00051297" w:rsidRPr="00051297" w:rsidRDefault="00051297" w:rsidP="00051297">
            <w:pPr>
              <w:spacing w:line="240" w:lineRule="auto"/>
              <w:ind w:firstLine="0"/>
              <w:jc w:val="center"/>
              <w:rPr>
                <w:lang w:val="en-US"/>
              </w:rPr>
            </w:pPr>
            <w:r w:rsidRPr="00051297">
              <w:rPr>
                <w:lang w:val="en-US"/>
              </w:rPr>
              <w:t>Zone</w:t>
            </w:r>
          </w:p>
        </w:tc>
      </w:tr>
      <w:tr w:rsidR="00051297" w:rsidRPr="00051297" w14:paraId="54FA31FF" w14:textId="77777777" w:rsidTr="00D20B01">
        <w:trPr>
          <w:trHeight w:val="70"/>
          <w:jc w:val="center"/>
        </w:trPr>
        <w:tc>
          <w:tcPr>
            <w:tcW w:w="4018" w:type="dxa"/>
            <w:noWrap/>
            <w:hideMark/>
          </w:tcPr>
          <w:p w14:paraId="764D1032" w14:textId="77777777" w:rsidR="00051297" w:rsidRPr="00051297" w:rsidRDefault="00051297" w:rsidP="00051297">
            <w:pPr>
              <w:spacing w:line="240" w:lineRule="auto"/>
              <w:ind w:firstLine="0"/>
              <w:jc w:val="center"/>
              <w:rPr>
                <w:lang w:val="en-US"/>
              </w:rPr>
            </w:pPr>
          </w:p>
        </w:tc>
        <w:tc>
          <w:tcPr>
            <w:tcW w:w="1144" w:type="dxa"/>
            <w:noWrap/>
            <w:hideMark/>
          </w:tcPr>
          <w:p w14:paraId="0573544A" w14:textId="77777777" w:rsidR="00051297" w:rsidRPr="00051297" w:rsidRDefault="00051297" w:rsidP="00051297">
            <w:pPr>
              <w:spacing w:line="240" w:lineRule="auto"/>
              <w:ind w:firstLine="0"/>
              <w:jc w:val="center"/>
              <w:rPr>
                <w:lang w:val="en-US"/>
              </w:rPr>
            </w:pPr>
            <w:r w:rsidRPr="00051297">
              <w:rPr>
                <w:lang w:val="en-US"/>
              </w:rPr>
              <w:t>Zone 1</w:t>
            </w:r>
          </w:p>
        </w:tc>
        <w:tc>
          <w:tcPr>
            <w:tcW w:w="1329" w:type="dxa"/>
            <w:noWrap/>
            <w:hideMark/>
          </w:tcPr>
          <w:p w14:paraId="347553C1" w14:textId="77777777" w:rsidR="00051297" w:rsidRPr="00051297" w:rsidRDefault="00051297" w:rsidP="00051297">
            <w:pPr>
              <w:spacing w:line="240" w:lineRule="auto"/>
              <w:ind w:firstLine="0"/>
              <w:jc w:val="center"/>
              <w:rPr>
                <w:lang w:val="en-US"/>
              </w:rPr>
            </w:pPr>
            <w:r w:rsidRPr="00051297">
              <w:rPr>
                <w:lang w:val="en-US"/>
              </w:rPr>
              <w:t>Zone 2</w:t>
            </w:r>
          </w:p>
        </w:tc>
        <w:tc>
          <w:tcPr>
            <w:tcW w:w="1310" w:type="dxa"/>
            <w:noWrap/>
            <w:hideMark/>
          </w:tcPr>
          <w:p w14:paraId="141AE7C9" w14:textId="77777777" w:rsidR="00051297" w:rsidRPr="00051297" w:rsidRDefault="00051297" w:rsidP="00051297">
            <w:pPr>
              <w:spacing w:line="240" w:lineRule="auto"/>
              <w:ind w:firstLine="0"/>
              <w:jc w:val="center"/>
              <w:rPr>
                <w:lang w:val="en-US"/>
              </w:rPr>
            </w:pPr>
            <w:r w:rsidRPr="00051297">
              <w:rPr>
                <w:lang w:val="en-US"/>
              </w:rPr>
              <w:t>Zone 3a,b</w:t>
            </w:r>
          </w:p>
        </w:tc>
        <w:tc>
          <w:tcPr>
            <w:tcW w:w="1543" w:type="dxa"/>
            <w:noWrap/>
            <w:hideMark/>
          </w:tcPr>
          <w:p w14:paraId="673AC73C" w14:textId="77777777" w:rsidR="00051297" w:rsidRPr="00051297" w:rsidRDefault="00051297" w:rsidP="00051297">
            <w:pPr>
              <w:spacing w:line="240" w:lineRule="auto"/>
              <w:ind w:firstLine="0"/>
              <w:jc w:val="center"/>
              <w:rPr>
                <w:lang w:val="en-US"/>
              </w:rPr>
            </w:pPr>
            <w:r w:rsidRPr="00051297">
              <w:rPr>
                <w:lang w:val="en-US"/>
              </w:rPr>
              <w:t>Zone 4</w:t>
            </w:r>
          </w:p>
        </w:tc>
      </w:tr>
      <w:tr w:rsidR="00051297" w:rsidRPr="00051297" w14:paraId="26B1B9D4" w14:textId="77777777" w:rsidTr="00D20B01">
        <w:trPr>
          <w:trHeight w:val="70"/>
          <w:jc w:val="center"/>
        </w:trPr>
        <w:tc>
          <w:tcPr>
            <w:tcW w:w="4018" w:type="dxa"/>
            <w:vMerge w:val="restart"/>
            <w:noWrap/>
            <w:hideMark/>
          </w:tcPr>
          <w:p w14:paraId="1D5CDE61" w14:textId="77777777" w:rsidR="00051297" w:rsidRPr="00051297" w:rsidRDefault="00051297" w:rsidP="00051297">
            <w:pPr>
              <w:spacing w:line="240" w:lineRule="auto"/>
              <w:ind w:firstLine="0"/>
              <w:jc w:val="center"/>
              <w:rPr>
                <w:lang w:val="en-US"/>
              </w:rPr>
            </w:pPr>
            <w:r w:rsidRPr="00051297">
              <w:rPr>
                <w:lang w:val="en-US"/>
              </w:rPr>
              <w:t>Saturated hydraulic conductivity (k</w:t>
            </w:r>
            <w:r w:rsidRPr="002F7563">
              <w:rPr>
                <w:vertAlign w:val="subscript"/>
                <w:lang w:val="en-US"/>
              </w:rPr>
              <w:t>sat</w:t>
            </w:r>
            <w:r w:rsidRPr="00051297">
              <w:rPr>
                <w:lang w:val="en-US"/>
              </w:rPr>
              <w:t>), m/s</w:t>
            </w:r>
          </w:p>
        </w:tc>
        <w:tc>
          <w:tcPr>
            <w:tcW w:w="1144" w:type="dxa"/>
            <w:hideMark/>
          </w:tcPr>
          <w:p w14:paraId="0ECBE172" w14:textId="77777777" w:rsidR="00051297" w:rsidRPr="00051297" w:rsidRDefault="00051297" w:rsidP="00051297">
            <w:pPr>
              <w:spacing w:line="240" w:lineRule="auto"/>
              <w:ind w:firstLine="0"/>
              <w:jc w:val="center"/>
              <w:rPr>
                <w:lang w:val="en-US"/>
              </w:rPr>
            </w:pPr>
            <w:r w:rsidRPr="00051297">
              <w:rPr>
                <w:lang w:val="en-US"/>
              </w:rPr>
              <w:t>5 ∙ 10</w:t>
            </w:r>
            <w:r w:rsidRPr="00051297">
              <w:rPr>
                <w:vertAlign w:val="superscript"/>
                <w:lang w:val="en-US"/>
              </w:rPr>
              <w:t>-5</w:t>
            </w:r>
            <w:r w:rsidRPr="00051297">
              <w:rPr>
                <w:lang w:val="en-US"/>
              </w:rPr>
              <w:t xml:space="preserve"> </w:t>
            </w:r>
          </w:p>
        </w:tc>
        <w:tc>
          <w:tcPr>
            <w:tcW w:w="1329" w:type="dxa"/>
            <w:vMerge w:val="restart"/>
            <w:noWrap/>
            <w:hideMark/>
          </w:tcPr>
          <w:p w14:paraId="3E947A5A" w14:textId="77777777" w:rsidR="00051297" w:rsidRPr="00051297" w:rsidRDefault="00051297" w:rsidP="00051297">
            <w:pPr>
              <w:spacing w:line="240" w:lineRule="auto"/>
              <w:ind w:firstLine="0"/>
              <w:jc w:val="center"/>
              <w:rPr>
                <w:lang w:val="en-US"/>
              </w:rPr>
            </w:pPr>
            <w:r w:rsidRPr="00051297">
              <w:rPr>
                <w:lang w:val="en-US"/>
              </w:rPr>
              <w:t>10</w:t>
            </w:r>
            <w:r w:rsidRPr="00051297">
              <w:rPr>
                <w:vertAlign w:val="superscript"/>
                <w:lang w:val="en-US"/>
              </w:rPr>
              <w:t>-8</w:t>
            </w:r>
          </w:p>
        </w:tc>
        <w:tc>
          <w:tcPr>
            <w:tcW w:w="1310" w:type="dxa"/>
            <w:vMerge w:val="restart"/>
            <w:noWrap/>
            <w:hideMark/>
          </w:tcPr>
          <w:p w14:paraId="6126A16A" w14:textId="77777777" w:rsidR="00051297" w:rsidRPr="00051297" w:rsidRDefault="00051297" w:rsidP="00051297">
            <w:pPr>
              <w:spacing w:line="240" w:lineRule="auto"/>
              <w:ind w:firstLine="0"/>
              <w:jc w:val="center"/>
              <w:rPr>
                <w:lang w:val="en-US"/>
              </w:rPr>
            </w:pPr>
            <w:r w:rsidRPr="00051297">
              <w:rPr>
                <w:lang w:val="en-US"/>
              </w:rPr>
              <w:t>10</w:t>
            </w:r>
            <w:r w:rsidRPr="00051297">
              <w:rPr>
                <w:vertAlign w:val="superscript"/>
                <w:lang w:val="en-US"/>
              </w:rPr>
              <w:t>-4</w:t>
            </w:r>
          </w:p>
        </w:tc>
        <w:tc>
          <w:tcPr>
            <w:tcW w:w="1543" w:type="dxa"/>
            <w:vMerge w:val="restart"/>
            <w:noWrap/>
            <w:hideMark/>
          </w:tcPr>
          <w:p w14:paraId="220B4DBB" w14:textId="77777777" w:rsidR="00051297" w:rsidRPr="00051297" w:rsidRDefault="00051297" w:rsidP="00051297">
            <w:pPr>
              <w:spacing w:line="240" w:lineRule="auto"/>
              <w:ind w:firstLine="0"/>
              <w:jc w:val="center"/>
              <w:rPr>
                <w:lang w:val="en-US"/>
              </w:rPr>
            </w:pPr>
            <w:r w:rsidRPr="00051297">
              <w:rPr>
                <w:lang w:val="en-US"/>
              </w:rPr>
              <w:t>5x10</w:t>
            </w:r>
            <w:r w:rsidRPr="00051297">
              <w:rPr>
                <w:vertAlign w:val="superscript"/>
                <w:lang w:val="en-US"/>
              </w:rPr>
              <w:t>-5</w:t>
            </w:r>
          </w:p>
        </w:tc>
      </w:tr>
      <w:tr w:rsidR="00051297" w:rsidRPr="00051297" w14:paraId="49B613CA" w14:textId="77777777" w:rsidTr="00D20B01">
        <w:trPr>
          <w:trHeight w:val="180"/>
          <w:jc w:val="center"/>
        </w:trPr>
        <w:tc>
          <w:tcPr>
            <w:tcW w:w="4018" w:type="dxa"/>
            <w:vMerge/>
            <w:noWrap/>
            <w:hideMark/>
          </w:tcPr>
          <w:p w14:paraId="0B32CB04" w14:textId="77777777" w:rsidR="00051297" w:rsidRPr="00051297" w:rsidRDefault="00051297" w:rsidP="00051297">
            <w:pPr>
              <w:spacing w:line="240" w:lineRule="auto"/>
              <w:ind w:firstLine="0"/>
              <w:jc w:val="center"/>
              <w:rPr>
                <w:lang w:val="en-US"/>
              </w:rPr>
            </w:pPr>
          </w:p>
        </w:tc>
        <w:tc>
          <w:tcPr>
            <w:tcW w:w="1144" w:type="dxa"/>
            <w:hideMark/>
          </w:tcPr>
          <w:p w14:paraId="36A3197E" w14:textId="77777777" w:rsidR="00051297" w:rsidRPr="00051297" w:rsidRDefault="00051297" w:rsidP="00051297">
            <w:pPr>
              <w:spacing w:line="240" w:lineRule="auto"/>
              <w:ind w:firstLine="0"/>
              <w:jc w:val="center"/>
              <w:rPr>
                <w:lang w:val="en-US"/>
              </w:rPr>
            </w:pPr>
            <w:r w:rsidRPr="00051297">
              <w:rPr>
                <w:lang w:val="en-US"/>
              </w:rPr>
              <w:t>10</w:t>
            </w:r>
            <w:r w:rsidRPr="00051297">
              <w:rPr>
                <w:vertAlign w:val="superscript"/>
                <w:lang w:val="en-US"/>
              </w:rPr>
              <w:t>-5</w:t>
            </w:r>
            <w:r w:rsidRPr="00051297">
              <w:rPr>
                <w:lang w:val="en-US"/>
              </w:rPr>
              <w:t xml:space="preserve"> </w:t>
            </w:r>
          </w:p>
        </w:tc>
        <w:tc>
          <w:tcPr>
            <w:tcW w:w="0" w:type="auto"/>
            <w:vMerge/>
            <w:vAlign w:val="center"/>
            <w:hideMark/>
          </w:tcPr>
          <w:p w14:paraId="2A15C3BA" w14:textId="77777777" w:rsidR="00051297" w:rsidRPr="00051297" w:rsidRDefault="00051297" w:rsidP="00051297">
            <w:pPr>
              <w:spacing w:line="240" w:lineRule="auto"/>
              <w:ind w:firstLine="0"/>
              <w:jc w:val="center"/>
              <w:rPr>
                <w:lang w:val="en-US"/>
              </w:rPr>
            </w:pPr>
          </w:p>
        </w:tc>
        <w:tc>
          <w:tcPr>
            <w:tcW w:w="0" w:type="auto"/>
            <w:vMerge/>
            <w:vAlign w:val="center"/>
            <w:hideMark/>
          </w:tcPr>
          <w:p w14:paraId="20027EF4" w14:textId="77777777" w:rsidR="00051297" w:rsidRPr="00051297" w:rsidRDefault="00051297" w:rsidP="00051297">
            <w:pPr>
              <w:spacing w:line="240" w:lineRule="auto"/>
              <w:ind w:firstLine="0"/>
              <w:jc w:val="center"/>
              <w:rPr>
                <w:lang w:val="en-US"/>
              </w:rPr>
            </w:pPr>
          </w:p>
        </w:tc>
        <w:tc>
          <w:tcPr>
            <w:tcW w:w="0" w:type="auto"/>
            <w:vMerge/>
            <w:vAlign w:val="center"/>
            <w:hideMark/>
          </w:tcPr>
          <w:p w14:paraId="1ACD1BF4" w14:textId="77777777" w:rsidR="00051297" w:rsidRPr="00051297" w:rsidRDefault="00051297" w:rsidP="00051297">
            <w:pPr>
              <w:spacing w:line="240" w:lineRule="auto"/>
              <w:ind w:firstLine="0"/>
              <w:jc w:val="center"/>
              <w:rPr>
                <w:lang w:val="en-US"/>
              </w:rPr>
            </w:pPr>
          </w:p>
        </w:tc>
      </w:tr>
      <w:tr w:rsidR="00051297" w:rsidRPr="00051297" w14:paraId="78740790" w14:textId="77777777" w:rsidTr="00D20B01">
        <w:trPr>
          <w:trHeight w:val="70"/>
          <w:jc w:val="center"/>
        </w:trPr>
        <w:tc>
          <w:tcPr>
            <w:tcW w:w="4018" w:type="dxa"/>
            <w:vMerge/>
            <w:noWrap/>
            <w:hideMark/>
          </w:tcPr>
          <w:p w14:paraId="69221667" w14:textId="77777777" w:rsidR="00051297" w:rsidRPr="00051297" w:rsidRDefault="00051297" w:rsidP="00051297">
            <w:pPr>
              <w:spacing w:line="240" w:lineRule="auto"/>
              <w:ind w:firstLine="0"/>
              <w:jc w:val="center"/>
              <w:rPr>
                <w:lang w:val="en-US"/>
              </w:rPr>
            </w:pPr>
          </w:p>
        </w:tc>
        <w:tc>
          <w:tcPr>
            <w:tcW w:w="1144" w:type="dxa"/>
            <w:hideMark/>
          </w:tcPr>
          <w:p w14:paraId="5BC26E71" w14:textId="77777777" w:rsidR="00051297" w:rsidRPr="00051297" w:rsidRDefault="00051297" w:rsidP="00051297">
            <w:pPr>
              <w:spacing w:line="240" w:lineRule="auto"/>
              <w:ind w:firstLine="0"/>
              <w:jc w:val="center"/>
              <w:rPr>
                <w:lang w:val="en-US"/>
              </w:rPr>
            </w:pPr>
            <w:r w:rsidRPr="00051297">
              <w:rPr>
                <w:lang w:val="en-US"/>
              </w:rPr>
              <w:t>5 ∙ 10</w:t>
            </w:r>
            <w:r w:rsidRPr="00051297">
              <w:rPr>
                <w:vertAlign w:val="superscript"/>
                <w:lang w:val="en-US"/>
              </w:rPr>
              <w:t>-6</w:t>
            </w:r>
            <w:r w:rsidRPr="00051297">
              <w:rPr>
                <w:lang w:val="en-US"/>
              </w:rPr>
              <w:t xml:space="preserve"> </w:t>
            </w:r>
          </w:p>
        </w:tc>
        <w:tc>
          <w:tcPr>
            <w:tcW w:w="0" w:type="auto"/>
            <w:vMerge/>
            <w:vAlign w:val="center"/>
            <w:hideMark/>
          </w:tcPr>
          <w:p w14:paraId="4D13DD03" w14:textId="77777777" w:rsidR="00051297" w:rsidRPr="00051297" w:rsidRDefault="00051297" w:rsidP="00051297">
            <w:pPr>
              <w:spacing w:line="240" w:lineRule="auto"/>
              <w:ind w:firstLine="0"/>
              <w:jc w:val="center"/>
              <w:rPr>
                <w:lang w:val="en-US"/>
              </w:rPr>
            </w:pPr>
          </w:p>
        </w:tc>
        <w:tc>
          <w:tcPr>
            <w:tcW w:w="0" w:type="auto"/>
            <w:vMerge/>
            <w:vAlign w:val="center"/>
            <w:hideMark/>
          </w:tcPr>
          <w:p w14:paraId="0E128E84" w14:textId="77777777" w:rsidR="00051297" w:rsidRPr="00051297" w:rsidRDefault="00051297" w:rsidP="00051297">
            <w:pPr>
              <w:spacing w:line="240" w:lineRule="auto"/>
              <w:ind w:firstLine="0"/>
              <w:jc w:val="center"/>
              <w:rPr>
                <w:lang w:val="en-US"/>
              </w:rPr>
            </w:pPr>
          </w:p>
        </w:tc>
        <w:tc>
          <w:tcPr>
            <w:tcW w:w="0" w:type="auto"/>
            <w:vMerge/>
            <w:vAlign w:val="center"/>
            <w:hideMark/>
          </w:tcPr>
          <w:p w14:paraId="78F209EF" w14:textId="77777777" w:rsidR="00051297" w:rsidRPr="00051297" w:rsidRDefault="00051297" w:rsidP="00051297">
            <w:pPr>
              <w:spacing w:line="240" w:lineRule="auto"/>
              <w:ind w:firstLine="0"/>
              <w:jc w:val="center"/>
              <w:rPr>
                <w:lang w:val="en-US"/>
              </w:rPr>
            </w:pPr>
          </w:p>
        </w:tc>
      </w:tr>
      <w:tr w:rsidR="00051297" w:rsidRPr="00051297" w14:paraId="137A5E4E" w14:textId="77777777" w:rsidTr="00D20B01">
        <w:trPr>
          <w:trHeight w:val="70"/>
          <w:jc w:val="center"/>
        </w:trPr>
        <w:tc>
          <w:tcPr>
            <w:tcW w:w="4018" w:type="dxa"/>
            <w:vMerge/>
            <w:noWrap/>
            <w:hideMark/>
          </w:tcPr>
          <w:p w14:paraId="16531554" w14:textId="77777777" w:rsidR="00051297" w:rsidRPr="00051297" w:rsidRDefault="00051297" w:rsidP="00051297">
            <w:pPr>
              <w:spacing w:line="240" w:lineRule="auto"/>
              <w:ind w:firstLine="0"/>
              <w:jc w:val="center"/>
              <w:rPr>
                <w:lang w:val="en-US"/>
              </w:rPr>
            </w:pPr>
          </w:p>
        </w:tc>
        <w:tc>
          <w:tcPr>
            <w:tcW w:w="1144" w:type="dxa"/>
            <w:hideMark/>
          </w:tcPr>
          <w:p w14:paraId="0C65EE4B" w14:textId="77777777" w:rsidR="00051297" w:rsidRPr="00051297" w:rsidRDefault="00051297" w:rsidP="00051297">
            <w:pPr>
              <w:spacing w:line="240" w:lineRule="auto"/>
              <w:ind w:firstLine="0"/>
              <w:jc w:val="center"/>
              <w:rPr>
                <w:lang w:val="en-US"/>
              </w:rPr>
            </w:pPr>
            <w:r w:rsidRPr="00051297">
              <w:rPr>
                <w:lang w:val="en-US"/>
              </w:rPr>
              <w:t>10</w:t>
            </w:r>
            <w:r w:rsidRPr="00051297">
              <w:rPr>
                <w:vertAlign w:val="superscript"/>
                <w:lang w:val="en-US"/>
              </w:rPr>
              <w:t>-6</w:t>
            </w:r>
            <w:r w:rsidRPr="00051297">
              <w:rPr>
                <w:lang w:val="en-US"/>
              </w:rPr>
              <w:t xml:space="preserve"> </w:t>
            </w:r>
          </w:p>
        </w:tc>
        <w:tc>
          <w:tcPr>
            <w:tcW w:w="0" w:type="auto"/>
            <w:vMerge/>
            <w:vAlign w:val="center"/>
            <w:hideMark/>
          </w:tcPr>
          <w:p w14:paraId="3D735E41" w14:textId="77777777" w:rsidR="00051297" w:rsidRPr="00051297" w:rsidRDefault="00051297" w:rsidP="00051297">
            <w:pPr>
              <w:spacing w:line="240" w:lineRule="auto"/>
              <w:ind w:firstLine="0"/>
              <w:jc w:val="center"/>
              <w:rPr>
                <w:lang w:val="en-US"/>
              </w:rPr>
            </w:pPr>
          </w:p>
        </w:tc>
        <w:tc>
          <w:tcPr>
            <w:tcW w:w="0" w:type="auto"/>
            <w:vMerge/>
            <w:vAlign w:val="center"/>
            <w:hideMark/>
          </w:tcPr>
          <w:p w14:paraId="0DF3C77F" w14:textId="77777777" w:rsidR="00051297" w:rsidRPr="00051297" w:rsidRDefault="00051297" w:rsidP="00051297">
            <w:pPr>
              <w:spacing w:line="240" w:lineRule="auto"/>
              <w:ind w:firstLine="0"/>
              <w:jc w:val="center"/>
              <w:rPr>
                <w:lang w:val="en-US"/>
              </w:rPr>
            </w:pPr>
          </w:p>
        </w:tc>
        <w:tc>
          <w:tcPr>
            <w:tcW w:w="0" w:type="auto"/>
            <w:vMerge/>
            <w:vAlign w:val="center"/>
            <w:hideMark/>
          </w:tcPr>
          <w:p w14:paraId="5C390B7B" w14:textId="77777777" w:rsidR="00051297" w:rsidRPr="00051297" w:rsidRDefault="00051297" w:rsidP="00051297">
            <w:pPr>
              <w:spacing w:line="240" w:lineRule="auto"/>
              <w:ind w:firstLine="0"/>
              <w:jc w:val="center"/>
              <w:rPr>
                <w:lang w:val="en-US"/>
              </w:rPr>
            </w:pPr>
          </w:p>
        </w:tc>
      </w:tr>
      <w:tr w:rsidR="00051297" w:rsidRPr="00051297" w14:paraId="0623134A" w14:textId="77777777" w:rsidTr="00D20B01">
        <w:trPr>
          <w:trHeight w:val="70"/>
          <w:jc w:val="center"/>
        </w:trPr>
        <w:tc>
          <w:tcPr>
            <w:tcW w:w="4018" w:type="dxa"/>
            <w:vMerge/>
            <w:noWrap/>
            <w:hideMark/>
          </w:tcPr>
          <w:p w14:paraId="58808A09" w14:textId="77777777" w:rsidR="00051297" w:rsidRPr="00051297" w:rsidRDefault="00051297" w:rsidP="00051297">
            <w:pPr>
              <w:spacing w:line="240" w:lineRule="auto"/>
              <w:ind w:firstLine="0"/>
              <w:jc w:val="center"/>
              <w:rPr>
                <w:lang w:val="en-US"/>
              </w:rPr>
            </w:pPr>
          </w:p>
        </w:tc>
        <w:tc>
          <w:tcPr>
            <w:tcW w:w="1144" w:type="dxa"/>
            <w:hideMark/>
          </w:tcPr>
          <w:p w14:paraId="563C61D8" w14:textId="77777777" w:rsidR="00051297" w:rsidRPr="00051297" w:rsidRDefault="00051297" w:rsidP="00051297">
            <w:pPr>
              <w:spacing w:line="240" w:lineRule="auto"/>
              <w:ind w:firstLine="0"/>
              <w:jc w:val="center"/>
              <w:rPr>
                <w:lang w:val="en-US"/>
              </w:rPr>
            </w:pPr>
            <w:r w:rsidRPr="00051297">
              <w:rPr>
                <w:lang w:val="en-US"/>
              </w:rPr>
              <w:t>5 ∙ 10</w:t>
            </w:r>
            <w:r w:rsidRPr="00051297">
              <w:rPr>
                <w:vertAlign w:val="superscript"/>
                <w:lang w:val="en-US"/>
              </w:rPr>
              <w:t>-7</w:t>
            </w:r>
          </w:p>
        </w:tc>
        <w:tc>
          <w:tcPr>
            <w:tcW w:w="0" w:type="auto"/>
            <w:vMerge/>
            <w:vAlign w:val="center"/>
            <w:hideMark/>
          </w:tcPr>
          <w:p w14:paraId="65828EDB" w14:textId="77777777" w:rsidR="00051297" w:rsidRPr="00051297" w:rsidRDefault="00051297" w:rsidP="00051297">
            <w:pPr>
              <w:spacing w:line="240" w:lineRule="auto"/>
              <w:ind w:firstLine="0"/>
              <w:jc w:val="center"/>
              <w:rPr>
                <w:lang w:val="en-US"/>
              </w:rPr>
            </w:pPr>
          </w:p>
        </w:tc>
        <w:tc>
          <w:tcPr>
            <w:tcW w:w="0" w:type="auto"/>
            <w:vMerge/>
            <w:vAlign w:val="center"/>
            <w:hideMark/>
          </w:tcPr>
          <w:p w14:paraId="5CAF5D45" w14:textId="77777777" w:rsidR="00051297" w:rsidRPr="00051297" w:rsidRDefault="00051297" w:rsidP="00051297">
            <w:pPr>
              <w:spacing w:line="240" w:lineRule="auto"/>
              <w:ind w:firstLine="0"/>
              <w:jc w:val="center"/>
              <w:rPr>
                <w:lang w:val="en-US"/>
              </w:rPr>
            </w:pPr>
          </w:p>
        </w:tc>
        <w:tc>
          <w:tcPr>
            <w:tcW w:w="0" w:type="auto"/>
            <w:vMerge/>
            <w:vAlign w:val="center"/>
            <w:hideMark/>
          </w:tcPr>
          <w:p w14:paraId="4E9A079E" w14:textId="77777777" w:rsidR="00051297" w:rsidRPr="00051297" w:rsidRDefault="00051297" w:rsidP="00051297">
            <w:pPr>
              <w:spacing w:line="240" w:lineRule="auto"/>
              <w:ind w:firstLine="0"/>
              <w:jc w:val="center"/>
              <w:rPr>
                <w:lang w:val="en-US"/>
              </w:rPr>
            </w:pPr>
          </w:p>
        </w:tc>
      </w:tr>
      <w:tr w:rsidR="00051297" w:rsidRPr="00051297" w14:paraId="14E7C23D" w14:textId="77777777" w:rsidTr="00D20B01">
        <w:trPr>
          <w:trHeight w:val="70"/>
          <w:jc w:val="center"/>
        </w:trPr>
        <w:tc>
          <w:tcPr>
            <w:tcW w:w="4018" w:type="dxa"/>
            <w:vMerge/>
            <w:noWrap/>
            <w:hideMark/>
          </w:tcPr>
          <w:p w14:paraId="0AA7BE06" w14:textId="77777777" w:rsidR="00051297" w:rsidRPr="00051297" w:rsidRDefault="00051297" w:rsidP="00051297">
            <w:pPr>
              <w:spacing w:line="240" w:lineRule="auto"/>
              <w:ind w:firstLine="0"/>
              <w:jc w:val="center"/>
              <w:rPr>
                <w:lang w:val="en-US"/>
              </w:rPr>
            </w:pPr>
          </w:p>
        </w:tc>
        <w:tc>
          <w:tcPr>
            <w:tcW w:w="1144" w:type="dxa"/>
            <w:hideMark/>
          </w:tcPr>
          <w:p w14:paraId="6031B23C" w14:textId="77777777" w:rsidR="00051297" w:rsidRPr="00051297" w:rsidRDefault="00051297" w:rsidP="00051297">
            <w:pPr>
              <w:spacing w:line="240" w:lineRule="auto"/>
              <w:ind w:firstLine="0"/>
              <w:jc w:val="center"/>
              <w:rPr>
                <w:lang w:val="en-US"/>
              </w:rPr>
            </w:pPr>
            <w:r w:rsidRPr="00051297">
              <w:rPr>
                <w:lang w:val="en-US"/>
              </w:rPr>
              <w:t>10</w:t>
            </w:r>
            <w:r w:rsidRPr="00051297">
              <w:rPr>
                <w:vertAlign w:val="superscript"/>
                <w:lang w:val="en-US"/>
              </w:rPr>
              <w:t>-7</w:t>
            </w:r>
            <w:r w:rsidRPr="00051297">
              <w:rPr>
                <w:lang w:val="en-US"/>
              </w:rPr>
              <w:t xml:space="preserve"> </w:t>
            </w:r>
          </w:p>
        </w:tc>
        <w:tc>
          <w:tcPr>
            <w:tcW w:w="0" w:type="auto"/>
            <w:vMerge/>
            <w:vAlign w:val="center"/>
            <w:hideMark/>
          </w:tcPr>
          <w:p w14:paraId="6D8FA1A1" w14:textId="77777777" w:rsidR="00051297" w:rsidRPr="00051297" w:rsidRDefault="00051297" w:rsidP="00051297">
            <w:pPr>
              <w:spacing w:line="240" w:lineRule="auto"/>
              <w:ind w:firstLine="0"/>
              <w:jc w:val="center"/>
              <w:rPr>
                <w:lang w:val="en-US"/>
              </w:rPr>
            </w:pPr>
          </w:p>
        </w:tc>
        <w:tc>
          <w:tcPr>
            <w:tcW w:w="0" w:type="auto"/>
            <w:vMerge/>
            <w:vAlign w:val="center"/>
            <w:hideMark/>
          </w:tcPr>
          <w:p w14:paraId="3A3884AA" w14:textId="77777777" w:rsidR="00051297" w:rsidRPr="00051297" w:rsidRDefault="00051297" w:rsidP="00051297">
            <w:pPr>
              <w:spacing w:line="240" w:lineRule="auto"/>
              <w:ind w:firstLine="0"/>
              <w:jc w:val="center"/>
              <w:rPr>
                <w:lang w:val="en-US"/>
              </w:rPr>
            </w:pPr>
          </w:p>
        </w:tc>
        <w:tc>
          <w:tcPr>
            <w:tcW w:w="0" w:type="auto"/>
            <w:vMerge/>
            <w:vAlign w:val="center"/>
            <w:hideMark/>
          </w:tcPr>
          <w:p w14:paraId="25464C3F" w14:textId="77777777" w:rsidR="00051297" w:rsidRPr="00051297" w:rsidRDefault="00051297" w:rsidP="00051297">
            <w:pPr>
              <w:spacing w:line="240" w:lineRule="auto"/>
              <w:ind w:firstLine="0"/>
              <w:jc w:val="center"/>
              <w:rPr>
                <w:lang w:val="en-US"/>
              </w:rPr>
            </w:pPr>
          </w:p>
        </w:tc>
      </w:tr>
      <w:tr w:rsidR="00051297" w:rsidRPr="00051297" w14:paraId="025E8F15" w14:textId="77777777" w:rsidTr="00D20B01">
        <w:trPr>
          <w:trHeight w:val="70"/>
          <w:jc w:val="center"/>
        </w:trPr>
        <w:tc>
          <w:tcPr>
            <w:tcW w:w="4018" w:type="dxa"/>
            <w:vMerge w:val="restart"/>
            <w:noWrap/>
            <w:hideMark/>
          </w:tcPr>
          <w:p w14:paraId="1A135E3A" w14:textId="77777777" w:rsidR="00051297" w:rsidRPr="00051297" w:rsidRDefault="00051297" w:rsidP="00051297">
            <w:pPr>
              <w:spacing w:line="240" w:lineRule="auto"/>
              <w:ind w:firstLine="0"/>
              <w:jc w:val="center"/>
              <w:rPr>
                <w:lang w:val="en-US"/>
              </w:rPr>
            </w:pPr>
            <w:r w:rsidRPr="00051297">
              <w:rPr>
                <w:lang w:val="en-US"/>
              </w:rPr>
              <w:t>Diameter at passing 10% (mm)</w:t>
            </w:r>
          </w:p>
        </w:tc>
        <w:tc>
          <w:tcPr>
            <w:tcW w:w="1144" w:type="dxa"/>
            <w:hideMark/>
          </w:tcPr>
          <w:p w14:paraId="74129628" w14:textId="77777777" w:rsidR="00051297" w:rsidRPr="00051297" w:rsidRDefault="00051297" w:rsidP="00051297">
            <w:pPr>
              <w:spacing w:line="240" w:lineRule="auto"/>
              <w:ind w:firstLine="0"/>
              <w:jc w:val="center"/>
              <w:rPr>
                <w:lang w:val="en-US"/>
              </w:rPr>
            </w:pPr>
            <w:r w:rsidRPr="00051297">
              <w:rPr>
                <w:lang w:val="en-US"/>
              </w:rPr>
              <w:t>0.1</w:t>
            </w:r>
          </w:p>
        </w:tc>
        <w:tc>
          <w:tcPr>
            <w:tcW w:w="1329" w:type="dxa"/>
            <w:vMerge w:val="restart"/>
            <w:noWrap/>
            <w:hideMark/>
          </w:tcPr>
          <w:p w14:paraId="08177A7D" w14:textId="77777777" w:rsidR="00051297" w:rsidRPr="00051297" w:rsidRDefault="00051297" w:rsidP="00051297">
            <w:pPr>
              <w:spacing w:line="240" w:lineRule="auto"/>
              <w:ind w:firstLine="0"/>
              <w:jc w:val="center"/>
              <w:rPr>
                <w:lang w:val="en-US"/>
              </w:rPr>
            </w:pPr>
            <w:r w:rsidRPr="00051297">
              <w:rPr>
                <w:lang w:val="en-US"/>
              </w:rPr>
              <w:t>0.002</w:t>
            </w:r>
          </w:p>
        </w:tc>
        <w:tc>
          <w:tcPr>
            <w:tcW w:w="1310" w:type="dxa"/>
            <w:vMerge w:val="restart"/>
            <w:noWrap/>
            <w:hideMark/>
          </w:tcPr>
          <w:p w14:paraId="07C2CDED" w14:textId="77777777" w:rsidR="00051297" w:rsidRPr="00051297" w:rsidRDefault="00051297" w:rsidP="00051297">
            <w:pPr>
              <w:spacing w:line="240" w:lineRule="auto"/>
              <w:ind w:firstLine="0"/>
              <w:jc w:val="center"/>
              <w:rPr>
                <w:lang w:val="en-US"/>
              </w:rPr>
            </w:pPr>
            <w:r w:rsidRPr="00051297">
              <w:rPr>
                <w:lang w:val="en-US"/>
              </w:rPr>
              <w:t>0.2</w:t>
            </w:r>
          </w:p>
        </w:tc>
        <w:tc>
          <w:tcPr>
            <w:tcW w:w="1543" w:type="dxa"/>
            <w:vMerge w:val="restart"/>
            <w:noWrap/>
            <w:hideMark/>
          </w:tcPr>
          <w:p w14:paraId="5762BFA2" w14:textId="77777777" w:rsidR="00051297" w:rsidRPr="00051297" w:rsidRDefault="00051297" w:rsidP="00051297">
            <w:pPr>
              <w:spacing w:line="240" w:lineRule="auto"/>
              <w:ind w:firstLine="0"/>
              <w:jc w:val="center"/>
              <w:rPr>
                <w:lang w:val="en-US"/>
              </w:rPr>
            </w:pPr>
            <w:r w:rsidRPr="00051297">
              <w:rPr>
                <w:lang w:val="en-US"/>
              </w:rPr>
              <w:t>0.1</w:t>
            </w:r>
          </w:p>
        </w:tc>
      </w:tr>
      <w:tr w:rsidR="00051297" w:rsidRPr="00051297" w14:paraId="15BE8337" w14:textId="77777777" w:rsidTr="00D20B01">
        <w:trPr>
          <w:trHeight w:val="70"/>
          <w:jc w:val="center"/>
        </w:trPr>
        <w:tc>
          <w:tcPr>
            <w:tcW w:w="4018" w:type="dxa"/>
            <w:vMerge/>
            <w:noWrap/>
            <w:hideMark/>
          </w:tcPr>
          <w:p w14:paraId="00A3DB52" w14:textId="77777777" w:rsidR="00051297" w:rsidRPr="00051297" w:rsidRDefault="00051297" w:rsidP="00051297">
            <w:pPr>
              <w:spacing w:line="240" w:lineRule="auto"/>
              <w:ind w:firstLine="0"/>
              <w:jc w:val="center"/>
              <w:rPr>
                <w:lang w:val="en-US"/>
              </w:rPr>
            </w:pPr>
          </w:p>
        </w:tc>
        <w:tc>
          <w:tcPr>
            <w:tcW w:w="1144" w:type="dxa"/>
            <w:hideMark/>
          </w:tcPr>
          <w:p w14:paraId="29217F3B" w14:textId="77777777" w:rsidR="00051297" w:rsidRPr="00051297" w:rsidRDefault="00051297" w:rsidP="00051297">
            <w:pPr>
              <w:spacing w:line="240" w:lineRule="auto"/>
              <w:ind w:firstLine="0"/>
              <w:jc w:val="center"/>
              <w:rPr>
                <w:lang w:val="en-US"/>
              </w:rPr>
            </w:pPr>
            <w:r w:rsidRPr="00051297">
              <w:rPr>
                <w:lang w:val="en-US"/>
              </w:rPr>
              <w:t>0.05</w:t>
            </w:r>
          </w:p>
        </w:tc>
        <w:tc>
          <w:tcPr>
            <w:tcW w:w="0" w:type="auto"/>
            <w:vMerge/>
            <w:vAlign w:val="center"/>
            <w:hideMark/>
          </w:tcPr>
          <w:p w14:paraId="051ACBE1" w14:textId="77777777" w:rsidR="00051297" w:rsidRPr="00051297" w:rsidRDefault="00051297" w:rsidP="00051297">
            <w:pPr>
              <w:spacing w:line="240" w:lineRule="auto"/>
              <w:ind w:firstLine="0"/>
              <w:jc w:val="center"/>
              <w:rPr>
                <w:lang w:val="en-US"/>
              </w:rPr>
            </w:pPr>
          </w:p>
        </w:tc>
        <w:tc>
          <w:tcPr>
            <w:tcW w:w="0" w:type="auto"/>
            <w:vMerge/>
            <w:vAlign w:val="center"/>
            <w:hideMark/>
          </w:tcPr>
          <w:p w14:paraId="700C2813" w14:textId="77777777" w:rsidR="00051297" w:rsidRPr="00051297" w:rsidRDefault="00051297" w:rsidP="00051297">
            <w:pPr>
              <w:spacing w:line="240" w:lineRule="auto"/>
              <w:ind w:firstLine="0"/>
              <w:jc w:val="center"/>
              <w:rPr>
                <w:lang w:val="en-US"/>
              </w:rPr>
            </w:pPr>
          </w:p>
        </w:tc>
        <w:tc>
          <w:tcPr>
            <w:tcW w:w="0" w:type="auto"/>
            <w:vMerge/>
            <w:vAlign w:val="center"/>
            <w:hideMark/>
          </w:tcPr>
          <w:p w14:paraId="1D6A6557" w14:textId="77777777" w:rsidR="00051297" w:rsidRPr="00051297" w:rsidRDefault="00051297" w:rsidP="00051297">
            <w:pPr>
              <w:spacing w:line="240" w:lineRule="auto"/>
              <w:ind w:firstLine="0"/>
              <w:jc w:val="center"/>
              <w:rPr>
                <w:lang w:val="en-US"/>
              </w:rPr>
            </w:pPr>
          </w:p>
        </w:tc>
      </w:tr>
      <w:tr w:rsidR="00051297" w:rsidRPr="00051297" w14:paraId="06A183DB" w14:textId="77777777" w:rsidTr="00D20B01">
        <w:trPr>
          <w:trHeight w:val="70"/>
          <w:jc w:val="center"/>
        </w:trPr>
        <w:tc>
          <w:tcPr>
            <w:tcW w:w="4018" w:type="dxa"/>
            <w:vMerge/>
            <w:noWrap/>
            <w:hideMark/>
          </w:tcPr>
          <w:p w14:paraId="48BC88D5" w14:textId="77777777" w:rsidR="00051297" w:rsidRPr="00051297" w:rsidRDefault="00051297" w:rsidP="00051297">
            <w:pPr>
              <w:spacing w:line="240" w:lineRule="auto"/>
              <w:ind w:firstLine="0"/>
              <w:jc w:val="center"/>
              <w:rPr>
                <w:lang w:val="en-US"/>
              </w:rPr>
            </w:pPr>
          </w:p>
        </w:tc>
        <w:tc>
          <w:tcPr>
            <w:tcW w:w="1144" w:type="dxa"/>
            <w:hideMark/>
          </w:tcPr>
          <w:p w14:paraId="03DA2188" w14:textId="77777777" w:rsidR="00051297" w:rsidRPr="00051297" w:rsidRDefault="00051297" w:rsidP="00051297">
            <w:pPr>
              <w:spacing w:line="240" w:lineRule="auto"/>
              <w:ind w:firstLine="0"/>
              <w:jc w:val="center"/>
              <w:rPr>
                <w:lang w:val="en-US"/>
              </w:rPr>
            </w:pPr>
            <w:r w:rsidRPr="00051297">
              <w:rPr>
                <w:lang w:val="en-US"/>
              </w:rPr>
              <w:t>0.032</w:t>
            </w:r>
          </w:p>
        </w:tc>
        <w:tc>
          <w:tcPr>
            <w:tcW w:w="0" w:type="auto"/>
            <w:vMerge/>
            <w:vAlign w:val="center"/>
            <w:hideMark/>
          </w:tcPr>
          <w:p w14:paraId="62452330" w14:textId="77777777" w:rsidR="00051297" w:rsidRPr="00051297" w:rsidRDefault="00051297" w:rsidP="00051297">
            <w:pPr>
              <w:spacing w:line="240" w:lineRule="auto"/>
              <w:ind w:firstLine="0"/>
              <w:jc w:val="center"/>
              <w:rPr>
                <w:lang w:val="en-US"/>
              </w:rPr>
            </w:pPr>
          </w:p>
        </w:tc>
        <w:tc>
          <w:tcPr>
            <w:tcW w:w="0" w:type="auto"/>
            <w:vMerge/>
            <w:vAlign w:val="center"/>
            <w:hideMark/>
          </w:tcPr>
          <w:p w14:paraId="1163DEE7" w14:textId="77777777" w:rsidR="00051297" w:rsidRPr="00051297" w:rsidRDefault="00051297" w:rsidP="00051297">
            <w:pPr>
              <w:spacing w:line="240" w:lineRule="auto"/>
              <w:ind w:firstLine="0"/>
              <w:jc w:val="center"/>
              <w:rPr>
                <w:lang w:val="en-US"/>
              </w:rPr>
            </w:pPr>
          </w:p>
        </w:tc>
        <w:tc>
          <w:tcPr>
            <w:tcW w:w="0" w:type="auto"/>
            <w:vMerge/>
            <w:vAlign w:val="center"/>
            <w:hideMark/>
          </w:tcPr>
          <w:p w14:paraId="3F6AFE10" w14:textId="77777777" w:rsidR="00051297" w:rsidRPr="00051297" w:rsidRDefault="00051297" w:rsidP="00051297">
            <w:pPr>
              <w:spacing w:line="240" w:lineRule="auto"/>
              <w:ind w:firstLine="0"/>
              <w:jc w:val="center"/>
              <w:rPr>
                <w:lang w:val="en-US"/>
              </w:rPr>
            </w:pPr>
          </w:p>
        </w:tc>
      </w:tr>
      <w:tr w:rsidR="00051297" w:rsidRPr="00051297" w14:paraId="79947BF0" w14:textId="77777777" w:rsidTr="00D20B01">
        <w:trPr>
          <w:trHeight w:val="70"/>
          <w:jc w:val="center"/>
        </w:trPr>
        <w:tc>
          <w:tcPr>
            <w:tcW w:w="4018" w:type="dxa"/>
            <w:vMerge/>
            <w:noWrap/>
            <w:hideMark/>
          </w:tcPr>
          <w:p w14:paraId="7D4C2C71" w14:textId="77777777" w:rsidR="00051297" w:rsidRPr="00051297" w:rsidRDefault="00051297" w:rsidP="00051297">
            <w:pPr>
              <w:spacing w:line="240" w:lineRule="auto"/>
              <w:ind w:firstLine="0"/>
              <w:jc w:val="center"/>
              <w:rPr>
                <w:lang w:val="en-US"/>
              </w:rPr>
            </w:pPr>
          </w:p>
        </w:tc>
        <w:tc>
          <w:tcPr>
            <w:tcW w:w="1144" w:type="dxa"/>
            <w:hideMark/>
          </w:tcPr>
          <w:p w14:paraId="6E51DA9E" w14:textId="77777777" w:rsidR="00051297" w:rsidRPr="00051297" w:rsidRDefault="00051297" w:rsidP="00051297">
            <w:pPr>
              <w:spacing w:line="240" w:lineRule="auto"/>
              <w:ind w:firstLine="0"/>
              <w:jc w:val="center"/>
              <w:rPr>
                <w:lang w:val="en-US"/>
              </w:rPr>
            </w:pPr>
            <w:r w:rsidRPr="00051297">
              <w:rPr>
                <w:lang w:val="en-US"/>
              </w:rPr>
              <w:t>0.015</w:t>
            </w:r>
          </w:p>
        </w:tc>
        <w:tc>
          <w:tcPr>
            <w:tcW w:w="0" w:type="auto"/>
            <w:vMerge/>
            <w:vAlign w:val="center"/>
            <w:hideMark/>
          </w:tcPr>
          <w:p w14:paraId="553CCB12" w14:textId="77777777" w:rsidR="00051297" w:rsidRPr="00051297" w:rsidRDefault="00051297" w:rsidP="00051297">
            <w:pPr>
              <w:spacing w:line="240" w:lineRule="auto"/>
              <w:ind w:firstLine="0"/>
              <w:jc w:val="center"/>
              <w:rPr>
                <w:lang w:val="en-US"/>
              </w:rPr>
            </w:pPr>
          </w:p>
        </w:tc>
        <w:tc>
          <w:tcPr>
            <w:tcW w:w="0" w:type="auto"/>
            <w:vMerge/>
            <w:vAlign w:val="center"/>
            <w:hideMark/>
          </w:tcPr>
          <w:p w14:paraId="18474C21" w14:textId="77777777" w:rsidR="00051297" w:rsidRPr="00051297" w:rsidRDefault="00051297" w:rsidP="00051297">
            <w:pPr>
              <w:spacing w:line="240" w:lineRule="auto"/>
              <w:ind w:firstLine="0"/>
              <w:jc w:val="center"/>
              <w:rPr>
                <w:lang w:val="en-US"/>
              </w:rPr>
            </w:pPr>
          </w:p>
        </w:tc>
        <w:tc>
          <w:tcPr>
            <w:tcW w:w="0" w:type="auto"/>
            <w:vMerge/>
            <w:vAlign w:val="center"/>
            <w:hideMark/>
          </w:tcPr>
          <w:p w14:paraId="0240589F" w14:textId="77777777" w:rsidR="00051297" w:rsidRPr="00051297" w:rsidRDefault="00051297" w:rsidP="00051297">
            <w:pPr>
              <w:spacing w:line="240" w:lineRule="auto"/>
              <w:ind w:firstLine="0"/>
              <w:jc w:val="center"/>
              <w:rPr>
                <w:lang w:val="en-US"/>
              </w:rPr>
            </w:pPr>
          </w:p>
        </w:tc>
      </w:tr>
      <w:tr w:rsidR="00051297" w:rsidRPr="00051297" w14:paraId="3B581C0F" w14:textId="77777777" w:rsidTr="00D20B01">
        <w:trPr>
          <w:trHeight w:val="70"/>
          <w:jc w:val="center"/>
        </w:trPr>
        <w:tc>
          <w:tcPr>
            <w:tcW w:w="4018" w:type="dxa"/>
            <w:vMerge/>
            <w:noWrap/>
            <w:hideMark/>
          </w:tcPr>
          <w:p w14:paraId="50639E86" w14:textId="77777777" w:rsidR="00051297" w:rsidRPr="00051297" w:rsidRDefault="00051297" w:rsidP="00051297">
            <w:pPr>
              <w:spacing w:line="240" w:lineRule="auto"/>
              <w:ind w:firstLine="0"/>
              <w:jc w:val="center"/>
              <w:rPr>
                <w:lang w:val="en-US"/>
              </w:rPr>
            </w:pPr>
          </w:p>
        </w:tc>
        <w:tc>
          <w:tcPr>
            <w:tcW w:w="1144" w:type="dxa"/>
            <w:hideMark/>
          </w:tcPr>
          <w:p w14:paraId="18C560A9" w14:textId="77777777" w:rsidR="00051297" w:rsidRPr="00051297" w:rsidRDefault="00051297" w:rsidP="00051297">
            <w:pPr>
              <w:spacing w:line="240" w:lineRule="auto"/>
              <w:ind w:firstLine="0"/>
              <w:jc w:val="center"/>
              <w:rPr>
                <w:lang w:val="en-US"/>
              </w:rPr>
            </w:pPr>
            <w:r w:rsidRPr="00051297">
              <w:rPr>
                <w:lang w:val="en-US"/>
              </w:rPr>
              <w:t>0.01</w:t>
            </w:r>
          </w:p>
        </w:tc>
        <w:tc>
          <w:tcPr>
            <w:tcW w:w="0" w:type="auto"/>
            <w:vMerge/>
            <w:vAlign w:val="center"/>
            <w:hideMark/>
          </w:tcPr>
          <w:p w14:paraId="6719EF09" w14:textId="77777777" w:rsidR="00051297" w:rsidRPr="00051297" w:rsidRDefault="00051297" w:rsidP="00051297">
            <w:pPr>
              <w:spacing w:line="240" w:lineRule="auto"/>
              <w:ind w:firstLine="0"/>
              <w:jc w:val="center"/>
              <w:rPr>
                <w:lang w:val="en-US"/>
              </w:rPr>
            </w:pPr>
          </w:p>
        </w:tc>
        <w:tc>
          <w:tcPr>
            <w:tcW w:w="0" w:type="auto"/>
            <w:vMerge/>
            <w:vAlign w:val="center"/>
            <w:hideMark/>
          </w:tcPr>
          <w:p w14:paraId="68F41C96" w14:textId="77777777" w:rsidR="00051297" w:rsidRPr="00051297" w:rsidRDefault="00051297" w:rsidP="00051297">
            <w:pPr>
              <w:spacing w:line="240" w:lineRule="auto"/>
              <w:ind w:firstLine="0"/>
              <w:jc w:val="center"/>
              <w:rPr>
                <w:lang w:val="en-US"/>
              </w:rPr>
            </w:pPr>
          </w:p>
        </w:tc>
        <w:tc>
          <w:tcPr>
            <w:tcW w:w="0" w:type="auto"/>
            <w:vMerge/>
            <w:vAlign w:val="center"/>
            <w:hideMark/>
          </w:tcPr>
          <w:p w14:paraId="77F98B0B" w14:textId="77777777" w:rsidR="00051297" w:rsidRPr="00051297" w:rsidRDefault="00051297" w:rsidP="00051297">
            <w:pPr>
              <w:spacing w:line="240" w:lineRule="auto"/>
              <w:ind w:firstLine="0"/>
              <w:jc w:val="center"/>
              <w:rPr>
                <w:lang w:val="en-US"/>
              </w:rPr>
            </w:pPr>
          </w:p>
        </w:tc>
      </w:tr>
      <w:tr w:rsidR="00051297" w:rsidRPr="00051297" w14:paraId="2DA9CA5D" w14:textId="77777777" w:rsidTr="00D20B01">
        <w:trPr>
          <w:trHeight w:val="70"/>
          <w:jc w:val="center"/>
        </w:trPr>
        <w:tc>
          <w:tcPr>
            <w:tcW w:w="4018" w:type="dxa"/>
            <w:vMerge/>
            <w:noWrap/>
            <w:hideMark/>
          </w:tcPr>
          <w:p w14:paraId="3E39370D" w14:textId="77777777" w:rsidR="00051297" w:rsidRPr="00051297" w:rsidRDefault="00051297" w:rsidP="00051297">
            <w:pPr>
              <w:spacing w:line="240" w:lineRule="auto"/>
              <w:ind w:firstLine="0"/>
              <w:jc w:val="center"/>
              <w:rPr>
                <w:lang w:val="en-US"/>
              </w:rPr>
            </w:pPr>
          </w:p>
        </w:tc>
        <w:tc>
          <w:tcPr>
            <w:tcW w:w="1144" w:type="dxa"/>
            <w:hideMark/>
          </w:tcPr>
          <w:p w14:paraId="3401D221" w14:textId="77777777" w:rsidR="00051297" w:rsidRPr="00051297" w:rsidRDefault="00051297" w:rsidP="00051297">
            <w:pPr>
              <w:spacing w:line="240" w:lineRule="auto"/>
              <w:ind w:firstLine="0"/>
              <w:jc w:val="center"/>
              <w:rPr>
                <w:lang w:val="en-US"/>
              </w:rPr>
            </w:pPr>
            <w:r w:rsidRPr="00051297">
              <w:rPr>
                <w:lang w:val="en-US"/>
              </w:rPr>
              <w:t>0.005</w:t>
            </w:r>
          </w:p>
        </w:tc>
        <w:tc>
          <w:tcPr>
            <w:tcW w:w="0" w:type="auto"/>
            <w:vMerge/>
            <w:vAlign w:val="center"/>
            <w:hideMark/>
          </w:tcPr>
          <w:p w14:paraId="44E6FEC0" w14:textId="77777777" w:rsidR="00051297" w:rsidRPr="00051297" w:rsidRDefault="00051297" w:rsidP="00051297">
            <w:pPr>
              <w:spacing w:line="240" w:lineRule="auto"/>
              <w:ind w:firstLine="0"/>
              <w:jc w:val="center"/>
              <w:rPr>
                <w:lang w:val="en-US"/>
              </w:rPr>
            </w:pPr>
          </w:p>
        </w:tc>
        <w:tc>
          <w:tcPr>
            <w:tcW w:w="0" w:type="auto"/>
            <w:vMerge/>
            <w:vAlign w:val="center"/>
            <w:hideMark/>
          </w:tcPr>
          <w:p w14:paraId="6CC7DF84" w14:textId="77777777" w:rsidR="00051297" w:rsidRPr="00051297" w:rsidRDefault="00051297" w:rsidP="00051297">
            <w:pPr>
              <w:spacing w:line="240" w:lineRule="auto"/>
              <w:ind w:firstLine="0"/>
              <w:jc w:val="center"/>
              <w:rPr>
                <w:lang w:val="en-US"/>
              </w:rPr>
            </w:pPr>
          </w:p>
        </w:tc>
        <w:tc>
          <w:tcPr>
            <w:tcW w:w="0" w:type="auto"/>
            <w:vMerge/>
            <w:vAlign w:val="center"/>
            <w:hideMark/>
          </w:tcPr>
          <w:p w14:paraId="4AD6CE01" w14:textId="77777777" w:rsidR="00051297" w:rsidRPr="00051297" w:rsidRDefault="00051297" w:rsidP="00051297">
            <w:pPr>
              <w:spacing w:line="240" w:lineRule="auto"/>
              <w:ind w:firstLine="0"/>
              <w:jc w:val="center"/>
              <w:rPr>
                <w:lang w:val="en-US"/>
              </w:rPr>
            </w:pPr>
          </w:p>
        </w:tc>
      </w:tr>
      <w:tr w:rsidR="00051297" w:rsidRPr="00051297" w14:paraId="61A89AEB" w14:textId="77777777" w:rsidTr="00D20B01">
        <w:trPr>
          <w:trHeight w:val="70"/>
          <w:jc w:val="center"/>
        </w:trPr>
        <w:tc>
          <w:tcPr>
            <w:tcW w:w="4018" w:type="dxa"/>
            <w:vMerge w:val="restart"/>
            <w:noWrap/>
            <w:hideMark/>
          </w:tcPr>
          <w:p w14:paraId="65C52EFE" w14:textId="77777777" w:rsidR="00051297" w:rsidRPr="00051297" w:rsidRDefault="00051297" w:rsidP="00051297">
            <w:pPr>
              <w:spacing w:line="240" w:lineRule="auto"/>
              <w:ind w:firstLine="0"/>
              <w:jc w:val="center"/>
              <w:rPr>
                <w:lang w:val="en-US"/>
              </w:rPr>
            </w:pPr>
            <w:r w:rsidRPr="00051297">
              <w:rPr>
                <w:lang w:val="en-US"/>
              </w:rPr>
              <w:t>Diameter at passing 60% (mm)</w:t>
            </w:r>
          </w:p>
        </w:tc>
        <w:tc>
          <w:tcPr>
            <w:tcW w:w="1144" w:type="dxa"/>
            <w:hideMark/>
          </w:tcPr>
          <w:p w14:paraId="58A8C4FA" w14:textId="77777777" w:rsidR="00051297" w:rsidRPr="00051297" w:rsidRDefault="00051297" w:rsidP="00051297">
            <w:pPr>
              <w:spacing w:line="240" w:lineRule="auto"/>
              <w:ind w:firstLine="0"/>
              <w:jc w:val="center"/>
              <w:rPr>
                <w:lang w:val="en-US"/>
              </w:rPr>
            </w:pPr>
            <w:r w:rsidRPr="00051297">
              <w:rPr>
                <w:lang w:val="en-US"/>
              </w:rPr>
              <w:t>40</w:t>
            </w:r>
          </w:p>
        </w:tc>
        <w:tc>
          <w:tcPr>
            <w:tcW w:w="1329" w:type="dxa"/>
            <w:vMerge w:val="restart"/>
            <w:noWrap/>
            <w:hideMark/>
          </w:tcPr>
          <w:p w14:paraId="5D998A94" w14:textId="77777777" w:rsidR="00051297" w:rsidRPr="00051297" w:rsidRDefault="00051297" w:rsidP="00051297">
            <w:pPr>
              <w:spacing w:line="240" w:lineRule="auto"/>
              <w:ind w:firstLine="0"/>
              <w:jc w:val="center"/>
              <w:rPr>
                <w:lang w:val="en-US"/>
              </w:rPr>
            </w:pPr>
            <w:r w:rsidRPr="00051297">
              <w:rPr>
                <w:lang w:val="en-US"/>
              </w:rPr>
              <w:t>0.05</w:t>
            </w:r>
          </w:p>
        </w:tc>
        <w:tc>
          <w:tcPr>
            <w:tcW w:w="1310" w:type="dxa"/>
            <w:vMerge w:val="restart"/>
            <w:noWrap/>
            <w:hideMark/>
          </w:tcPr>
          <w:p w14:paraId="66662ED9" w14:textId="77777777" w:rsidR="00051297" w:rsidRPr="00051297" w:rsidRDefault="00051297" w:rsidP="00051297">
            <w:pPr>
              <w:spacing w:line="240" w:lineRule="auto"/>
              <w:ind w:firstLine="0"/>
              <w:jc w:val="center"/>
              <w:rPr>
                <w:lang w:val="en-US"/>
              </w:rPr>
            </w:pPr>
            <w:r w:rsidRPr="00051297">
              <w:rPr>
                <w:lang w:val="en-US"/>
              </w:rPr>
              <w:t>0.8</w:t>
            </w:r>
          </w:p>
        </w:tc>
        <w:tc>
          <w:tcPr>
            <w:tcW w:w="1543" w:type="dxa"/>
            <w:vMerge w:val="restart"/>
            <w:noWrap/>
            <w:hideMark/>
          </w:tcPr>
          <w:p w14:paraId="792027ED" w14:textId="77777777" w:rsidR="00051297" w:rsidRPr="00051297" w:rsidRDefault="00051297" w:rsidP="00051297">
            <w:pPr>
              <w:spacing w:line="240" w:lineRule="auto"/>
              <w:ind w:firstLine="0"/>
              <w:jc w:val="center"/>
              <w:rPr>
                <w:lang w:val="en-US"/>
              </w:rPr>
            </w:pPr>
            <w:r w:rsidRPr="00051297">
              <w:rPr>
                <w:lang w:val="en-US"/>
              </w:rPr>
              <w:t>40</w:t>
            </w:r>
          </w:p>
        </w:tc>
      </w:tr>
      <w:tr w:rsidR="00051297" w:rsidRPr="00051297" w14:paraId="3515CFBC" w14:textId="77777777" w:rsidTr="00D20B01">
        <w:trPr>
          <w:trHeight w:val="70"/>
          <w:jc w:val="center"/>
        </w:trPr>
        <w:tc>
          <w:tcPr>
            <w:tcW w:w="4018" w:type="dxa"/>
            <w:vMerge/>
            <w:noWrap/>
            <w:hideMark/>
          </w:tcPr>
          <w:p w14:paraId="1C4C11E6" w14:textId="77777777" w:rsidR="00051297" w:rsidRPr="00051297" w:rsidRDefault="00051297" w:rsidP="00051297">
            <w:pPr>
              <w:spacing w:line="240" w:lineRule="auto"/>
              <w:ind w:firstLine="0"/>
              <w:jc w:val="center"/>
              <w:rPr>
                <w:lang w:val="en-US"/>
              </w:rPr>
            </w:pPr>
          </w:p>
        </w:tc>
        <w:tc>
          <w:tcPr>
            <w:tcW w:w="1144" w:type="dxa"/>
            <w:hideMark/>
          </w:tcPr>
          <w:p w14:paraId="2D5766F1" w14:textId="77777777" w:rsidR="00051297" w:rsidRPr="00051297" w:rsidRDefault="00051297" w:rsidP="00051297">
            <w:pPr>
              <w:spacing w:line="240" w:lineRule="auto"/>
              <w:ind w:firstLine="0"/>
              <w:jc w:val="center"/>
              <w:rPr>
                <w:lang w:val="en-US"/>
              </w:rPr>
            </w:pPr>
            <w:r w:rsidRPr="00051297">
              <w:rPr>
                <w:lang w:val="en-US"/>
              </w:rPr>
              <w:t>36</w:t>
            </w:r>
          </w:p>
        </w:tc>
        <w:tc>
          <w:tcPr>
            <w:tcW w:w="0" w:type="auto"/>
            <w:vMerge/>
            <w:vAlign w:val="center"/>
            <w:hideMark/>
          </w:tcPr>
          <w:p w14:paraId="0D1502D8" w14:textId="77777777" w:rsidR="00051297" w:rsidRPr="00051297" w:rsidRDefault="00051297" w:rsidP="00051297">
            <w:pPr>
              <w:spacing w:line="240" w:lineRule="auto"/>
              <w:ind w:firstLine="0"/>
              <w:jc w:val="center"/>
              <w:rPr>
                <w:lang w:val="en-US"/>
              </w:rPr>
            </w:pPr>
          </w:p>
        </w:tc>
        <w:tc>
          <w:tcPr>
            <w:tcW w:w="0" w:type="auto"/>
            <w:vMerge/>
            <w:vAlign w:val="center"/>
            <w:hideMark/>
          </w:tcPr>
          <w:p w14:paraId="7A1AE365" w14:textId="77777777" w:rsidR="00051297" w:rsidRPr="00051297" w:rsidRDefault="00051297" w:rsidP="00051297">
            <w:pPr>
              <w:spacing w:line="240" w:lineRule="auto"/>
              <w:ind w:firstLine="0"/>
              <w:jc w:val="center"/>
              <w:rPr>
                <w:lang w:val="en-US"/>
              </w:rPr>
            </w:pPr>
          </w:p>
        </w:tc>
        <w:tc>
          <w:tcPr>
            <w:tcW w:w="0" w:type="auto"/>
            <w:vMerge/>
            <w:vAlign w:val="center"/>
            <w:hideMark/>
          </w:tcPr>
          <w:p w14:paraId="74928C1B" w14:textId="77777777" w:rsidR="00051297" w:rsidRPr="00051297" w:rsidRDefault="00051297" w:rsidP="00051297">
            <w:pPr>
              <w:spacing w:line="240" w:lineRule="auto"/>
              <w:ind w:firstLine="0"/>
              <w:jc w:val="center"/>
              <w:rPr>
                <w:lang w:val="en-US"/>
              </w:rPr>
            </w:pPr>
          </w:p>
        </w:tc>
      </w:tr>
      <w:tr w:rsidR="00051297" w:rsidRPr="00051297" w14:paraId="172B3167" w14:textId="77777777" w:rsidTr="00D20B01">
        <w:trPr>
          <w:trHeight w:val="70"/>
          <w:jc w:val="center"/>
        </w:trPr>
        <w:tc>
          <w:tcPr>
            <w:tcW w:w="4018" w:type="dxa"/>
            <w:vMerge/>
            <w:noWrap/>
            <w:hideMark/>
          </w:tcPr>
          <w:p w14:paraId="20CF36BE" w14:textId="77777777" w:rsidR="00051297" w:rsidRPr="00051297" w:rsidRDefault="00051297" w:rsidP="00051297">
            <w:pPr>
              <w:spacing w:line="240" w:lineRule="auto"/>
              <w:ind w:firstLine="0"/>
              <w:jc w:val="center"/>
              <w:rPr>
                <w:lang w:val="en-US"/>
              </w:rPr>
            </w:pPr>
          </w:p>
        </w:tc>
        <w:tc>
          <w:tcPr>
            <w:tcW w:w="1144" w:type="dxa"/>
            <w:hideMark/>
          </w:tcPr>
          <w:p w14:paraId="4873C986" w14:textId="77777777" w:rsidR="00051297" w:rsidRPr="00051297" w:rsidRDefault="00051297" w:rsidP="00051297">
            <w:pPr>
              <w:spacing w:line="240" w:lineRule="auto"/>
              <w:ind w:firstLine="0"/>
              <w:jc w:val="center"/>
              <w:rPr>
                <w:lang w:val="en-US"/>
              </w:rPr>
            </w:pPr>
            <w:r w:rsidRPr="00051297">
              <w:rPr>
                <w:lang w:val="en-US"/>
              </w:rPr>
              <w:t>32</w:t>
            </w:r>
          </w:p>
        </w:tc>
        <w:tc>
          <w:tcPr>
            <w:tcW w:w="0" w:type="auto"/>
            <w:vMerge/>
            <w:vAlign w:val="center"/>
            <w:hideMark/>
          </w:tcPr>
          <w:p w14:paraId="1D0703DB" w14:textId="77777777" w:rsidR="00051297" w:rsidRPr="00051297" w:rsidRDefault="00051297" w:rsidP="00051297">
            <w:pPr>
              <w:spacing w:line="240" w:lineRule="auto"/>
              <w:ind w:firstLine="0"/>
              <w:jc w:val="center"/>
              <w:rPr>
                <w:lang w:val="en-US"/>
              </w:rPr>
            </w:pPr>
          </w:p>
        </w:tc>
        <w:tc>
          <w:tcPr>
            <w:tcW w:w="0" w:type="auto"/>
            <w:vMerge/>
            <w:vAlign w:val="center"/>
            <w:hideMark/>
          </w:tcPr>
          <w:p w14:paraId="312BAACC" w14:textId="77777777" w:rsidR="00051297" w:rsidRPr="00051297" w:rsidRDefault="00051297" w:rsidP="00051297">
            <w:pPr>
              <w:spacing w:line="240" w:lineRule="auto"/>
              <w:ind w:firstLine="0"/>
              <w:jc w:val="center"/>
              <w:rPr>
                <w:lang w:val="en-US"/>
              </w:rPr>
            </w:pPr>
          </w:p>
        </w:tc>
        <w:tc>
          <w:tcPr>
            <w:tcW w:w="0" w:type="auto"/>
            <w:vMerge/>
            <w:vAlign w:val="center"/>
            <w:hideMark/>
          </w:tcPr>
          <w:p w14:paraId="73441D76" w14:textId="77777777" w:rsidR="00051297" w:rsidRPr="00051297" w:rsidRDefault="00051297" w:rsidP="00051297">
            <w:pPr>
              <w:spacing w:line="240" w:lineRule="auto"/>
              <w:ind w:firstLine="0"/>
              <w:jc w:val="center"/>
              <w:rPr>
                <w:lang w:val="en-US"/>
              </w:rPr>
            </w:pPr>
          </w:p>
        </w:tc>
      </w:tr>
      <w:tr w:rsidR="00051297" w:rsidRPr="00051297" w14:paraId="53227A79" w14:textId="77777777" w:rsidTr="00D20B01">
        <w:trPr>
          <w:trHeight w:val="70"/>
          <w:jc w:val="center"/>
        </w:trPr>
        <w:tc>
          <w:tcPr>
            <w:tcW w:w="4018" w:type="dxa"/>
            <w:vMerge/>
            <w:noWrap/>
            <w:hideMark/>
          </w:tcPr>
          <w:p w14:paraId="6F1307DE" w14:textId="77777777" w:rsidR="00051297" w:rsidRPr="00051297" w:rsidRDefault="00051297" w:rsidP="00051297">
            <w:pPr>
              <w:spacing w:line="240" w:lineRule="auto"/>
              <w:ind w:firstLine="0"/>
              <w:jc w:val="center"/>
              <w:rPr>
                <w:lang w:val="en-US"/>
              </w:rPr>
            </w:pPr>
          </w:p>
        </w:tc>
        <w:tc>
          <w:tcPr>
            <w:tcW w:w="1144" w:type="dxa"/>
            <w:hideMark/>
          </w:tcPr>
          <w:p w14:paraId="4821CC7B" w14:textId="77777777" w:rsidR="00051297" w:rsidRPr="00051297" w:rsidRDefault="00051297" w:rsidP="00051297">
            <w:pPr>
              <w:spacing w:line="240" w:lineRule="auto"/>
              <w:ind w:firstLine="0"/>
              <w:jc w:val="center"/>
              <w:rPr>
                <w:lang w:val="en-US"/>
              </w:rPr>
            </w:pPr>
            <w:r w:rsidRPr="00051297">
              <w:rPr>
                <w:lang w:val="en-US"/>
              </w:rPr>
              <w:t>28</w:t>
            </w:r>
          </w:p>
        </w:tc>
        <w:tc>
          <w:tcPr>
            <w:tcW w:w="0" w:type="auto"/>
            <w:vMerge/>
            <w:vAlign w:val="center"/>
            <w:hideMark/>
          </w:tcPr>
          <w:p w14:paraId="53AE55D6" w14:textId="77777777" w:rsidR="00051297" w:rsidRPr="00051297" w:rsidRDefault="00051297" w:rsidP="00051297">
            <w:pPr>
              <w:spacing w:line="240" w:lineRule="auto"/>
              <w:ind w:firstLine="0"/>
              <w:jc w:val="center"/>
              <w:rPr>
                <w:lang w:val="en-US"/>
              </w:rPr>
            </w:pPr>
          </w:p>
        </w:tc>
        <w:tc>
          <w:tcPr>
            <w:tcW w:w="0" w:type="auto"/>
            <w:vMerge/>
            <w:vAlign w:val="center"/>
            <w:hideMark/>
          </w:tcPr>
          <w:p w14:paraId="621FD3B3" w14:textId="77777777" w:rsidR="00051297" w:rsidRPr="00051297" w:rsidRDefault="00051297" w:rsidP="00051297">
            <w:pPr>
              <w:spacing w:line="240" w:lineRule="auto"/>
              <w:ind w:firstLine="0"/>
              <w:jc w:val="center"/>
              <w:rPr>
                <w:lang w:val="en-US"/>
              </w:rPr>
            </w:pPr>
          </w:p>
        </w:tc>
        <w:tc>
          <w:tcPr>
            <w:tcW w:w="0" w:type="auto"/>
            <w:vMerge/>
            <w:vAlign w:val="center"/>
            <w:hideMark/>
          </w:tcPr>
          <w:p w14:paraId="7A095583" w14:textId="77777777" w:rsidR="00051297" w:rsidRPr="00051297" w:rsidRDefault="00051297" w:rsidP="00051297">
            <w:pPr>
              <w:spacing w:line="240" w:lineRule="auto"/>
              <w:ind w:firstLine="0"/>
              <w:jc w:val="center"/>
              <w:rPr>
                <w:lang w:val="en-US"/>
              </w:rPr>
            </w:pPr>
          </w:p>
        </w:tc>
      </w:tr>
      <w:tr w:rsidR="00051297" w:rsidRPr="00051297" w14:paraId="34870D55" w14:textId="77777777" w:rsidTr="00D20B01">
        <w:trPr>
          <w:trHeight w:val="70"/>
          <w:jc w:val="center"/>
        </w:trPr>
        <w:tc>
          <w:tcPr>
            <w:tcW w:w="4018" w:type="dxa"/>
            <w:vMerge/>
            <w:noWrap/>
            <w:hideMark/>
          </w:tcPr>
          <w:p w14:paraId="6CC165C5" w14:textId="77777777" w:rsidR="00051297" w:rsidRPr="00051297" w:rsidRDefault="00051297" w:rsidP="00051297">
            <w:pPr>
              <w:spacing w:line="240" w:lineRule="auto"/>
              <w:ind w:firstLine="0"/>
              <w:jc w:val="center"/>
              <w:rPr>
                <w:lang w:val="en-US"/>
              </w:rPr>
            </w:pPr>
          </w:p>
        </w:tc>
        <w:tc>
          <w:tcPr>
            <w:tcW w:w="1144" w:type="dxa"/>
            <w:hideMark/>
          </w:tcPr>
          <w:p w14:paraId="526A3365" w14:textId="77777777" w:rsidR="00051297" w:rsidRPr="00051297" w:rsidRDefault="00051297" w:rsidP="00051297">
            <w:pPr>
              <w:spacing w:line="240" w:lineRule="auto"/>
              <w:ind w:firstLine="0"/>
              <w:jc w:val="center"/>
              <w:rPr>
                <w:lang w:val="en-US"/>
              </w:rPr>
            </w:pPr>
            <w:r w:rsidRPr="00051297">
              <w:rPr>
                <w:lang w:val="en-US"/>
              </w:rPr>
              <w:t>24</w:t>
            </w:r>
          </w:p>
        </w:tc>
        <w:tc>
          <w:tcPr>
            <w:tcW w:w="0" w:type="auto"/>
            <w:vMerge/>
            <w:vAlign w:val="center"/>
            <w:hideMark/>
          </w:tcPr>
          <w:p w14:paraId="4F429B35" w14:textId="77777777" w:rsidR="00051297" w:rsidRPr="00051297" w:rsidRDefault="00051297" w:rsidP="00051297">
            <w:pPr>
              <w:spacing w:line="240" w:lineRule="auto"/>
              <w:ind w:firstLine="0"/>
              <w:jc w:val="center"/>
              <w:rPr>
                <w:lang w:val="en-US"/>
              </w:rPr>
            </w:pPr>
          </w:p>
        </w:tc>
        <w:tc>
          <w:tcPr>
            <w:tcW w:w="0" w:type="auto"/>
            <w:vMerge/>
            <w:vAlign w:val="center"/>
            <w:hideMark/>
          </w:tcPr>
          <w:p w14:paraId="49492136" w14:textId="77777777" w:rsidR="00051297" w:rsidRPr="00051297" w:rsidRDefault="00051297" w:rsidP="00051297">
            <w:pPr>
              <w:spacing w:line="240" w:lineRule="auto"/>
              <w:ind w:firstLine="0"/>
              <w:jc w:val="center"/>
              <w:rPr>
                <w:lang w:val="en-US"/>
              </w:rPr>
            </w:pPr>
          </w:p>
        </w:tc>
        <w:tc>
          <w:tcPr>
            <w:tcW w:w="0" w:type="auto"/>
            <w:vMerge/>
            <w:vAlign w:val="center"/>
            <w:hideMark/>
          </w:tcPr>
          <w:p w14:paraId="158BF01C" w14:textId="77777777" w:rsidR="00051297" w:rsidRPr="00051297" w:rsidRDefault="00051297" w:rsidP="00051297">
            <w:pPr>
              <w:spacing w:line="240" w:lineRule="auto"/>
              <w:ind w:firstLine="0"/>
              <w:jc w:val="center"/>
              <w:rPr>
                <w:lang w:val="en-US"/>
              </w:rPr>
            </w:pPr>
          </w:p>
        </w:tc>
      </w:tr>
      <w:tr w:rsidR="00051297" w:rsidRPr="00051297" w14:paraId="37D9B450" w14:textId="77777777" w:rsidTr="00D20B01">
        <w:trPr>
          <w:trHeight w:val="70"/>
          <w:jc w:val="center"/>
        </w:trPr>
        <w:tc>
          <w:tcPr>
            <w:tcW w:w="4018" w:type="dxa"/>
            <w:vMerge/>
            <w:noWrap/>
            <w:hideMark/>
          </w:tcPr>
          <w:p w14:paraId="3C174155" w14:textId="77777777" w:rsidR="00051297" w:rsidRPr="00051297" w:rsidRDefault="00051297" w:rsidP="00051297">
            <w:pPr>
              <w:spacing w:line="240" w:lineRule="auto"/>
              <w:ind w:firstLine="0"/>
              <w:jc w:val="center"/>
              <w:rPr>
                <w:lang w:val="en-US"/>
              </w:rPr>
            </w:pPr>
          </w:p>
        </w:tc>
        <w:tc>
          <w:tcPr>
            <w:tcW w:w="1144" w:type="dxa"/>
            <w:hideMark/>
          </w:tcPr>
          <w:p w14:paraId="63323058" w14:textId="77777777" w:rsidR="00051297" w:rsidRPr="00051297" w:rsidRDefault="00051297" w:rsidP="00051297">
            <w:pPr>
              <w:spacing w:line="240" w:lineRule="auto"/>
              <w:ind w:firstLine="0"/>
              <w:jc w:val="center"/>
              <w:rPr>
                <w:lang w:val="en-US"/>
              </w:rPr>
            </w:pPr>
            <w:r w:rsidRPr="00051297">
              <w:rPr>
                <w:lang w:val="en-US"/>
              </w:rPr>
              <w:t>20</w:t>
            </w:r>
          </w:p>
        </w:tc>
        <w:tc>
          <w:tcPr>
            <w:tcW w:w="0" w:type="auto"/>
            <w:vMerge/>
            <w:vAlign w:val="center"/>
            <w:hideMark/>
          </w:tcPr>
          <w:p w14:paraId="17759157" w14:textId="77777777" w:rsidR="00051297" w:rsidRPr="00051297" w:rsidRDefault="00051297" w:rsidP="00051297">
            <w:pPr>
              <w:spacing w:line="240" w:lineRule="auto"/>
              <w:ind w:firstLine="0"/>
              <w:jc w:val="center"/>
              <w:rPr>
                <w:lang w:val="en-US"/>
              </w:rPr>
            </w:pPr>
          </w:p>
        </w:tc>
        <w:tc>
          <w:tcPr>
            <w:tcW w:w="0" w:type="auto"/>
            <w:vMerge/>
            <w:vAlign w:val="center"/>
            <w:hideMark/>
          </w:tcPr>
          <w:p w14:paraId="14556344" w14:textId="77777777" w:rsidR="00051297" w:rsidRPr="00051297" w:rsidRDefault="00051297" w:rsidP="00051297">
            <w:pPr>
              <w:spacing w:line="240" w:lineRule="auto"/>
              <w:ind w:firstLine="0"/>
              <w:jc w:val="center"/>
              <w:rPr>
                <w:lang w:val="en-US"/>
              </w:rPr>
            </w:pPr>
          </w:p>
        </w:tc>
        <w:tc>
          <w:tcPr>
            <w:tcW w:w="0" w:type="auto"/>
            <w:vMerge/>
            <w:vAlign w:val="center"/>
            <w:hideMark/>
          </w:tcPr>
          <w:p w14:paraId="2ACDE512" w14:textId="77777777" w:rsidR="00051297" w:rsidRPr="00051297" w:rsidRDefault="00051297" w:rsidP="00051297">
            <w:pPr>
              <w:spacing w:line="240" w:lineRule="auto"/>
              <w:ind w:firstLine="0"/>
              <w:jc w:val="center"/>
              <w:rPr>
                <w:lang w:val="en-US"/>
              </w:rPr>
            </w:pPr>
          </w:p>
        </w:tc>
      </w:tr>
      <w:tr w:rsidR="00051297" w:rsidRPr="00051297" w14:paraId="0FFDFC54" w14:textId="77777777" w:rsidTr="00D20B01">
        <w:trPr>
          <w:trHeight w:val="70"/>
          <w:jc w:val="center"/>
        </w:trPr>
        <w:tc>
          <w:tcPr>
            <w:tcW w:w="4018" w:type="dxa"/>
            <w:noWrap/>
            <w:hideMark/>
          </w:tcPr>
          <w:p w14:paraId="35E7338F" w14:textId="77777777" w:rsidR="00051297" w:rsidRPr="00051297" w:rsidRDefault="00051297" w:rsidP="00051297">
            <w:pPr>
              <w:spacing w:line="240" w:lineRule="auto"/>
              <w:ind w:firstLine="0"/>
              <w:jc w:val="center"/>
              <w:rPr>
                <w:lang w:val="en-US"/>
              </w:rPr>
            </w:pPr>
            <w:r w:rsidRPr="00051297">
              <w:rPr>
                <w:lang w:val="en-US"/>
              </w:rPr>
              <w:t>Liquid limit (%)</w:t>
            </w:r>
          </w:p>
        </w:tc>
        <w:tc>
          <w:tcPr>
            <w:tcW w:w="1144" w:type="dxa"/>
            <w:noWrap/>
            <w:hideMark/>
          </w:tcPr>
          <w:p w14:paraId="01B1CE45" w14:textId="77777777" w:rsidR="00051297" w:rsidRPr="00051297" w:rsidRDefault="00051297" w:rsidP="00051297">
            <w:pPr>
              <w:spacing w:line="240" w:lineRule="auto"/>
              <w:ind w:firstLine="0"/>
              <w:jc w:val="center"/>
              <w:rPr>
                <w:lang w:val="en-US"/>
              </w:rPr>
            </w:pPr>
            <w:r w:rsidRPr="00051297">
              <w:rPr>
                <w:lang w:val="en-US"/>
              </w:rPr>
              <w:t>25 to 45</w:t>
            </w:r>
          </w:p>
        </w:tc>
        <w:tc>
          <w:tcPr>
            <w:tcW w:w="1329" w:type="dxa"/>
            <w:noWrap/>
            <w:hideMark/>
          </w:tcPr>
          <w:p w14:paraId="1D42CDF6" w14:textId="77777777" w:rsidR="00051297" w:rsidRPr="00051297" w:rsidRDefault="00051297" w:rsidP="00051297">
            <w:pPr>
              <w:spacing w:line="240" w:lineRule="auto"/>
              <w:ind w:firstLine="0"/>
              <w:jc w:val="center"/>
              <w:rPr>
                <w:lang w:val="en-US"/>
              </w:rPr>
            </w:pPr>
            <w:r w:rsidRPr="00051297">
              <w:rPr>
                <w:lang w:val="en-US"/>
              </w:rPr>
              <w:t>50</w:t>
            </w:r>
          </w:p>
        </w:tc>
        <w:tc>
          <w:tcPr>
            <w:tcW w:w="1310" w:type="dxa"/>
            <w:noWrap/>
            <w:hideMark/>
          </w:tcPr>
          <w:p w14:paraId="26E4263F" w14:textId="77777777" w:rsidR="00051297" w:rsidRPr="00051297" w:rsidRDefault="00051297" w:rsidP="00051297">
            <w:pPr>
              <w:spacing w:after="200" w:line="240" w:lineRule="auto"/>
              <w:ind w:firstLine="0"/>
              <w:jc w:val="center"/>
              <w:rPr>
                <w:lang w:val="en-US"/>
              </w:rPr>
            </w:pPr>
          </w:p>
        </w:tc>
        <w:tc>
          <w:tcPr>
            <w:tcW w:w="1543" w:type="dxa"/>
            <w:noWrap/>
            <w:hideMark/>
          </w:tcPr>
          <w:p w14:paraId="199BFB22" w14:textId="77777777" w:rsidR="00051297" w:rsidRPr="00051297" w:rsidRDefault="00051297" w:rsidP="00051297">
            <w:pPr>
              <w:spacing w:line="240" w:lineRule="auto"/>
              <w:ind w:firstLine="0"/>
              <w:jc w:val="center"/>
              <w:rPr>
                <w:lang w:val="en-US"/>
              </w:rPr>
            </w:pPr>
          </w:p>
        </w:tc>
      </w:tr>
      <w:tr w:rsidR="00051297" w:rsidRPr="00051297" w14:paraId="752FD589" w14:textId="77777777" w:rsidTr="00D20B01">
        <w:trPr>
          <w:trHeight w:val="70"/>
          <w:jc w:val="center"/>
        </w:trPr>
        <w:tc>
          <w:tcPr>
            <w:tcW w:w="4018" w:type="dxa"/>
            <w:noWrap/>
            <w:hideMark/>
          </w:tcPr>
          <w:p w14:paraId="1DC5E61A" w14:textId="77777777" w:rsidR="00051297" w:rsidRPr="00051297" w:rsidRDefault="00051297" w:rsidP="00051297">
            <w:pPr>
              <w:spacing w:line="240" w:lineRule="auto"/>
              <w:ind w:firstLine="0"/>
              <w:jc w:val="center"/>
              <w:rPr>
                <w:lang w:val="en-US"/>
              </w:rPr>
            </w:pPr>
            <w:r w:rsidRPr="00051297">
              <w:rPr>
                <w:lang w:val="en-US"/>
              </w:rPr>
              <w:t>Unit weight (kN/m</w:t>
            </w:r>
            <w:r w:rsidRPr="00051297">
              <w:rPr>
                <w:vertAlign w:val="superscript"/>
                <w:lang w:val="en-US"/>
              </w:rPr>
              <w:t>3</w:t>
            </w:r>
            <w:r w:rsidRPr="00051297">
              <w:rPr>
                <w:lang w:val="en-US"/>
              </w:rPr>
              <w:t>)</w:t>
            </w:r>
          </w:p>
        </w:tc>
        <w:tc>
          <w:tcPr>
            <w:tcW w:w="1144" w:type="dxa"/>
            <w:noWrap/>
            <w:hideMark/>
          </w:tcPr>
          <w:p w14:paraId="4C194724" w14:textId="77777777" w:rsidR="00051297" w:rsidRPr="00051297" w:rsidRDefault="00051297" w:rsidP="00051297">
            <w:pPr>
              <w:spacing w:line="240" w:lineRule="auto"/>
              <w:ind w:firstLine="0"/>
              <w:jc w:val="center"/>
              <w:rPr>
                <w:lang w:val="en-US"/>
              </w:rPr>
            </w:pPr>
            <w:r w:rsidRPr="00051297">
              <w:rPr>
                <w:lang w:val="en-US"/>
              </w:rPr>
              <w:t>20.5</w:t>
            </w:r>
          </w:p>
        </w:tc>
        <w:tc>
          <w:tcPr>
            <w:tcW w:w="1329" w:type="dxa"/>
            <w:noWrap/>
            <w:hideMark/>
          </w:tcPr>
          <w:p w14:paraId="00CB05CD" w14:textId="77777777" w:rsidR="00051297" w:rsidRPr="00051297" w:rsidRDefault="00051297" w:rsidP="00051297">
            <w:pPr>
              <w:spacing w:line="240" w:lineRule="auto"/>
              <w:ind w:firstLine="0"/>
              <w:jc w:val="center"/>
              <w:rPr>
                <w:lang w:val="en-US"/>
              </w:rPr>
            </w:pPr>
            <w:r w:rsidRPr="00051297">
              <w:rPr>
                <w:lang w:val="en-US"/>
              </w:rPr>
              <w:t>20</w:t>
            </w:r>
          </w:p>
        </w:tc>
        <w:tc>
          <w:tcPr>
            <w:tcW w:w="1310" w:type="dxa"/>
            <w:noWrap/>
            <w:hideMark/>
          </w:tcPr>
          <w:p w14:paraId="07AA3529" w14:textId="77777777" w:rsidR="00051297" w:rsidRPr="00051297" w:rsidRDefault="00051297" w:rsidP="00051297">
            <w:pPr>
              <w:spacing w:line="240" w:lineRule="auto"/>
              <w:ind w:firstLine="0"/>
              <w:jc w:val="center"/>
              <w:rPr>
                <w:lang w:val="en-US"/>
              </w:rPr>
            </w:pPr>
            <w:r w:rsidRPr="00051297">
              <w:rPr>
                <w:lang w:val="en-US"/>
              </w:rPr>
              <w:t>18.5</w:t>
            </w:r>
          </w:p>
        </w:tc>
        <w:tc>
          <w:tcPr>
            <w:tcW w:w="1543" w:type="dxa"/>
            <w:noWrap/>
            <w:hideMark/>
          </w:tcPr>
          <w:p w14:paraId="27C61567" w14:textId="77777777" w:rsidR="00051297" w:rsidRPr="00051297" w:rsidRDefault="00051297" w:rsidP="00051297">
            <w:pPr>
              <w:spacing w:line="240" w:lineRule="auto"/>
              <w:ind w:firstLine="0"/>
              <w:jc w:val="center"/>
              <w:rPr>
                <w:lang w:val="en-US"/>
              </w:rPr>
            </w:pPr>
            <w:r w:rsidRPr="00051297">
              <w:rPr>
                <w:lang w:val="en-US"/>
              </w:rPr>
              <w:t>20.5</w:t>
            </w:r>
          </w:p>
        </w:tc>
      </w:tr>
      <w:tr w:rsidR="00051297" w:rsidRPr="00051297" w14:paraId="6B8A4989" w14:textId="77777777" w:rsidTr="00D20B01">
        <w:trPr>
          <w:trHeight w:val="70"/>
          <w:jc w:val="center"/>
        </w:trPr>
        <w:tc>
          <w:tcPr>
            <w:tcW w:w="4018" w:type="dxa"/>
            <w:noWrap/>
            <w:hideMark/>
          </w:tcPr>
          <w:p w14:paraId="471FEB68" w14:textId="77777777" w:rsidR="00051297" w:rsidRPr="00051297" w:rsidRDefault="00051297" w:rsidP="00051297">
            <w:pPr>
              <w:spacing w:line="240" w:lineRule="auto"/>
              <w:ind w:firstLine="0"/>
              <w:jc w:val="center"/>
              <w:rPr>
                <w:lang w:val="en-US"/>
              </w:rPr>
            </w:pPr>
            <w:r w:rsidRPr="00051297">
              <w:rPr>
                <w:lang w:val="en-US"/>
              </w:rPr>
              <w:t>Saturated water content (%)</w:t>
            </w:r>
          </w:p>
        </w:tc>
        <w:tc>
          <w:tcPr>
            <w:tcW w:w="1144" w:type="dxa"/>
            <w:noWrap/>
            <w:hideMark/>
          </w:tcPr>
          <w:p w14:paraId="2E96D5F7" w14:textId="77777777" w:rsidR="00051297" w:rsidRPr="00051297" w:rsidRDefault="00051297" w:rsidP="00051297">
            <w:pPr>
              <w:spacing w:line="240" w:lineRule="auto"/>
              <w:ind w:firstLine="0"/>
              <w:jc w:val="center"/>
              <w:rPr>
                <w:lang w:val="en-US"/>
              </w:rPr>
            </w:pPr>
            <w:r w:rsidRPr="00051297">
              <w:rPr>
                <w:lang w:val="en-US"/>
              </w:rPr>
              <w:t>29.6</w:t>
            </w:r>
          </w:p>
        </w:tc>
        <w:tc>
          <w:tcPr>
            <w:tcW w:w="1329" w:type="dxa"/>
            <w:noWrap/>
            <w:hideMark/>
          </w:tcPr>
          <w:p w14:paraId="6B9B2EC2" w14:textId="77777777" w:rsidR="00051297" w:rsidRPr="00051297" w:rsidRDefault="00051297" w:rsidP="00051297">
            <w:pPr>
              <w:spacing w:line="240" w:lineRule="auto"/>
              <w:ind w:firstLine="0"/>
              <w:jc w:val="center"/>
              <w:rPr>
                <w:lang w:val="en-US"/>
              </w:rPr>
            </w:pPr>
            <w:r w:rsidRPr="00051297">
              <w:rPr>
                <w:lang w:val="en-US"/>
              </w:rPr>
              <w:t>36.8</w:t>
            </w:r>
          </w:p>
        </w:tc>
        <w:tc>
          <w:tcPr>
            <w:tcW w:w="1310" w:type="dxa"/>
            <w:noWrap/>
            <w:hideMark/>
          </w:tcPr>
          <w:p w14:paraId="3B5DB400" w14:textId="77777777" w:rsidR="00051297" w:rsidRPr="00051297" w:rsidRDefault="00051297" w:rsidP="00051297">
            <w:pPr>
              <w:spacing w:line="240" w:lineRule="auto"/>
              <w:ind w:firstLine="0"/>
              <w:jc w:val="center"/>
              <w:rPr>
                <w:lang w:val="en-US"/>
              </w:rPr>
            </w:pPr>
            <w:r w:rsidRPr="00051297">
              <w:rPr>
                <w:lang w:val="en-US"/>
              </w:rPr>
              <w:t>40.1</w:t>
            </w:r>
          </w:p>
        </w:tc>
        <w:tc>
          <w:tcPr>
            <w:tcW w:w="1543" w:type="dxa"/>
            <w:noWrap/>
            <w:hideMark/>
          </w:tcPr>
          <w:p w14:paraId="14CF30A8" w14:textId="77777777" w:rsidR="00051297" w:rsidRPr="00051297" w:rsidRDefault="00051297" w:rsidP="00051297">
            <w:pPr>
              <w:spacing w:line="240" w:lineRule="auto"/>
              <w:ind w:firstLine="0"/>
              <w:jc w:val="center"/>
              <w:rPr>
                <w:lang w:val="en-US"/>
              </w:rPr>
            </w:pPr>
            <w:r w:rsidRPr="00051297">
              <w:rPr>
                <w:lang w:val="en-US"/>
              </w:rPr>
              <w:t>29.6</w:t>
            </w:r>
          </w:p>
        </w:tc>
      </w:tr>
      <w:tr w:rsidR="00051297" w:rsidRPr="00051297" w14:paraId="495F8DF2" w14:textId="77777777" w:rsidTr="00D20B01">
        <w:trPr>
          <w:trHeight w:val="70"/>
          <w:jc w:val="center"/>
        </w:trPr>
        <w:tc>
          <w:tcPr>
            <w:tcW w:w="4018" w:type="dxa"/>
            <w:noWrap/>
            <w:hideMark/>
          </w:tcPr>
          <w:p w14:paraId="333408ED" w14:textId="77777777" w:rsidR="00051297" w:rsidRPr="00051297" w:rsidRDefault="00051297" w:rsidP="00051297">
            <w:pPr>
              <w:spacing w:line="240" w:lineRule="auto"/>
              <w:ind w:firstLine="0"/>
              <w:jc w:val="center"/>
              <w:rPr>
                <w:lang w:val="en-US"/>
              </w:rPr>
            </w:pPr>
            <w:r w:rsidRPr="00051297">
              <w:rPr>
                <w:lang w:val="en-US"/>
              </w:rPr>
              <w:t>Internal angle of friction (degree)</w:t>
            </w:r>
          </w:p>
        </w:tc>
        <w:tc>
          <w:tcPr>
            <w:tcW w:w="1144" w:type="dxa"/>
            <w:noWrap/>
            <w:hideMark/>
          </w:tcPr>
          <w:p w14:paraId="6E47452F" w14:textId="77777777" w:rsidR="00051297" w:rsidRPr="00051297" w:rsidRDefault="00051297" w:rsidP="00051297">
            <w:pPr>
              <w:spacing w:line="240" w:lineRule="auto"/>
              <w:ind w:firstLine="0"/>
              <w:jc w:val="center"/>
              <w:rPr>
                <w:lang w:val="en-US"/>
              </w:rPr>
            </w:pPr>
            <w:r w:rsidRPr="00051297">
              <w:rPr>
                <w:lang w:val="en-US"/>
              </w:rPr>
              <w:t>40</w:t>
            </w:r>
          </w:p>
        </w:tc>
        <w:tc>
          <w:tcPr>
            <w:tcW w:w="1329" w:type="dxa"/>
            <w:noWrap/>
            <w:hideMark/>
          </w:tcPr>
          <w:p w14:paraId="3F361B27" w14:textId="77777777" w:rsidR="00051297" w:rsidRPr="00051297" w:rsidRDefault="00051297" w:rsidP="00051297">
            <w:pPr>
              <w:spacing w:line="240" w:lineRule="auto"/>
              <w:ind w:firstLine="0"/>
              <w:jc w:val="center"/>
              <w:rPr>
                <w:lang w:val="en-US"/>
              </w:rPr>
            </w:pPr>
            <w:r w:rsidRPr="00051297">
              <w:rPr>
                <w:lang w:val="en-US"/>
              </w:rPr>
              <w:t>28</w:t>
            </w:r>
          </w:p>
        </w:tc>
        <w:tc>
          <w:tcPr>
            <w:tcW w:w="1310" w:type="dxa"/>
            <w:noWrap/>
            <w:hideMark/>
          </w:tcPr>
          <w:p w14:paraId="19BC8368" w14:textId="77777777" w:rsidR="00051297" w:rsidRPr="00051297" w:rsidRDefault="00051297" w:rsidP="00051297">
            <w:pPr>
              <w:spacing w:line="240" w:lineRule="auto"/>
              <w:ind w:firstLine="0"/>
              <w:jc w:val="center"/>
              <w:rPr>
                <w:lang w:val="en-US"/>
              </w:rPr>
            </w:pPr>
            <w:r w:rsidRPr="00051297">
              <w:rPr>
                <w:lang w:val="en-US"/>
              </w:rPr>
              <w:t>38</w:t>
            </w:r>
          </w:p>
        </w:tc>
        <w:tc>
          <w:tcPr>
            <w:tcW w:w="1543" w:type="dxa"/>
            <w:noWrap/>
            <w:hideMark/>
          </w:tcPr>
          <w:p w14:paraId="7009F742" w14:textId="77777777" w:rsidR="00051297" w:rsidRPr="00051297" w:rsidRDefault="00051297" w:rsidP="00051297">
            <w:pPr>
              <w:spacing w:line="240" w:lineRule="auto"/>
              <w:ind w:firstLine="0"/>
              <w:jc w:val="center"/>
              <w:rPr>
                <w:lang w:val="en-US"/>
              </w:rPr>
            </w:pPr>
            <w:r w:rsidRPr="00051297">
              <w:rPr>
                <w:lang w:val="en-US"/>
              </w:rPr>
              <w:t>40</w:t>
            </w:r>
          </w:p>
        </w:tc>
      </w:tr>
      <w:tr w:rsidR="00051297" w:rsidRPr="00051297" w14:paraId="1626931F" w14:textId="77777777" w:rsidTr="00D20B01">
        <w:trPr>
          <w:trHeight w:val="70"/>
          <w:jc w:val="center"/>
        </w:trPr>
        <w:tc>
          <w:tcPr>
            <w:tcW w:w="4018" w:type="dxa"/>
            <w:noWrap/>
            <w:hideMark/>
          </w:tcPr>
          <w:p w14:paraId="71D55733" w14:textId="77777777" w:rsidR="00051297" w:rsidRPr="00051297" w:rsidRDefault="00051297" w:rsidP="00051297">
            <w:pPr>
              <w:spacing w:line="240" w:lineRule="auto"/>
              <w:ind w:firstLine="0"/>
              <w:jc w:val="center"/>
              <w:rPr>
                <w:lang w:val="en-US"/>
              </w:rPr>
            </w:pPr>
            <w:r w:rsidRPr="00051297">
              <w:rPr>
                <w:lang w:val="en-US"/>
              </w:rPr>
              <w:t>Cohesion (kPa)</w:t>
            </w:r>
          </w:p>
        </w:tc>
        <w:tc>
          <w:tcPr>
            <w:tcW w:w="1144" w:type="dxa"/>
            <w:noWrap/>
            <w:hideMark/>
          </w:tcPr>
          <w:p w14:paraId="207F3B03" w14:textId="77777777" w:rsidR="00051297" w:rsidRPr="00051297" w:rsidRDefault="00051297" w:rsidP="00051297">
            <w:pPr>
              <w:spacing w:line="240" w:lineRule="auto"/>
              <w:ind w:firstLine="0"/>
              <w:jc w:val="center"/>
              <w:rPr>
                <w:lang w:val="en-US"/>
              </w:rPr>
            </w:pPr>
            <w:r w:rsidRPr="00051297">
              <w:rPr>
                <w:lang w:val="en-US"/>
              </w:rPr>
              <w:t>-</w:t>
            </w:r>
          </w:p>
        </w:tc>
        <w:tc>
          <w:tcPr>
            <w:tcW w:w="1329" w:type="dxa"/>
            <w:noWrap/>
            <w:hideMark/>
          </w:tcPr>
          <w:p w14:paraId="4C07A2C1" w14:textId="77777777" w:rsidR="00051297" w:rsidRPr="00051297" w:rsidRDefault="00051297" w:rsidP="00051297">
            <w:pPr>
              <w:spacing w:line="240" w:lineRule="auto"/>
              <w:ind w:firstLine="0"/>
              <w:jc w:val="center"/>
              <w:rPr>
                <w:lang w:val="en-US"/>
              </w:rPr>
            </w:pPr>
            <w:r w:rsidRPr="00051297">
              <w:rPr>
                <w:lang w:val="en-US"/>
              </w:rPr>
              <w:t>15</w:t>
            </w:r>
          </w:p>
        </w:tc>
        <w:tc>
          <w:tcPr>
            <w:tcW w:w="1310" w:type="dxa"/>
            <w:noWrap/>
            <w:hideMark/>
          </w:tcPr>
          <w:p w14:paraId="5BFB9696" w14:textId="77777777" w:rsidR="00051297" w:rsidRPr="00051297" w:rsidRDefault="00051297" w:rsidP="00051297">
            <w:pPr>
              <w:spacing w:line="240" w:lineRule="auto"/>
              <w:ind w:firstLine="0"/>
              <w:jc w:val="center"/>
              <w:rPr>
                <w:lang w:val="en-US"/>
              </w:rPr>
            </w:pPr>
            <w:r w:rsidRPr="00051297">
              <w:rPr>
                <w:lang w:val="en-US"/>
              </w:rPr>
              <w:t>-</w:t>
            </w:r>
          </w:p>
        </w:tc>
        <w:tc>
          <w:tcPr>
            <w:tcW w:w="1543" w:type="dxa"/>
            <w:noWrap/>
            <w:hideMark/>
          </w:tcPr>
          <w:p w14:paraId="5DCCD57A" w14:textId="77777777" w:rsidR="00051297" w:rsidRPr="00051297" w:rsidRDefault="00051297" w:rsidP="00051297">
            <w:pPr>
              <w:spacing w:line="240" w:lineRule="auto"/>
              <w:ind w:firstLine="0"/>
              <w:jc w:val="center"/>
              <w:rPr>
                <w:lang w:val="en-US"/>
              </w:rPr>
            </w:pPr>
            <w:r w:rsidRPr="00051297">
              <w:rPr>
                <w:lang w:val="en-US"/>
              </w:rPr>
              <w:t>-</w:t>
            </w:r>
          </w:p>
        </w:tc>
      </w:tr>
    </w:tbl>
    <w:p w14:paraId="60E6D205" w14:textId="77777777" w:rsidR="00051297" w:rsidRPr="00051297" w:rsidRDefault="00051297" w:rsidP="00051297">
      <w:pPr>
        <w:spacing w:after="120"/>
        <w:rPr>
          <w:rFonts w:eastAsia="Calibri" w:cs="Times New Roman"/>
          <w:szCs w:val="24"/>
        </w:rPr>
      </w:pPr>
    </w:p>
    <w:p w14:paraId="1213E7C8" w14:textId="48CEA663" w:rsidR="00051297" w:rsidRPr="00051297" w:rsidRDefault="00051297" w:rsidP="00C925D9">
      <w:pPr>
        <w:pStyle w:val="4"/>
        <w:rPr>
          <w:lang w:val="en-US"/>
        </w:rPr>
      </w:pPr>
      <w:bookmarkStart w:id="1150" w:name="_Toc97504864"/>
      <w:bookmarkStart w:id="1151" w:name="_Toc103543998"/>
      <w:bookmarkStart w:id="1152" w:name="_Toc104985323"/>
      <w:r w:rsidRPr="00051297">
        <w:rPr>
          <w:lang w:val="en-US"/>
        </w:rPr>
        <w:lastRenderedPageBreak/>
        <w:t>General modeling process</w:t>
      </w:r>
      <w:bookmarkEnd w:id="1150"/>
      <w:bookmarkEnd w:id="1151"/>
      <w:bookmarkEnd w:id="1152"/>
      <w:r w:rsidRPr="00051297">
        <w:rPr>
          <w:lang w:val="en-US"/>
        </w:rPr>
        <w:t xml:space="preserve"> </w:t>
      </w:r>
    </w:p>
    <w:p w14:paraId="20AF8E98" w14:textId="77777777" w:rsidR="00051297" w:rsidRPr="00051297" w:rsidRDefault="00051297" w:rsidP="00051297">
      <w:pPr>
        <w:rPr>
          <w:lang w:val="en-US"/>
        </w:rPr>
      </w:pPr>
      <w:r w:rsidRPr="00051297">
        <w:rPr>
          <w:lang w:val="en-US"/>
        </w:rPr>
        <w:t>The possible influence of a dam's quick drawdown on slope stability of an earth-fill embankment with soil parameters specified by hydraulic conductivity was investigated using finite element technique analysis. Five different cases were investigated; steady-state, instantaneous drawdown, 5-days drawdown, 10-days drawdown, and 1m per day drawdown rate to a half of the maximum water level. However, the transient drawdown cases stand to be the main focus of this study.  For the second case, it is assumed that water in the dam or reservoir is drawn instantaneously, and the stability factors were investigated at the end of the modeling process. For cases, three, four, and five, a specific time of 5, 10, and 28.5 days, respectively, were assigned to investigate how the stability factors respond to the different drawdown rates. The instantaneous case represents the extreme situation or worst scenario. The seepage analyses were carried out concurrently with stability analysis.</w:t>
      </w:r>
    </w:p>
    <w:p w14:paraId="09FE13C5" w14:textId="490033D6" w:rsidR="00051297" w:rsidRPr="00051297" w:rsidRDefault="00051297" w:rsidP="00051297">
      <w:pPr>
        <w:rPr>
          <w:lang w:val="en-US"/>
        </w:rPr>
      </w:pPr>
      <w:r w:rsidRPr="00051297">
        <w:rPr>
          <w:lang w:val="en-US"/>
        </w:rPr>
        <w:t xml:space="preserve">A combination of SEEP/W </w:t>
      </w:r>
      <w:r w:rsidRPr="00051297">
        <w:fldChar w:fldCharType="begin" w:fldLock="1"/>
      </w:r>
      <w:r w:rsidR="00FA5896">
        <w:rPr>
          <w:lang w:val="en-US"/>
        </w:rPr>
        <w:instrText>ADDIN CSL_CITATION {"citationItems":[{"id":"ITEM-1","itemData":{"DOI":"10.25046/aj010102","ISSN":"24156698","abstract":"In the present study a computer model of a pumping well has been developed and calibrated by using two slave programs of Geo-Slope software, i.e. (SIGMA/W and SEEP/W). The model has been used to study the behaviour of watertable and drawdown in an aquifer during pumping. SIGMA/W program was used to compute initial pore-pressure within an aquifer, while SEEP/W program was used to analyze the change in pore-pressure and drawdown during pumping respectively. From the results it is revealed that the vectors displaying the movement of the flow direction towards discharge well due to which decline in watertable occurs and a cone of depression and drawdown curve was formed. Comparison of the experimental and simulated data showed a good agreement among them. The drawdown line has been simulated for each concern depth and at each interval of time, which was further compared with the actual data for the computation of model efficiency. The performance of the model was evaluated on the basis of statistical parameters, i.e. mean error, root mean square error and model efficiency; these results are presented in Table 7. Statistical analysis of all the research data, i.e. RMSE, ME, R.E, and EF was found to be 0.134 m and 0.126 m, 3.05% and 98.86% respectively. Additionally verifiability of the model was also made by comparing observed and simulated values of observation wells (piezometeric heads); such graph is illustrated in Figure 5. The slope of the line was observed to be approximately at 45 degrees; thus the figure indicates no considerable difference between observed and simulated head values for all the observation wells. Consequently, it is concluded that simulated values of piezometeric heads are not much different than the observed ones. The results support the use of SIGMA/W and SEEP/W programs as a tool for investigating and designing pumping well practices.","author":[{"dropping-particle":"","family":"Arshad","given":"Imran","non-dropping-particle":"","parse-names":false,"suffix":""},{"dropping-particle":"","family":"Babar","given":"Muhammed Muneer","non-dropping-particle":"","parse-names":false,"suffix":""},{"dropping-particle":"","family":"Javed","given":"Natasha","non-dropping-particle":"","parse-names":false,"suffix":""}],"container-title":"Advances in Science, Technology and Engineering Systems Journal","id":"ITEM-1","issue":"1","issued":{"date-parts":[["2016","4"]]},"page":"11-18","title":"Numerical Analysis of Drawdown in an Unconfined Aquifer due to Pumping Well by SIGMA/W and SEEP/W Simulations","type":"article-journal","volume":"1"},"uris":["http://www.mendeley.com/documents/?uuid=8021903f-da12-4de6-ab9f-b134030ba8aa"]}],"mendeley":{"formattedCitation":"[275]","plainTextFormattedCitation":"[275]","previouslyFormattedCitation":"[275]"},"properties":{"noteIndex":0},"schema":"https://github.com/citation-style-language/schema/raw/master/csl-citation.json"}</w:instrText>
      </w:r>
      <w:r w:rsidRPr="00051297">
        <w:fldChar w:fldCharType="separate"/>
      </w:r>
      <w:r w:rsidR="0032684D" w:rsidRPr="0032684D">
        <w:rPr>
          <w:noProof/>
          <w:lang w:val="en-US"/>
        </w:rPr>
        <w:t>[275]</w:t>
      </w:r>
      <w:r w:rsidRPr="00051297">
        <w:fldChar w:fldCharType="end"/>
      </w:r>
      <w:r w:rsidRPr="00051297">
        <w:rPr>
          <w:lang w:val="en-US"/>
        </w:rPr>
        <w:t xml:space="preserve"> and SLOPE/W </w:t>
      </w:r>
      <w:r w:rsidRPr="00051297">
        <w:fldChar w:fldCharType="begin" w:fldLock="1"/>
      </w:r>
      <w:r w:rsidR="00FA5896">
        <w:rPr>
          <w:lang w:val="en-US"/>
        </w:rPr>
        <w:instrText>ADDIN CSL_CITATION {"citationItems":[{"id":"ITEM-1","itemData":{"DOI":"10.14419/ijet.v7i4.28.22355","ISSN":"2227-524X","abstract":"There are many factors that influence slope failure such as natural disasters and human activities. Amongst the major causes are the rise of groundwater and infiltration of prolonged and antecedent rainfalls. Together with its geographical condition; high lands and mountains, Malaysia is prone to have landslides especially at the Main Range area where most of the soil is residual soil. This study investigated a slope which had a history of landslide due to circular failure landslide using Slope/W, resistivity and seismic surveys to determine the physical and mechanical properties of the on-site materials. Based on the resistivity survey, the existence of groundwater level has been detected at a depth of 10.0 m from the ground level. Seismic analysis showed that the subsurface area was made up of Weathered Granite Grade VI (sandy soil) which is loose to medium dense. SLOPE/W analysis showed that the factor of safety (FOS) was 0.186 which was unstable for slope stability condition. The assessment showed that the slope condition is still not stable despite slope stabilization measurement using cement grouting. It is proposed that erosion control measures on the slope surface should be implemented to prevent recurrent of slope failure and to ensure slope stability.","author":[{"dropping-particle":"","family":"Omar","given":"RC","non-dropping-particle":"","parse-names":false,"suffix":""},{"dropping-particle":"","family":"Baharuddin","given":"INZ","non-dropping-particle":"","parse-names":false,"suffix":""},{"dropping-particle":"","family":"Taha","given":"Hairin","non-dropping-particle":"","parse-names":false,"suffix":""},{"dropping-particle":"","family":"Roslan","given":"R.","non-dropping-particle":"","parse-names":false,"suffix":""},{"dropping-particle":"","family":"NK","given":"Hazwani","non-dropping-particle":"","parse-names":false,"suffix":""},{"dropping-particle":"","family":"MF","given":"Muzad","non-dropping-particle":"","parse-names":false,"suffix":""}],"container-title":"International Journal of Engineering &amp; Technology","id":"ITEM-1","issue":"4.35","issued":{"date-parts":[["2018","11"]]},"page":"172","title":"Slope Stability Analysis of Granitic Residual Soil Using SLOPE/W, Resistivity and Seismic","type":"article-journal","volume":"7"},"uris":["http://www.mendeley.com/documents/?uuid=42ffc041-d948-4afd-8020-92492a5c24cf"]}],"mendeley":{"formattedCitation":"[276]","plainTextFormattedCitation":"[276]","previouslyFormattedCitation":"[276]"},"properties":{"noteIndex":0},"schema":"https://github.com/citation-style-language/schema/raw/master/csl-citation.json"}</w:instrText>
      </w:r>
      <w:r w:rsidRPr="00051297">
        <w:fldChar w:fldCharType="separate"/>
      </w:r>
      <w:r w:rsidR="0032684D" w:rsidRPr="0032684D">
        <w:rPr>
          <w:noProof/>
          <w:lang w:val="en-US"/>
        </w:rPr>
        <w:t>[276]</w:t>
      </w:r>
      <w:r w:rsidRPr="00051297">
        <w:fldChar w:fldCharType="end"/>
      </w:r>
      <w:r w:rsidRPr="00051297">
        <w:rPr>
          <w:lang w:val="en-US"/>
        </w:rPr>
        <w:t xml:space="preserve"> GeoStudio sub-software was used to investigate the problem. Specifically, the seepage analysis was accomplished using SEEP/W in two-dimensional sections, which is based on FEM, while SLOPE/W was used for the slope stability analysis of the embankment based on slip surfaces pore-water pressure conditions, soil properties, and loading conditions. To capture the effect of the hydraulic conductivity values, other parameters such as the geometry of the embankment were kept constant in all the drawdown cases while changing the hydraulic conductivity values in zone 1. In that matter, each case had a combination of seepage analysis (steady-state and transient) and slope stability analysis. </w:t>
      </w:r>
    </w:p>
    <w:p w14:paraId="73492908" w14:textId="16DEB40E" w:rsidR="00051297" w:rsidRPr="00051297" w:rsidRDefault="00051297" w:rsidP="00C925D9">
      <w:pPr>
        <w:pStyle w:val="4"/>
        <w:rPr>
          <w:lang w:val="en-US"/>
        </w:rPr>
      </w:pPr>
      <w:bookmarkStart w:id="1153" w:name="_Toc97504865"/>
      <w:bookmarkStart w:id="1154" w:name="_Toc103543999"/>
      <w:bookmarkStart w:id="1155" w:name="_Toc104985324"/>
      <w:r w:rsidRPr="00051297">
        <w:rPr>
          <w:lang w:val="en-US"/>
        </w:rPr>
        <w:t>Embankment seepage analysis</w:t>
      </w:r>
      <w:bookmarkEnd w:id="1153"/>
      <w:bookmarkEnd w:id="1154"/>
      <w:bookmarkEnd w:id="1155"/>
      <w:r w:rsidRPr="00051297">
        <w:rPr>
          <w:lang w:val="en-US"/>
        </w:rPr>
        <w:t xml:space="preserve"> </w:t>
      </w:r>
    </w:p>
    <w:p w14:paraId="58B80826" w14:textId="764F8A19" w:rsidR="00051297" w:rsidRPr="00051297" w:rsidRDefault="00051297" w:rsidP="00051297">
      <w:pPr>
        <w:spacing w:after="120"/>
        <w:rPr>
          <w:rFonts w:eastAsia="Calibri" w:cs="Times New Roman"/>
          <w:szCs w:val="24"/>
          <w:lang w:val="en-US"/>
        </w:rPr>
      </w:pPr>
      <w:r w:rsidRPr="00051297">
        <w:rPr>
          <w:rFonts w:eastAsia="Calibri" w:cs="Times New Roman"/>
          <w:szCs w:val="24"/>
          <w:lang w:val="en-US"/>
        </w:rPr>
        <w:t>The simulation of the drawdown behavior of a slope started by establishing a long-term steady-state using the Steady-state type of analysis. The established steady-state was then used as a parent to the transient flow analysis, in which the transient flow analyses used seepage-induced pore pressures from the initially performed steady-state analysis. As noted before, the analyses comprised of different drawdown rates and isotropic hydraulic conductivity values. The variation of water level during the drawdown process was modeled using a linear function that was specified as a boundary condition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_Ref98106674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12</w:t>
      </w:r>
      <w:r w:rsidRPr="00051297">
        <w:rPr>
          <w:rFonts w:eastAsia="Calibri" w:cs="Times New Roman"/>
          <w:szCs w:val="24"/>
          <w:lang w:val="en-US"/>
        </w:rPr>
        <w:fldChar w:fldCharType="end"/>
      </w:r>
      <w:r w:rsidRPr="00051297">
        <w:rPr>
          <w:rFonts w:eastAsia="Calibri" w:cs="Times New Roman"/>
          <w:szCs w:val="24"/>
          <w:lang w:val="en-US"/>
        </w:rPr>
        <w:t xml:space="preserve">) on the upstream face of the embankment during the transient seepage analyses. The transient seepage analyses were used as parents to the slope stability analyses. The established flow parameters such as pore water pressures during the transient flow analyses were later used as significant inputs to the stability analysis with SLOPE/W. </w:t>
      </w:r>
    </w:p>
    <w:tbl>
      <w:tblPr>
        <w:tblStyle w:val="TableGrid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625148" w:rsidRPr="00051297" w14:paraId="00B2DA99" w14:textId="77777777" w:rsidTr="00D20B01">
        <w:trPr>
          <w:jc w:val="center"/>
        </w:trPr>
        <w:tc>
          <w:tcPr>
            <w:tcW w:w="4814" w:type="dxa"/>
            <w:hideMark/>
          </w:tcPr>
          <w:p w14:paraId="271D778B" w14:textId="6717B203" w:rsidR="00051297" w:rsidRPr="00051297" w:rsidRDefault="00625148" w:rsidP="00051297">
            <w:pPr>
              <w:spacing w:after="120"/>
              <w:ind w:firstLine="0"/>
              <w:rPr>
                <w:szCs w:val="24"/>
              </w:rPr>
            </w:pPr>
            <w:r w:rsidRPr="00625148">
              <w:rPr>
                <w:noProof/>
                <w:szCs w:val="24"/>
              </w:rPr>
              <w:lastRenderedPageBreak/>
              <w:drawing>
                <wp:inline distT="0" distB="0" distL="0" distR="0" wp14:anchorId="3D584E03" wp14:editId="50FD870E">
                  <wp:extent cx="2873829" cy="3112155"/>
                  <wp:effectExtent l="0" t="0" r="3175"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87554" cy="3127018"/>
                          </a:xfrm>
                          <a:prstGeom prst="rect">
                            <a:avLst/>
                          </a:prstGeom>
                          <a:noFill/>
                          <a:ln>
                            <a:noFill/>
                          </a:ln>
                        </pic:spPr>
                      </pic:pic>
                    </a:graphicData>
                  </a:graphic>
                </wp:inline>
              </w:drawing>
            </w:r>
          </w:p>
          <w:p w14:paraId="307FCBE4" w14:textId="77777777" w:rsidR="00051297" w:rsidRPr="00051297" w:rsidRDefault="00051297" w:rsidP="00051297">
            <w:pPr>
              <w:spacing w:after="120"/>
              <w:jc w:val="center"/>
              <w:rPr>
                <w:rFonts w:eastAsia="Times New Roman"/>
                <w:szCs w:val="24"/>
              </w:rPr>
            </w:pPr>
            <w:r w:rsidRPr="00051297">
              <w:rPr>
                <w:rFonts w:eastAsia="Times New Roman"/>
                <w:szCs w:val="24"/>
              </w:rPr>
              <w:t>(a)</w:t>
            </w:r>
          </w:p>
        </w:tc>
        <w:tc>
          <w:tcPr>
            <w:tcW w:w="4721" w:type="dxa"/>
            <w:hideMark/>
          </w:tcPr>
          <w:p w14:paraId="31BDACBE" w14:textId="36EBB84D" w:rsidR="00051297" w:rsidRPr="00051297" w:rsidRDefault="00625148" w:rsidP="00051297">
            <w:pPr>
              <w:spacing w:after="120"/>
              <w:ind w:firstLine="0"/>
              <w:rPr>
                <w:rFonts w:eastAsia="Times New Roman"/>
                <w:szCs w:val="24"/>
              </w:rPr>
            </w:pPr>
            <w:r w:rsidRPr="00625148">
              <w:rPr>
                <w:rFonts w:eastAsia="Times New Roman"/>
                <w:noProof/>
                <w:szCs w:val="24"/>
              </w:rPr>
              <w:drawing>
                <wp:inline distT="0" distB="0" distL="0" distR="0" wp14:anchorId="70387174" wp14:editId="2932F563">
                  <wp:extent cx="2873829" cy="3112155"/>
                  <wp:effectExtent l="0" t="0" r="3175"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09346" cy="3150617"/>
                          </a:xfrm>
                          <a:prstGeom prst="rect">
                            <a:avLst/>
                          </a:prstGeom>
                          <a:noFill/>
                          <a:ln>
                            <a:noFill/>
                          </a:ln>
                        </pic:spPr>
                      </pic:pic>
                    </a:graphicData>
                  </a:graphic>
                </wp:inline>
              </w:drawing>
            </w:r>
          </w:p>
          <w:p w14:paraId="5498B05E" w14:textId="77777777" w:rsidR="00051297" w:rsidRPr="00051297" w:rsidRDefault="00051297" w:rsidP="00051297">
            <w:pPr>
              <w:keepNext/>
              <w:spacing w:after="120"/>
              <w:jc w:val="center"/>
              <w:rPr>
                <w:rFonts w:eastAsia="Times New Roman"/>
                <w:szCs w:val="24"/>
              </w:rPr>
            </w:pPr>
            <w:r w:rsidRPr="00051297">
              <w:rPr>
                <w:rFonts w:eastAsia="Times New Roman"/>
                <w:szCs w:val="24"/>
              </w:rPr>
              <w:t>(b)</w:t>
            </w:r>
          </w:p>
        </w:tc>
      </w:tr>
    </w:tbl>
    <w:p w14:paraId="6878C7E4" w14:textId="1BAC4B47" w:rsidR="00051297" w:rsidRPr="00051297" w:rsidRDefault="00051297" w:rsidP="00051297">
      <w:pPr>
        <w:ind w:firstLine="0"/>
        <w:jc w:val="center"/>
        <w:rPr>
          <w:rFonts w:cs="Times New Roman"/>
          <w:szCs w:val="24"/>
          <w:lang w:val="en-US" w:bidi="en-US"/>
        </w:rPr>
      </w:pPr>
      <w:bookmarkStart w:id="1156" w:name="_Ref98106674"/>
      <w:bookmarkStart w:id="1157" w:name="_Toc97428278"/>
      <w:bookmarkStart w:id="1158" w:name="_Toc98085953"/>
      <w:bookmarkStart w:id="1159" w:name="_Toc103544148"/>
      <w:bookmarkStart w:id="1160" w:name="_Toc104985471"/>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12</w:t>
      </w:r>
      <w:r w:rsidR="00527861">
        <w:rPr>
          <w:rFonts w:cs="Times New Roman"/>
          <w:szCs w:val="24"/>
          <w:lang w:val="en-US" w:bidi="en-US"/>
        </w:rPr>
        <w:fldChar w:fldCharType="end"/>
      </w:r>
      <w:bookmarkEnd w:id="1156"/>
      <w:r w:rsidRPr="00051297">
        <w:rPr>
          <w:lang w:val="en-US"/>
        </w:rPr>
        <w:t xml:space="preserve"> </w:t>
      </w:r>
      <w:r w:rsidRPr="00051297">
        <w:rPr>
          <w:rFonts w:cs="Times New Roman"/>
          <w:szCs w:val="24"/>
          <w:lang w:val="en-US" w:bidi="en-US"/>
        </w:rPr>
        <w:t>– Drawdown boundary conditions (a) 10 days drawdown rate (b) 1m per day drawdown rate</w:t>
      </w:r>
      <w:bookmarkEnd w:id="1157"/>
      <w:bookmarkEnd w:id="1158"/>
      <w:bookmarkEnd w:id="1159"/>
      <w:bookmarkEnd w:id="1160"/>
    </w:p>
    <w:p w14:paraId="7C996B63" w14:textId="31B0B013" w:rsidR="00051297" w:rsidRPr="00051297" w:rsidRDefault="00051297" w:rsidP="00C925D9">
      <w:pPr>
        <w:pStyle w:val="4"/>
        <w:rPr>
          <w:lang w:val="en-US"/>
        </w:rPr>
      </w:pPr>
      <w:bookmarkStart w:id="1161" w:name="_Toc97504866"/>
      <w:bookmarkStart w:id="1162" w:name="_Toc103544000"/>
      <w:bookmarkStart w:id="1163" w:name="_Toc104985325"/>
      <w:r w:rsidRPr="00051297">
        <w:rPr>
          <w:lang w:val="en-US"/>
        </w:rPr>
        <w:t>Slope stability analysis</w:t>
      </w:r>
      <w:bookmarkEnd w:id="1161"/>
      <w:bookmarkEnd w:id="1162"/>
      <w:bookmarkEnd w:id="1163"/>
      <w:r w:rsidRPr="00051297">
        <w:rPr>
          <w:lang w:val="en-US"/>
        </w:rPr>
        <w:t xml:space="preserve"> </w:t>
      </w:r>
    </w:p>
    <w:p w14:paraId="24B9C069" w14:textId="34C6F57B"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The GeoStudio software's SLOPE/W sub-unit was used for slope stability analyses. To do so, the Morgenstern–Price </w:t>
      </w:r>
      <w:r w:rsidRPr="00051297">
        <w:rPr>
          <w:rFonts w:eastAsia="Calibri" w:cs="Times New Roman"/>
          <w:szCs w:val="24"/>
        </w:rPr>
        <w:fldChar w:fldCharType="begin" w:fldLock="1"/>
      </w:r>
      <w:r w:rsidR="00FA5896">
        <w:rPr>
          <w:rFonts w:eastAsia="Calibri" w:cs="Times New Roman"/>
          <w:szCs w:val="24"/>
          <w:lang w:val="en-US"/>
        </w:rPr>
        <w:instrText>ADDIN CSL_CITATION {"citationItems":[{"id":"ITEM-1","itemData":{"DOI":"10.1139/t02-034","ISSN":"0008-3674","abstract":"The impact of uncertainty on the reliability of slope design and performance assessment is often significant. Conventional slope practice based on the factor of safety cannot explicitly address uncertainty, thus compromising the adequacy of projections. Probabilistic techniques are rational means to quantify and incorporate uncertainty into slope analysis and design. A spreadsheet approach for probabilistic slope stability analysis is developed. The methodology is based on Monte Carlo simulation using the familiar and readily available software, Microsoft® Excel 97 and @Risk. The analysis accounts for the spatial variability of the input variables, the statistical uncertainty due to limited data, and biases in the empirical factors and correlations used. The approach is simple and can be applied in practice with little effort beyond that needed in a conventional analysis. The methodology is illustrated by a probabilistic slope analysis of the dykes of the James Bay hydroelectric project. The results are compared with those obtained using the first-order second-moment method, and the practical insights gained through the analysis are highlighted. The deficiencies of a simpler probabilistic analysis are illustrated. Key words: probabilistic analysis, slope stability, Monte Carlo simulation, spatial variability.","author":[{"dropping-particle":"","family":"El-Ramly","given":"Hassan","non-dropping-particle":"","parse-names":false,"suffix":""},{"dropping-particle":"","family":"Morgenstern","given":"N. R.","non-dropping-particle":"","parse-names":false,"suffix":""},{"dropping-particle":"","family":"Cruden","given":"D. M.","non-dropping-particle":"","parse-names":false,"suffix":""}],"container-title":"Canadian Geotechnical Journal","id":"ITEM-1","issue":"3","issued":{"date-parts":[["2002","6"]]},"page":"665-683","title":"Probabilistic slope stability analysis for practice","type":"article-journal","volume":"39"},"uris":["http://www.mendeley.com/documents/?uuid=51af3dfb-78cc-4f41-8b73-651f38847f29"]}],"mendeley":{"formattedCitation":"[277]","plainTextFormattedCitation":"[277]","previouslyFormattedCitation":"[277]"},"properties":{"noteIndex":0},"schema":"https://github.com/citation-style-language/schema/raw/master/csl-citation.json"}</w:instrText>
      </w:r>
      <w:r w:rsidRPr="00051297">
        <w:rPr>
          <w:rFonts w:eastAsia="Calibri" w:cs="Times New Roman"/>
          <w:szCs w:val="24"/>
        </w:rPr>
        <w:fldChar w:fldCharType="separate"/>
      </w:r>
      <w:r w:rsidR="0032684D" w:rsidRPr="0032684D">
        <w:rPr>
          <w:rFonts w:eastAsia="Calibri" w:cs="Times New Roman"/>
          <w:noProof/>
          <w:szCs w:val="24"/>
          <w:lang w:val="en-US"/>
        </w:rPr>
        <w:t>[277]</w:t>
      </w:r>
      <w:r w:rsidRPr="00051297">
        <w:rPr>
          <w:rFonts w:eastAsia="Calibri" w:cs="Times New Roman"/>
          <w:szCs w:val="24"/>
        </w:rPr>
        <w:fldChar w:fldCharType="end"/>
      </w:r>
      <w:r w:rsidRPr="00051297">
        <w:rPr>
          <w:rFonts w:eastAsia="Calibri" w:cs="Times New Roman"/>
          <w:szCs w:val="24"/>
          <w:lang w:val="en-US"/>
        </w:rPr>
        <w:t xml:space="preserve"> analysis approach was used under the general limit equilibrium (GLE) </w:t>
      </w:r>
      <w:r w:rsidRPr="00051297">
        <w:rPr>
          <w:rFonts w:eastAsia="Calibri" w:cs="Times New Roman"/>
          <w:szCs w:val="24"/>
        </w:rPr>
        <w:fldChar w:fldCharType="begin" w:fldLock="1"/>
      </w:r>
      <w:r w:rsidR="00FA5896">
        <w:rPr>
          <w:rFonts w:eastAsia="Calibri" w:cs="Times New Roman"/>
          <w:szCs w:val="24"/>
          <w:lang w:val="en-US"/>
        </w:rPr>
        <w:instrText>ADDIN CSL_CITATION {"citationItems":[{"id":"ITEM-1","itemData":{"DOI":"10.1139/t93-089","ISSN":"0008-3674","abstract":"A generalized model for three-dimensional analysis, using the method of columns, is presented. The model is an extension of the two-dimensional general limit equilibrium formulation. Intercolumn force functions of arbitrary shape can be specified to simulate various directions for the intercolumn resultant forces. A unique feature of the model involves the use of a geostatistical procedure (i.e., the Kriging technique) in modelling the geometry of the slope, the stratigraphy, the potential slip surface, and the pore-water pressure conditions. The technique simplifies the data-input procedure and expedites the column discretization and the factor of safety computations. The shape of the intercolumn force functions was investigated for several slope geometries using a three-dimensional finite element stress analysis. The significance of the intercolumn force functions in three-dimensional stability analyses was also studied. The model was utilized to study a case history involving an open-pit mining failure. The results indicate that the model is able to provide a more realistic simulation of the case history than was possible using a conventional two-dimensional model. Key words : stability analysis, general limit equilibrium, three-dimensional, method of columns, factor of safety.","author":[{"dropping-particle":"","family":"Lam","given":"L.","non-dropping-particle":"","parse-names":false,"suffix":""},{"dropping-particle":"","family":"Fredlund","given":"D.G.","non-dropping-particle":"","parse-names":false,"suffix":""}],"container-title":"Canadian Geotechnical Journal","id":"ITEM-1","issue":"6","issued":{"date-parts":[["1993","12"]]},"page":"905-919","title":"A general limit equilibrium model for three-dimensional slope stability analysis","type":"article-journal","volume":"30"},"uris":["http://www.mendeley.com/documents/?uuid=0de15387-7ab4-453a-b0d0-fbfab94b0026"]}],"mendeley":{"formattedCitation":"[278]","plainTextFormattedCitation":"[278]","previouslyFormattedCitation":"[278]"},"properties":{"noteIndex":0},"schema":"https://github.com/citation-style-language/schema/raw/master/csl-citation.json"}</w:instrText>
      </w:r>
      <w:r w:rsidRPr="00051297">
        <w:rPr>
          <w:rFonts w:eastAsia="Calibri" w:cs="Times New Roman"/>
          <w:szCs w:val="24"/>
        </w:rPr>
        <w:fldChar w:fldCharType="separate"/>
      </w:r>
      <w:r w:rsidR="0032684D" w:rsidRPr="0032684D">
        <w:rPr>
          <w:rFonts w:eastAsia="Calibri" w:cs="Times New Roman"/>
          <w:noProof/>
          <w:szCs w:val="24"/>
          <w:lang w:val="en-US"/>
        </w:rPr>
        <w:t>[278]</w:t>
      </w:r>
      <w:r w:rsidRPr="00051297">
        <w:rPr>
          <w:rFonts w:eastAsia="Calibri" w:cs="Times New Roman"/>
          <w:szCs w:val="24"/>
        </w:rPr>
        <w:fldChar w:fldCharType="end"/>
      </w:r>
      <w:r w:rsidRPr="00051297">
        <w:rPr>
          <w:rFonts w:eastAsia="Calibri" w:cs="Times New Roman"/>
          <w:szCs w:val="24"/>
          <w:lang w:val="en-US"/>
        </w:rPr>
        <w:t>. The approach is based on two factors of safety equations with the following perspectives since the generic limit equilibrium formulation allows for a variety of interslice shear-normal force circumstances.</w:t>
      </w:r>
    </w:p>
    <w:p w14:paraId="051730F9" w14:textId="77777777" w:rsidR="00051297" w:rsidRPr="00051297" w:rsidRDefault="00051297" w:rsidP="00051297">
      <w:pPr>
        <w:numPr>
          <w:ilvl w:val="0"/>
          <w:numId w:val="2"/>
        </w:numPr>
        <w:tabs>
          <w:tab w:val="left" w:pos="993"/>
        </w:tabs>
        <w:ind w:left="0" w:firstLine="709"/>
        <w:contextualSpacing/>
        <w:rPr>
          <w:rFonts w:eastAsia="Calibri" w:cs="Times New Roman"/>
          <w:szCs w:val="24"/>
          <w:lang w:val="en-US"/>
        </w:rPr>
      </w:pPr>
      <w:r w:rsidRPr="00051297">
        <w:rPr>
          <w:rFonts w:eastAsia="Calibri" w:cs="Times New Roman"/>
          <w:szCs w:val="24"/>
          <w:lang w:val="en-US"/>
        </w:rPr>
        <w:t>In the first equation, the factor of safety is computed with respect to moment equilibrium (F</w:t>
      </w:r>
      <w:r w:rsidRPr="00051297">
        <w:rPr>
          <w:rFonts w:eastAsia="Calibri" w:cs="Times New Roman"/>
          <w:szCs w:val="24"/>
          <w:vertAlign w:val="subscript"/>
          <w:lang w:val="en-US"/>
        </w:rPr>
        <w:t>m</w:t>
      </w:r>
      <w:r w:rsidRPr="00051297">
        <w:rPr>
          <w:rFonts w:eastAsia="Calibri" w:cs="Times New Roman"/>
          <w:szCs w:val="24"/>
          <w:lang w:val="en-US"/>
        </w:rPr>
        <w:t>).</w:t>
      </w:r>
    </w:p>
    <w:p w14:paraId="65BE761B" w14:textId="77777777" w:rsidR="00051297" w:rsidRPr="00051297" w:rsidRDefault="00051297" w:rsidP="00051297">
      <w:pPr>
        <w:numPr>
          <w:ilvl w:val="0"/>
          <w:numId w:val="2"/>
        </w:numPr>
        <w:tabs>
          <w:tab w:val="left" w:pos="993"/>
        </w:tabs>
        <w:ind w:left="0" w:firstLine="709"/>
        <w:contextualSpacing/>
        <w:rPr>
          <w:rFonts w:eastAsia="Calibri" w:cs="Times New Roman"/>
          <w:szCs w:val="24"/>
          <w:lang w:val="en-US"/>
        </w:rPr>
      </w:pPr>
      <w:r w:rsidRPr="00051297">
        <w:rPr>
          <w:rFonts w:eastAsia="Calibri" w:cs="Times New Roman"/>
          <w:szCs w:val="24"/>
          <w:lang w:val="en-US"/>
        </w:rPr>
        <w:t>The second equation computes the factor of safety with respect to horizontal force equilibrium (F</w:t>
      </w:r>
      <w:r w:rsidRPr="00051297">
        <w:rPr>
          <w:rFonts w:eastAsia="Calibri" w:cs="Times New Roman"/>
          <w:szCs w:val="24"/>
          <w:vertAlign w:val="subscript"/>
          <w:lang w:val="en-US"/>
        </w:rPr>
        <w:t>f</w:t>
      </w:r>
      <w:r w:rsidRPr="00051297">
        <w:rPr>
          <w:rFonts w:eastAsia="Calibri" w:cs="Times New Roman"/>
          <w:szCs w:val="24"/>
          <w:lang w:val="en-US"/>
        </w:rPr>
        <w:t xml:space="preserve">). </w:t>
      </w:r>
    </w:p>
    <w:p w14:paraId="56C5C5BF" w14:textId="51438755" w:rsidR="00051297" w:rsidRPr="00051297" w:rsidRDefault="00051297" w:rsidP="00051297">
      <w:pPr>
        <w:tabs>
          <w:tab w:val="left" w:pos="993"/>
        </w:tabs>
        <w:rPr>
          <w:rFonts w:eastAsia="Calibri" w:cs="Times New Roman"/>
          <w:szCs w:val="24"/>
          <w:lang w:val="pl-PL"/>
        </w:rPr>
      </w:pPr>
      <w:r w:rsidRPr="00051297">
        <w:rPr>
          <w:rFonts w:eastAsia="Calibri" w:cs="Times New Roman"/>
          <w:szCs w:val="24"/>
          <w:lang w:val="en-US"/>
        </w:rPr>
        <w:t xml:space="preserve">However, the applicability of the two equations in the computations of a factor of safety was initially published by Spencer </w:t>
      </w:r>
      <w:r w:rsidRPr="00051297">
        <w:rPr>
          <w:rFonts w:eastAsia="Calibri" w:cs="Times New Roman"/>
          <w:szCs w:val="24"/>
          <w:lang w:val="pl-PL"/>
        </w:rPr>
        <w:fldChar w:fldCharType="begin" w:fldLock="1"/>
      </w:r>
      <w:r w:rsidR="0044426E">
        <w:rPr>
          <w:rFonts w:eastAsia="Calibri" w:cs="Times New Roman"/>
          <w:szCs w:val="24"/>
          <w:lang w:val="en-US"/>
        </w:rPr>
        <w:instrText>ADDIN CSL_CITATION {"citationItems":[{"id":"ITEM-1","itemData":{"DOI":"10.1680/geot.1967.17.1.11","ISSN":"17517656","abstract":"A method of analysis is described for determining the factor of safety of an embankment against failure on a cylindrical slip surface. The analysis is in terms of effective stress and leads to two equations of equilibrium, the first in respect of forces and the second in respect of moments. Using this method of analysis, the factors affecting the accuracy of Bishop's simplified method have been investigated. Charts have been obtained for three different values of the pore pressure coefficient (ru) which identify the position of the critical slip circle. A set of stability charts is also given. © 1967, Thomas Telford Ltd. All rights reserved.","author":[{"dropping-particle":"","family":"Spencer","given":"E.","non-dropping-particle":"","parse-names":false,"suffix":""}],"container-title":"Geotechnique","id":"ITEM-1","issued":{"date-parts":[["1967"]]},"title":"A method of analysis of the stability of embankments assuming parallel inter-slice forces","type":"article-journal"},"uris":["http://www.mendeley.com/documents/?uuid=088cd22e-6d31-40a4-aa70-c7fa356d8abc","http://www.mendeley.com/documents/?uuid=9e959e4b-e173-40b2-96b4-3b250a8d89bd","http://www.mendeley.com/documents/?uuid=7c97db1d-dc54-4d56-b34c-e9da94fcc7b5"]}],"mendeley":{"formattedCitation":"[283]","plainTextFormattedCitation":"[283]","previouslyFormattedCitation":"[283]"},"properties":{"noteIndex":0},"schema":"https://github.com/citation-style-language/schema/raw/master/csl-citation.json"}</w:instrText>
      </w:r>
      <w:r w:rsidRPr="00051297">
        <w:rPr>
          <w:rFonts w:eastAsia="Calibri" w:cs="Times New Roman"/>
          <w:szCs w:val="24"/>
          <w:lang w:val="pl-PL"/>
        </w:rPr>
        <w:fldChar w:fldCharType="separate"/>
      </w:r>
      <w:r w:rsidR="00FA5896" w:rsidRPr="00FA5896">
        <w:rPr>
          <w:rFonts w:eastAsia="Calibri" w:cs="Times New Roman"/>
          <w:noProof/>
          <w:szCs w:val="24"/>
          <w:lang w:val="en-US"/>
        </w:rPr>
        <w:t>[283]</w:t>
      </w:r>
      <w:r w:rsidRPr="00051297">
        <w:rPr>
          <w:rFonts w:eastAsia="Calibri" w:cs="Times New Roman"/>
          <w:szCs w:val="24"/>
          <w:lang w:val="pl-PL"/>
        </w:rPr>
        <w:fldChar w:fldCharType="end"/>
      </w:r>
      <w:r w:rsidRPr="00051297">
        <w:rPr>
          <w:rFonts w:eastAsia="Calibri" w:cs="Times New Roman"/>
          <w:szCs w:val="24"/>
          <w:lang w:val="en-US"/>
        </w:rPr>
        <w:t>. Spencer's method can be termed as a modified and extended version of Bishop's simplified method. Referring to Bishop's simplified method, a factor of safety (F) is calculated as the ratio of total strength available (S) on the slip surface to the total shear strength mobilized (S</w:t>
      </w:r>
      <w:r w:rsidRPr="00051297">
        <w:rPr>
          <w:rFonts w:eastAsia="Calibri" w:cs="Times New Roman"/>
          <w:szCs w:val="24"/>
          <w:vertAlign w:val="subscript"/>
          <w:lang w:val="en-US"/>
        </w:rPr>
        <w:t>m</w:t>
      </w:r>
      <w:r w:rsidRPr="00051297">
        <w:rPr>
          <w:rFonts w:eastAsia="Calibri" w:cs="Times New Roman"/>
          <w:szCs w:val="24"/>
          <w:lang w:val="en-US"/>
        </w:rPr>
        <w:t xml:space="preserve">) </w:t>
      </w:r>
      <w:r w:rsidR="002C5BCC" w:rsidRPr="00051297">
        <w:rPr>
          <w:rFonts w:cs="Times New Roman"/>
          <w:szCs w:val="24"/>
        </w:rPr>
        <w:fldChar w:fldCharType="begin" w:fldLock="1"/>
      </w:r>
      <w:r w:rsidR="00FA5896">
        <w:rPr>
          <w:rFonts w:cs="Times New Roman"/>
          <w:szCs w:val="24"/>
          <w:lang w:val="en-US"/>
        </w:rPr>
        <w:instrText>ADDIN CSL_CITATION {"citationItems":[{"id":"ITEM-1","itemData":{"DOI":"10.1680/geot.1967.17.1.11","ISSN":"0016-8505","abstract":"Synopsis","author":[{"dropping-particle":"","family":"Spencer","given":"E","non-dropping-particle":"","parse-names":false,"suffix":""}],"container-title":"Géotechnique","id":"ITEM-1","issue":"1","issued":{"date-parts":[["1967","3"]]},"page":"11-26","title":"A Method of analysis of the Stability of Embankments Assuming Parallel Inter-Slice Forces","type":"article-journal","volume":"17"},"uris":["http://www.mendeley.com/documents/?uuid=502b264c-6829-4848-bca5-5e05bc27b973","http://www.mendeley.com/documents/?uuid=9cc38f8b-f416-404d-b157-0c8fac403c46"]}],"mendeley":{"formattedCitation":"[162]","plainTextFormattedCitation":"[162]","previouslyFormattedCitation":"[162]"},"properties":{"noteIndex":0},"schema":"https://github.com/citation-style-language/schema/raw/master/csl-citation.json"}</w:instrText>
      </w:r>
      <w:r w:rsidR="002C5BCC" w:rsidRPr="00051297">
        <w:rPr>
          <w:rFonts w:cs="Times New Roman"/>
          <w:szCs w:val="24"/>
        </w:rPr>
        <w:fldChar w:fldCharType="separate"/>
      </w:r>
      <w:r w:rsidR="002C5BCC" w:rsidRPr="0032684D">
        <w:rPr>
          <w:rFonts w:cs="Times New Roman"/>
          <w:noProof/>
          <w:szCs w:val="24"/>
          <w:lang w:val="en-US"/>
        </w:rPr>
        <w:t>[162]</w:t>
      </w:r>
      <w:r w:rsidR="002C5BCC" w:rsidRPr="00051297">
        <w:rPr>
          <w:rFonts w:cs="Times New Roman"/>
          <w:szCs w:val="24"/>
        </w:rPr>
        <w:fldChar w:fldCharType="end"/>
      </w:r>
      <w:r w:rsidRPr="002C5BCC">
        <w:rPr>
          <w:rFonts w:eastAsia="Calibri" w:cs="Times New Roman"/>
          <w:szCs w:val="24"/>
          <w:lang w:val="en-US"/>
        </w:rPr>
        <w:t xml:space="preserve">, as summarized in </w:t>
      </w:r>
      <w:r w:rsidRPr="00051297">
        <w:rPr>
          <w:rFonts w:eastAsia="Calibri" w:cs="Times New Roman"/>
          <w:szCs w:val="24"/>
        </w:rPr>
        <w:fldChar w:fldCharType="begin"/>
      </w:r>
      <w:r w:rsidRPr="002C5BCC">
        <w:rPr>
          <w:rFonts w:eastAsia="Calibri" w:cs="Times New Roman"/>
          <w:szCs w:val="24"/>
          <w:lang w:val="en-US"/>
        </w:rPr>
        <w:instrText xml:space="preserve"> REF _Ref103556056 \h </w:instrText>
      </w:r>
      <w:r w:rsidRPr="00051297">
        <w:rPr>
          <w:rFonts w:eastAsia="Calibri" w:cs="Times New Roman"/>
          <w:szCs w:val="24"/>
        </w:rPr>
      </w:r>
      <w:r w:rsidRPr="00051297">
        <w:rPr>
          <w:rFonts w:eastAsia="Calibri" w:cs="Times New Roman"/>
          <w:szCs w:val="24"/>
        </w:rPr>
        <w:fldChar w:fldCharType="separate"/>
      </w:r>
      <w:r w:rsidR="004870F1" w:rsidRPr="00051297">
        <w:rPr>
          <w:rFonts w:eastAsia="Times New Roman"/>
          <w:szCs w:val="24"/>
        </w:rPr>
        <w:t>(</w:t>
      </w:r>
      <w:r w:rsidR="004870F1">
        <w:rPr>
          <w:noProof/>
        </w:rPr>
        <w:t>5</w:t>
      </w:r>
      <w:r w:rsidR="004870F1" w:rsidRPr="00051297">
        <w:t>.</w:t>
      </w:r>
      <w:r w:rsidR="004870F1">
        <w:rPr>
          <w:noProof/>
        </w:rPr>
        <w:t>2</w:t>
      </w:r>
      <w:r w:rsidR="004870F1" w:rsidRPr="00051297">
        <w:rPr>
          <w:rFonts w:eastAsia="Times New Roman"/>
          <w:szCs w:val="24"/>
        </w:rPr>
        <w:t>)</w:t>
      </w:r>
      <w:r w:rsidRPr="00051297">
        <w:rPr>
          <w:rFonts w:eastAsia="Calibri" w:cs="Times New Roman"/>
          <w:szCs w:val="24"/>
        </w:rPr>
        <w:fldChar w:fldCharType="end"/>
      </w:r>
      <w:r w:rsidRPr="002C5BCC">
        <w:rPr>
          <w:rFonts w:eastAsia="Calibri" w:cs="Times New Roman"/>
          <w:szCs w:val="24"/>
          <w:lang w:val="en-US"/>
        </w:rPr>
        <w:t>.</w:t>
      </w:r>
    </w:p>
    <w:tbl>
      <w:tblPr>
        <w:tblStyle w:val="TableGrid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
        <w:gridCol w:w="7711"/>
        <w:gridCol w:w="1385"/>
      </w:tblGrid>
      <w:tr w:rsidR="00051297" w:rsidRPr="00051297" w14:paraId="1ADB416D" w14:textId="77777777" w:rsidTr="00D20B01">
        <w:tc>
          <w:tcPr>
            <w:tcW w:w="264" w:type="dxa"/>
          </w:tcPr>
          <w:p w14:paraId="7C40055A" w14:textId="77777777" w:rsidR="00051297" w:rsidRPr="00051297" w:rsidRDefault="00051297" w:rsidP="00051297">
            <w:pPr>
              <w:spacing w:after="120"/>
              <w:rPr>
                <w:szCs w:val="24"/>
              </w:rPr>
            </w:pPr>
          </w:p>
        </w:tc>
        <w:tc>
          <w:tcPr>
            <w:tcW w:w="8868" w:type="dxa"/>
            <w:hideMark/>
          </w:tcPr>
          <w:p w14:paraId="3F1A4D26" w14:textId="77777777" w:rsidR="00051297" w:rsidRPr="00051297" w:rsidRDefault="00051297" w:rsidP="00051297">
            <w:pPr>
              <w:spacing w:after="120"/>
              <w:rPr>
                <w:rFonts w:eastAsia="Times New Roman"/>
                <w:szCs w:val="24"/>
              </w:rPr>
            </w:pPr>
            <m:oMathPara>
              <m:oMath>
                <m:r>
                  <w:rPr>
                    <w:rFonts w:ascii="Cambria Math" w:eastAsia="Times New Roman" w:hAnsi="Cambria Math"/>
                    <w:szCs w:val="24"/>
                  </w:rPr>
                  <m:t>F=</m:t>
                </m:r>
                <m:f>
                  <m:fPr>
                    <m:ctrlPr>
                      <w:rPr>
                        <w:rFonts w:ascii="Cambria Math" w:eastAsia="Times New Roman" w:hAnsi="Cambria Math"/>
                        <w:i/>
                        <w:szCs w:val="24"/>
                      </w:rPr>
                    </m:ctrlPr>
                  </m:fPr>
                  <m:num>
                    <m:r>
                      <w:rPr>
                        <w:rFonts w:ascii="Cambria Math" w:eastAsia="Times New Roman" w:hAnsi="Cambria Math"/>
                        <w:szCs w:val="24"/>
                      </w:rPr>
                      <m:t>S</m:t>
                    </m:r>
                  </m:num>
                  <m:den>
                    <m:sSub>
                      <m:sSubPr>
                        <m:ctrlPr>
                          <w:rPr>
                            <w:rFonts w:ascii="Cambria Math" w:eastAsia="Times New Roman" w:hAnsi="Cambria Math"/>
                            <w:i/>
                            <w:szCs w:val="24"/>
                          </w:rPr>
                        </m:ctrlPr>
                      </m:sSubPr>
                      <m:e>
                        <m:r>
                          <w:rPr>
                            <w:rFonts w:ascii="Cambria Math" w:eastAsia="Times New Roman" w:hAnsi="Cambria Math"/>
                            <w:szCs w:val="24"/>
                          </w:rPr>
                          <m:t>S</m:t>
                        </m:r>
                      </m:e>
                      <m:sub>
                        <m:r>
                          <w:rPr>
                            <w:rFonts w:ascii="Cambria Math" w:eastAsia="Times New Roman" w:hAnsi="Cambria Math"/>
                            <w:szCs w:val="24"/>
                          </w:rPr>
                          <m:t>m</m:t>
                        </m:r>
                      </m:sub>
                    </m:sSub>
                  </m:den>
                </m:f>
              </m:oMath>
            </m:oMathPara>
          </w:p>
        </w:tc>
        <w:tc>
          <w:tcPr>
            <w:tcW w:w="496" w:type="dxa"/>
            <w:hideMark/>
          </w:tcPr>
          <w:p w14:paraId="6F0E8398" w14:textId="091FDBEE" w:rsidR="00051297" w:rsidRPr="00051297" w:rsidRDefault="00051297" w:rsidP="00051297">
            <w:pPr>
              <w:spacing w:after="120"/>
            </w:pPr>
            <w:bookmarkStart w:id="1164" w:name="_Ref103556056"/>
            <w:r w:rsidRPr="00051297">
              <w:rPr>
                <w:rFonts w:eastAsia="Times New Roman"/>
                <w:szCs w:val="24"/>
              </w:rPr>
              <w:t>(</w:t>
            </w:r>
            <w:r w:rsidRPr="00051297">
              <w:fldChar w:fldCharType="begin"/>
            </w:r>
            <w:r w:rsidRPr="00051297">
              <w:instrText xml:space="preserve"> STYLEREF 1 \s </w:instrText>
            </w:r>
            <w:r w:rsidRPr="00051297">
              <w:fldChar w:fldCharType="separate"/>
            </w:r>
            <w:r w:rsidR="004870F1">
              <w:rPr>
                <w:noProof/>
              </w:rPr>
              <w:t>5</w:t>
            </w:r>
            <w:r w:rsidRPr="00051297">
              <w:fldChar w:fldCharType="end"/>
            </w:r>
            <w:r w:rsidRPr="00051297">
              <w:t>.</w:t>
            </w:r>
            <w:r w:rsidRPr="00051297">
              <w:fldChar w:fldCharType="begin"/>
            </w:r>
            <w:r w:rsidRPr="00051297">
              <w:instrText xml:space="preserve"> SEQ Equation \* ARABIC \s 1 </w:instrText>
            </w:r>
            <w:r w:rsidRPr="00051297">
              <w:fldChar w:fldCharType="separate"/>
            </w:r>
            <w:r w:rsidR="004870F1">
              <w:rPr>
                <w:noProof/>
              </w:rPr>
              <w:t>2</w:t>
            </w:r>
            <w:r w:rsidRPr="00051297">
              <w:fldChar w:fldCharType="end"/>
            </w:r>
            <w:r w:rsidRPr="00051297">
              <w:rPr>
                <w:rFonts w:eastAsia="Times New Roman"/>
                <w:szCs w:val="24"/>
              </w:rPr>
              <w:t>)</w:t>
            </w:r>
            <w:bookmarkEnd w:id="1164"/>
          </w:p>
        </w:tc>
      </w:tr>
    </w:tbl>
    <w:p w14:paraId="6869B8F4" w14:textId="2D2AFF60" w:rsidR="00051297" w:rsidRPr="00051297" w:rsidRDefault="00051297" w:rsidP="00051297">
      <w:pPr>
        <w:spacing w:after="120"/>
        <w:rPr>
          <w:rFonts w:eastAsia="Calibri" w:cs="Times New Roman"/>
          <w:szCs w:val="24"/>
          <w:lang w:val="en-US"/>
        </w:rPr>
      </w:pPr>
      <w:r w:rsidRPr="00051297">
        <w:rPr>
          <w:rFonts w:eastAsia="Calibri" w:cs="Times New Roman"/>
          <w:szCs w:val="24"/>
          <w:lang w:val="en-US"/>
        </w:rPr>
        <w:t xml:space="preserve">Moreover, in Spencer's analysis, the derived resultant of pair of interslice forces (Q) is computed using Equation </w:t>
      </w:r>
      <w:r w:rsidRPr="00051297">
        <w:rPr>
          <w:rFonts w:eastAsia="Calibri" w:cs="Times New Roman"/>
          <w:szCs w:val="24"/>
          <w:lang w:val="en-US"/>
        </w:rPr>
        <w:fldChar w:fldCharType="begin"/>
      </w:r>
      <w:r w:rsidRPr="00051297">
        <w:rPr>
          <w:rFonts w:eastAsia="Calibri" w:cs="Times New Roman"/>
          <w:szCs w:val="24"/>
          <w:lang w:val="en-US"/>
        </w:rPr>
        <w:instrText xml:space="preserve"> REF _Ref103556197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color w:val="000000"/>
          <w:szCs w:val="24"/>
        </w:rPr>
        <w:t>(</w:t>
      </w:r>
      <w:r w:rsidR="004870F1">
        <w:rPr>
          <w:rFonts w:cs="Times New Roman"/>
          <w:noProof/>
          <w:color w:val="000000"/>
          <w:szCs w:val="24"/>
        </w:rPr>
        <w:t>4</w:t>
      </w:r>
      <w:r w:rsidR="004870F1" w:rsidRPr="00051297">
        <w:rPr>
          <w:rFonts w:cs="Times New Roman"/>
          <w:color w:val="000000"/>
          <w:szCs w:val="24"/>
        </w:rPr>
        <w:t>.</w:t>
      </w:r>
      <w:r w:rsidR="004870F1">
        <w:rPr>
          <w:rFonts w:cs="Times New Roman"/>
          <w:noProof/>
          <w:color w:val="000000"/>
          <w:szCs w:val="24"/>
        </w:rPr>
        <w:t>2</w:t>
      </w:r>
      <w:r w:rsidR="004870F1" w:rsidRPr="00051297">
        <w:rPr>
          <w:rFonts w:cs="Times New Roman"/>
          <w:color w:val="000000"/>
          <w:szCs w:val="24"/>
        </w:rPr>
        <w:t>)</w:t>
      </w:r>
      <w:r w:rsidRPr="00051297">
        <w:rPr>
          <w:rFonts w:eastAsia="Calibri" w:cs="Times New Roman"/>
          <w:szCs w:val="24"/>
          <w:lang w:val="en-US"/>
        </w:rPr>
        <w:fldChar w:fldCharType="end"/>
      </w:r>
      <w:r w:rsidRPr="00051297">
        <w:rPr>
          <w:rFonts w:eastAsia="Calibri" w:cs="Times New Roman"/>
          <w:szCs w:val="24"/>
          <w:lang w:val="en-US"/>
        </w:rPr>
        <w:t>.</w:t>
      </w:r>
    </w:p>
    <w:p w14:paraId="3AE957FC" w14:textId="0560BA75" w:rsidR="00051297" w:rsidRPr="00051297" w:rsidRDefault="00051297" w:rsidP="00C925D9">
      <w:pPr>
        <w:pStyle w:val="3"/>
        <w:rPr>
          <w:rFonts w:eastAsia="Times New Roman"/>
          <w:lang w:val="en-GB" w:eastAsia="pl-PL"/>
        </w:rPr>
      </w:pPr>
      <w:bookmarkStart w:id="1165" w:name="_Toc97504867"/>
      <w:bookmarkStart w:id="1166" w:name="_Toc103544001"/>
      <w:bookmarkStart w:id="1167" w:name="_Toc104985326"/>
      <w:r w:rsidRPr="00051297">
        <w:rPr>
          <w:rFonts w:eastAsia="Times New Roman"/>
          <w:lang w:val="en-GB" w:eastAsia="pl-PL"/>
        </w:rPr>
        <w:lastRenderedPageBreak/>
        <w:t>Results and discussion</w:t>
      </w:r>
      <w:bookmarkEnd w:id="1165"/>
      <w:bookmarkEnd w:id="1166"/>
      <w:bookmarkEnd w:id="1167"/>
    </w:p>
    <w:p w14:paraId="24E1353E" w14:textId="77777777" w:rsidR="00051297" w:rsidRPr="00051297" w:rsidRDefault="00051297" w:rsidP="00051297">
      <w:pPr>
        <w:rPr>
          <w:rFonts w:eastAsia="Calibri" w:cs="Times New Roman"/>
          <w:szCs w:val="24"/>
          <w:lang w:val="en-US"/>
        </w:rPr>
      </w:pPr>
      <w:r w:rsidRPr="00051297">
        <w:rPr>
          <w:rFonts w:eastAsia="Calibri" w:cs="Times New Roman"/>
          <w:szCs w:val="24"/>
          <w:lang w:val="en-US"/>
        </w:rPr>
        <w:t>Both the seepage and slope stability analyses were mainly divided into five categories determined by the type of drawdown rate. However, in this study, the main interest was in the 1 m per day drawdown rate, where the reservoir was drained to half of the maximum water level. The analyses were accomplished for both steady-state and transient flow conditions, while among many other parameters, the nature of piezometric lines and pore water pressures were investigated.</w:t>
      </w:r>
    </w:p>
    <w:p w14:paraId="6EC44511" w14:textId="5705C2D4" w:rsidR="00051297" w:rsidRPr="00051297" w:rsidRDefault="00051297" w:rsidP="00C925D9">
      <w:pPr>
        <w:pStyle w:val="4"/>
        <w:rPr>
          <w:lang w:val="en-GB" w:eastAsia="pl-PL"/>
        </w:rPr>
      </w:pPr>
      <w:bookmarkStart w:id="1168" w:name="_Toc97504868"/>
      <w:bookmarkStart w:id="1169" w:name="_Toc103544002"/>
      <w:bookmarkStart w:id="1170" w:name="_Toc104985327"/>
      <w:r w:rsidRPr="00051297">
        <w:rPr>
          <w:lang w:val="en-GB" w:eastAsia="pl-PL"/>
        </w:rPr>
        <w:t>At the normal operating level</w:t>
      </w:r>
      <w:bookmarkEnd w:id="1168"/>
      <w:bookmarkEnd w:id="1169"/>
      <w:bookmarkEnd w:id="1170"/>
    </w:p>
    <w:p w14:paraId="7A9A8A31" w14:textId="3E039A89" w:rsidR="00051297" w:rsidRPr="00051297" w:rsidRDefault="00051297" w:rsidP="00C925D9">
      <w:pPr>
        <w:pStyle w:val="5"/>
        <w:rPr>
          <w:rFonts w:eastAsia="Times New Roman"/>
          <w:lang w:val="en-GB" w:eastAsia="pl-PL"/>
        </w:rPr>
      </w:pPr>
      <w:bookmarkStart w:id="1171" w:name="_Toc97504869"/>
      <w:bookmarkStart w:id="1172" w:name="_Toc103544003"/>
      <w:bookmarkStart w:id="1173" w:name="_Toc104985328"/>
      <w:r w:rsidRPr="00051297">
        <w:rPr>
          <w:rFonts w:eastAsia="Times New Roman"/>
          <w:lang w:val="en-GB" w:eastAsia="pl-PL"/>
        </w:rPr>
        <w:t>Seepage analysis</w:t>
      </w:r>
      <w:bookmarkEnd w:id="1171"/>
      <w:bookmarkEnd w:id="1172"/>
      <w:bookmarkEnd w:id="1173"/>
      <w:r w:rsidRPr="00051297">
        <w:rPr>
          <w:rFonts w:eastAsia="Times New Roman"/>
          <w:lang w:val="en-GB" w:eastAsia="pl-PL"/>
        </w:rPr>
        <w:t xml:space="preserve"> </w:t>
      </w:r>
    </w:p>
    <w:p w14:paraId="15B48518" w14:textId="2A90AEEB" w:rsidR="00051297" w:rsidRPr="00051297" w:rsidRDefault="00051297" w:rsidP="00051297">
      <w:pPr>
        <w:spacing w:after="240"/>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_Ref98106710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13</w:t>
      </w:r>
      <w:r w:rsidRPr="00051297">
        <w:rPr>
          <w:rFonts w:eastAsia="Calibri" w:cs="Times New Roman"/>
          <w:szCs w:val="24"/>
          <w:lang w:val="en-US"/>
        </w:rPr>
        <w:fldChar w:fldCharType="end"/>
      </w:r>
      <w:r w:rsidRPr="00051297">
        <w:rPr>
          <w:rFonts w:eastAsia="Calibri" w:cs="Times New Roman"/>
          <w:szCs w:val="24"/>
          <w:lang w:val="en-US"/>
        </w:rPr>
        <w:t xml:space="preserve"> presents the steady-state seepage analysis results with different hydraulic conductivity values applied in zone 1. As indicated by the piezometric lines, the nature of seepage is observed to be sharply moving downward through zone 2 towards the drainage zone.</w:t>
      </w:r>
    </w:p>
    <w:tbl>
      <w:tblPr>
        <w:tblStyle w:val="TableGrid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9"/>
        <w:gridCol w:w="4545"/>
      </w:tblGrid>
      <w:tr w:rsidR="0069792B" w:rsidRPr="00051297" w14:paraId="0E7A0954" w14:textId="77777777" w:rsidTr="00D20B01">
        <w:tc>
          <w:tcPr>
            <w:tcW w:w="5089" w:type="dxa"/>
            <w:hideMark/>
          </w:tcPr>
          <w:p w14:paraId="4962B6F8" w14:textId="3706C41D" w:rsidR="00051297" w:rsidRPr="00051297" w:rsidRDefault="00952702" w:rsidP="00051297">
            <w:pPr>
              <w:spacing w:after="240"/>
              <w:ind w:firstLine="0"/>
              <w:jc w:val="center"/>
              <w:rPr>
                <w:szCs w:val="24"/>
              </w:rPr>
            </w:pPr>
            <w:r>
              <w:rPr>
                <w:noProof/>
              </w:rPr>
              <w:drawing>
                <wp:inline distT="0" distB="0" distL="0" distR="0" wp14:anchorId="43E3E0F3" wp14:editId="22FC8D84">
                  <wp:extent cx="2990850" cy="1056422"/>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042983" cy="1074836"/>
                          </a:xfrm>
                          <a:prstGeom prst="rect">
                            <a:avLst/>
                          </a:prstGeom>
                          <a:noFill/>
                          <a:ln>
                            <a:noFill/>
                          </a:ln>
                        </pic:spPr>
                      </pic:pic>
                    </a:graphicData>
                  </a:graphic>
                </wp:inline>
              </w:drawing>
            </w:r>
          </w:p>
          <w:p w14:paraId="6B122C58" w14:textId="77777777" w:rsidR="00051297" w:rsidRPr="00051297" w:rsidRDefault="00051297" w:rsidP="00051297">
            <w:pPr>
              <w:spacing w:after="240"/>
              <w:jc w:val="center"/>
              <w:rPr>
                <w:rFonts w:eastAsia="Times New Roman"/>
                <w:szCs w:val="24"/>
              </w:rPr>
            </w:pPr>
            <w:r w:rsidRPr="00051297">
              <w:rPr>
                <w:rFonts w:eastAsia="Times New Roman"/>
                <w:szCs w:val="24"/>
              </w:rPr>
              <w:t>(a)</w:t>
            </w:r>
          </w:p>
        </w:tc>
        <w:tc>
          <w:tcPr>
            <w:tcW w:w="4539" w:type="dxa"/>
            <w:hideMark/>
          </w:tcPr>
          <w:p w14:paraId="333C2D85" w14:textId="3E48863F" w:rsidR="00051297" w:rsidRPr="00051297" w:rsidRDefault="001123BD" w:rsidP="00051297">
            <w:pPr>
              <w:spacing w:after="240"/>
              <w:ind w:firstLine="0"/>
              <w:jc w:val="center"/>
              <w:rPr>
                <w:rFonts w:eastAsia="Times New Roman"/>
                <w:szCs w:val="24"/>
              </w:rPr>
            </w:pPr>
            <w:r>
              <w:rPr>
                <w:noProof/>
              </w:rPr>
              <w:drawing>
                <wp:inline distT="0" distB="0" distL="0" distR="0" wp14:anchorId="551DF2EA" wp14:editId="4DCDBD6B">
                  <wp:extent cx="2809875" cy="998806"/>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81928" cy="1024418"/>
                          </a:xfrm>
                          <a:prstGeom prst="rect">
                            <a:avLst/>
                          </a:prstGeom>
                          <a:noFill/>
                          <a:ln>
                            <a:noFill/>
                          </a:ln>
                        </pic:spPr>
                      </pic:pic>
                    </a:graphicData>
                  </a:graphic>
                </wp:inline>
              </w:drawing>
            </w:r>
          </w:p>
          <w:p w14:paraId="26AB2368" w14:textId="77777777" w:rsidR="00051297" w:rsidRPr="00051297" w:rsidRDefault="00051297" w:rsidP="00051297">
            <w:pPr>
              <w:spacing w:after="240"/>
              <w:jc w:val="center"/>
              <w:rPr>
                <w:rFonts w:eastAsia="Times New Roman"/>
                <w:szCs w:val="24"/>
              </w:rPr>
            </w:pPr>
            <w:r w:rsidRPr="00051297">
              <w:rPr>
                <w:rFonts w:eastAsia="Times New Roman"/>
                <w:szCs w:val="24"/>
              </w:rPr>
              <w:t>(b)</w:t>
            </w:r>
          </w:p>
        </w:tc>
      </w:tr>
      <w:tr w:rsidR="0069792B" w:rsidRPr="00051297" w14:paraId="603D1D91" w14:textId="77777777" w:rsidTr="00D20B01">
        <w:tc>
          <w:tcPr>
            <w:tcW w:w="5089" w:type="dxa"/>
            <w:hideMark/>
          </w:tcPr>
          <w:p w14:paraId="7AC485FF" w14:textId="1FDB1B09" w:rsidR="00051297" w:rsidRPr="00051297" w:rsidRDefault="001123BD" w:rsidP="00051297">
            <w:pPr>
              <w:spacing w:after="240"/>
              <w:ind w:firstLine="0"/>
              <w:jc w:val="center"/>
              <w:rPr>
                <w:rFonts w:eastAsia="Times New Roman"/>
                <w:szCs w:val="24"/>
              </w:rPr>
            </w:pPr>
            <w:r>
              <w:rPr>
                <w:noProof/>
              </w:rPr>
              <w:drawing>
                <wp:inline distT="0" distB="0" distL="0" distR="0" wp14:anchorId="74E7B0A2" wp14:editId="68E8A21D">
                  <wp:extent cx="2990850" cy="1041074"/>
                  <wp:effectExtent l="0" t="0" r="0" b="698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66259" cy="1067323"/>
                          </a:xfrm>
                          <a:prstGeom prst="rect">
                            <a:avLst/>
                          </a:prstGeom>
                          <a:noFill/>
                          <a:ln>
                            <a:noFill/>
                          </a:ln>
                        </pic:spPr>
                      </pic:pic>
                    </a:graphicData>
                  </a:graphic>
                </wp:inline>
              </w:drawing>
            </w:r>
          </w:p>
          <w:p w14:paraId="60558776" w14:textId="77777777" w:rsidR="00051297" w:rsidRPr="00051297" w:rsidRDefault="00051297" w:rsidP="00051297">
            <w:pPr>
              <w:spacing w:after="240"/>
              <w:jc w:val="center"/>
              <w:rPr>
                <w:rFonts w:eastAsia="Times New Roman"/>
                <w:szCs w:val="24"/>
              </w:rPr>
            </w:pPr>
            <w:r w:rsidRPr="00051297">
              <w:rPr>
                <w:rFonts w:eastAsia="Times New Roman"/>
                <w:szCs w:val="24"/>
              </w:rPr>
              <w:t>(c)</w:t>
            </w:r>
          </w:p>
        </w:tc>
        <w:tc>
          <w:tcPr>
            <w:tcW w:w="4539" w:type="dxa"/>
            <w:hideMark/>
          </w:tcPr>
          <w:p w14:paraId="4C3AB593" w14:textId="2AC2905E" w:rsidR="00051297" w:rsidRPr="00051297" w:rsidRDefault="00465BD1" w:rsidP="00051297">
            <w:pPr>
              <w:spacing w:after="240"/>
              <w:ind w:firstLine="0"/>
              <w:jc w:val="center"/>
              <w:rPr>
                <w:rFonts w:eastAsia="Times New Roman"/>
                <w:szCs w:val="24"/>
              </w:rPr>
            </w:pPr>
            <w:r>
              <w:rPr>
                <w:noProof/>
              </w:rPr>
              <w:drawing>
                <wp:inline distT="0" distB="0" distL="0" distR="0" wp14:anchorId="3E4AC910" wp14:editId="3FA0101F">
                  <wp:extent cx="2809875" cy="972372"/>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70828" cy="993465"/>
                          </a:xfrm>
                          <a:prstGeom prst="rect">
                            <a:avLst/>
                          </a:prstGeom>
                          <a:noFill/>
                          <a:ln>
                            <a:noFill/>
                          </a:ln>
                        </pic:spPr>
                      </pic:pic>
                    </a:graphicData>
                  </a:graphic>
                </wp:inline>
              </w:drawing>
            </w:r>
          </w:p>
          <w:p w14:paraId="03549DF9" w14:textId="77777777" w:rsidR="00051297" w:rsidRPr="00051297" w:rsidRDefault="00051297" w:rsidP="00051297">
            <w:pPr>
              <w:spacing w:after="240"/>
              <w:jc w:val="center"/>
              <w:rPr>
                <w:rFonts w:eastAsia="Times New Roman"/>
                <w:szCs w:val="24"/>
              </w:rPr>
            </w:pPr>
            <w:r w:rsidRPr="00051297">
              <w:rPr>
                <w:rFonts w:eastAsia="Times New Roman"/>
                <w:szCs w:val="24"/>
              </w:rPr>
              <w:t>(d)</w:t>
            </w:r>
          </w:p>
        </w:tc>
      </w:tr>
      <w:tr w:rsidR="0069792B" w:rsidRPr="00051297" w14:paraId="0204A5C0" w14:textId="77777777" w:rsidTr="00D20B01">
        <w:tc>
          <w:tcPr>
            <w:tcW w:w="5089" w:type="dxa"/>
            <w:hideMark/>
          </w:tcPr>
          <w:p w14:paraId="23A421CA" w14:textId="6AB8A95D" w:rsidR="00051297" w:rsidRPr="00051297" w:rsidRDefault="00456347" w:rsidP="00051297">
            <w:pPr>
              <w:spacing w:after="240"/>
              <w:ind w:firstLine="0"/>
              <w:rPr>
                <w:rFonts w:eastAsia="Times New Roman"/>
                <w:szCs w:val="24"/>
              </w:rPr>
            </w:pPr>
            <w:r>
              <w:rPr>
                <w:noProof/>
              </w:rPr>
              <w:drawing>
                <wp:inline distT="0" distB="0" distL="0" distR="0" wp14:anchorId="075F51AF" wp14:editId="7A974A14">
                  <wp:extent cx="2989089" cy="1040461"/>
                  <wp:effectExtent l="0" t="0" r="1905" b="762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057232" cy="1064181"/>
                          </a:xfrm>
                          <a:prstGeom prst="rect">
                            <a:avLst/>
                          </a:prstGeom>
                          <a:noFill/>
                          <a:ln>
                            <a:noFill/>
                          </a:ln>
                        </pic:spPr>
                      </pic:pic>
                    </a:graphicData>
                  </a:graphic>
                </wp:inline>
              </w:drawing>
            </w:r>
          </w:p>
          <w:p w14:paraId="6AB11241" w14:textId="77777777" w:rsidR="00051297" w:rsidRPr="00051297" w:rsidRDefault="00051297" w:rsidP="00051297">
            <w:pPr>
              <w:spacing w:after="240"/>
              <w:jc w:val="center"/>
              <w:rPr>
                <w:rFonts w:eastAsia="Times New Roman"/>
                <w:szCs w:val="24"/>
              </w:rPr>
            </w:pPr>
            <w:r w:rsidRPr="00051297">
              <w:rPr>
                <w:rFonts w:eastAsia="Times New Roman"/>
                <w:szCs w:val="24"/>
              </w:rPr>
              <w:t>(e)</w:t>
            </w:r>
          </w:p>
        </w:tc>
        <w:tc>
          <w:tcPr>
            <w:tcW w:w="4539" w:type="dxa"/>
            <w:hideMark/>
          </w:tcPr>
          <w:p w14:paraId="26163995" w14:textId="2D4597E0" w:rsidR="00051297" w:rsidRPr="00051297" w:rsidRDefault="0069792B" w:rsidP="00051297">
            <w:pPr>
              <w:spacing w:after="240"/>
              <w:ind w:firstLine="0"/>
              <w:rPr>
                <w:rFonts w:eastAsia="Times New Roman"/>
                <w:szCs w:val="24"/>
              </w:rPr>
            </w:pPr>
            <w:r>
              <w:rPr>
                <w:noProof/>
              </w:rPr>
              <w:drawing>
                <wp:inline distT="0" distB="0" distL="0" distR="0" wp14:anchorId="556F0ED8" wp14:editId="1901D2C9">
                  <wp:extent cx="2812356" cy="972930"/>
                  <wp:effectExtent l="0" t="0" r="762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914371" cy="1008222"/>
                          </a:xfrm>
                          <a:prstGeom prst="rect">
                            <a:avLst/>
                          </a:prstGeom>
                          <a:noFill/>
                          <a:ln>
                            <a:noFill/>
                          </a:ln>
                        </pic:spPr>
                      </pic:pic>
                    </a:graphicData>
                  </a:graphic>
                </wp:inline>
              </w:drawing>
            </w:r>
          </w:p>
          <w:p w14:paraId="3DABC72C" w14:textId="77777777" w:rsidR="00051297" w:rsidRPr="00051297" w:rsidRDefault="00051297" w:rsidP="00051297">
            <w:pPr>
              <w:keepNext/>
              <w:spacing w:after="240"/>
              <w:jc w:val="center"/>
              <w:rPr>
                <w:rFonts w:eastAsia="Times New Roman"/>
                <w:szCs w:val="24"/>
              </w:rPr>
            </w:pPr>
            <w:r w:rsidRPr="00051297">
              <w:rPr>
                <w:rFonts w:eastAsia="Times New Roman"/>
                <w:szCs w:val="24"/>
              </w:rPr>
              <w:t>(f)</w:t>
            </w:r>
          </w:p>
        </w:tc>
      </w:tr>
    </w:tbl>
    <w:p w14:paraId="07576429" w14:textId="5FC56140" w:rsidR="00051297" w:rsidRPr="00051297" w:rsidRDefault="00051297" w:rsidP="00051297">
      <w:pPr>
        <w:ind w:firstLine="0"/>
        <w:jc w:val="center"/>
        <w:rPr>
          <w:rFonts w:cs="Times New Roman"/>
          <w:szCs w:val="24"/>
          <w:lang w:val="en-US" w:bidi="en-US"/>
        </w:rPr>
      </w:pPr>
      <w:bookmarkStart w:id="1174" w:name="_Ref98106710"/>
      <w:bookmarkStart w:id="1175" w:name="_Toc97428279"/>
      <w:bookmarkStart w:id="1176" w:name="_Toc98085954"/>
      <w:bookmarkStart w:id="1177" w:name="_Toc103544149"/>
      <w:bookmarkStart w:id="1178" w:name="_Toc104985472"/>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13</w:t>
      </w:r>
      <w:r w:rsidR="00527861">
        <w:rPr>
          <w:rFonts w:cs="Times New Roman"/>
          <w:szCs w:val="24"/>
          <w:lang w:val="en-US" w:bidi="en-US"/>
        </w:rPr>
        <w:fldChar w:fldCharType="end"/>
      </w:r>
      <w:bookmarkEnd w:id="1174"/>
      <w:r w:rsidRPr="00051297">
        <w:rPr>
          <w:lang w:val="en-US"/>
        </w:rPr>
        <w:t xml:space="preserve"> </w:t>
      </w:r>
      <w:r w:rsidRPr="00051297">
        <w:rPr>
          <w:rFonts w:cs="Times New Roman"/>
          <w:szCs w:val="24"/>
          <w:lang w:val="en-US" w:bidi="en-US"/>
        </w:rPr>
        <w:t>– Steady state seepage: a) k</w:t>
      </w:r>
      <w:r w:rsidRPr="00051297">
        <w:rPr>
          <w:rFonts w:cs="Times New Roman"/>
          <w:szCs w:val="24"/>
          <w:vertAlign w:val="subscript"/>
          <w:lang w:val="en-US" w:bidi="en-US"/>
        </w:rPr>
        <w:t>sat</w:t>
      </w:r>
      <w:r w:rsidRPr="00051297">
        <w:rPr>
          <w:rFonts w:cs="Times New Roman"/>
          <w:szCs w:val="24"/>
          <w:lang w:val="en-US" w:bidi="en-US"/>
        </w:rPr>
        <w:t xml:space="preserve"> = 5∙10</w:t>
      </w:r>
      <w:r w:rsidRPr="00051297">
        <w:rPr>
          <w:rFonts w:cs="Times New Roman"/>
          <w:szCs w:val="24"/>
          <w:vertAlign w:val="superscript"/>
          <w:lang w:val="en-US" w:bidi="en-US"/>
        </w:rPr>
        <w:t>-5</w:t>
      </w:r>
      <w:r w:rsidRPr="00051297">
        <w:rPr>
          <w:rFonts w:cs="Times New Roman"/>
          <w:szCs w:val="24"/>
          <w:lang w:val="en-US" w:bidi="en-US"/>
        </w:rPr>
        <w:t xml:space="preserve"> m/s; b) k</w:t>
      </w:r>
      <w:r w:rsidRPr="00051297">
        <w:rPr>
          <w:rFonts w:cs="Times New Roman"/>
          <w:szCs w:val="24"/>
          <w:vertAlign w:val="subscript"/>
          <w:lang w:val="en-US" w:bidi="en-US"/>
        </w:rPr>
        <w:t>sat</w:t>
      </w:r>
      <w:r w:rsidRPr="00051297">
        <w:rPr>
          <w:rFonts w:cs="Times New Roman"/>
          <w:szCs w:val="24"/>
          <w:lang w:val="en-US" w:bidi="en-US"/>
        </w:rPr>
        <w:t xml:space="preserve"> = 10</w:t>
      </w:r>
      <w:r w:rsidRPr="00051297">
        <w:rPr>
          <w:rFonts w:cs="Times New Roman"/>
          <w:szCs w:val="24"/>
          <w:vertAlign w:val="superscript"/>
          <w:lang w:val="en-US" w:bidi="en-US"/>
        </w:rPr>
        <w:t>-5</w:t>
      </w:r>
      <w:r w:rsidR="00A9149C">
        <w:rPr>
          <w:rFonts w:cs="Times New Roman"/>
          <w:szCs w:val="24"/>
          <w:vertAlign w:val="superscript"/>
          <w:lang w:val="en-US" w:bidi="en-US"/>
        </w:rPr>
        <w:t xml:space="preserve"> </w:t>
      </w:r>
      <w:r w:rsidRPr="00051297">
        <w:rPr>
          <w:rFonts w:cs="Times New Roman"/>
          <w:szCs w:val="24"/>
          <w:lang w:val="en-US" w:bidi="en-US"/>
        </w:rPr>
        <w:t>m/s; c) k</w:t>
      </w:r>
      <w:r w:rsidRPr="00051297">
        <w:rPr>
          <w:rFonts w:cs="Times New Roman"/>
          <w:szCs w:val="24"/>
          <w:vertAlign w:val="subscript"/>
          <w:lang w:val="en-US" w:bidi="en-US"/>
        </w:rPr>
        <w:t>sat</w:t>
      </w:r>
      <w:r w:rsidRPr="00051297">
        <w:rPr>
          <w:rFonts w:cs="Times New Roman"/>
          <w:szCs w:val="24"/>
          <w:lang w:val="en-US" w:bidi="en-US"/>
        </w:rPr>
        <w:t xml:space="preserve"> = 5∙10</w:t>
      </w:r>
      <w:r w:rsidRPr="00051297">
        <w:rPr>
          <w:rFonts w:cs="Times New Roman"/>
          <w:szCs w:val="24"/>
          <w:vertAlign w:val="superscript"/>
          <w:lang w:val="en-US" w:bidi="en-US"/>
        </w:rPr>
        <w:t>-6</w:t>
      </w:r>
      <w:r w:rsidRPr="00051297">
        <w:rPr>
          <w:rFonts w:cs="Times New Roman"/>
          <w:szCs w:val="24"/>
          <w:lang w:val="en-US" w:bidi="en-US"/>
        </w:rPr>
        <w:t xml:space="preserve"> m/s; d) k</w:t>
      </w:r>
      <w:r w:rsidRPr="00051297">
        <w:rPr>
          <w:rFonts w:cs="Times New Roman"/>
          <w:szCs w:val="24"/>
          <w:vertAlign w:val="subscript"/>
          <w:lang w:val="en-US" w:bidi="en-US"/>
        </w:rPr>
        <w:t>sat</w:t>
      </w:r>
      <w:r w:rsidRPr="00051297">
        <w:rPr>
          <w:rFonts w:cs="Times New Roman"/>
          <w:szCs w:val="24"/>
          <w:lang w:val="en-US" w:bidi="en-US"/>
        </w:rPr>
        <w:t xml:space="preserve"> = 10</w:t>
      </w:r>
      <w:r w:rsidRPr="00051297">
        <w:rPr>
          <w:rFonts w:cs="Times New Roman"/>
          <w:szCs w:val="24"/>
          <w:vertAlign w:val="superscript"/>
          <w:lang w:val="en-US" w:bidi="en-US"/>
        </w:rPr>
        <w:t>-6</w:t>
      </w:r>
      <w:r w:rsidRPr="00051297">
        <w:rPr>
          <w:rFonts w:cs="Times New Roman"/>
          <w:szCs w:val="24"/>
          <w:lang w:val="en-US" w:bidi="en-US"/>
        </w:rPr>
        <w:t>; e) k</w:t>
      </w:r>
      <w:r w:rsidRPr="00051297">
        <w:rPr>
          <w:rFonts w:cs="Times New Roman"/>
          <w:szCs w:val="24"/>
          <w:vertAlign w:val="subscript"/>
          <w:lang w:val="en-US" w:bidi="en-US"/>
        </w:rPr>
        <w:t>sat</w:t>
      </w:r>
      <w:r w:rsidRPr="00051297">
        <w:rPr>
          <w:rFonts w:cs="Times New Roman"/>
          <w:szCs w:val="24"/>
          <w:lang w:val="en-US" w:bidi="en-US"/>
        </w:rPr>
        <w:t xml:space="preserve"> = 5∙10</w:t>
      </w:r>
      <w:r w:rsidRPr="00051297">
        <w:rPr>
          <w:rFonts w:cs="Times New Roman"/>
          <w:szCs w:val="24"/>
          <w:vertAlign w:val="superscript"/>
          <w:lang w:val="en-US" w:bidi="en-US"/>
        </w:rPr>
        <w:t>-7</w:t>
      </w:r>
      <w:r w:rsidRPr="00051297">
        <w:rPr>
          <w:rFonts w:cs="Times New Roman"/>
          <w:szCs w:val="24"/>
          <w:lang w:val="en-US" w:bidi="en-US"/>
        </w:rPr>
        <w:t xml:space="preserve"> m/s; f) k</w:t>
      </w:r>
      <w:r w:rsidRPr="00051297">
        <w:rPr>
          <w:rFonts w:cs="Times New Roman"/>
          <w:szCs w:val="24"/>
          <w:vertAlign w:val="subscript"/>
          <w:lang w:val="en-US" w:bidi="en-US"/>
        </w:rPr>
        <w:t>sat</w:t>
      </w:r>
      <w:r w:rsidRPr="00051297">
        <w:rPr>
          <w:rFonts w:cs="Times New Roman"/>
          <w:szCs w:val="24"/>
          <w:lang w:val="en-US" w:bidi="en-US"/>
        </w:rPr>
        <w:t xml:space="preserve"> = 10</w:t>
      </w:r>
      <w:r w:rsidRPr="00051297">
        <w:rPr>
          <w:rFonts w:cs="Times New Roman"/>
          <w:szCs w:val="24"/>
          <w:vertAlign w:val="superscript"/>
          <w:lang w:val="en-US" w:bidi="en-US"/>
        </w:rPr>
        <w:t>-7</w:t>
      </w:r>
      <w:r w:rsidR="00A9149C">
        <w:rPr>
          <w:rFonts w:cs="Times New Roman"/>
          <w:szCs w:val="24"/>
          <w:vertAlign w:val="superscript"/>
          <w:lang w:val="en-US" w:bidi="en-US"/>
        </w:rPr>
        <w:t xml:space="preserve"> </w:t>
      </w:r>
      <w:r w:rsidRPr="00051297">
        <w:rPr>
          <w:rFonts w:cs="Times New Roman"/>
          <w:szCs w:val="24"/>
          <w:lang w:val="en-US" w:bidi="en-US"/>
        </w:rPr>
        <w:t>m/s</w:t>
      </w:r>
      <w:bookmarkEnd w:id="1175"/>
      <w:bookmarkEnd w:id="1176"/>
      <w:bookmarkEnd w:id="1177"/>
      <w:bookmarkEnd w:id="1178"/>
    </w:p>
    <w:p w14:paraId="3EAA2F38" w14:textId="28CAF4BF" w:rsidR="00051297" w:rsidRPr="00051297" w:rsidRDefault="00051297" w:rsidP="00051297">
      <w:pPr>
        <w:spacing w:after="240"/>
        <w:rPr>
          <w:rFonts w:eastAsia="Calibri" w:cs="Times New Roman"/>
          <w:szCs w:val="24"/>
          <w:lang w:val="en-US"/>
        </w:rPr>
      </w:pPr>
      <w:r w:rsidRPr="00051297">
        <w:rPr>
          <w:rFonts w:eastAsia="Calibri" w:cs="Times New Roman"/>
          <w:szCs w:val="24"/>
          <w:lang w:val="en-US"/>
        </w:rPr>
        <w:t xml:space="preserve">As previously mentioned, the drawdown rate of 1m per day to half of the maximum water level was the main interest of this study.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_Ref98106736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14</w:t>
      </w:r>
      <w:r w:rsidRPr="00051297">
        <w:rPr>
          <w:rFonts w:eastAsia="Calibri" w:cs="Times New Roman"/>
          <w:szCs w:val="24"/>
          <w:lang w:val="en-US"/>
        </w:rPr>
        <w:fldChar w:fldCharType="end"/>
      </w:r>
      <w:r w:rsidRPr="00051297">
        <w:rPr>
          <w:rFonts w:eastAsia="Calibri" w:cs="Times New Roman"/>
          <w:szCs w:val="24"/>
          <w:lang w:val="en-US"/>
        </w:rPr>
        <w:t xml:space="preserve"> presents the seepage analysis results with k</w:t>
      </w:r>
      <w:r w:rsidRPr="00051297">
        <w:rPr>
          <w:rFonts w:eastAsia="Calibri" w:cs="Times New Roman"/>
          <w:szCs w:val="24"/>
          <w:vertAlign w:val="subscript"/>
          <w:lang w:val="en-US"/>
        </w:rPr>
        <w:t xml:space="preserve">sat </w:t>
      </w:r>
      <w:r w:rsidRPr="00051297">
        <w:rPr>
          <w:rFonts w:eastAsia="Calibri" w:cs="Times New Roman"/>
          <w:szCs w:val="24"/>
          <w:lang w:val="en-US"/>
        </w:rPr>
        <w:lastRenderedPageBreak/>
        <w:t>= 10</w:t>
      </w:r>
      <w:r w:rsidRPr="00051297">
        <w:rPr>
          <w:rFonts w:eastAsia="Calibri" w:cs="Times New Roman"/>
          <w:szCs w:val="24"/>
          <w:vertAlign w:val="superscript"/>
          <w:lang w:val="en-US"/>
        </w:rPr>
        <w:t>-5</w:t>
      </w:r>
      <w:r w:rsidRPr="00051297">
        <w:rPr>
          <w:rFonts w:eastAsia="Calibri" w:cs="Times New Roman"/>
          <w:szCs w:val="24"/>
          <w:lang w:val="en-US"/>
        </w:rPr>
        <w:t xml:space="preserve"> and 10</w:t>
      </w:r>
      <w:r w:rsidRPr="00051297">
        <w:rPr>
          <w:rFonts w:eastAsia="Calibri" w:cs="Times New Roman"/>
          <w:szCs w:val="24"/>
          <w:vertAlign w:val="superscript"/>
          <w:lang w:val="en-US"/>
        </w:rPr>
        <w:t>-7</w:t>
      </w:r>
      <w:r w:rsidRPr="00051297">
        <w:rPr>
          <w:rFonts w:eastAsia="Calibri" w:cs="Times New Roman"/>
          <w:szCs w:val="24"/>
          <w:lang w:val="en-US"/>
        </w:rPr>
        <w:t xml:space="preserve"> m/s in zone 1. It can be observed that, as the hydraulic conductivity reduces in zone 1, making it less permeable, it has a significant effect on the dissipation of pore water pressures after the drawdown. The curves of the piezometric lines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_Ref98106736 \h  \* MERGEFORMAT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5.14</w:t>
      </w:r>
      <w:r w:rsidRPr="00051297">
        <w:rPr>
          <w:rFonts w:eastAsia="Calibri" w:cs="Times New Roman"/>
          <w:szCs w:val="24"/>
          <w:lang w:val="en-US"/>
        </w:rPr>
        <w:fldChar w:fldCharType="end"/>
      </w:r>
      <w:r w:rsidRPr="00051297">
        <w:rPr>
          <w:rFonts w:eastAsia="Calibri" w:cs="Times New Roman"/>
          <w:szCs w:val="24"/>
          <w:lang w:val="en-US"/>
        </w:rPr>
        <w:t xml:space="preserve">(a) are flatter than the ones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_Ref98106736 \h  \* MERGEFORMAT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5.14</w:t>
      </w:r>
      <w:r w:rsidRPr="00051297">
        <w:rPr>
          <w:rFonts w:eastAsia="Calibri" w:cs="Times New Roman"/>
          <w:szCs w:val="24"/>
          <w:lang w:val="en-US"/>
        </w:rPr>
        <w:fldChar w:fldCharType="end"/>
      </w:r>
      <w:r w:rsidRPr="00051297">
        <w:rPr>
          <w:rFonts w:eastAsia="Calibri" w:cs="Times New Roman"/>
          <w:szCs w:val="24"/>
          <w:lang w:val="en-US"/>
        </w:rPr>
        <w:t>(b). The phenomenon reveals further that, under rapid drawdown scenarios, zone 1 has to be more permeable to allow easy dissipation of water pressure and reduce the risk of failure.</w:t>
      </w:r>
    </w:p>
    <w:tbl>
      <w:tblPr>
        <w:tblStyle w:val="TableGrid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36725468" w14:textId="77777777" w:rsidTr="00D20B01">
        <w:tc>
          <w:tcPr>
            <w:tcW w:w="9628" w:type="dxa"/>
            <w:hideMark/>
          </w:tcPr>
          <w:p w14:paraId="21E25C44" w14:textId="27160193" w:rsidR="00051297" w:rsidRPr="00051297" w:rsidRDefault="006F71E5" w:rsidP="00A01314">
            <w:pPr>
              <w:spacing w:line="240" w:lineRule="auto"/>
              <w:ind w:firstLine="0"/>
              <w:jc w:val="center"/>
              <w:rPr>
                <w:szCs w:val="24"/>
              </w:rPr>
            </w:pPr>
            <w:r>
              <w:rPr>
                <w:noProof/>
              </w:rPr>
              <w:drawing>
                <wp:inline distT="0" distB="0" distL="0" distR="0" wp14:anchorId="43240E38" wp14:editId="760023AF">
                  <wp:extent cx="5939790" cy="2078990"/>
                  <wp:effectExtent l="0" t="0" r="381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39790" cy="2078990"/>
                          </a:xfrm>
                          <a:prstGeom prst="rect">
                            <a:avLst/>
                          </a:prstGeom>
                          <a:noFill/>
                          <a:ln>
                            <a:noFill/>
                          </a:ln>
                        </pic:spPr>
                      </pic:pic>
                    </a:graphicData>
                  </a:graphic>
                </wp:inline>
              </w:drawing>
            </w:r>
          </w:p>
          <w:p w14:paraId="03FA5A99" w14:textId="77777777" w:rsidR="00051297" w:rsidRPr="00051297" w:rsidRDefault="00051297" w:rsidP="00A01314">
            <w:pPr>
              <w:spacing w:line="240" w:lineRule="auto"/>
              <w:ind w:firstLine="0"/>
              <w:jc w:val="center"/>
              <w:rPr>
                <w:rFonts w:eastAsia="Times New Roman"/>
                <w:szCs w:val="24"/>
              </w:rPr>
            </w:pPr>
            <w:r w:rsidRPr="00051297">
              <w:rPr>
                <w:rFonts w:eastAsia="Times New Roman"/>
                <w:szCs w:val="24"/>
              </w:rPr>
              <w:t>(a)</w:t>
            </w:r>
          </w:p>
        </w:tc>
      </w:tr>
      <w:tr w:rsidR="006F71E5" w:rsidRPr="00051297" w14:paraId="3A2AC68C" w14:textId="77777777" w:rsidTr="00D20B01">
        <w:tc>
          <w:tcPr>
            <w:tcW w:w="9628" w:type="dxa"/>
          </w:tcPr>
          <w:p w14:paraId="74A78A77" w14:textId="34D3F18C" w:rsidR="006F71E5" w:rsidRDefault="006F71E5" w:rsidP="00A01314">
            <w:pPr>
              <w:spacing w:line="240" w:lineRule="auto"/>
              <w:ind w:firstLine="0"/>
              <w:jc w:val="center"/>
              <w:rPr>
                <w:noProof/>
              </w:rPr>
            </w:pPr>
            <w:r>
              <w:rPr>
                <w:noProof/>
              </w:rPr>
              <w:drawing>
                <wp:inline distT="0" distB="0" distL="0" distR="0" wp14:anchorId="4BE88BB6" wp14:editId="7E65F964">
                  <wp:extent cx="5939790" cy="2091055"/>
                  <wp:effectExtent l="0" t="0" r="3810" b="444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39790" cy="2091055"/>
                          </a:xfrm>
                          <a:prstGeom prst="rect">
                            <a:avLst/>
                          </a:prstGeom>
                          <a:noFill/>
                          <a:ln>
                            <a:noFill/>
                          </a:ln>
                        </pic:spPr>
                      </pic:pic>
                    </a:graphicData>
                  </a:graphic>
                </wp:inline>
              </w:drawing>
            </w:r>
          </w:p>
          <w:p w14:paraId="5003BB06" w14:textId="17417900" w:rsidR="006F71E5" w:rsidRDefault="006F71E5" w:rsidP="00A01314">
            <w:pPr>
              <w:spacing w:line="240" w:lineRule="auto"/>
              <w:ind w:firstLine="0"/>
              <w:jc w:val="center"/>
              <w:rPr>
                <w:noProof/>
              </w:rPr>
            </w:pPr>
            <w:r w:rsidRPr="006F71E5">
              <w:rPr>
                <w:rFonts w:eastAsia="Times New Roman"/>
                <w:szCs w:val="24"/>
              </w:rPr>
              <w:t>(b)</w:t>
            </w:r>
          </w:p>
        </w:tc>
      </w:tr>
      <w:tr w:rsidR="00051297" w:rsidRPr="00051297" w14:paraId="1C07368C" w14:textId="77777777" w:rsidTr="00D20B01">
        <w:tc>
          <w:tcPr>
            <w:tcW w:w="9628" w:type="dxa"/>
            <w:hideMark/>
          </w:tcPr>
          <w:p w14:paraId="5B1CF5CB" w14:textId="46CE70DD" w:rsidR="00051297" w:rsidRPr="00051297" w:rsidRDefault="00E85C34" w:rsidP="00A01314">
            <w:pPr>
              <w:spacing w:line="240" w:lineRule="auto"/>
              <w:ind w:firstLine="0"/>
              <w:rPr>
                <w:rFonts w:eastAsia="Times New Roman"/>
                <w:szCs w:val="24"/>
              </w:rPr>
            </w:pPr>
            <w:r>
              <w:rPr>
                <w:noProof/>
              </w:rPr>
              <w:drawing>
                <wp:inline distT="0" distB="0" distL="0" distR="0" wp14:anchorId="0036660B" wp14:editId="291D653E">
                  <wp:extent cx="5939790" cy="2094230"/>
                  <wp:effectExtent l="0" t="0" r="3810" b="127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39790" cy="2094230"/>
                          </a:xfrm>
                          <a:prstGeom prst="rect">
                            <a:avLst/>
                          </a:prstGeom>
                          <a:noFill/>
                          <a:ln>
                            <a:noFill/>
                          </a:ln>
                        </pic:spPr>
                      </pic:pic>
                    </a:graphicData>
                  </a:graphic>
                </wp:inline>
              </w:drawing>
            </w:r>
          </w:p>
          <w:p w14:paraId="010E48B0" w14:textId="77777777" w:rsidR="00051297" w:rsidRPr="00051297" w:rsidRDefault="00051297" w:rsidP="00A01314">
            <w:pPr>
              <w:keepNext/>
              <w:spacing w:line="240" w:lineRule="auto"/>
              <w:ind w:firstLine="0"/>
              <w:jc w:val="center"/>
              <w:rPr>
                <w:rFonts w:eastAsia="Times New Roman"/>
                <w:szCs w:val="24"/>
              </w:rPr>
            </w:pPr>
            <w:r w:rsidRPr="00051297">
              <w:rPr>
                <w:rFonts w:eastAsia="Times New Roman"/>
                <w:szCs w:val="24"/>
              </w:rPr>
              <w:t>(b)</w:t>
            </w:r>
          </w:p>
        </w:tc>
      </w:tr>
    </w:tbl>
    <w:p w14:paraId="5BC44B96" w14:textId="6CBEC8D5" w:rsidR="00051297" w:rsidRPr="00051297" w:rsidRDefault="00051297" w:rsidP="00051297">
      <w:pPr>
        <w:ind w:firstLine="0"/>
        <w:jc w:val="center"/>
        <w:rPr>
          <w:rFonts w:cs="Times New Roman"/>
          <w:szCs w:val="24"/>
          <w:lang w:val="en-US" w:bidi="en-US"/>
        </w:rPr>
      </w:pPr>
      <w:bookmarkStart w:id="1179" w:name="_Ref98106736"/>
      <w:bookmarkStart w:id="1180" w:name="_Toc97428280"/>
      <w:bookmarkStart w:id="1181" w:name="_Toc98085955"/>
      <w:bookmarkStart w:id="1182" w:name="_Toc103544150"/>
      <w:bookmarkStart w:id="1183" w:name="_Toc104985473"/>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14</w:t>
      </w:r>
      <w:r w:rsidR="00527861">
        <w:rPr>
          <w:rFonts w:cs="Times New Roman"/>
          <w:szCs w:val="24"/>
          <w:lang w:val="en-US" w:bidi="en-US"/>
        </w:rPr>
        <w:fldChar w:fldCharType="end"/>
      </w:r>
      <w:bookmarkEnd w:id="1179"/>
      <w:r w:rsidRPr="00051297">
        <w:rPr>
          <w:lang w:val="en-US"/>
        </w:rPr>
        <w:t xml:space="preserve"> </w:t>
      </w:r>
      <w:r w:rsidRPr="00051297">
        <w:rPr>
          <w:rFonts w:cs="Times New Roman"/>
          <w:szCs w:val="24"/>
          <w:lang w:val="en-US" w:bidi="en-US"/>
        </w:rPr>
        <w:t>– A half drawdown (1m per day) seepage</w:t>
      </w:r>
      <w:r w:rsidR="004474D7">
        <w:rPr>
          <w:rFonts w:cs="Times New Roman"/>
          <w:szCs w:val="24"/>
          <w:lang w:val="en-US" w:bidi="en-US"/>
        </w:rPr>
        <w:t xml:space="preserve">; </w:t>
      </w:r>
      <w:r w:rsidRPr="00051297">
        <w:rPr>
          <w:rFonts w:cs="Times New Roman"/>
          <w:szCs w:val="24"/>
          <w:lang w:val="en-US" w:bidi="en-US"/>
        </w:rPr>
        <w:t>a) k</w:t>
      </w:r>
      <w:r w:rsidRPr="00051297">
        <w:rPr>
          <w:rFonts w:cs="Times New Roman"/>
          <w:szCs w:val="24"/>
          <w:vertAlign w:val="subscript"/>
          <w:lang w:val="en-US" w:bidi="en-US"/>
        </w:rPr>
        <w:t>sat</w:t>
      </w:r>
      <w:r w:rsidRPr="00051297">
        <w:rPr>
          <w:rFonts w:cs="Times New Roman"/>
          <w:szCs w:val="24"/>
          <w:lang w:val="en-US" w:bidi="en-US"/>
        </w:rPr>
        <w:t>=10</w:t>
      </w:r>
      <w:r w:rsidRPr="00051297">
        <w:rPr>
          <w:rFonts w:cs="Times New Roman"/>
          <w:szCs w:val="24"/>
          <w:vertAlign w:val="superscript"/>
          <w:lang w:val="en-US" w:bidi="en-US"/>
        </w:rPr>
        <w:t>-5</w:t>
      </w:r>
      <w:r w:rsidRPr="00051297">
        <w:rPr>
          <w:rFonts w:cs="Times New Roman"/>
          <w:szCs w:val="24"/>
          <w:lang w:val="en-US" w:bidi="en-US"/>
        </w:rPr>
        <w:t xml:space="preserve"> m/s</w:t>
      </w:r>
      <w:r w:rsidR="004474D7">
        <w:rPr>
          <w:rFonts w:cs="Times New Roman"/>
          <w:szCs w:val="24"/>
          <w:lang w:val="en-US" w:bidi="en-US"/>
        </w:rPr>
        <w:t>; b</w:t>
      </w:r>
      <w:r w:rsidR="004474D7" w:rsidRPr="00051297">
        <w:rPr>
          <w:rFonts w:cs="Times New Roman"/>
          <w:szCs w:val="24"/>
          <w:lang w:val="en-US" w:bidi="en-US"/>
        </w:rPr>
        <w:t>) k</w:t>
      </w:r>
      <w:r w:rsidR="004474D7" w:rsidRPr="00051297">
        <w:rPr>
          <w:rFonts w:cs="Times New Roman"/>
          <w:szCs w:val="24"/>
          <w:vertAlign w:val="subscript"/>
          <w:lang w:val="en-US" w:bidi="en-US"/>
        </w:rPr>
        <w:t>sat</w:t>
      </w:r>
      <w:r w:rsidR="004474D7" w:rsidRPr="00051297">
        <w:rPr>
          <w:rFonts w:cs="Times New Roman"/>
          <w:szCs w:val="24"/>
          <w:lang w:val="en-US" w:bidi="en-US"/>
        </w:rPr>
        <w:t>=10</w:t>
      </w:r>
      <w:r w:rsidR="004474D7" w:rsidRPr="00051297">
        <w:rPr>
          <w:rFonts w:cs="Times New Roman"/>
          <w:szCs w:val="24"/>
          <w:vertAlign w:val="superscript"/>
          <w:lang w:val="en-US" w:bidi="en-US"/>
        </w:rPr>
        <w:t>-5</w:t>
      </w:r>
      <w:r w:rsidR="004474D7" w:rsidRPr="00051297">
        <w:rPr>
          <w:rFonts w:cs="Times New Roman"/>
          <w:szCs w:val="24"/>
          <w:lang w:val="en-US" w:bidi="en-US"/>
        </w:rPr>
        <w:t xml:space="preserve"> m/s</w:t>
      </w:r>
      <w:r w:rsidR="004474D7">
        <w:rPr>
          <w:rFonts w:cs="Times New Roman"/>
          <w:szCs w:val="24"/>
          <w:lang w:val="en-US" w:bidi="en-US"/>
        </w:rPr>
        <w:t>;</w:t>
      </w:r>
      <w:r w:rsidR="004474D7" w:rsidRPr="00051297">
        <w:rPr>
          <w:rFonts w:cs="Times New Roman"/>
          <w:szCs w:val="24"/>
          <w:lang w:val="en-US" w:bidi="en-US"/>
        </w:rPr>
        <w:t xml:space="preserve"> </w:t>
      </w:r>
      <w:r w:rsidR="004474D7">
        <w:rPr>
          <w:rFonts w:cs="Times New Roman"/>
          <w:szCs w:val="24"/>
          <w:lang w:val="en-US" w:bidi="en-US"/>
        </w:rPr>
        <w:t>c</w:t>
      </w:r>
      <w:r w:rsidRPr="00051297">
        <w:rPr>
          <w:rFonts w:cs="Times New Roman"/>
          <w:szCs w:val="24"/>
          <w:lang w:val="en-US" w:bidi="en-US"/>
        </w:rPr>
        <w:t>) k</w:t>
      </w:r>
      <w:r w:rsidRPr="00051297">
        <w:rPr>
          <w:rFonts w:cs="Times New Roman"/>
          <w:szCs w:val="24"/>
          <w:vertAlign w:val="subscript"/>
          <w:lang w:val="en-US" w:bidi="en-US"/>
        </w:rPr>
        <w:t>sat</w:t>
      </w:r>
      <w:r w:rsidRPr="00051297">
        <w:rPr>
          <w:rFonts w:cs="Times New Roman"/>
          <w:szCs w:val="24"/>
          <w:lang w:val="en-US" w:bidi="en-US"/>
        </w:rPr>
        <w:t>=10</w:t>
      </w:r>
      <w:r w:rsidRPr="00051297">
        <w:rPr>
          <w:rFonts w:cs="Times New Roman"/>
          <w:szCs w:val="24"/>
          <w:vertAlign w:val="superscript"/>
          <w:lang w:val="en-US" w:bidi="en-US"/>
        </w:rPr>
        <w:t>-7</w:t>
      </w:r>
      <w:r w:rsidRPr="00051297">
        <w:rPr>
          <w:rFonts w:cs="Times New Roman"/>
          <w:szCs w:val="24"/>
          <w:lang w:val="en-US" w:bidi="en-US"/>
        </w:rPr>
        <w:t xml:space="preserve"> m/s</w:t>
      </w:r>
      <w:bookmarkEnd w:id="1180"/>
      <w:bookmarkEnd w:id="1181"/>
      <w:bookmarkEnd w:id="1182"/>
      <w:bookmarkEnd w:id="1183"/>
    </w:p>
    <w:p w14:paraId="14949DB6" w14:textId="7F36CDCA" w:rsidR="00051297" w:rsidRPr="00051297" w:rsidRDefault="00051297" w:rsidP="00C925D9">
      <w:pPr>
        <w:pStyle w:val="5"/>
        <w:rPr>
          <w:rFonts w:eastAsia="Times New Roman"/>
          <w:lang w:val="en-GB" w:eastAsia="pl-PL"/>
        </w:rPr>
      </w:pPr>
      <w:bookmarkStart w:id="1184" w:name="_Toc97504870"/>
      <w:bookmarkStart w:id="1185" w:name="_Toc103544004"/>
      <w:bookmarkStart w:id="1186" w:name="_Toc104985329"/>
      <w:r w:rsidRPr="00051297">
        <w:rPr>
          <w:rFonts w:eastAsia="Times New Roman"/>
          <w:lang w:val="en-GB" w:eastAsia="pl-PL"/>
        </w:rPr>
        <w:lastRenderedPageBreak/>
        <w:t>Slope stability analysis</w:t>
      </w:r>
      <w:bookmarkEnd w:id="1184"/>
      <w:bookmarkEnd w:id="1185"/>
      <w:bookmarkEnd w:id="1186"/>
      <w:r w:rsidRPr="00051297">
        <w:rPr>
          <w:rFonts w:eastAsia="Times New Roman"/>
          <w:lang w:val="en-GB" w:eastAsia="pl-PL"/>
        </w:rPr>
        <w:t xml:space="preserve"> </w:t>
      </w:r>
    </w:p>
    <w:p w14:paraId="2473139B" w14:textId="54AFBF8C" w:rsidR="00051297" w:rsidRDefault="00051297" w:rsidP="00051297">
      <w:pPr>
        <w:rPr>
          <w:lang w:val="en-US"/>
        </w:rPr>
      </w:pPr>
      <w:r w:rsidRPr="00051297">
        <w:rPr>
          <w:lang w:val="en-US"/>
        </w:rPr>
        <w:t>The slope stability analysis cases were mainly determined by the saturated hydraulic conductivities (permeabilities) in zone 1 and the drawdown rates. However, this study’s interest was in the 1m per day drawdown rate as the most realistic case.</w:t>
      </w:r>
    </w:p>
    <w:p w14:paraId="75542F74" w14:textId="071040B9" w:rsidR="0049391D" w:rsidRDefault="0049391D" w:rsidP="00051297">
      <w:pPr>
        <w:rPr>
          <w:lang w:val="en-US"/>
        </w:rPr>
      </w:pPr>
      <w:r>
        <w:rPr>
          <w:lang w:val="en-US"/>
        </w:rPr>
        <w:fldChar w:fldCharType="begin"/>
      </w:r>
      <w:r>
        <w:rPr>
          <w:lang w:val="en-US"/>
        </w:rPr>
        <w:instrText xml:space="preserve"> REF _Ref104125818 \h </w:instrText>
      </w:r>
      <w:r>
        <w:rPr>
          <w:lang w:val="en-US"/>
        </w:rPr>
      </w:r>
      <w:r>
        <w:rPr>
          <w:lang w:val="en-US"/>
        </w:rPr>
        <w:fldChar w:fldCharType="separate"/>
      </w:r>
      <w:r w:rsidR="004870F1" w:rsidRPr="00FF7C30">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15</w:t>
      </w:r>
      <w:r>
        <w:rPr>
          <w:lang w:val="en-US"/>
        </w:rPr>
        <w:fldChar w:fldCharType="end"/>
      </w:r>
      <w:r>
        <w:rPr>
          <w:lang w:val="en-US"/>
        </w:rPr>
        <w:t xml:space="preserve"> </w:t>
      </w:r>
      <w:r w:rsidRPr="00051297">
        <w:rPr>
          <w:rFonts w:eastAsia="Calibri" w:cs="Times New Roman"/>
          <w:szCs w:val="24"/>
          <w:lang w:val="en-US"/>
        </w:rPr>
        <w:t>presents the slope stability analysis results when zone 1 was subjected to the hydraulic conductivity of</w:t>
      </w:r>
      <w:r>
        <w:rPr>
          <w:rFonts w:eastAsia="Calibri" w:cs="Times New Roman"/>
          <w:szCs w:val="24"/>
          <w:lang w:val="en-US"/>
        </w:rPr>
        <w:t xml:space="preserve"> </w:t>
      </w:r>
      <w:r w:rsidRPr="00051297">
        <w:rPr>
          <w:rFonts w:cs="Times New Roman"/>
          <w:szCs w:val="24"/>
          <w:lang w:val="en-US" w:bidi="en-US"/>
        </w:rPr>
        <w:t>5∙10</w:t>
      </w:r>
      <w:r w:rsidRPr="00051297">
        <w:rPr>
          <w:rFonts w:cs="Times New Roman"/>
          <w:szCs w:val="24"/>
          <w:vertAlign w:val="superscript"/>
          <w:lang w:val="en-US" w:bidi="en-US"/>
        </w:rPr>
        <w:t>-5</w:t>
      </w:r>
      <w:r w:rsidRPr="00FF7C30">
        <w:rPr>
          <w:rFonts w:cs="Times New Roman"/>
          <w:szCs w:val="24"/>
          <w:lang w:val="en-US" w:bidi="en-US"/>
        </w:rPr>
        <w:t xml:space="preserve"> m/s</w:t>
      </w:r>
      <w:r w:rsidRPr="00051297">
        <w:rPr>
          <w:rFonts w:eastAsia="Calibri" w:cs="Times New Roman"/>
          <w:szCs w:val="24"/>
          <w:lang w:val="en-US"/>
        </w:rPr>
        <w:t xml:space="preserve">. </w:t>
      </w:r>
      <w:r w:rsidR="00A83D75">
        <w:rPr>
          <w:rFonts w:eastAsia="Calibri" w:cs="Times New Roman"/>
          <w:szCs w:val="24"/>
          <w:lang w:val="en-US"/>
        </w:rPr>
        <w:t>Likewise</w:t>
      </w:r>
      <w:r w:rsidRPr="00051297">
        <w:rPr>
          <w:rFonts w:eastAsia="Calibri" w:cs="Times New Roman"/>
          <w:szCs w:val="24"/>
          <w:lang w:val="en-US"/>
        </w:rPr>
        <w:t xml:space="preserve">, it can be observed that the minimum factor of safety </w:t>
      </w:r>
      <w:r w:rsidR="00A83D75">
        <w:rPr>
          <w:rFonts w:eastAsia="Calibri" w:cs="Times New Roman"/>
          <w:szCs w:val="24"/>
          <w:lang w:val="en-US"/>
        </w:rPr>
        <w:t>(</w:t>
      </w:r>
      <w:r w:rsidRPr="00051297">
        <w:rPr>
          <w:rFonts w:eastAsia="Calibri" w:cs="Times New Roman"/>
          <w:szCs w:val="24"/>
          <w:lang w:val="en-US"/>
        </w:rPr>
        <w:t>1.3</w:t>
      </w:r>
      <w:r w:rsidR="00A83D75">
        <w:rPr>
          <w:rFonts w:eastAsia="Calibri" w:cs="Times New Roman"/>
          <w:szCs w:val="24"/>
          <w:lang w:val="en-US"/>
        </w:rPr>
        <w:t>55)</w:t>
      </w:r>
      <w:r w:rsidRPr="00051297">
        <w:rPr>
          <w:rFonts w:eastAsia="Calibri" w:cs="Times New Roman"/>
          <w:szCs w:val="24"/>
          <w:lang w:val="en-US"/>
        </w:rPr>
        <w:t xml:space="preserve"> was retrieved from the last day of the drawdown (28</w:t>
      </w:r>
      <w:r w:rsidRPr="00051297">
        <w:rPr>
          <w:rFonts w:eastAsia="Calibri" w:cs="Times New Roman"/>
          <w:szCs w:val="24"/>
          <w:vertAlign w:val="superscript"/>
          <w:lang w:val="en-US"/>
        </w:rPr>
        <w:t>th</w:t>
      </w:r>
      <w:r w:rsidRPr="00051297">
        <w:rPr>
          <w:rFonts w:eastAsia="Calibri" w:cs="Times New Roman"/>
          <w:szCs w:val="24"/>
          <w:lang w:val="en-US"/>
        </w:rPr>
        <w:t xml:space="preserve"> day).</w:t>
      </w:r>
    </w:p>
    <w:p w14:paraId="1235863D" w14:textId="77777777" w:rsidR="00454149" w:rsidRDefault="00454149" w:rsidP="00051297">
      <w:pPr>
        <w:rPr>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454149" w14:paraId="7CC09935" w14:textId="77777777" w:rsidTr="00B739F6">
        <w:tc>
          <w:tcPr>
            <w:tcW w:w="9344" w:type="dxa"/>
          </w:tcPr>
          <w:p w14:paraId="3D292347" w14:textId="321BD2FB" w:rsidR="00454149" w:rsidRDefault="00454149" w:rsidP="00454149">
            <w:pPr>
              <w:ind w:firstLine="0"/>
              <w:jc w:val="center"/>
              <w:rPr>
                <w:lang w:val="en-US"/>
              </w:rPr>
            </w:pPr>
            <w:r>
              <w:rPr>
                <w:noProof/>
              </w:rPr>
              <w:drawing>
                <wp:inline distT="0" distB="0" distL="0" distR="0" wp14:anchorId="47231C69" wp14:editId="67C1D55C">
                  <wp:extent cx="5855234" cy="2223411"/>
                  <wp:effectExtent l="0" t="0" r="0" b="571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860602" cy="2225449"/>
                          </a:xfrm>
                          <a:prstGeom prst="rect">
                            <a:avLst/>
                          </a:prstGeom>
                          <a:noFill/>
                          <a:ln>
                            <a:noFill/>
                          </a:ln>
                        </pic:spPr>
                      </pic:pic>
                    </a:graphicData>
                  </a:graphic>
                </wp:inline>
              </w:drawing>
            </w:r>
          </w:p>
          <w:p w14:paraId="68ED902A" w14:textId="2EE70007" w:rsidR="00454149" w:rsidRDefault="00454149" w:rsidP="00454149">
            <w:pPr>
              <w:ind w:firstLine="0"/>
              <w:jc w:val="center"/>
              <w:rPr>
                <w:lang w:val="en-US"/>
              </w:rPr>
            </w:pPr>
            <w:r>
              <w:rPr>
                <w:lang w:val="en-US"/>
              </w:rPr>
              <w:t>(a)</w:t>
            </w:r>
          </w:p>
        </w:tc>
      </w:tr>
      <w:tr w:rsidR="00454149" w14:paraId="5A9E51CD" w14:textId="77777777" w:rsidTr="00B739F6">
        <w:tc>
          <w:tcPr>
            <w:tcW w:w="9344" w:type="dxa"/>
          </w:tcPr>
          <w:p w14:paraId="5A2A379F" w14:textId="4E960E8E" w:rsidR="00454149" w:rsidRDefault="00FF7C30" w:rsidP="00FF7C30">
            <w:pPr>
              <w:ind w:firstLine="0"/>
              <w:jc w:val="center"/>
              <w:rPr>
                <w:lang w:val="en-US"/>
              </w:rPr>
            </w:pPr>
            <w:r w:rsidRPr="00FF7C30">
              <w:rPr>
                <w:noProof/>
                <w:lang w:val="en-US"/>
              </w:rPr>
              <w:drawing>
                <wp:inline distT="0" distB="0" distL="0" distR="0" wp14:anchorId="22C8F7D3" wp14:editId="12232276">
                  <wp:extent cx="2243738" cy="3139404"/>
                  <wp:effectExtent l="0" t="0" r="4445" b="444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54398" cy="3154319"/>
                          </a:xfrm>
                          <a:prstGeom prst="rect">
                            <a:avLst/>
                          </a:prstGeom>
                          <a:noFill/>
                          <a:ln>
                            <a:noFill/>
                          </a:ln>
                        </pic:spPr>
                      </pic:pic>
                    </a:graphicData>
                  </a:graphic>
                </wp:inline>
              </w:drawing>
            </w:r>
          </w:p>
          <w:p w14:paraId="03C2936C" w14:textId="54002B5C" w:rsidR="00454149" w:rsidRDefault="00454149" w:rsidP="00FF7C30">
            <w:pPr>
              <w:keepNext/>
              <w:ind w:firstLine="0"/>
              <w:jc w:val="center"/>
              <w:rPr>
                <w:lang w:val="en-US"/>
              </w:rPr>
            </w:pPr>
            <w:r>
              <w:rPr>
                <w:lang w:val="en-US"/>
              </w:rPr>
              <w:t>(b)</w:t>
            </w:r>
          </w:p>
        </w:tc>
      </w:tr>
    </w:tbl>
    <w:p w14:paraId="7E6928B7" w14:textId="49C22A43" w:rsidR="00454149" w:rsidRPr="00FF7C30" w:rsidRDefault="00FF7C30" w:rsidP="00FF7C30">
      <w:pPr>
        <w:ind w:firstLine="0"/>
        <w:jc w:val="center"/>
        <w:rPr>
          <w:rFonts w:cs="Times New Roman"/>
          <w:szCs w:val="24"/>
          <w:lang w:val="en-US" w:bidi="en-US"/>
        </w:rPr>
      </w:pPr>
      <w:bookmarkStart w:id="1187" w:name="_Ref104125818"/>
      <w:bookmarkStart w:id="1188" w:name="_Toc104985474"/>
      <w:r w:rsidRPr="00FF7C30">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15</w:t>
      </w:r>
      <w:r w:rsidR="00527861">
        <w:rPr>
          <w:rFonts w:cs="Times New Roman"/>
          <w:szCs w:val="24"/>
          <w:lang w:val="en-US" w:bidi="en-US"/>
        </w:rPr>
        <w:fldChar w:fldCharType="end"/>
      </w:r>
      <w:bookmarkEnd w:id="1187"/>
      <w:r w:rsidRPr="00FF7C30">
        <w:rPr>
          <w:rFonts w:cs="Times New Roman"/>
          <w:szCs w:val="24"/>
          <w:lang w:val="en-US" w:bidi="en-US"/>
        </w:rPr>
        <w:t xml:space="preserve"> – Slope stability under </w:t>
      </w:r>
      <w:r w:rsidRPr="00051297">
        <w:rPr>
          <w:rFonts w:cs="Times New Roman"/>
          <w:szCs w:val="24"/>
          <w:lang w:val="en-US" w:bidi="en-US"/>
        </w:rPr>
        <w:t>k</w:t>
      </w:r>
      <w:r w:rsidRPr="00051297">
        <w:rPr>
          <w:rFonts w:cs="Times New Roman"/>
          <w:szCs w:val="24"/>
          <w:vertAlign w:val="subscript"/>
          <w:lang w:val="en-US" w:bidi="en-US"/>
        </w:rPr>
        <w:t>sat</w:t>
      </w:r>
      <w:r w:rsidRPr="00051297">
        <w:rPr>
          <w:rFonts w:cs="Times New Roman"/>
          <w:szCs w:val="24"/>
          <w:lang w:val="en-US" w:bidi="en-US"/>
        </w:rPr>
        <w:t xml:space="preserve"> = 5∙10</w:t>
      </w:r>
      <w:r w:rsidRPr="00051297">
        <w:rPr>
          <w:rFonts w:cs="Times New Roman"/>
          <w:szCs w:val="24"/>
          <w:vertAlign w:val="superscript"/>
          <w:lang w:val="en-US" w:bidi="en-US"/>
        </w:rPr>
        <w:t>-5</w:t>
      </w:r>
      <w:r w:rsidRPr="00FF7C30">
        <w:rPr>
          <w:rFonts w:cs="Times New Roman"/>
          <w:szCs w:val="24"/>
          <w:lang w:val="en-US" w:bidi="en-US"/>
        </w:rPr>
        <w:t xml:space="preserve"> m/s; a) embankment with slip surface; b) graph of factor of safety values</w:t>
      </w:r>
      <w:bookmarkEnd w:id="1188"/>
    </w:p>
    <w:p w14:paraId="6DC3D588" w14:textId="670FB8D4" w:rsidR="00051297" w:rsidRPr="00051297" w:rsidRDefault="00051297" w:rsidP="00051297">
      <w:pPr>
        <w:spacing w:after="240"/>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_Ref98106826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16</w:t>
      </w:r>
      <w:r w:rsidRPr="00051297">
        <w:rPr>
          <w:rFonts w:eastAsia="Calibri" w:cs="Times New Roman"/>
          <w:szCs w:val="24"/>
          <w:lang w:val="en-US"/>
        </w:rPr>
        <w:fldChar w:fldCharType="end"/>
      </w:r>
      <w:r w:rsidRPr="00051297">
        <w:rPr>
          <w:rFonts w:eastAsia="Calibri" w:cs="Times New Roman"/>
          <w:szCs w:val="24"/>
          <w:lang w:val="en-US"/>
        </w:rPr>
        <w:t xml:space="preserve"> presents the slope stability analysis results when zone 1 was subjected to the hydraulic conductivity of 10</w:t>
      </w:r>
      <w:r w:rsidRPr="00051297">
        <w:rPr>
          <w:rFonts w:eastAsia="Calibri" w:cs="Times New Roman"/>
          <w:szCs w:val="24"/>
          <w:vertAlign w:val="superscript"/>
          <w:lang w:val="en-US"/>
        </w:rPr>
        <w:t xml:space="preserve">-5 </w:t>
      </w:r>
      <w:r w:rsidRPr="00051297">
        <w:rPr>
          <w:rFonts w:eastAsia="Calibri" w:cs="Times New Roman"/>
          <w:szCs w:val="24"/>
          <w:lang w:val="en-US"/>
        </w:rPr>
        <w:t xml:space="preserve">m/s. From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_Ref98106826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16</w:t>
      </w:r>
      <w:r w:rsidRPr="00051297">
        <w:rPr>
          <w:rFonts w:eastAsia="Calibri" w:cs="Times New Roman"/>
          <w:szCs w:val="24"/>
          <w:lang w:val="en-US"/>
        </w:rPr>
        <w:fldChar w:fldCharType="end"/>
      </w:r>
      <w:r w:rsidRPr="00051297">
        <w:rPr>
          <w:rFonts w:eastAsia="Calibri" w:cs="Times New Roman"/>
          <w:szCs w:val="24"/>
          <w:lang w:val="en-US"/>
        </w:rPr>
        <w:t xml:space="preserve">, it can be observed that the minimum factor </w:t>
      </w:r>
      <w:r w:rsidRPr="00051297">
        <w:rPr>
          <w:rFonts w:eastAsia="Calibri" w:cs="Times New Roman"/>
          <w:szCs w:val="24"/>
          <w:lang w:val="en-US"/>
        </w:rPr>
        <w:lastRenderedPageBreak/>
        <w:t>of safety equal to 1.321 was retrieved from the last day of the drawdown (28</w:t>
      </w:r>
      <w:r w:rsidRPr="00051297">
        <w:rPr>
          <w:rFonts w:eastAsia="Calibri" w:cs="Times New Roman"/>
          <w:szCs w:val="24"/>
          <w:vertAlign w:val="superscript"/>
          <w:lang w:val="en-US"/>
        </w:rPr>
        <w:t>th</w:t>
      </w:r>
      <w:r w:rsidRPr="00051297">
        <w:rPr>
          <w:rFonts w:eastAsia="Calibri" w:cs="Times New Roman"/>
          <w:szCs w:val="24"/>
          <w:lang w:val="en-US"/>
        </w:rPr>
        <w:t xml:space="preserve"> day). Also, the factor of safety started dropping immediately after the reservoir drawdown and kept on dropping to the 28</w:t>
      </w:r>
      <w:r w:rsidRPr="00051297">
        <w:rPr>
          <w:rFonts w:eastAsia="Calibri" w:cs="Times New Roman"/>
          <w:szCs w:val="24"/>
          <w:vertAlign w:val="superscript"/>
          <w:lang w:val="en-US"/>
        </w:rPr>
        <w:t>th</w:t>
      </w:r>
      <w:r w:rsidRPr="00051297">
        <w:rPr>
          <w:rFonts w:eastAsia="Calibri" w:cs="Times New Roman"/>
          <w:szCs w:val="24"/>
          <w:lang w:val="en-US"/>
        </w:rPr>
        <w:t xml:space="preserve"> day of the drawdown and slowly started regaining stability as the pore-water pressures kept on dissipating in the embankment. However, after a while, the factor of safety value remains almost constant at a value of approximately 1.4 for the entire remaining period of the simulation.</w:t>
      </w:r>
    </w:p>
    <w:tbl>
      <w:tblPr>
        <w:tblStyle w:val="TableGrid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67E38D8D" w14:textId="77777777" w:rsidTr="00D20B01">
        <w:tc>
          <w:tcPr>
            <w:tcW w:w="9638" w:type="dxa"/>
            <w:hideMark/>
          </w:tcPr>
          <w:p w14:paraId="0CE3B367" w14:textId="2A5F2AE1" w:rsidR="00051297" w:rsidRPr="00051297" w:rsidRDefault="00461EED" w:rsidP="00A01314">
            <w:pPr>
              <w:spacing w:line="240" w:lineRule="auto"/>
              <w:ind w:firstLine="0"/>
              <w:jc w:val="center"/>
              <w:rPr>
                <w:noProof/>
                <w:szCs w:val="24"/>
              </w:rPr>
            </w:pPr>
            <w:r>
              <w:rPr>
                <w:noProof/>
              </w:rPr>
              <w:drawing>
                <wp:inline distT="0" distB="0" distL="0" distR="0" wp14:anchorId="6C6C460D" wp14:editId="68EDBBE4">
                  <wp:extent cx="5829300" cy="2258433"/>
                  <wp:effectExtent l="0" t="0" r="0" b="889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831567" cy="2259311"/>
                          </a:xfrm>
                          <a:prstGeom prst="rect">
                            <a:avLst/>
                          </a:prstGeom>
                          <a:noFill/>
                          <a:ln>
                            <a:noFill/>
                          </a:ln>
                        </pic:spPr>
                      </pic:pic>
                    </a:graphicData>
                  </a:graphic>
                </wp:inline>
              </w:drawing>
            </w:r>
          </w:p>
          <w:p w14:paraId="1666269A" w14:textId="77777777" w:rsidR="00051297" w:rsidRPr="00051297" w:rsidRDefault="00051297" w:rsidP="00A01314">
            <w:pPr>
              <w:spacing w:line="240" w:lineRule="auto"/>
              <w:ind w:firstLine="0"/>
              <w:jc w:val="center"/>
              <w:rPr>
                <w:rFonts w:eastAsia="Times New Roman"/>
                <w:noProof/>
                <w:szCs w:val="24"/>
              </w:rPr>
            </w:pPr>
            <w:r w:rsidRPr="00051297">
              <w:rPr>
                <w:rFonts w:eastAsia="Times New Roman"/>
                <w:noProof/>
                <w:szCs w:val="24"/>
              </w:rPr>
              <w:t>(a)</w:t>
            </w:r>
          </w:p>
        </w:tc>
      </w:tr>
      <w:tr w:rsidR="00051297" w:rsidRPr="00051297" w14:paraId="0812A16C" w14:textId="77777777" w:rsidTr="00D20B01">
        <w:tc>
          <w:tcPr>
            <w:tcW w:w="9638" w:type="dxa"/>
            <w:hideMark/>
          </w:tcPr>
          <w:p w14:paraId="1FBA4F7D" w14:textId="1AB18E31" w:rsidR="00051297" w:rsidRPr="00051297" w:rsidRDefault="000A5155" w:rsidP="00A01314">
            <w:pPr>
              <w:spacing w:line="240" w:lineRule="auto"/>
              <w:ind w:firstLine="0"/>
              <w:jc w:val="center"/>
              <w:rPr>
                <w:rFonts w:eastAsia="Times New Roman"/>
                <w:szCs w:val="24"/>
              </w:rPr>
            </w:pPr>
            <w:r w:rsidRPr="000A5155">
              <w:rPr>
                <w:rFonts w:eastAsia="Times New Roman"/>
                <w:noProof/>
                <w:szCs w:val="24"/>
              </w:rPr>
              <w:drawing>
                <wp:inline distT="0" distB="0" distL="0" distR="0" wp14:anchorId="192033A8" wp14:editId="034E0E6C">
                  <wp:extent cx="2535731" cy="3550021"/>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569011" cy="3596613"/>
                          </a:xfrm>
                          <a:prstGeom prst="rect">
                            <a:avLst/>
                          </a:prstGeom>
                          <a:noFill/>
                          <a:ln>
                            <a:noFill/>
                          </a:ln>
                        </pic:spPr>
                      </pic:pic>
                    </a:graphicData>
                  </a:graphic>
                </wp:inline>
              </w:drawing>
            </w:r>
          </w:p>
          <w:p w14:paraId="49882C27" w14:textId="77777777" w:rsidR="00051297" w:rsidRPr="00051297" w:rsidRDefault="00051297" w:rsidP="00A01314">
            <w:pPr>
              <w:keepNext/>
              <w:spacing w:line="240" w:lineRule="auto"/>
              <w:ind w:firstLine="0"/>
              <w:jc w:val="center"/>
              <w:rPr>
                <w:rFonts w:eastAsia="Times New Roman"/>
                <w:szCs w:val="24"/>
              </w:rPr>
            </w:pPr>
            <w:r w:rsidRPr="00051297">
              <w:rPr>
                <w:rFonts w:eastAsia="Times New Roman"/>
                <w:szCs w:val="24"/>
              </w:rPr>
              <w:t>(b)</w:t>
            </w:r>
          </w:p>
        </w:tc>
      </w:tr>
    </w:tbl>
    <w:p w14:paraId="4DC76A20" w14:textId="4A5AE6A6" w:rsidR="00051297" w:rsidRDefault="00051297" w:rsidP="00051297">
      <w:pPr>
        <w:ind w:firstLine="0"/>
        <w:jc w:val="center"/>
        <w:rPr>
          <w:rFonts w:cs="Times New Roman"/>
          <w:szCs w:val="24"/>
          <w:lang w:val="en-US" w:bidi="en-US"/>
        </w:rPr>
      </w:pPr>
      <w:bookmarkStart w:id="1189" w:name="_Ref98106826"/>
      <w:bookmarkStart w:id="1190" w:name="_Toc97428281"/>
      <w:bookmarkStart w:id="1191" w:name="_Toc98085956"/>
      <w:bookmarkStart w:id="1192" w:name="_Toc103544151"/>
      <w:bookmarkStart w:id="1193" w:name="_Toc104985475"/>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16</w:t>
      </w:r>
      <w:r w:rsidR="00527861">
        <w:rPr>
          <w:rFonts w:cs="Times New Roman"/>
          <w:szCs w:val="24"/>
          <w:lang w:val="en-US" w:bidi="en-US"/>
        </w:rPr>
        <w:fldChar w:fldCharType="end"/>
      </w:r>
      <w:bookmarkEnd w:id="1189"/>
      <w:r w:rsidRPr="00051297">
        <w:rPr>
          <w:lang w:val="en-US"/>
        </w:rPr>
        <w:t xml:space="preserve"> </w:t>
      </w:r>
      <w:r w:rsidRPr="00051297">
        <w:rPr>
          <w:rFonts w:cs="Times New Roman"/>
          <w:szCs w:val="24"/>
          <w:lang w:val="en-US" w:bidi="en-US"/>
        </w:rPr>
        <w:t>– Slope stability under k</w:t>
      </w:r>
      <w:r w:rsidRPr="00051297">
        <w:rPr>
          <w:rFonts w:cs="Times New Roman"/>
          <w:szCs w:val="24"/>
          <w:vertAlign w:val="subscript"/>
          <w:lang w:val="en-US" w:bidi="en-US"/>
        </w:rPr>
        <w:t>sat</w:t>
      </w:r>
      <w:r w:rsidRPr="00051297">
        <w:rPr>
          <w:rFonts w:cs="Times New Roman"/>
          <w:szCs w:val="24"/>
          <w:lang w:val="en-US" w:bidi="en-US"/>
        </w:rPr>
        <w:t>=10</w:t>
      </w:r>
      <w:r w:rsidRPr="00051297">
        <w:rPr>
          <w:rFonts w:cs="Times New Roman"/>
          <w:szCs w:val="24"/>
          <w:vertAlign w:val="superscript"/>
          <w:lang w:val="en-US" w:bidi="en-US"/>
        </w:rPr>
        <w:t>-5</w:t>
      </w:r>
      <w:r w:rsidRPr="00051297">
        <w:rPr>
          <w:rFonts w:cs="Times New Roman"/>
          <w:szCs w:val="24"/>
          <w:lang w:val="en-US" w:bidi="en-US"/>
        </w:rPr>
        <w:t xml:space="preserve"> m/s</w:t>
      </w:r>
      <w:bookmarkEnd w:id="1190"/>
      <w:bookmarkEnd w:id="1191"/>
      <w:bookmarkEnd w:id="1192"/>
      <w:r w:rsidR="004474D7">
        <w:rPr>
          <w:rFonts w:cs="Times New Roman"/>
          <w:szCs w:val="24"/>
          <w:lang w:val="en-US" w:bidi="en-US"/>
        </w:rPr>
        <w:t>; a) embankment with slip surface; b) graph of factor of safety values</w:t>
      </w:r>
      <w:bookmarkEnd w:id="1193"/>
    </w:p>
    <w:p w14:paraId="09884819" w14:textId="20C52B03" w:rsidR="002E76A3" w:rsidRDefault="002E76A3" w:rsidP="00A01314">
      <w:pPr>
        <w:rPr>
          <w:lang w:val="en-US" w:bidi="en-US"/>
        </w:rPr>
      </w:pPr>
      <w:r>
        <w:rPr>
          <w:lang w:val="en-US" w:bidi="en-US"/>
        </w:rPr>
        <w:fldChar w:fldCharType="begin"/>
      </w:r>
      <w:r>
        <w:rPr>
          <w:lang w:val="en-US" w:bidi="en-US"/>
        </w:rPr>
        <w:instrText xml:space="preserve"> REF _Ref104126657 \h </w:instrText>
      </w:r>
      <w:r>
        <w:rPr>
          <w:lang w:val="en-US" w:bidi="en-US"/>
        </w:rPr>
      </w:r>
      <w:r>
        <w:rPr>
          <w:lang w:val="en-US" w:bidi="en-US"/>
        </w:rPr>
        <w:fldChar w:fldCharType="separate"/>
      </w:r>
      <w:r w:rsidR="004870F1" w:rsidRPr="002E76A3">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17</w:t>
      </w:r>
      <w:r>
        <w:rPr>
          <w:lang w:val="en-US" w:bidi="en-US"/>
        </w:rPr>
        <w:fldChar w:fldCharType="end"/>
      </w:r>
      <w:r w:rsidR="00DD208C" w:rsidRPr="00DD208C">
        <w:rPr>
          <w:lang w:val="en-US"/>
        </w:rPr>
        <w:t xml:space="preserve"> </w:t>
      </w:r>
      <w:r w:rsidR="00DD208C" w:rsidRPr="00051297">
        <w:rPr>
          <w:lang w:val="en-US"/>
        </w:rPr>
        <w:t>presents the slope stability analysis results when zone 1 was subjected to the hydraulic conductivity of</w:t>
      </w:r>
      <w:r w:rsidR="00DD208C">
        <w:rPr>
          <w:lang w:val="en-US"/>
        </w:rPr>
        <w:t xml:space="preserve"> </w:t>
      </w:r>
      <w:r w:rsidR="00DD208C" w:rsidRPr="00051297">
        <w:rPr>
          <w:lang w:val="en-US" w:bidi="en-US"/>
        </w:rPr>
        <w:t>5∙10</w:t>
      </w:r>
      <w:r w:rsidR="00DD208C" w:rsidRPr="00051297">
        <w:rPr>
          <w:vertAlign w:val="superscript"/>
          <w:lang w:val="en-US" w:bidi="en-US"/>
        </w:rPr>
        <w:t>-</w:t>
      </w:r>
      <w:r w:rsidR="00DD208C">
        <w:rPr>
          <w:vertAlign w:val="superscript"/>
          <w:lang w:val="en-US" w:bidi="en-US"/>
        </w:rPr>
        <w:t>6</w:t>
      </w:r>
      <w:r w:rsidR="00DD208C" w:rsidRPr="00FF7C30">
        <w:rPr>
          <w:lang w:val="en-US" w:bidi="en-US"/>
        </w:rPr>
        <w:t xml:space="preserve"> m/s</w:t>
      </w:r>
      <w:r w:rsidR="00DD208C" w:rsidRPr="00051297">
        <w:rPr>
          <w:lang w:val="en-US"/>
        </w:rPr>
        <w:t>.</w:t>
      </w:r>
      <w:r w:rsidR="00482DF6">
        <w:rPr>
          <w:lang w:val="en-US"/>
        </w:rPr>
        <w:t xml:space="preserve"> Whereby,</w:t>
      </w:r>
      <w:r w:rsidR="00DD208C" w:rsidRPr="00051297">
        <w:rPr>
          <w:lang w:val="en-US"/>
        </w:rPr>
        <w:t xml:space="preserve"> </w:t>
      </w:r>
      <w:r w:rsidR="00482DF6">
        <w:rPr>
          <w:lang w:val="en-US" w:bidi="en-US"/>
        </w:rPr>
        <w:fldChar w:fldCharType="begin"/>
      </w:r>
      <w:r w:rsidR="00482DF6">
        <w:rPr>
          <w:lang w:val="en-US" w:bidi="en-US"/>
        </w:rPr>
        <w:instrText xml:space="preserve"> REF _Ref104126657 \h </w:instrText>
      </w:r>
      <w:r w:rsidR="00482DF6">
        <w:rPr>
          <w:lang w:val="en-US" w:bidi="en-US"/>
        </w:rPr>
      </w:r>
      <w:r w:rsidR="00482DF6">
        <w:rPr>
          <w:lang w:val="en-US" w:bidi="en-US"/>
        </w:rPr>
        <w:fldChar w:fldCharType="separate"/>
      </w:r>
      <w:r w:rsidR="004870F1" w:rsidRPr="002E76A3">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17</w:t>
      </w:r>
      <w:r w:rsidR="00482DF6">
        <w:rPr>
          <w:lang w:val="en-US" w:bidi="en-US"/>
        </w:rPr>
        <w:fldChar w:fldCharType="end"/>
      </w:r>
      <w:r w:rsidR="00482DF6">
        <w:rPr>
          <w:lang w:val="en-US" w:bidi="en-US"/>
        </w:rPr>
        <w:t xml:space="preserve"> </w:t>
      </w:r>
      <w:r w:rsidR="00482DF6">
        <w:rPr>
          <w:lang w:val="en-US"/>
        </w:rPr>
        <w:t>shows</w:t>
      </w:r>
      <w:r w:rsidR="00DD208C" w:rsidRPr="00051297">
        <w:rPr>
          <w:lang w:val="en-US"/>
        </w:rPr>
        <w:t xml:space="preserve"> that the minimum factor of safety was retrieved </w:t>
      </w:r>
      <w:r w:rsidR="00482DF6">
        <w:rPr>
          <w:lang w:val="en-US"/>
        </w:rPr>
        <w:t>during</w:t>
      </w:r>
      <w:r w:rsidR="00DD208C" w:rsidRPr="00051297">
        <w:rPr>
          <w:lang w:val="en-US"/>
        </w:rPr>
        <w:t xml:space="preserve"> the last day of the drawdown</w:t>
      </w:r>
      <w:r w:rsidR="00482DF6">
        <w:rPr>
          <w:lang w:val="en-US"/>
        </w:rPr>
        <w:t xml:space="preserve"> with a value of 1.296</w:t>
      </w:r>
      <w:r w:rsidR="00DD208C" w:rsidRPr="00051297">
        <w:rPr>
          <w:lang w:val="en-US"/>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D77EF" w14:paraId="080F636B" w14:textId="77777777" w:rsidTr="00DD208C">
        <w:tc>
          <w:tcPr>
            <w:tcW w:w="9344" w:type="dxa"/>
          </w:tcPr>
          <w:p w14:paraId="4C4D625E" w14:textId="340B7558" w:rsidR="00DD77EF" w:rsidRDefault="002E76A3" w:rsidP="002E76A3">
            <w:pPr>
              <w:ind w:firstLine="0"/>
              <w:jc w:val="center"/>
              <w:rPr>
                <w:rFonts w:cs="Times New Roman"/>
                <w:szCs w:val="24"/>
                <w:lang w:val="en-US" w:bidi="en-US"/>
              </w:rPr>
            </w:pPr>
            <w:r>
              <w:rPr>
                <w:noProof/>
              </w:rPr>
              <w:lastRenderedPageBreak/>
              <w:drawing>
                <wp:inline distT="0" distB="0" distL="0" distR="0" wp14:anchorId="37EFBF41" wp14:editId="648BEA9F">
                  <wp:extent cx="5847550" cy="2263628"/>
                  <wp:effectExtent l="0" t="0" r="1270" b="381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853121" cy="2265784"/>
                          </a:xfrm>
                          <a:prstGeom prst="rect">
                            <a:avLst/>
                          </a:prstGeom>
                          <a:noFill/>
                          <a:ln>
                            <a:noFill/>
                          </a:ln>
                        </pic:spPr>
                      </pic:pic>
                    </a:graphicData>
                  </a:graphic>
                </wp:inline>
              </w:drawing>
            </w:r>
          </w:p>
          <w:p w14:paraId="3E70CA58" w14:textId="7D1D3EFF" w:rsidR="00DD77EF" w:rsidRDefault="00DD77EF" w:rsidP="00DD77EF">
            <w:pPr>
              <w:ind w:firstLine="0"/>
              <w:jc w:val="center"/>
              <w:rPr>
                <w:rFonts w:cs="Times New Roman"/>
                <w:szCs w:val="24"/>
                <w:lang w:val="en-US" w:bidi="en-US"/>
              </w:rPr>
            </w:pPr>
            <w:r>
              <w:rPr>
                <w:rFonts w:cs="Times New Roman"/>
                <w:szCs w:val="24"/>
                <w:lang w:val="en-US" w:bidi="en-US"/>
              </w:rPr>
              <w:t>(a)</w:t>
            </w:r>
          </w:p>
        </w:tc>
      </w:tr>
      <w:tr w:rsidR="00DD77EF" w14:paraId="482AB1A6" w14:textId="77777777" w:rsidTr="00DD208C">
        <w:tc>
          <w:tcPr>
            <w:tcW w:w="9344" w:type="dxa"/>
          </w:tcPr>
          <w:p w14:paraId="317D917D" w14:textId="228F1815" w:rsidR="00DD77EF" w:rsidRDefault="002E76A3" w:rsidP="002E76A3">
            <w:pPr>
              <w:ind w:firstLine="0"/>
              <w:jc w:val="center"/>
              <w:rPr>
                <w:rFonts w:cs="Times New Roman"/>
                <w:szCs w:val="24"/>
                <w:lang w:val="en-US" w:bidi="en-US"/>
              </w:rPr>
            </w:pPr>
            <w:r w:rsidRPr="002E76A3">
              <w:rPr>
                <w:rFonts w:cs="Times New Roman"/>
                <w:noProof/>
                <w:szCs w:val="24"/>
                <w:lang w:val="en-US" w:bidi="en-US"/>
              </w:rPr>
              <w:drawing>
                <wp:inline distT="0" distB="0" distL="0" distR="0" wp14:anchorId="69541F2A" wp14:editId="66B4C81A">
                  <wp:extent cx="2189950" cy="3064144"/>
                  <wp:effectExtent l="0" t="0" r="1270" b="317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205720" cy="3086210"/>
                          </a:xfrm>
                          <a:prstGeom prst="rect">
                            <a:avLst/>
                          </a:prstGeom>
                          <a:noFill/>
                          <a:ln>
                            <a:noFill/>
                          </a:ln>
                        </pic:spPr>
                      </pic:pic>
                    </a:graphicData>
                  </a:graphic>
                </wp:inline>
              </w:drawing>
            </w:r>
          </w:p>
          <w:p w14:paraId="5165C45B" w14:textId="34ED4B4C" w:rsidR="00DD77EF" w:rsidRDefault="00DD77EF" w:rsidP="002E76A3">
            <w:pPr>
              <w:keepNext/>
              <w:ind w:firstLine="0"/>
              <w:jc w:val="center"/>
              <w:rPr>
                <w:rFonts w:cs="Times New Roman"/>
                <w:szCs w:val="24"/>
                <w:lang w:val="en-US" w:bidi="en-US"/>
              </w:rPr>
            </w:pPr>
            <w:r>
              <w:rPr>
                <w:rFonts w:cs="Times New Roman"/>
                <w:szCs w:val="24"/>
                <w:lang w:val="en-US" w:bidi="en-US"/>
              </w:rPr>
              <w:t>(b)</w:t>
            </w:r>
          </w:p>
        </w:tc>
      </w:tr>
    </w:tbl>
    <w:p w14:paraId="49B8EDE6" w14:textId="6B9E0A46" w:rsidR="00DD77EF" w:rsidRPr="00051297" w:rsidRDefault="002E76A3" w:rsidP="002E76A3">
      <w:pPr>
        <w:ind w:firstLine="0"/>
        <w:jc w:val="center"/>
        <w:rPr>
          <w:rFonts w:cs="Times New Roman"/>
          <w:szCs w:val="24"/>
          <w:lang w:val="en-US" w:bidi="en-US"/>
        </w:rPr>
      </w:pPr>
      <w:bookmarkStart w:id="1194" w:name="_Ref104126657"/>
      <w:bookmarkStart w:id="1195" w:name="_Toc104985476"/>
      <w:r w:rsidRPr="002E76A3">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17</w:t>
      </w:r>
      <w:r w:rsidR="00527861">
        <w:rPr>
          <w:rFonts w:cs="Times New Roman"/>
          <w:szCs w:val="24"/>
          <w:lang w:val="en-US" w:bidi="en-US"/>
        </w:rPr>
        <w:fldChar w:fldCharType="end"/>
      </w:r>
      <w:bookmarkEnd w:id="1194"/>
      <w:r w:rsidRPr="00FF7C30">
        <w:rPr>
          <w:rFonts w:cs="Times New Roman"/>
          <w:szCs w:val="24"/>
          <w:lang w:val="en-US" w:bidi="en-US"/>
        </w:rPr>
        <w:t xml:space="preserve">– Slope stability under </w:t>
      </w:r>
      <w:r w:rsidRPr="00051297">
        <w:rPr>
          <w:rFonts w:cs="Times New Roman"/>
          <w:szCs w:val="24"/>
          <w:lang w:val="en-US" w:bidi="en-US"/>
        </w:rPr>
        <w:t>k</w:t>
      </w:r>
      <w:r w:rsidRPr="00051297">
        <w:rPr>
          <w:rFonts w:cs="Times New Roman"/>
          <w:szCs w:val="24"/>
          <w:vertAlign w:val="subscript"/>
          <w:lang w:val="en-US" w:bidi="en-US"/>
        </w:rPr>
        <w:t>sat</w:t>
      </w:r>
      <w:r w:rsidRPr="00051297">
        <w:rPr>
          <w:rFonts w:cs="Times New Roman"/>
          <w:szCs w:val="24"/>
          <w:lang w:val="en-US" w:bidi="en-US"/>
        </w:rPr>
        <w:t xml:space="preserve"> = 5∙10</w:t>
      </w:r>
      <w:r w:rsidRPr="00051297">
        <w:rPr>
          <w:rFonts w:cs="Times New Roman"/>
          <w:szCs w:val="24"/>
          <w:vertAlign w:val="superscript"/>
          <w:lang w:val="en-US" w:bidi="en-US"/>
        </w:rPr>
        <w:t>-</w:t>
      </w:r>
      <w:r>
        <w:rPr>
          <w:rFonts w:cs="Times New Roman"/>
          <w:szCs w:val="24"/>
          <w:vertAlign w:val="superscript"/>
          <w:lang w:val="en-US" w:bidi="en-US"/>
        </w:rPr>
        <w:t>6</w:t>
      </w:r>
      <w:r w:rsidRPr="00FF7C30">
        <w:rPr>
          <w:rFonts w:cs="Times New Roman"/>
          <w:szCs w:val="24"/>
          <w:lang w:val="en-US" w:bidi="en-US"/>
        </w:rPr>
        <w:t xml:space="preserve"> m/s; a) embankment with slip surface; b) graph of factor of safety values</w:t>
      </w:r>
      <w:bookmarkEnd w:id="1195"/>
    </w:p>
    <w:p w14:paraId="763F28CF" w14:textId="24C17F72" w:rsidR="00051297" w:rsidRPr="00051297" w:rsidRDefault="00051297" w:rsidP="00051297">
      <w:pPr>
        <w:spacing w:after="240"/>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_Ref98106872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18</w:t>
      </w:r>
      <w:r w:rsidRPr="00051297">
        <w:rPr>
          <w:rFonts w:eastAsia="Calibri" w:cs="Times New Roman"/>
          <w:szCs w:val="24"/>
          <w:lang w:val="en-US"/>
        </w:rPr>
        <w:fldChar w:fldCharType="end"/>
      </w:r>
      <w:r w:rsidRPr="00051297">
        <w:rPr>
          <w:rFonts w:eastAsia="Calibri" w:cs="Times New Roman"/>
          <w:szCs w:val="24"/>
          <w:lang w:val="en-US"/>
        </w:rPr>
        <w:t xml:space="preserve"> shows the slope stability analysis results when zone 1 was subjected to the hydraulic conductivity of 10</w:t>
      </w:r>
      <w:r w:rsidRPr="00051297">
        <w:rPr>
          <w:rFonts w:eastAsia="Calibri" w:cs="Times New Roman"/>
          <w:szCs w:val="24"/>
          <w:vertAlign w:val="superscript"/>
          <w:lang w:val="en-US"/>
        </w:rPr>
        <w:t xml:space="preserve">-6 </w:t>
      </w:r>
      <w:r w:rsidRPr="00051297">
        <w:rPr>
          <w:rFonts w:eastAsia="Calibri" w:cs="Times New Roman"/>
          <w:szCs w:val="24"/>
          <w:lang w:val="en-US"/>
        </w:rPr>
        <w:t>m/s. Similarly, as observed from the 10</w:t>
      </w:r>
      <w:r w:rsidRPr="00051297">
        <w:rPr>
          <w:rFonts w:eastAsia="Calibri" w:cs="Times New Roman"/>
          <w:szCs w:val="24"/>
          <w:vertAlign w:val="superscript"/>
          <w:lang w:val="en-US"/>
        </w:rPr>
        <w:t xml:space="preserve">-5 </w:t>
      </w:r>
      <w:r w:rsidRPr="00051297">
        <w:rPr>
          <w:rFonts w:eastAsia="Calibri" w:cs="Times New Roman"/>
          <w:szCs w:val="24"/>
          <w:lang w:val="en-US"/>
        </w:rPr>
        <w:t>m/s, the factor of safety tends to drop immediately after the beginning of the reservoir drawdown process and kept on dropping to the 28</w:t>
      </w:r>
      <w:r w:rsidRPr="00051297">
        <w:rPr>
          <w:rFonts w:eastAsia="Calibri" w:cs="Times New Roman"/>
          <w:szCs w:val="24"/>
          <w:vertAlign w:val="superscript"/>
          <w:lang w:val="en-US"/>
        </w:rPr>
        <w:t>th</w:t>
      </w:r>
      <w:r w:rsidRPr="00051297">
        <w:rPr>
          <w:rFonts w:eastAsia="Calibri" w:cs="Times New Roman"/>
          <w:szCs w:val="24"/>
          <w:lang w:val="en-US"/>
        </w:rPr>
        <w:t xml:space="preserve"> day (last day) of the drawdown and slowly started regaining stability as the pore-water pressures kept on dissipating in the embankment. Contrary to the 10</w:t>
      </w:r>
      <w:r w:rsidRPr="00051297">
        <w:rPr>
          <w:rFonts w:eastAsia="Calibri" w:cs="Times New Roman"/>
          <w:szCs w:val="24"/>
          <w:vertAlign w:val="superscript"/>
          <w:lang w:val="en-US"/>
        </w:rPr>
        <w:t xml:space="preserve">-5 </w:t>
      </w:r>
      <w:r w:rsidRPr="00051297">
        <w:rPr>
          <w:rFonts w:eastAsia="Calibri" w:cs="Times New Roman"/>
          <w:szCs w:val="24"/>
          <w:lang w:val="en-US"/>
        </w:rPr>
        <w:t>m/s, the trend of regaining stability for the hydraulic conductivity of 10</w:t>
      </w:r>
      <w:r w:rsidRPr="00051297">
        <w:rPr>
          <w:rFonts w:eastAsia="Calibri" w:cs="Times New Roman"/>
          <w:szCs w:val="24"/>
          <w:vertAlign w:val="superscript"/>
          <w:lang w:val="en-US"/>
        </w:rPr>
        <w:t>-6</w:t>
      </w:r>
      <w:r w:rsidR="00A9149C">
        <w:rPr>
          <w:rFonts w:eastAsia="Calibri" w:cs="Times New Roman"/>
          <w:szCs w:val="24"/>
          <w:vertAlign w:val="superscript"/>
          <w:lang w:val="en-US"/>
        </w:rPr>
        <w:t xml:space="preserve"> </w:t>
      </w:r>
      <w:r w:rsidRPr="00051297">
        <w:rPr>
          <w:rFonts w:eastAsia="Calibri" w:cs="Times New Roman"/>
          <w:szCs w:val="24"/>
          <w:lang w:val="en-US"/>
        </w:rPr>
        <w:t>m/s is a bit sharper than the 10</w:t>
      </w:r>
      <w:r w:rsidRPr="00051297">
        <w:rPr>
          <w:rFonts w:eastAsia="Calibri" w:cs="Times New Roman"/>
          <w:szCs w:val="24"/>
          <w:vertAlign w:val="superscript"/>
          <w:lang w:val="en-US"/>
        </w:rPr>
        <w:t xml:space="preserve">-5 </w:t>
      </w:r>
      <w:r w:rsidRPr="00051297">
        <w:rPr>
          <w:rFonts w:eastAsia="Calibri" w:cs="Times New Roman"/>
          <w:szCs w:val="24"/>
          <w:lang w:val="en-US"/>
        </w:rPr>
        <w:t>m/s, with the factor of safety increasing from approximately 1.2 to 1.4, taking more time than the 10</w:t>
      </w:r>
      <w:r w:rsidRPr="00051297">
        <w:rPr>
          <w:rFonts w:eastAsia="Calibri" w:cs="Times New Roman"/>
          <w:szCs w:val="24"/>
          <w:vertAlign w:val="superscript"/>
          <w:lang w:val="en-US"/>
        </w:rPr>
        <w:t xml:space="preserve">-5 </w:t>
      </w:r>
      <w:r w:rsidRPr="00051297">
        <w:rPr>
          <w:rFonts w:eastAsia="Calibri" w:cs="Times New Roman"/>
          <w:szCs w:val="24"/>
          <w:lang w:val="en-US"/>
        </w:rPr>
        <w:t xml:space="preserve">m/s. </w:t>
      </w:r>
    </w:p>
    <w:tbl>
      <w:tblPr>
        <w:tblStyle w:val="TableGrid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52B09CA6" w14:textId="77777777" w:rsidTr="00D20B01">
        <w:trPr>
          <w:jc w:val="center"/>
        </w:trPr>
        <w:tc>
          <w:tcPr>
            <w:tcW w:w="9636" w:type="dxa"/>
            <w:hideMark/>
          </w:tcPr>
          <w:p w14:paraId="700D8F92" w14:textId="252DB389" w:rsidR="00051297" w:rsidRPr="00051297" w:rsidRDefault="00C45E5F" w:rsidP="00A01314">
            <w:pPr>
              <w:spacing w:line="240" w:lineRule="auto"/>
              <w:ind w:firstLine="0"/>
              <w:jc w:val="center"/>
              <w:rPr>
                <w:noProof/>
                <w:szCs w:val="24"/>
              </w:rPr>
            </w:pPr>
            <w:r>
              <w:rPr>
                <w:noProof/>
              </w:rPr>
              <w:lastRenderedPageBreak/>
              <w:drawing>
                <wp:inline distT="0" distB="0" distL="0" distR="0" wp14:anchorId="1FC70CED" wp14:editId="149E0B59">
                  <wp:extent cx="5567550" cy="216000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567550" cy="2160000"/>
                          </a:xfrm>
                          <a:prstGeom prst="rect">
                            <a:avLst/>
                          </a:prstGeom>
                          <a:noFill/>
                          <a:ln>
                            <a:noFill/>
                          </a:ln>
                        </pic:spPr>
                      </pic:pic>
                    </a:graphicData>
                  </a:graphic>
                </wp:inline>
              </w:drawing>
            </w:r>
          </w:p>
          <w:p w14:paraId="5349D657" w14:textId="77777777" w:rsidR="00051297" w:rsidRPr="00051297" w:rsidRDefault="00051297" w:rsidP="00A01314">
            <w:pPr>
              <w:spacing w:line="240" w:lineRule="auto"/>
              <w:ind w:firstLine="0"/>
              <w:jc w:val="center"/>
              <w:rPr>
                <w:rFonts w:eastAsia="Times New Roman"/>
                <w:noProof/>
                <w:szCs w:val="24"/>
              </w:rPr>
            </w:pPr>
            <w:r w:rsidRPr="00051297">
              <w:rPr>
                <w:rFonts w:eastAsia="Times New Roman"/>
                <w:noProof/>
                <w:szCs w:val="24"/>
              </w:rPr>
              <w:t>(a)</w:t>
            </w:r>
          </w:p>
        </w:tc>
      </w:tr>
      <w:tr w:rsidR="00051297" w:rsidRPr="00051297" w14:paraId="07A365DA" w14:textId="77777777" w:rsidTr="00D20B01">
        <w:trPr>
          <w:jc w:val="center"/>
        </w:trPr>
        <w:tc>
          <w:tcPr>
            <w:tcW w:w="9636" w:type="dxa"/>
            <w:hideMark/>
          </w:tcPr>
          <w:p w14:paraId="5C766C5D" w14:textId="361EC7DA" w:rsidR="00051297" w:rsidRPr="00051297" w:rsidRDefault="00684FAE" w:rsidP="00A01314">
            <w:pPr>
              <w:spacing w:line="240" w:lineRule="auto"/>
              <w:ind w:firstLine="0"/>
              <w:jc w:val="center"/>
              <w:rPr>
                <w:rFonts w:eastAsia="Times New Roman"/>
                <w:szCs w:val="24"/>
              </w:rPr>
            </w:pPr>
            <w:r w:rsidRPr="00684FAE">
              <w:rPr>
                <w:rFonts w:eastAsia="Times New Roman"/>
                <w:noProof/>
                <w:szCs w:val="24"/>
              </w:rPr>
              <w:drawing>
                <wp:inline distT="0" distB="0" distL="0" distR="0" wp14:anchorId="75227049" wp14:editId="25098BD6">
                  <wp:extent cx="2346960" cy="2977103"/>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rotWithShape="1">
                          <a:blip r:embed="rId167">
                            <a:extLst>
                              <a:ext uri="{28A0092B-C50C-407E-A947-70E740481C1C}">
                                <a14:useLocalDpi xmlns:a14="http://schemas.microsoft.com/office/drawing/2010/main" val="0"/>
                              </a:ext>
                            </a:extLst>
                          </a:blip>
                          <a:srcRect t="5871" b="3522"/>
                          <a:stretch/>
                        </pic:blipFill>
                        <pic:spPr bwMode="auto">
                          <a:xfrm>
                            <a:off x="0" y="0"/>
                            <a:ext cx="2351495" cy="2982855"/>
                          </a:xfrm>
                          <a:prstGeom prst="rect">
                            <a:avLst/>
                          </a:prstGeom>
                          <a:noFill/>
                          <a:ln>
                            <a:noFill/>
                          </a:ln>
                          <a:extLst>
                            <a:ext uri="{53640926-AAD7-44D8-BBD7-CCE9431645EC}">
                              <a14:shadowObscured xmlns:a14="http://schemas.microsoft.com/office/drawing/2010/main"/>
                            </a:ext>
                          </a:extLst>
                        </pic:spPr>
                      </pic:pic>
                    </a:graphicData>
                  </a:graphic>
                </wp:inline>
              </w:drawing>
            </w:r>
          </w:p>
          <w:p w14:paraId="46280061" w14:textId="77777777" w:rsidR="00051297" w:rsidRPr="00051297" w:rsidRDefault="00051297" w:rsidP="00A01314">
            <w:pPr>
              <w:keepNext/>
              <w:spacing w:line="240" w:lineRule="auto"/>
              <w:ind w:firstLine="0"/>
              <w:jc w:val="center"/>
              <w:rPr>
                <w:rFonts w:eastAsia="Times New Roman"/>
                <w:szCs w:val="24"/>
              </w:rPr>
            </w:pPr>
            <w:r w:rsidRPr="00051297">
              <w:rPr>
                <w:rFonts w:eastAsia="Times New Roman"/>
                <w:szCs w:val="24"/>
              </w:rPr>
              <w:t>(b)</w:t>
            </w:r>
          </w:p>
        </w:tc>
      </w:tr>
    </w:tbl>
    <w:p w14:paraId="22872328" w14:textId="67060FBE" w:rsidR="00051297" w:rsidRDefault="00051297" w:rsidP="00051297">
      <w:pPr>
        <w:ind w:firstLine="0"/>
        <w:jc w:val="center"/>
        <w:rPr>
          <w:rFonts w:cs="Times New Roman"/>
          <w:szCs w:val="24"/>
          <w:lang w:val="en-US" w:bidi="en-US"/>
        </w:rPr>
      </w:pPr>
      <w:bookmarkStart w:id="1196" w:name="_Ref98106872"/>
      <w:bookmarkStart w:id="1197" w:name="_Toc97428282"/>
      <w:bookmarkStart w:id="1198" w:name="_Toc98085957"/>
      <w:bookmarkStart w:id="1199" w:name="_Toc103544152"/>
      <w:bookmarkStart w:id="1200" w:name="_Toc104985477"/>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18</w:t>
      </w:r>
      <w:r w:rsidR="00527861">
        <w:rPr>
          <w:rFonts w:cs="Times New Roman"/>
          <w:szCs w:val="24"/>
          <w:lang w:val="en-US" w:bidi="en-US"/>
        </w:rPr>
        <w:fldChar w:fldCharType="end"/>
      </w:r>
      <w:bookmarkEnd w:id="1196"/>
      <w:r w:rsidRPr="00051297">
        <w:rPr>
          <w:lang w:val="en-US"/>
        </w:rPr>
        <w:t xml:space="preserve"> </w:t>
      </w:r>
      <w:r w:rsidRPr="00051297">
        <w:rPr>
          <w:rFonts w:cs="Times New Roman"/>
          <w:szCs w:val="24"/>
          <w:lang w:val="en-US" w:bidi="en-US"/>
        </w:rPr>
        <w:t>– Slope stability under k</w:t>
      </w:r>
      <w:r w:rsidRPr="00051297">
        <w:rPr>
          <w:rFonts w:cs="Times New Roman"/>
          <w:szCs w:val="24"/>
          <w:vertAlign w:val="subscript"/>
          <w:lang w:val="en-US" w:bidi="en-US"/>
        </w:rPr>
        <w:t>sat</w:t>
      </w:r>
      <w:r w:rsidRPr="00051297">
        <w:rPr>
          <w:rFonts w:cs="Times New Roman"/>
          <w:szCs w:val="24"/>
          <w:lang w:val="en-US" w:bidi="en-US"/>
        </w:rPr>
        <w:t>=10</w:t>
      </w:r>
      <w:r w:rsidRPr="00051297">
        <w:rPr>
          <w:rFonts w:cs="Times New Roman"/>
          <w:szCs w:val="24"/>
          <w:vertAlign w:val="superscript"/>
          <w:lang w:val="en-US" w:bidi="en-US"/>
        </w:rPr>
        <w:t>-6</w:t>
      </w:r>
      <w:r w:rsidRPr="00051297">
        <w:rPr>
          <w:rFonts w:cs="Times New Roman"/>
          <w:szCs w:val="24"/>
          <w:lang w:val="en-US" w:bidi="en-US"/>
        </w:rPr>
        <w:t xml:space="preserve"> m/s</w:t>
      </w:r>
      <w:bookmarkEnd w:id="1197"/>
      <w:bookmarkEnd w:id="1198"/>
      <w:bookmarkEnd w:id="1199"/>
      <w:r w:rsidR="00040F11">
        <w:rPr>
          <w:rFonts w:cs="Times New Roman"/>
          <w:szCs w:val="24"/>
          <w:lang w:val="en-US" w:bidi="en-US"/>
        </w:rPr>
        <w:t>;</w:t>
      </w:r>
      <w:r w:rsidR="00906F71">
        <w:rPr>
          <w:rFonts w:cs="Times New Roman"/>
          <w:szCs w:val="24"/>
          <w:lang w:val="en-US" w:bidi="en-US"/>
        </w:rPr>
        <w:t xml:space="preserve"> a) embankment with slip surface; b) graph of factor of safety values</w:t>
      </w:r>
      <w:bookmarkEnd w:id="1200"/>
    </w:p>
    <w:p w14:paraId="1D10BED7" w14:textId="5046FD9C" w:rsidR="00C6076E" w:rsidRDefault="00C6076E" w:rsidP="00A01314">
      <w:pPr>
        <w:rPr>
          <w:lang w:val="en-US" w:bidi="en-US"/>
        </w:rPr>
      </w:pPr>
      <w:r>
        <w:rPr>
          <w:lang w:val="en-US" w:bidi="en-US"/>
        </w:rPr>
        <w:fldChar w:fldCharType="begin"/>
      </w:r>
      <w:r>
        <w:rPr>
          <w:lang w:val="en-US" w:bidi="en-US"/>
        </w:rPr>
        <w:instrText xml:space="preserve"> REF _Ref104127284 \h </w:instrText>
      </w:r>
      <w:r>
        <w:rPr>
          <w:lang w:val="en-US" w:bidi="en-US"/>
        </w:rPr>
      </w:r>
      <w:r>
        <w:rPr>
          <w:lang w:val="en-US" w:bidi="en-US"/>
        </w:rPr>
        <w:fldChar w:fldCharType="separate"/>
      </w:r>
      <w:r w:rsidR="004870F1" w:rsidRPr="00527861">
        <w:rPr>
          <w:rFonts w:cs="Times New Roman"/>
          <w:szCs w:val="24"/>
          <w:lang w:val="en-US" w:bidi="en-US"/>
        </w:rPr>
        <w:t xml:space="preserve">Figure </w:t>
      </w:r>
      <w:r w:rsidR="004870F1">
        <w:rPr>
          <w:rFonts w:cs="Times New Roman"/>
          <w:noProof/>
          <w:szCs w:val="24"/>
          <w:lang w:val="en-US" w:bidi="en-US"/>
        </w:rPr>
        <w:t>5</w:t>
      </w:r>
      <w:r w:rsidR="004870F1" w:rsidRPr="00527861">
        <w:rPr>
          <w:rFonts w:cs="Times New Roman"/>
          <w:szCs w:val="24"/>
          <w:lang w:val="en-US" w:bidi="en-US"/>
        </w:rPr>
        <w:t>.</w:t>
      </w:r>
      <w:r w:rsidR="004870F1">
        <w:rPr>
          <w:rFonts w:cs="Times New Roman"/>
          <w:noProof/>
          <w:szCs w:val="24"/>
          <w:lang w:val="en-US" w:bidi="en-US"/>
        </w:rPr>
        <w:t>19</w:t>
      </w:r>
      <w:r>
        <w:rPr>
          <w:lang w:val="en-US" w:bidi="en-US"/>
        </w:rPr>
        <w:fldChar w:fldCharType="end"/>
      </w:r>
      <w:r w:rsidRPr="00C6076E">
        <w:rPr>
          <w:lang w:val="en-US"/>
        </w:rPr>
        <w:t xml:space="preserve"> </w:t>
      </w:r>
      <w:r w:rsidRPr="00051297">
        <w:rPr>
          <w:lang w:val="en-US"/>
        </w:rPr>
        <w:t>presents the slope stability analysis results when zone 1 was subjected to the hydraulic conductivity of</w:t>
      </w:r>
      <w:r>
        <w:rPr>
          <w:lang w:val="en-US"/>
        </w:rPr>
        <w:t xml:space="preserve"> </w:t>
      </w:r>
      <w:r w:rsidRPr="00051297">
        <w:rPr>
          <w:lang w:val="en-US" w:bidi="en-US"/>
        </w:rPr>
        <w:t>5∙10</w:t>
      </w:r>
      <w:r w:rsidRPr="00051297">
        <w:rPr>
          <w:vertAlign w:val="superscript"/>
          <w:lang w:val="en-US" w:bidi="en-US"/>
        </w:rPr>
        <w:t>-</w:t>
      </w:r>
      <w:r>
        <w:rPr>
          <w:vertAlign w:val="superscript"/>
          <w:lang w:val="en-US" w:bidi="en-US"/>
        </w:rPr>
        <w:t>6</w:t>
      </w:r>
      <w:r w:rsidRPr="00FF7C30">
        <w:rPr>
          <w:lang w:val="en-US" w:bidi="en-US"/>
        </w:rPr>
        <w:t xml:space="preserve"> m/s</w:t>
      </w:r>
      <w:r w:rsidRPr="00051297">
        <w:rPr>
          <w:lang w:val="en-US"/>
        </w:rPr>
        <w:t>.</w:t>
      </w:r>
      <w:r w:rsidR="005866C6">
        <w:rPr>
          <w:lang w:val="en-US"/>
        </w:rPr>
        <w:t xml:space="preserve"> From </w:t>
      </w:r>
      <w:r w:rsidR="005866C6">
        <w:rPr>
          <w:lang w:val="en-US" w:bidi="en-US"/>
        </w:rPr>
        <w:fldChar w:fldCharType="begin"/>
      </w:r>
      <w:r w:rsidR="005866C6">
        <w:rPr>
          <w:lang w:val="en-US" w:bidi="en-US"/>
        </w:rPr>
        <w:instrText xml:space="preserve"> REF _Ref104127284 \h </w:instrText>
      </w:r>
      <w:r w:rsidR="005866C6">
        <w:rPr>
          <w:lang w:val="en-US" w:bidi="en-US"/>
        </w:rPr>
      </w:r>
      <w:r w:rsidR="005866C6">
        <w:rPr>
          <w:lang w:val="en-US" w:bidi="en-US"/>
        </w:rPr>
        <w:fldChar w:fldCharType="separate"/>
      </w:r>
      <w:r w:rsidR="004870F1" w:rsidRPr="00527861">
        <w:rPr>
          <w:rFonts w:cs="Times New Roman"/>
          <w:szCs w:val="24"/>
          <w:lang w:val="en-US" w:bidi="en-US"/>
        </w:rPr>
        <w:t xml:space="preserve">Figure </w:t>
      </w:r>
      <w:r w:rsidR="004870F1">
        <w:rPr>
          <w:rFonts w:cs="Times New Roman"/>
          <w:noProof/>
          <w:szCs w:val="24"/>
          <w:lang w:val="en-US" w:bidi="en-US"/>
        </w:rPr>
        <w:t>5</w:t>
      </w:r>
      <w:r w:rsidR="004870F1" w:rsidRPr="00527861">
        <w:rPr>
          <w:rFonts w:cs="Times New Roman"/>
          <w:szCs w:val="24"/>
          <w:lang w:val="en-US" w:bidi="en-US"/>
        </w:rPr>
        <w:t>.</w:t>
      </w:r>
      <w:r w:rsidR="004870F1">
        <w:rPr>
          <w:rFonts w:cs="Times New Roman"/>
          <w:noProof/>
          <w:szCs w:val="24"/>
          <w:lang w:val="en-US" w:bidi="en-US"/>
        </w:rPr>
        <w:t>19</w:t>
      </w:r>
      <w:r w:rsidR="005866C6">
        <w:rPr>
          <w:lang w:val="en-US" w:bidi="en-US"/>
        </w:rPr>
        <w:fldChar w:fldCharType="end"/>
      </w:r>
      <w:r w:rsidR="005866C6">
        <w:rPr>
          <w:lang w:val="en-US" w:bidi="en-US"/>
        </w:rPr>
        <w:t>,</w:t>
      </w:r>
      <w:r w:rsidRPr="00051297">
        <w:rPr>
          <w:lang w:val="en-US"/>
        </w:rPr>
        <w:t xml:space="preserve"> </w:t>
      </w:r>
      <w:r w:rsidR="005866C6">
        <w:rPr>
          <w:lang w:val="en-US"/>
        </w:rPr>
        <w:t>a</w:t>
      </w:r>
      <w:r w:rsidRPr="00051297">
        <w:rPr>
          <w:lang w:val="en-US"/>
        </w:rPr>
        <w:t xml:space="preserve"> minimum factor of safety </w:t>
      </w:r>
      <w:r w:rsidR="005866C6">
        <w:rPr>
          <w:lang w:val="en-US"/>
        </w:rPr>
        <w:t>value of about 1.108</w:t>
      </w:r>
      <w:r w:rsidRPr="00051297">
        <w:rPr>
          <w:lang w:val="en-US"/>
        </w:rPr>
        <w:t xml:space="preserve"> was retrieved </w:t>
      </w:r>
      <w:r w:rsidR="005866C6">
        <w:rPr>
          <w:lang w:val="en-US"/>
        </w:rPr>
        <w:t>during</w:t>
      </w:r>
      <w:r w:rsidRPr="00051297">
        <w:rPr>
          <w:lang w:val="en-US"/>
        </w:rPr>
        <w:t xml:space="preserve"> the 28</w:t>
      </w:r>
      <w:r w:rsidRPr="00051297">
        <w:rPr>
          <w:vertAlign w:val="superscript"/>
          <w:lang w:val="en-US"/>
        </w:rPr>
        <w:t>th</w:t>
      </w:r>
      <w:r w:rsidRPr="00051297">
        <w:rPr>
          <w:lang w:val="en-US"/>
        </w:rPr>
        <w:t xml:space="preserve"> day</w:t>
      </w:r>
      <w:r w:rsidR="005866C6">
        <w:rPr>
          <w:lang w:val="en-US"/>
        </w:rPr>
        <w:t xml:space="preserve"> of the rapid drawdown.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6C59CF" w14:paraId="39412D4D" w14:textId="77777777" w:rsidTr="00527861">
        <w:tc>
          <w:tcPr>
            <w:tcW w:w="9344" w:type="dxa"/>
          </w:tcPr>
          <w:p w14:paraId="6FA82230" w14:textId="2629A828" w:rsidR="006C59CF" w:rsidRDefault="00527861" w:rsidP="00A01314">
            <w:pPr>
              <w:spacing w:line="240" w:lineRule="auto"/>
              <w:ind w:firstLine="0"/>
              <w:jc w:val="center"/>
              <w:rPr>
                <w:rFonts w:cs="Times New Roman"/>
                <w:szCs w:val="24"/>
                <w:lang w:val="en-US" w:bidi="en-US"/>
              </w:rPr>
            </w:pPr>
            <w:r>
              <w:rPr>
                <w:noProof/>
              </w:rPr>
              <w:drawing>
                <wp:inline distT="0" distB="0" distL="0" distR="0" wp14:anchorId="0A120A39" wp14:editId="5466B311">
                  <wp:extent cx="5637456" cy="2160000"/>
                  <wp:effectExtent l="0" t="0" r="1905"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637456" cy="2160000"/>
                          </a:xfrm>
                          <a:prstGeom prst="rect">
                            <a:avLst/>
                          </a:prstGeom>
                          <a:noFill/>
                          <a:ln>
                            <a:noFill/>
                          </a:ln>
                        </pic:spPr>
                      </pic:pic>
                    </a:graphicData>
                  </a:graphic>
                </wp:inline>
              </w:drawing>
            </w:r>
          </w:p>
          <w:p w14:paraId="4CDC449E" w14:textId="673FA232" w:rsidR="00527861" w:rsidRDefault="00527861" w:rsidP="00A01314">
            <w:pPr>
              <w:spacing w:line="240" w:lineRule="auto"/>
              <w:ind w:firstLine="0"/>
              <w:jc w:val="center"/>
              <w:rPr>
                <w:rFonts w:cs="Times New Roman"/>
                <w:szCs w:val="24"/>
                <w:lang w:val="en-US" w:bidi="en-US"/>
              </w:rPr>
            </w:pPr>
            <w:r>
              <w:rPr>
                <w:rFonts w:cs="Times New Roman"/>
                <w:szCs w:val="24"/>
                <w:lang w:val="en-US" w:bidi="en-US"/>
              </w:rPr>
              <w:t>(a)</w:t>
            </w:r>
          </w:p>
        </w:tc>
      </w:tr>
      <w:tr w:rsidR="006C59CF" w14:paraId="3722291B" w14:textId="77777777" w:rsidTr="00527861">
        <w:tc>
          <w:tcPr>
            <w:tcW w:w="9344" w:type="dxa"/>
          </w:tcPr>
          <w:p w14:paraId="12D6BBEC" w14:textId="62C80F14" w:rsidR="006C59CF" w:rsidRDefault="00527861" w:rsidP="00A01314">
            <w:pPr>
              <w:spacing w:line="240" w:lineRule="auto"/>
              <w:ind w:firstLine="0"/>
              <w:jc w:val="center"/>
              <w:rPr>
                <w:rFonts w:cs="Times New Roman"/>
                <w:szCs w:val="24"/>
                <w:lang w:val="en-US" w:bidi="en-US"/>
              </w:rPr>
            </w:pPr>
            <w:r w:rsidRPr="00527861">
              <w:rPr>
                <w:rFonts w:cs="Times New Roman"/>
                <w:noProof/>
                <w:szCs w:val="24"/>
                <w:lang w:val="en-US" w:bidi="en-US"/>
              </w:rPr>
              <w:lastRenderedPageBreak/>
              <w:drawing>
                <wp:inline distT="0" distB="0" distL="0" distR="0" wp14:anchorId="686B43E6" wp14:editId="15855C80">
                  <wp:extent cx="2496533" cy="3177540"/>
                  <wp:effectExtent l="0" t="0" r="0" b="381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rotWithShape="1">
                          <a:blip r:embed="rId169">
                            <a:extLst>
                              <a:ext uri="{28A0092B-C50C-407E-A947-70E740481C1C}">
                                <a14:useLocalDpi xmlns:a14="http://schemas.microsoft.com/office/drawing/2010/main" val="0"/>
                              </a:ext>
                            </a:extLst>
                          </a:blip>
                          <a:srcRect t="5672" b="3362"/>
                          <a:stretch/>
                        </pic:blipFill>
                        <pic:spPr bwMode="auto">
                          <a:xfrm>
                            <a:off x="0" y="0"/>
                            <a:ext cx="2509862" cy="3194505"/>
                          </a:xfrm>
                          <a:prstGeom prst="rect">
                            <a:avLst/>
                          </a:prstGeom>
                          <a:noFill/>
                          <a:ln>
                            <a:noFill/>
                          </a:ln>
                          <a:extLst>
                            <a:ext uri="{53640926-AAD7-44D8-BBD7-CCE9431645EC}">
                              <a14:shadowObscured xmlns:a14="http://schemas.microsoft.com/office/drawing/2010/main"/>
                            </a:ext>
                          </a:extLst>
                        </pic:spPr>
                      </pic:pic>
                    </a:graphicData>
                  </a:graphic>
                </wp:inline>
              </w:drawing>
            </w:r>
          </w:p>
          <w:p w14:paraId="1473BCE4" w14:textId="0CDB20E7" w:rsidR="00527861" w:rsidRDefault="00527861" w:rsidP="00A01314">
            <w:pPr>
              <w:keepNext/>
              <w:spacing w:line="240" w:lineRule="auto"/>
              <w:ind w:firstLine="0"/>
              <w:jc w:val="center"/>
              <w:rPr>
                <w:rFonts w:cs="Times New Roman"/>
                <w:szCs w:val="24"/>
                <w:lang w:val="en-US" w:bidi="en-US"/>
              </w:rPr>
            </w:pPr>
            <w:r>
              <w:rPr>
                <w:rFonts w:cs="Times New Roman"/>
                <w:szCs w:val="24"/>
                <w:lang w:val="en-US" w:bidi="en-US"/>
              </w:rPr>
              <w:t>(b)</w:t>
            </w:r>
          </w:p>
        </w:tc>
      </w:tr>
    </w:tbl>
    <w:p w14:paraId="53495611" w14:textId="50C0A0E9" w:rsidR="006C59CF" w:rsidRPr="00051297" w:rsidRDefault="00527861" w:rsidP="00527861">
      <w:pPr>
        <w:ind w:firstLine="0"/>
        <w:jc w:val="center"/>
        <w:rPr>
          <w:rFonts w:cs="Times New Roman"/>
          <w:szCs w:val="24"/>
          <w:lang w:val="en-US" w:bidi="en-US"/>
        </w:rPr>
      </w:pPr>
      <w:bookmarkStart w:id="1201" w:name="_Ref104127284"/>
      <w:bookmarkStart w:id="1202" w:name="_Toc104985478"/>
      <w:r w:rsidRPr="00527861">
        <w:rPr>
          <w:rFonts w:cs="Times New Roman"/>
          <w:szCs w:val="24"/>
          <w:lang w:val="en-US" w:bidi="en-US"/>
        </w:rPr>
        <w:t xml:space="preserve">Figure </w:t>
      </w:r>
      <w:r w:rsidRPr="00527861">
        <w:rPr>
          <w:rFonts w:cs="Times New Roman"/>
          <w:szCs w:val="24"/>
          <w:lang w:val="en-US" w:bidi="en-US"/>
        </w:rPr>
        <w:fldChar w:fldCharType="begin"/>
      </w:r>
      <w:r w:rsidRPr="00527861">
        <w:rPr>
          <w:rFonts w:cs="Times New Roman"/>
          <w:szCs w:val="24"/>
          <w:lang w:val="en-US" w:bidi="en-US"/>
        </w:rPr>
        <w:instrText xml:space="preserve"> STYLEREF 1 \s </w:instrText>
      </w:r>
      <w:r w:rsidRPr="00527861">
        <w:rPr>
          <w:rFonts w:cs="Times New Roman"/>
          <w:szCs w:val="24"/>
          <w:lang w:val="en-US" w:bidi="en-US"/>
        </w:rPr>
        <w:fldChar w:fldCharType="separate"/>
      </w:r>
      <w:r w:rsidR="004870F1">
        <w:rPr>
          <w:rFonts w:cs="Times New Roman"/>
          <w:noProof/>
          <w:szCs w:val="24"/>
          <w:lang w:val="en-US" w:bidi="en-US"/>
        </w:rPr>
        <w:t>5</w:t>
      </w:r>
      <w:r w:rsidRPr="00527861">
        <w:rPr>
          <w:rFonts w:cs="Times New Roman"/>
          <w:szCs w:val="24"/>
          <w:lang w:val="en-US" w:bidi="en-US"/>
        </w:rPr>
        <w:fldChar w:fldCharType="end"/>
      </w:r>
      <w:r w:rsidRPr="00527861">
        <w:rPr>
          <w:rFonts w:cs="Times New Roman"/>
          <w:szCs w:val="24"/>
          <w:lang w:val="en-US" w:bidi="en-US"/>
        </w:rPr>
        <w:t>.</w:t>
      </w:r>
      <w:r w:rsidRPr="00527861">
        <w:rPr>
          <w:rFonts w:cs="Times New Roman"/>
          <w:szCs w:val="24"/>
          <w:lang w:val="en-US" w:bidi="en-US"/>
        </w:rPr>
        <w:fldChar w:fldCharType="begin"/>
      </w:r>
      <w:r w:rsidRPr="00527861">
        <w:rPr>
          <w:rFonts w:cs="Times New Roman"/>
          <w:szCs w:val="24"/>
          <w:lang w:val="en-US" w:bidi="en-US"/>
        </w:rPr>
        <w:instrText xml:space="preserve"> SEQ Figure \* ARABIC \s 1 </w:instrText>
      </w:r>
      <w:r w:rsidRPr="00527861">
        <w:rPr>
          <w:rFonts w:cs="Times New Roman"/>
          <w:szCs w:val="24"/>
          <w:lang w:val="en-US" w:bidi="en-US"/>
        </w:rPr>
        <w:fldChar w:fldCharType="separate"/>
      </w:r>
      <w:r w:rsidR="004870F1">
        <w:rPr>
          <w:rFonts w:cs="Times New Roman"/>
          <w:noProof/>
          <w:szCs w:val="24"/>
          <w:lang w:val="en-US" w:bidi="en-US"/>
        </w:rPr>
        <w:t>19</w:t>
      </w:r>
      <w:r w:rsidRPr="00527861">
        <w:rPr>
          <w:rFonts w:cs="Times New Roman"/>
          <w:szCs w:val="24"/>
          <w:lang w:val="en-US" w:bidi="en-US"/>
        </w:rPr>
        <w:fldChar w:fldCharType="end"/>
      </w:r>
      <w:bookmarkEnd w:id="1201"/>
      <w:r w:rsidRPr="00FF7C30">
        <w:rPr>
          <w:rFonts w:cs="Times New Roman"/>
          <w:szCs w:val="24"/>
          <w:lang w:val="en-US" w:bidi="en-US"/>
        </w:rPr>
        <w:t xml:space="preserve">– Slope stability under </w:t>
      </w:r>
      <w:r w:rsidRPr="00051297">
        <w:rPr>
          <w:rFonts w:cs="Times New Roman"/>
          <w:szCs w:val="24"/>
          <w:lang w:val="en-US" w:bidi="en-US"/>
        </w:rPr>
        <w:t>k</w:t>
      </w:r>
      <w:r w:rsidRPr="00051297">
        <w:rPr>
          <w:rFonts w:cs="Times New Roman"/>
          <w:szCs w:val="24"/>
          <w:vertAlign w:val="subscript"/>
          <w:lang w:val="en-US" w:bidi="en-US"/>
        </w:rPr>
        <w:t>sat</w:t>
      </w:r>
      <w:r w:rsidRPr="00051297">
        <w:rPr>
          <w:rFonts w:cs="Times New Roman"/>
          <w:szCs w:val="24"/>
          <w:lang w:val="en-US" w:bidi="en-US"/>
        </w:rPr>
        <w:t xml:space="preserve"> = 5∙10</w:t>
      </w:r>
      <w:r w:rsidRPr="00051297">
        <w:rPr>
          <w:rFonts w:cs="Times New Roman"/>
          <w:szCs w:val="24"/>
          <w:vertAlign w:val="superscript"/>
          <w:lang w:val="en-US" w:bidi="en-US"/>
        </w:rPr>
        <w:t>-</w:t>
      </w:r>
      <w:r>
        <w:rPr>
          <w:rFonts w:cs="Times New Roman"/>
          <w:szCs w:val="24"/>
          <w:vertAlign w:val="superscript"/>
          <w:lang w:val="en-US" w:bidi="en-US"/>
        </w:rPr>
        <w:t>7</w:t>
      </w:r>
      <w:r w:rsidRPr="00FF7C30">
        <w:rPr>
          <w:rFonts w:cs="Times New Roman"/>
          <w:szCs w:val="24"/>
          <w:lang w:val="en-US" w:bidi="en-US"/>
        </w:rPr>
        <w:t xml:space="preserve"> m/s; a) embankment with slip surface; b) graph of factor of safety values</w:t>
      </w:r>
      <w:bookmarkEnd w:id="1202"/>
    </w:p>
    <w:p w14:paraId="355C6988" w14:textId="07B30987" w:rsidR="00051297" w:rsidRPr="00051297" w:rsidRDefault="00051297" w:rsidP="00051297">
      <w:pPr>
        <w:spacing w:after="240"/>
        <w:rPr>
          <w:rFonts w:eastAsia="Calibri" w:cs="Times New Roman"/>
          <w:b/>
          <w:bCs/>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_Ref98106899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20</w:t>
      </w:r>
      <w:r w:rsidRPr="00051297">
        <w:rPr>
          <w:rFonts w:eastAsia="Calibri" w:cs="Times New Roman"/>
          <w:szCs w:val="24"/>
          <w:lang w:val="en-US"/>
        </w:rPr>
        <w:fldChar w:fldCharType="end"/>
      </w:r>
      <w:r w:rsidRPr="00051297">
        <w:rPr>
          <w:rFonts w:eastAsia="Calibri" w:cs="Times New Roman"/>
          <w:szCs w:val="24"/>
          <w:lang w:val="en-US"/>
        </w:rPr>
        <w:t xml:space="preserve"> presents the slope stability analysis results when zone 1 was subjected to the hydraulic conductivity of 10</w:t>
      </w:r>
      <w:r w:rsidRPr="00051297">
        <w:rPr>
          <w:rFonts w:eastAsia="Calibri" w:cs="Times New Roman"/>
          <w:szCs w:val="24"/>
          <w:vertAlign w:val="superscript"/>
          <w:lang w:val="en-US"/>
        </w:rPr>
        <w:t xml:space="preserve">-7 </w:t>
      </w:r>
      <w:r w:rsidRPr="00051297">
        <w:rPr>
          <w:rFonts w:eastAsia="Calibri" w:cs="Times New Roman"/>
          <w:szCs w:val="24"/>
          <w:lang w:val="en-US"/>
        </w:rPr>
        <w:t>m/s. As previously observed, the factor of safety values started reducing following the reservoir drawdown process and kept on reducing to the 28</w:t>
      </w:r>
      <w:r w:rsidRPr="00051297">
        <w:rPr>
          <w:rFonts w:eastAsia="Calibri" w:cs="Times New Roman"/>
          <w:szCs w:val="24"/>
          <w:vertAlign w:val="superscript"/>
          <w:lang w:val="en-US"/>
        </w:rPr>
        <w:t>th</w:t>
      </w:r>
      <w:r w:rsidRPr="00051297">
        <w:rPr>
          <w:rFonts w:eastAsia="Calibri" w:cs="Times New Roman"/>
          <w:szCs w:val="24"/>
          <w:lang w:val="en-US"/>
        </w:rPr>
        <w:t xml:space="preserve"> day (last day) of the drawdown and slowly started regaining stability as the pore-water pressures kept on dissipating in the embankment. However, for the 10</w:t>
      </w:r>
      <w:r w:rsidRPr="00051297">
        <w:rPr>
          <w:rFonts w:eastAsia="Calibri" w:cs="Times New Roman"/>
          <w:szCs w:val="24"/>
          <w:vertAlign w:val="superscript"/>
          <w:lang w:val="en-US"/>
        </w:rPr>
        <w:t>-7</w:t>
      </w:r>
      <w:r w:rsidR="00A9149C">
        <w:rPr>
          <w:rFonts w:eastAsia="Calibri" w:cs="Times New Roman"/>
          <w:szCs w:val="24"/>
          <w:vertAlign w:val="superscript"/>
          <w:lang w:val="en-US"/>
        </w:rPr>
        <w:t xml:space="preserve"> </w:t>
      </w:r>
      <w:r w:rsidRPr="00051297">
        <w:rPr>
          <w:rFonts w:eastAsia="Calibri" w:cs="Times New Roman"/>
          <w:szCs w:val="24"/>
          <w:lang w:val="en-US"/>
        </w:rPr>
        <w:t>m/s, the factor of safety values went all the way to below 1 with an alarm of a potential failure. In this phenomenon, it is noticed that, for a combination of the embankment material properties and the drawdown rate of 1m per day, the zone 1 hydraulic conductivity should be higher than 10</w:t>
      </w:r>
      <w:r w:rsidRPr="00051297">
        <w:rPr>
          <w:rFonts w:eastAsia="Calibri" w:cs="Times New Roman"/>
          <w:szCs w:val="24"/>
          <w:vertAlign w:val="superscript"/>
          <w:lang w:val="en-US"/>
        </w:rPr>
        <w:t xml:space="preserve">-7 </w:t>
      </w:r>
      <w:r w:rsidRPr="00051297">
        <w:rPr>
          <w:rFonts w:eastAsia="Calibri" w:cs="Times New Roman"/>
          <w:szCs w:val="24"/>
          <w:lang w:val="en-US"/>
        </w:rPr>
        <w:t>m/s.</w:t>
      </w:r>
    </w:p>
    <w:tbl>
      <w:tblPr>
        <w:tblStyle w:val="TableGrid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4EC10A0F" w14:textId="77777777" w:rsidTr="00D20B01">
        <w:tc>
          <w:tcPr>
            <w:tcW w:w="9638" w:type="dxa"/>
            <w:hideMark/>
          </w:tcPr>
          <w:p w14:paraId="3549627E" w14:textId="7FEA4C87" w:rsidR="00051297" w:rsidRPr="00051297" w:rsidRDefault="006377C3" w:rsidP="00C925D9">
            <w:pPr>
              <w:spacing w:after="240" w:line="240" w:lineRule="auto"/>
              <w:ind w:firstLine="0"/>
              <w:jc w:val="center"/>
              <w:rPr>
                <w:noProof/>
                <w:szCs w:val="24"/>
              </w:rPr>
            </w:pPr>
            <w:r>
              <w:rPr>
                <w:noProof/>
              </w:rPr>
              <w:drawing>
                <wp:inline distT="0" distB="0" distL="0" distR="0" wp14:anchorId="1B5F93F0" wp14:editId="05C55B44">
                  <wp:extent cx="5848066" cy="2240696"/>
                  <wp:effectExtent l="0" t="0" r="635" b="762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852016" cy="2242209"/>
                          </a:xfrm>
                          <a:prstGeom prst="rect">
                            <a:avLst/>
                          </a:prstGeom>
                          <a:noFill/>
                          <a:ln>
                            <a:noFill/>
                          </a:ln>
                        </pic:spPr>
                      </pic:pic>
                    </a:graphicData>
                  </a:graphic>
                </wp:inline>
              </w:drawing>
            </w:r>
          </w:p>
          <w:p w14:paraId="5B545EAD" w14:textId="77777777" w:rsidR="00051297" w:rsidRPr="00051297" w:rsidRDefault="00051297" w:rsidP="00C925D9">
            <w:pPr>
              <w:spacing w:after="240" w:line="240" w:lineRule="auto"/>
              <w:jc w:val="center"/>
              <w:rPr>
                <w:rFonts w:eastAsia="Times New Roman"/>
                <w:noProof/>
                <w:szCs w:val="24"/>
              </w:rPr>
            </w:pPr>
            <w:r w:rsidRPr="00051297">
              <w:rPr>
                <w:rFonts w:eastAsia="Times New Roman"/>
                <w:noProof/>
                <w:szCs w:val="24"/>
              </w:rPr>
              <w:t>(a)</w:t>
            </w:r>
          </w:p>
        </w:tc>
      </w:tr>
      <w:tr w:rsidR="00051297" w:rsidRPr="00051297" w14:paraId="7AC62A85" w14:textId="77777777" w:rsidTr="00D20B01">
        <w:tc>
          <w:tcPr>
            <w:tcW w:w="9638" w:type="dxa"/>
            <w:hideMark/>
          </w:tcPr>
          <w:p w14:paraId="5EABBAE9" w14:textId="62DB329D" w:rsidR="00051297" w:rsidRPr="00051297" w:rsidRDefault="00B52473" w:rsidP="00C925D9">
            <w:pPr>
              <w:spacing w:line="240" w:lineRule="auto"/>
              <w:ind w:firstLine="0"/>
              <w:jc w:val="center"/>
              <w:rPr>
                <w:rFonts w:eastAsia="Times New Roman"/>
                <w:szCs w:val="24"/>
              </w:rPr>
            </w:pPr>
            <w:r w:rsidRPr="00B52473">
              <w:rPr>
                <w:rFonts w:eastAsia="Times New Roman"/>
                <w:noProof/>
                <w:szCs w:val="24"/>
              </w:rPr>
              <w:lastRenderedPageBreak/>
              <mc:AlternateContent>
                <mc:Choice Requires="wps">
                  <w:drawing>
                    <wp:anchor distT="45720" distB="45720" distL="114300" distR="114300" simplePos="0" relativeHeight="251660288" behindDoc="0" locked="0" layoutInCell="1" allowOverlap="1" wp14:anchorId="0E319F55" wp14:editId="7F4AFD11">
                      <wp:simplePos x="0" y="0"/>
                      <wp:positionH relativeFrom="column">
                        <wp:posOffset>4112260</wp:posOffset>
                      </wp:positionH>
                      <wp:positionV relativeFrom="paragraph">
                        <wp:posOffset>1992630</wp:posOffset>
                      </wp:positionV>
                      <wp:extent cx="1586230" cy="895350"/>
                      <wp:effectExtent l="0" t="0" r="0" b="0"/>
                      <wp:wrapNone/>
                      <wp:docPr id="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230" cy="895350"/>
                              </a:xfrm>
                              <a:prstGeom prst="rect">
                                <a:avLst/>
                              </a:prstGeom>
                              <a:noFill/>
                              <a:ln w="9525">
                                <a:noFill/>
                                <a:miter lim="800000"/>
                                <a:headEnd/>
                                <a:tailEnd/>
                              </a:ln>
                            </wps:spPr>
                            <wps:txbx>
                              <w:txbxContent>
                                <w:p w14:paraId="4F911402" w14:textId="313D9061" w:rsidR="00B52473" w:rsidRPr="00B52473" w:rsidRDefault="008D406E" w:rsidP="008D406E">
                                  <w:pPr>
                                    <w:jc w:val="center"/>
                                    <w:rPr>
                                      <w:lang w:val="en-US"/>
                                    </w:rPr>
                                  </w:pPr>
                                  <w:r>
                                    <w:rPr>
                                      <w:lang w:val="en-US"/>
                                    </w:rPr>
                                    <w:t>Hypothetical region after failure: Minimum FS = 0.901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19F55" id="_x0000_s1038" type="#_x0000_t202" style="position:absolute;left:0;text-align:left;margin-left:323.8pt;margin-top:156.9pt;width:124.9pt;height:70.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" filled="f" stroked="f">
                      <v:textbox>
                        <w:txbxContent>
                          <w:p w14:paraId="4F911402" w14:textId="313D9061" w:rsidR="00B52473" w:rsidRPr="00B52473" w:rsidRDefault="008D406E" w:rsidP="008D406E">
                            <w:pPr>
                              <w:jc w:val="center"/>
                              <w:rPr>
                                <w:lang w:val="en-US"/>
                              </w:rPr>
                            </w:pPr>
                            <w:r>
                              <w:rPr>
                                <w:lang w:val="en-US"/>
                              </w:rPr>
                              <w:t>Hypothetical region after failure: Minimum FS = 0.901</w:t>
                            </w:r>
                          </w:p>
                        </w:txbxContent>
                      </v:textbox>
                    </v:shape>
                  </w:pict>
                </mc:Fallback>
              </mc:AlternateContent>
            </w:r>
            <w:r>
              <w:rPr>
                <w:rFonts w:eastAsia="Times New Roman"/>
                <w:noProof/>
                <w:szCs w:val="24"/>
              </w:rPr>
              <mc:AlternateContent>
                <mc:Choice Requires="wps">
                  <w:drawing>
                    <wp:anchor distT="0" distB="0" distL="114300" distR="114300" simplePos="0" relativeHeight="251658240" behindDoc="0" locked="0" layoutInCell="1" allowOverlap="1" wp14:anchorId="2B0F42E8" wp14:editId="7ADB6C4F">
                      <wp:simplePos x="0" y="0"/>
                      <wp:positionH relativeFrom="column">
                        <wp:posOffset>3925116</wp:posOffset>
                      </wp:positionH>
                      <wp:positionV relativeFrom="paragraph">
                        <wp:posOffset>2416084</wp:posOffset>
                      </wp:positionV>
                      <wp:extent cx="357052" cy="0"/>
                      <wp:effectExtent l="38100" t="76200" r="0" b="95250"/>
                      <wp:wrapNone/>
                      <wp:docPr id="487" name="Straight Arrow Connector 487"/>
                      <wp:cNvGraphicFramePr/>
                      <a:graphic xmlns:a="http://schemas.openxmlformats.org/drawingml/2006/main">
                        <a:graphicData uri="http://schemas.microsoft.com/office/word/2010/wordprocessingShape">
                          <wps:wsp>
                            <wps:cNvCnPr/>
                            <wps:spPr>
                              <a:xfrm flipH="1">
                                <a:off x="0" y="0"/>
                                <a:ext cx="357052"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862A313" id="Straight Arrow Connector 487" o:spid="_x0000_s1026" type="#_x0000_t32" style="position:absolute;margin-left:309.05pt;margin-top:190.25pt;width:28.1pt;height:0;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" strokecolor="red" strokeweight=".5pt">
                      <v:stroke endarrow="block" joinstyle="miter"/>
                    </v:shape>
                  </w:pict>
                </mc:Fallback>
              </mc:AlternateContent>
            </w:r>
            <w:r>
              <w:rPr>
                <w:rFonts w:eastAsia="Times New Roman"/>
                <w:noProof/>
                <w:szCs w:val="24"/>
              </w:rPr>
              <mc:AlternateContent>
                <mc:Choice Requires="wps">
                  <w:drawing>
                    <wp:anchor distT="0" distB="0" distL="114300" distR="114300" simplePos="0" relativeHeight="251657216" behindDoc="0" locked="0" layoutInCell="1" allowOverlap="1" wp14:anchorId="5F1801B2" wp14:editId="4ED70BB5">
                      <wp:simplePos x="0" y="0"/>
                      <wp:positionH relativeFrom="column">
                        <wp:posOffset>3028134</wp:posOffset>
                      </wp:positionH>
                      <wp:positionV relativeFrom="paragraph">
                        <wp:posOffset>2137410</wp:posOffset>
                      </wp:positionV>
                      <wp:extent cx="898071" cy="532221"/>
                      <wp:effectExtent l="0" t="0" r="16510" b="20320"/>
                      <wp:wrapNone/>
                      <wp:docPr id="486" name="Rectangle 486"/>
                      <wp:cNvGraphicFramePr/>
                      <a:graphic xmlns:a="http://schemas.openxmlformats.org/drawingml/2006/main">
                        <a:graphicData uri="http://schemas.microsoft.com/office/word/2010/wordprocessingShape">
                          <wps:wsp>
                            <wps:cNvSpPr/>
                            <wps:spPr>
                              <a:xfrm>
                                <a:off x="0" y="0"/>
                                <a:ext cx="898071" cy="5322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BFE3D10" id="Rectangle 486" o:spid="_x0000_s1026" style="position:absolute;margin-left:238.45pt;margin-top:168.3pt;width:70.7pt;height:41.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" filled="f" strokecolor="red" strokeweight="1pt"/>
                  </w:pict>
                </mc:Fallback>
              </mc:AlternateContent>
            </w:r>
            <w:r w:rsidR="00023A37" w:rsidRPr="00023A37">
              <w:rPr>
                <w:rFonts w:eastAsia="Times New Roman"/>
                <w:noProof/>
                <w:szCs w:val="24"/>
              </w:rPr>
              <w:drawing>
                <wp:inline distT="0" distB="0" distL="0" distR="0" wp14:anchorId="34E1C0E6" wp14:editId="451C0C22">
                  <wp:extent cx="2408830" cy="3378793"/>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08830" cy="3378793"/>
                          </a:xfrm>
                          <a:prstGeom prst="rect">
                            <a:avLst/>
                          </a:prstGeom>
                          <a:noFill/>
                          <a:ln>
                            <a:noFill/>
                          </a:ln>
                        </pic:spPr>
                      </pic:pic>
                    </a:graphicData>
                  </a:graphic>
                </wp:inline>
              </w:drawing>
            </w:r>
          </w:p>
          <w:p w14:paraId="7D2E7833" w14:textId="77777777" w:rsidR="00051297" w:rsidRPr="00051297" w:rsidRDefault="00051297" w:rsidP="00C925D9">
            <w:pPr>
              <w:keepNext/>
              <w:spacing w:after="240" w:line="240" w:lineRule="auto"/>
              <w:jc w:val="center"/>
              <w:rPr>
                <w:rFonts w:eastAsia="Times New Roman"/>
                <w:szCs w:val="24"/>
              </w:rPr>
            </w:pPr>
            <w:r w:rsidRPr="00051297">
              <w:rPr>
                <w:rFonts w:eastAsia="Times New Roman"/>
                <w:szCs w:val="24"/>
              </w:rPr>
              <w:t>(b)</w:t>
            </w:r>
          </w:p>
        </w:tc>
      </w:tr>
    </w:tbl>
    <w:p w14:paraId="1F5A2309" w14:textId="0BDC8D41" w:rsidR="00051297" w:rsidRPr="00051297" w:rsidRDefault="00051297" w:rsidP="00051297">
      <w:pPr>
        <w:ind w:firstLine="0"/>
        <w:jc w:val="center"/>
        <w:rPr>
          <w:rFonts w:cs="Times New Roman"/>
          <w:szCs w:val="24"/>
          <w:lang w:val="en-US" w:bidi="en-US"/>
        </w:rPr>
      </w:pPr>
      <w:bookmarkStart w:id="1203" w:name="_Ref98106899"/>
      <w:bookmarkStart w:id="1204" w:name="_Toc97428283"/>
      <w:bookmarkStart w:id="1205" w:name="_Toc98085958"/>
      <w:bookmarkStart w:id="1206" w:name="_Toc103544153"/>
      <w:bookmarkStart w:id="1207" w:name="_Toc104985479"/>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20</w:t>
      </w:r>
      <w:r w:rsidR="00527861">
        <w:rPr>
          <w:rFonts w:cs="Times New Roman"/>
          <w:szCs w:val="24"/>
          <w:lang w:val="en-US" w:bidi="en-US"/>
        </w:rPr>
        <w:fldChar w:fldCharType="end"/>
      </w:r>
      <w:bookmarkEnd w:id="1203"/>
      <w:r w:rsidRPr="00051297">
        <w:rPr>
          <w:lang w:val="en-US"/>
        </w:rPr>
        <w:t xml:space="preserve"> </w:t>
      </w:r>
      <w:r w:rsidRPr="00051297">
        <w:rPr>
          <w:rFonts w:cs="Times New Roman"/>
          <w:szCs w:val="24"/>
          <w:lang w:val="en-US" w:bidi="en-US"/>
        </w:rPr>
        <w:t>– Slope stability under k</w:t>
      </w:r>
      <w:r w:rsidRPr="00051297">
        <w:rPr>
          <w:rFonts w:cs="Times New Roman"/>
          <w:szCs w:val="24"/>
          <w:vertAlign w:val="subscript"/>
          <w:lang w:val="en-US" w:bidi="en-US"/>
        </w:rPr>
        <w:t>sat</w:t>
      </w:r>
      <w:r w:rsidRPr="00051297">
        <w:rPr>
          <w:rFonts w:cs="Times New Roman"/>
          <w:szCs w:val="24"/>
          <w:lang w:val="en-US" w:bidi="en-US"/>
        </w:rPr>
        <w:t>=10-7 m/s</w:t>
      </w:r>
      <w:bookmarkEnd w:id="1204"/>
      <w:bookmarkEnd w:id="1205"/>
      <w:bookmarkEnd w:id="1206"/>
      <w:r w:rsidR="00040F11">
        <w:rPr>
          <w:rFonts w:cs="Times New Roman"/>
          <w:szCs w:val="24"/>
          <w:lang w:val="en-US" w:bidi="en-US"/>
        </w:rPr>
        <w:t>; a) embankment with slip surface; b) graph of factor of safety values</w:t>
      </w:r>
      <w:bookmarkEnd w:id="1207"/>
    </w:p>
    <w:p w14:paraId="075AD47C" w14:textId="755E3212" w:rsidR="00A01314" w:rsidRDefault="00051297" w:rsidP="00051297">
      <w:pPr>
        <w:rPr>
          <w:lang w:val="en-US"/>
        </w:rPr>
      </w:pPr>
      <w:r w:rsidRPr="00051297">
        <w:rPr>
          <w:lang w:val="en-US"/>
        </w:rPr>
        <w:t>From the minimum values of factor of safety (</w:t>
      </w:r>
      <w:r w:rsidRPr="00051297">
        <w:rPr>
          <w:lang w:val="en-US"/>
        </w:rPr>
        <w:fldChar w:fldCharType="begin"/>
      </w:r>
      <w:r w:rsidRPr="00051297">
        <w:rPr>
          <w:lang w:val="en-US"/>
        </w:rPr>
        <w:instrText xml:space="preserve"> REF _Ref98106955 \h </w:instrText>
      </w:r>
      <w:r w:rsidRPr="00051297">
        <w:rPr>
          <w:lang w:val="en-US"/>
        </w:rPr>
      </w:r>
      <w:r w:rsidRPr="00051297">
        <w:rPr>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5</w:t>
      </w:r>
      <w:r w:rsidR="004870F1" w:rsidRPr="00051297">
        <w:rPr>
          <w:rFonts w:cs="Times New Roman"/>
          <w:szCs w:val="24"/>
          <w:lang w:val="en-US" w:bidi="en-US"/>
        </w:rPr>
        <w:t>.</w:t>
      </w:r>
      <w:r w:rsidR="004870F1">
        <w:rPr>
          <w:rFonts w:cs="Times New Roman"/>
          <w:noProof/>
          <w:szCs w:val="24"/>
          <w:lang w:val="en-US" w:bidi="en-US"/>
        </w:rPr>
        <w:t>3</w:t>
      </w:r>
      <w:r w:rsidRPr="00051297">
        <w:rPr>
          <w:lang w:val="en-US"/>
        </w:rPr>
        <w:fldChar w:fldCharType="end"/>
      </w:r>
      <w:r w:rsidRPr="00051297">
        <w:rPr>
          <w:lang w:val="en-US"/>
        </w:rPr>
        <w:t xml:space="preserve">), it is revealed further that, as Zone 1 becomes more impervious following the reduction of saturated hydraulic conductivity, the embankment is subjected to a potential failure. From </w:t>
      </w:r>
      <w:r w:rsidRPr="00051297">
        <w:rPr>
          <w:lang w:val="en-US"/>
        </w:rPr>
        <w:fldChar w:fldCharType="begin"/>
      </w:r>
      <w:r w:rsidRPr="00051297">
        <w:rPr>
          <w:lang w:val="en-US"/>
        </w:rPr>
        <w:instrText xml:space="preserve"> REF _Ref98106955 \h </w:instrText>
      </w:r>
      <w:r w:rsidRPr="00051297">
        <w:rPr>
          <w:lang w:val="en-US"/>
        </w:rPr>
      </w:r>
      <w:r w:rsidRPr="00051297">
        <w:rPr>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5</w:t>
      </w:r>
      <w:r w:rsidR="004870F1" w:rsidRPr="00051297">
        <w:rPr>
          <w:rFonts w:cs="Times New Roman"/>
          <w:szCs w:val="24"/>
          <w:lang w:val="en-US" w:bidi="en-US"/>
        </w:rPr>
        <w:t>.</w:t>
      </w:r>
      <w:r w:rsidR="004870F1">
        <w:rPr>
          <w:rFonts w:cs="Times New Roman"/>
          <w:noProof/>
          <w:szCs w:val="24"/>
          <w:lang w:val="en-US" w:bidi="en-US"/>
        </w:rPr>
        <w:t>3</w:t>
      </w:r>
      <w:r w:rsidRPr="00051297">
        <w:rPr>
          <w:lang w:val="en-US"/>
        </w:rPr>
        <w:fldChar w:fldCharType="end"/>
      </w:r>
      <w:r w:rsidRPr="00051297">
        <w:rPr>
          <w:lang w:val="en-US"/>
        </w:rPr>
        <w:t>, it can be observed that the lowest minimum factor of safety value of 0.901 corresponds to the 10</w:t>
      </w:r>
      <w:r w:rsidRPr="00051297">
        <w:rPr>
          <w:vertAlign w:val="superscript"/>
          <w:lang w:val="en-US"/>
        </w:rPr>
        <w:t xml:space="preserve">-7 </w:t>
      </w:r>
      <w:r w:rsidRPr="00051297">
        <w:rPr>
          <w:lang w:val="en-US"/>
        </w:rPr>
        <w:t xml:space="preserve">m/s saturated hydraulic conductivity. </w:t>
      </w:r>
    </w:p>
    <w:p w14:paraId="5FFEC757" w14:textId="3362BE52" w:rsidR="00051297" w:rsidRPr="00051297" w:rsidRDefault="00051297" w:rsidP="00051297">
      <w:pPr>
        <w:rPr>
          <w:lang w:val="en-US"/>
        </w:rPr>
      </w:pPr>
      <w:r w:rsidRPr="00051297">
        <w:rPr>
          <w:lang w:val="en-US"/>
        </w:rPr>
        <w:t xml:space="preserve">According to </w:t>
      </w:r>
      <w:r w:rsidRPr="00051297">
        <w:fldChar w:fldCharType="begin" w:fldLock="1"/>
      </w:r>
      <w:r w:rsidR="0044426E">
        <w:rPr>
          <w:lang w:val="en-US"/>
        </w:rPr>
        <w:instrText>ADDIN CSL_CITATION {"citationItems":[{"id":"ITEM-1","itemData":{"author":[{"dropping-particle":"","family":"Fleck","given":"David William","non-dropping-particle":"","parse-names":false,"suffix":""}],"id":"ITEM-1","issue":"October","issued":{"date-parts":[["2013"]]},"page":"522-624","title":"WSDOT Geotechnical Design Manual M 46-03.08. Chapter 7: Slope Stability Analysis","type":"article-journal"},"uris":["http://www.mendeley.com/documents/?uuid=256bf672-bb29-4d3b-a169-6aaa16e757de","http://www.mendeley.com/documents/?uuid=d2a51f18-35b7-4079-b6cb-cb18a8471d7f"]}],"mendeley":{"formattedCitation":"[284]","plainTextFormattedCitation":"[284]","previouslyFormattedCitation":"[284]"},"properties":{"noteIndex":0},"schema":"https://github.com/citation-style-language/schema/raw/master/csl-citation.json"}</w:instrText>
      </w:r>
      <w:r w:rsidRPr="00051297">
        <w:fldChar w:fldCharType="separate"/>
      </w:r>
      <w:r w:rsidR="00FA5896" w:rsidRPr="00FA5896">
        <w:rPr>
          <w:noProof/>
          <w:lang w:val="en-US"/>
        </w:rPr>
        <w:t>[284]</w:t>
      </w:r>
      <w:r w:rsidRPr="00051297">
        <w:fldChar w:fldCharType="end"/>
      </w:r>
      <w:r w:rsidRPr="00051297">
        <w:rPr>
          <w:lang w:val="en-US"/>
        </w:rPr>
        <w:t xml:space="preserve">, if the factor of safety is near or below 1, then severe erosion or shallow slumping is a phenomenon likely to occur. This observation shows the general potential risk of an embankment failure when the factor of safety is below 1. As a slope stability improvement approach, the application of vegetation on the slope can also be useful to reduce such a problem with the fact that the vegetation roots improve soil cohesion </w:t>
      </w:r>
      <w:r w:rsidRPr="00051297">
        <w:fldChar w:fldCharType="begin" w:fldLock="1"/>
      </w:r>
      <w:r w:rsidR="0044426E">
        <w:rPr>
          <w:lang w:val="en-US"/>
        </w:rPr>
        <w:instrText>ADDIN CSL_CITATION {"citationItems":[{"id":"ITEM-1","itemData":{"DOI":"10.1007/s11104-009-0159-y","ISSN":"0032-079X","abstract":"Slope stability models traditionally use simple indicators of root system structure and strength when vegetation is included as a factor. However, additional root system traits should be considered when managing vegetated slopes to avoid shallow substrate mass movement. Traits including root distribution, length, orientation and diameter are recognized as influencing soil fixation, but do not consider the spatial and temporal dimensions of roots within a system. Thick roots act like soil nails on slopes and the spatial position of these thick roots determines the arrangement of the associated thin roots. Thin roots act in tension during failure on slopes and if they traverse the potential shear zone, provide a major contribution in protecting against landslides. We discuss how root traits change depending on ontogeny and climate, how traits are affected by the local soil environment and the types of plastic responses expressed by the plant. How a landslide engineer can use this information when considering slope stability and management strategies is discussed, along with perspectives for future research. This review encompasses many ideas, data and concepts presented at the Second International Conference 'Ground Bio- and Eco-engineering: The Use of Vegetation to Improve Slope Stability-ICGBE2' held at Beijing, China, 14-18 July 2008. Several papers from this conference are published in this edition of Plant and Soil. © Springer Science + Business Media B.V. 2009.","author":[{"dropping-particle":"","family":"Stokes","given":"Alexia","non-dropping-particle":"","parse-names":false,"suffix":""},{"dropping-particle":"","family":"Atger","given":"Claire","non-dropping-particle":"","parse-names":false,"suffix":""},{"dropping-particle":"","family":"Bengough","given":"Anthony Glyn","non-dropping-particle":"","parse-names":false,"suffix":""},{"dropping-particle":"","family":"Fourcaud","given":"Thierry","non-dropping-particle":"","parse-names":false,"suffix":""},{"dropping-particle":"","family":"Sidle","given":"Roy C.","non-dropping-particle":"","parse-names":false,"suffix":""}],"container-title":"Plant and Soil","id":"ITEM-1","issue":"1-2","issued":{"date-parts":[["2009","11"]]},"page":"1-30","title":"Desirable plant root traits for protecting natural and engineered slopes against landslides","type":"article-journal","volume":"324"},"uris":["http://www.mendeley.com/documents/?uuid=095bac77-c0e1-47e7-9595-21c4e83cb504","http://www.mendeley.com/documents/?uuid=31adccda-25fc-40d7-9143-db8788a25c98","http://www.mendeley.com/documents/?uuid=4d888f0e-4605-4edb-b350-04d538897000"]}],"mendeley":{"formattedCitation":"[285]","plainTextFormattedCitation":"[285]","previouslyFormattedCitation":"[285]"},"properties":{"noteIndex":0},"schema":"https://github.com/citation-style-language/schema/raw/master/csl-citation.json"}</w:instrText>
      </w:r>
      <w:r w:rsidRPr="00051297">
        <w:fldChar w:fldCharType="separate"/>
      </w:r>
      <w:r w:rsidR="00FA5896" w:rsidRPr="00FA5896">
        <w:rPr>
          <w:noProof/>
          <w:lang w:val="en-US"/>
        </w:rPr>
        <w:t>[285]</w:t>
      </w:r>
      <w:r w:rsidRPr="00051297">
        <w:fldChar w:fldCharType="end"/>
      </w:r>
      <w:r w:rsidRPr="00051297">
        <w:rPr>
          <w:lang w:val="en-US"/>
        </w:rPr>
        <w:t xml:space="preserve">. In general, from </w:t>
      </w:r>
      <w:r w:rsidRPr="00051297">
        <w:rPr>
          <w:lang w:val="en-US"/>
        </w:rPr>
        <w:fldChar w:fldCharType="begin"/>
      </w:r>
      <w:r w:rsidRPr="00051297">
        <w:rPr>
          <w:lang w:val="en-US"/>
        </w:rPr>
        <w:instrText xml:space="preserve"> REF _Ref98106955 \h </w:instrText>
      </w:r>
      <w:r w:rsidRPr="00051297">
        <w:rPr>
          <w:lang w:val="en-US"/>
        </w:rPr>
      </w:r>
      <w:r w:rsidRPr="00051297">
        <w:rPr>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5</w:t>
      </w:r>
      <w:r w:rsidR="004870F1" w:rsidRPr="00051297">
        <w:rPr>
          <w:rFonts w:cs="Times New Roman"/>
          <w:szCs w:val="24"/>
          <w:lang w:val="en-US" w:bidi="en-US"/>
        </w:rPr>
        <w:t>.</w:t>
      </w:r>
      <w:r w:rsidR="004870F1">
        <w:rPr>
          <w:rFonts w:cs="Times New Roman"/>
          <w:noProof/>
          <w:szCs w:val="24"/>
          <w:lang w:val="en-US" w:bidi="en-US"/>
        </w:rPr>
        <w:t>3</w:t>
      </w:r>
      <w:r w:rsidRPr="00051297">
        <w:rPr>
          <w:lang w:val="en-US"/>
        </w:rPr>
        <w:fldChar w:fldCharType="end"/>
      </w:r>
      <w:r w:rsidRPr="00051297">
        <w:rPr>
          <w:lang w:val="en-US"/>
        </w:rPr>
        <w:t>, it can be seen that the highest minimum value of factor of safety was achieved from the 5</w:t>
      </w:r>
      <w:r w:rsidRPr="00051297">
        <w:rPr>
          <w:rFonts w:eastAsia="Times New Roman"/>
          <w:lang w:val="en-US" w:eastAsia="pl-PL"/>
        </w:rPr>
        <w:t>∙</w:t>
      </w:r>
      <w:r w:rsidRPr="00051297">
        <w:rPr>
          <w:lang w:val="en-US"/>
        </w:rPr>
        <w:t>10</w:t>
      </w:r>
      <w:r w:rsidRPr="00051297">
        <w:rPr>
          <w:vertAlign w:val="superscript"/>
          <w:lang w:val="en-US"/>
        </w:rPr>
        <w:t xml:space="preserve">-5 </w:t>
      </w:r>
      <w:r w:rsidRPr="00051297">
        <w:rPr>
          <w:lang w:val="en-US"/>
        </w:rPr>
        <w:t>m/s and reduces towards 10</w:t>
      </w:r>
      <w:r w:rsidRPr="00051297">
        <w:rPr>
          <w:vertAlign w:val="superscript"/>
          <w:lang w:val="en-US"/>
        </w:rPr>
        <w:t xml:space="preserve">-7 </w:t>
      </w:r>
      <w:r w:rsidRPr="00051297">
        <w:rPr>
          <w:lang w:val="en-US"/>
        </w:rPr>
        <w:t xml:space="preserve">m/s as the lowest hydraulic conductivity value in the list. </w:t>
      </w:r>
    </w:p>
    <w:p w14:paraId="4C3241DA" w14:textId="50C0CE9B" w:rsidR="00051297" w:rsidRPr="00051297" w:rsidRDefault="00051297" w:rsidP="00051297">
      <w:pPr>
        <w:rPr>
          <w:lang w:val="en-US"/>
        </w:rPr>
      </w:pPr>
      <w:r w:rsidRPr="00051297">
        <w:rPr>
          <w:lang w:val="en-US"/>
        </w:rPr>
        <w:t xml:space="preserve">The steady-state factor of safety values is inversely proportional to the rapid drawdown factor of safety values, as shown in </w:t>
      </w:r>
      <w:r w:rsidRPr="00051297">
        <w:rPr>
          <w:lang w:val="en-US"/>
        </w:rPr>
        <w:fldChar w:fldCharType="begin"/>
      </w:r>
      <w:r w:rsidRPr="00051297">
        <w:rPr>
          <w:lang w:val="en-US"/>
        </w:rPr>
        <w:instrText xml:space="preserve"> REF _Ref98106955 \h </w:instrText>
      </w:r>
      <w:r w:rsidRPr="00051297">
        <w:rPr>
          <w:lang w:val="en-US"/>
        </w:rPr>
      </w:r>
      <w:r w:rsidRPr="00051297">
        <w:rPr>
          <w:lang w:val="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5</w:t>
      </w:r>
      <w:r w:rsidR="004870F1" w:rsidRPr="00051297">
        <w:rPr>
          <w:rFonts w:cs="Times New Roman"/>
          <w:szCs w:val="24"/>
          <w:lang w:val="en-US" w:bidi="en-US"/>
        </w:rPr>
        <w:t>.</w:t>
      </w:r>
      <w:r w:rsidR="004870F1">
        <w:rPr>
          <w:rFonts w:cs="Times New Roman"/>
          <w:noProof/>
          <w:szCs w:val="24"/>
          <w:lang w:val="en-US" w:bidi="en-US"/>
        </w:rPr>
        <w:t>3</w:t>
      </w:r>
      <w:r w:rsidRPr="00051297">
        <w:rPr>
          <w:lang w:val="en-US"/>
        </w:rPr>
        <w:fldChar w:fldCharType="end"/>
      </w:r>
      <w:r w:rsidRPr="00051297">
        <w:rPr>
          <w:lang w:val="en-US"/>
        </w:rPr>
        <w:t>. This means that, whereas the steady-state factor of safety values increases as embankment permeability decreases, the rapid drawdown factor of safety values decreases as embankment permeability decreases. In that regard, it is worth noting that, based on the findings, it is critical to consider rapid drawdown situations during the design phase of an embankment dam in order to optimize the factor of safety values.</w:t>
      </w:r>
    </w:p>
    <w:p w14:paraId="3F151B97" w14:textId="01398B1F" w:rsidR="00051297" w:rsidRPr="00051297" w:rsidRDefault="00051297" w:rsidP="00051297">
      <w:pPr>
        <w:rPr>
          <w:rFonts w:cs="Times New Roman"/>
          <w:szCs w:val="24"/>
          <w:lang w:val="en-US" w:bidi="en-US"/>
        </w:rPr>
      </w:pPr>
      <w:bookmarkStart w:id="1208" w:name="_Ref98106955"/>
      <w:bookmarkStart w:id="1209" w:name="_Toc97077209"/>
      <w:bookmarkStart w:id="1210" w:name="_Toc103544258"/>
      <w:bookmarkStart w:id="1211" w:name="_Toc104985584"/>
      <w:r w:rsidRPr="00051297">
        <w:rPr>
          <w:rFonts w:cs="Times New Roman"/>
          <w:szCs w:val="24"/>
          <w:lang w:val="en-US" w:bidi="en-US"/>
        </w:rPr>
        <w:lastRenderedPageBreak/>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5</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3</w:t>
      </w:r>
      <w:r w:rsidRPr="00051297">
        <w:rPr>
          <w:rFonts w:cs="Times New Roman"/>
          <w:szCs w:val="24"/>
          <w:lang w:val="en-US" w:bidi="en-US"/>
        </w:rPr>
        <w:fldChar w:fldCharType="end"/>
      </w:r>
      <w:bookmarkEnd w:id="1208"/>
      <w:r w:rsidRPr="00051297">
        <w:rPr>
          <w:lang w:val="en-US"/>
        </w:rPr>
        <w:t xml:space="preserve"> </w:t>
      </w:r>
      <w:r w:rsidRPr="00051297">
        <w:rPr>
          <w:rFonts w:cs="Times New Roman"/>
          <w:szCs w:val="24"/>
          <w:lang w:val="en-US" w:bidi="en-US"/>
        </w:rPr>
        <w:t xml:space="preserve">– The minimum factor of safety </w:t>
      </w:r>
      <w:r w:rsidR="006568FB" w:rsidRPr="00051297">
        <w:rPr>
          <w:rFonts w:cs="Times New Roman"/>
          <w:szCs w:val="24"/>
          <w:lang w:val="en-US" w:bidi="en-US"/>
        </w:rPr>
        <w:t xml:space="preserve">values </w:t>
      </w:r>
      <w:r w:rsidRPr="00051297">
        <w:rPr>
          <w:rFonts w:cs="Times New Roman"/>
          <w:szCs w:val="24"/>
          <w:lang w:val="en-US" w:bidi="en-US"/>
        </w:rPr>
        <w:t>are based on the saturated hydraulic conductivity values in zone 1 under 1m per day drawdown rate</w:t>
      </w:r>
      <w:bookmarkEnd w:id="1209"/>
      <w:bookmarkEnd w:id="1210"/>
      <w:bookmarkEnd w:id="1211"/>
    </w:p>
    <w:tbl>
      <w:tblPr>
        <w:tblStyle w:val="TableGrid1"/>
        <w:tblW w:w="0" w:type="auto"/>
        <w:jc w:val="center"/>
        <w:tblInd w:w="0" w:type="dxa"/>
        <w:tblLook w:val="04A0" w:firstRow="1" w:lastRow="0" w:firstColumn="1" w:lastColumn="0" w:noHBand="0" w:noVBand="1"/>
      </w:tblPr>
      <w:tblGrid>
        <w:gridCol w:w="2245"/>
        <w:gridCol w:w="2070"/>
        <w:gridCol w:w="2070"/>
      </w:tblGrid>
      <w:tr w:rsidR="00051297" w:rsidRPr="00B167E1" w14:paraId="04DE5D77" w14:textId="77777777" w:rsidTr="00D20B01">
        <w:trPr>
          <w:trHeight w:val="180"/>
          <w:jc w:val="center"/>
        </w:trPr>
        <w:tc>
          <w:tcPr>
            <w:tcW w:w="2245" w:type="dxa"/>
            <w:noWrap/>
            <w:hideMark/>
          </w:tcPr>
          <w:p w14:paraId="27D05011" w14:textId="77777777" w:rsidR="00051297" w:rsidRPr="00051297" w:rsidRDefault="00051297" w:rsidP="00C925D9">
            <w:pPr>
              <w:ind w:firstLine="0"/>
              <w:jc w:val="center"/>
              <w:rPr>
                <w:lang w:val="en-US"/>
              </w:rPr>
            </w:pPr>
            <w:r w:rsidRPr="00051297">
              <w:rPr>
                <w:lang w:val="en-US"/>
              </w:rPr>
              <w:t>Sat. hydraulic conductivity (m/s)</w:t>
            </w:r>
          </w:p>
        </w:tc>
        <w:tc>
          <w:tcPr>
            <w:tcW w:w="2070" w:type="dxa"/>
          </w:tcPr>
          <w:p w14:paraId="7D9C5857" w14:textId="77777777" w:rsidR="00051297" w:rsidRPr="00051297" w:rsidRDefault="00051297" w:rsidP="00C925D9">
            <w:pPr>
              <w:ind w:firstLine="0"/>
              <w:jc w:val="center"/>
              <w:rPr>
                <w:lang w:val="en-US"/>
              </w:rPr>
            </w:pPr>
            <w:r w:rsidRPr="00051297">
              <w:rPr>
                <w:lang w:val="en-US"/>
              </w:rPr>
              <w:t>Steady-state factor of safety</w:t>
            </w:r>
          </w:p>
        </w:tc>
        <w:tc>
          <w:tcPr>
            <w:tcW w:w="2070" w:type="dxa"/>
            <w:noWrap/>
            <w:hideMark/>
          </w:tcPr>
          <w:p w14:paraId="71F5FC56" w14:textId="77777777" w:rsidR="00051297" w:rsidRPr="00051297" w:rsidRDefault="00051297" w:rsidP="00C925D9">
            <w:pPr>
              <w:ind w:firstLine="0"/>
              <w:jc w:val="center"/>
              <w:rPr>
                <w:lang w:val="en-US"/>
              </w:rPr>
            </w:pPr>
            <w:r w:rsidRPr="00051297">
              <w:rPr>
                <w:lang w:val="en-US"/>
              </w:rPr>
              <w:t>Minimum values of factor of safety</w:t>
            </w:r>
          </w:p>
        </w:tc>
      </w:tr>
      <w:tr w:rsidR="00051297" w:rsidRPr="00051297" w14:paraId="3C86906A" w14:textId="77777777" w:rsidTr="00D20B01">
        <w:trPr>
          <w:trHeight w:val="70"/>
          <w:jc w:val="center"/>
        </w:trPr>
        <w:tc>
          <w:tcPr>
            <w:tcW w:w="2245" w:type="dxa"/>
            <w:noWrap/>
            <w:hideMark/>
          </w:tcPr>
          <w:p w14:paraId="61B45933" w14:textId="77777777" w:rsidR="00051297" w:rsidRPr="00051297" w:rsidRDefault="00051297" w:rsidP="00C925D9">
            <w:pPr>
              <w:ind w:firstLine="0"/>
              <w:jc w:val="center"/>
              <w:rPr>
                <w:lang w:val="en-US"/>
              </w:rPr>
            </w:pPr>
            <w:r w:rsidRPr="00051297">
              <w:rPr>
                <w:lang w:val="en-US"/>
              </w:rPr>
              <w:t>5∙10</w:t>
            </w:r>
            <w:r w:rsidRPr="00051297">
              <w:rPr>
                <w:vertAlign w:val="superscript"/>
                <w:lang w:val="en-US"/>
              </w:rPr>
              <w:t>-5</w:t>
            </w:r>
          </w:p>
        </w:tc>
        <w:tc>
          <w:tcPr>
            <w:tcW w:w="2070" w:type="dxa"/>
          </w:tcPr>
          <w:p w14:paraId="5ECED17E" w14:textId="77777777" w:rsidR="00051297" w:rsidRPr="00051297" w:rsidRDefault="00051297" w:rsidP="00C925D9">
            <w:pPr>
              <w:ind w:firstLine="0"/>
              <w:jc w:val="center"/>
              <w:rPr>
                <w:lang w:val="en-US"/>
              </w:rPr>
            </w:pPr>
            <w:r w:rsidRPr="00051297">
              <w:rPr>
                <w:lang w:val="en-US"/>
              </w:rPr>
              <w:t>1.665</w:t>
            </w:r>
          </w:p>
        </w:tc>
        <w:tc>
          <w:tcPr>
            <w:tcW w:w="2070" w:type="dxa"/>
            <w:noWrap/>
            <w:hideMark/>
          </w:tcPr>
          <w:p w14:paraId="3F47B20E" w14:textId="77777777" w:rsidR="00051297" w:rsidRPr="00051297" w:rsidRDefault="00051297" w:rsidP="00C925D9">
            <w:pPr>
              <w:ind w:firstLine="0"/>
              <w:jc w:val="center"/>
              <w:rPr>
                <w:lang w:val="en-US"/>
              </w:rPr>
            </w:pPr>
            <w:r w:rsidRPr="00051297">
              <w:rPr>
                <w:lang w:val="en-US"/>
              </w:rPr>
              <w:t>1.355</w:t>
            </w:r>
          </w:p>
        </w:tc>
      </w:tr>
      <w:tr w:rsidR="00051297" w:rsidRPr="00051297" w14:paraId="2C914891" w14:textId="77777777" w:rsidTr="00D20B01">
        <w:trPr>
          <w:trHeight w:val="300"/>
          <w:jc w:val="center"/>
        </w:trPr>
        <w:tc>
          <w:tcPr>
            <w:tcW w:w="2245" w:type="dxa"/>
            <w:noWrap/>
            <w:hideMark/>
          </w:tcPr>
          <w:p w14:paraId="115EF75F" w14:textId="77777777" w:rsidR="00051297" w:rsidRPr="00051297" w:rsidRDefault="00051297" w:rsidP="00C925D9">
            <w:pPr>
              <w:ind w:firstLine="0"/>
              <w:jc w:val="center"/>
              <w:rPr>
                <w:lang w:val="en-US"/>
              </w:rPr>
            </w:pPr>
            <w:r w:rsidRPr="00051297">
              <w:rPr>
                <w:lang w:val="en-US"/>
              </w:rPr>
              <w:t>10</w:t>
            </w:r>
            <w:r w:rsidRPr="00051297">
              <w:rPr>
                <w:vertAlign w:val="superscript"/>
                <w:lang w:val="en-US"/>
              </w:rPr>
              <w:t>-5</w:t>
            </w:r>
          </w:p>
        </w:tc>
        <w:tc>
          <w:tcPr>
            <w:tcW w:w="2070" w:type="dxa"/>
          </w:tcPr>
          <w:p w14:paraId="0344A838" w14:textId="77777777" w:rsidR="00051297" w:rsidRPr="00051297" w:rsidRDefault="00051297" w:rsidP="00C925D9">
            <w:pPr>
              <w:ind w:firstLine="0"/>
              <w:jc w:val="center"/>
              <w:rPr>
                <w:lang w:val="en-US"/>
              </w:rPr>
            </w:pPr>
            <w:r w:rsidRPr="00051297">
              <w:rPr>
                <w:lang w:val="en-US"/>
              </w:rPr>
              <w:t>1.669</w:t>
            </w:r>
          </w:p>
        </w:tc>
        <w:tc>
          <w:tcPr>
            <w:tcW w:w="2070" w:type="dxa"/>
            <w:noWrap/>
            <w:hideMark/>
          </w:tcPr>
          <w:p w14:paraId="7BF6225D" w14:textId="77777777" w:rsidR="00051297" w:rsidRPr="00051297" w:rsidRDefault="00051297" w:rsidP="00C925D9">
            <w:pPr>
              <w:ind w:firstLine="0"/>
              <w:jc w:val="center"/>
              <w:rPr>
                <w:lang w:val="en-US"/>
              </w:rPr>
            </w:pPr>
            <w:r w:rsidRPr="00051297">
              <w:rPr>
                <w:lang w:val="en-US"/>
              </w:rPr>
              <w:t>1.321</w:t>
            </w:r>
          </w:p>
        </w:tc>
      </w:tr>
      <w:tr w:rsidR="00051297" w:rsidRPr="00051297" w14:paraId="67B703B0" w14:textId="77777777" w:rsidTr="00D20B01">
        <w:trPr>
          <w:trHeight w:val="300"/>
          <w:jc w:val="center"/>
        </w:trPr>
        <w:tc>
          <w:tcPr>
            <w:tcW w:w="2245" w:type="dxa"/>
            <w:noWrap/>
            <w:hideMark/>
          </w:tcPr>
          <w:p w14:paraId="5C99BA1E" w14:textId="77777777" w:rsidR="00051297" w:rsidRPr="00051297" w:rsidRDefault="00051297" w:rsidP="00C925D9">
            <w:pPr>
              <w:ind w:firstLine="0"/>
              <w:jc w:val="center"/>
              <w:rPr>
                <w:lang w:val="en-US"/>
              </w:rPr>
            </w:pPr>
            <w:r w:rsidRPr="00051297">
              <w:rPr>
                <w:lang w:val="en-US"/>
              </w:rPr>
              <w:t>5∙10</w:t>
            </w:r>
            <w:r w:rsidRPr="00051297">
              <w:rPr>
                <w:vertAlign w:val="superscript"/>
                <w:lang w:val="en-US"/>
              </w:rPr>
              <w:t>-6</w:t>
            </w:r>
          </w:p>
        </w:tc>
        <w:tc>
          <w:tcPr>
            <w:tcW w:w="2070" w:type="dxa"/>
          </w:tcPr>
          <w:p w14:paraId="1085E9C4" w14:textId="77777777" w:rsidR="00051297" w:rsidRPr="00051297" w:rsidRDefault="00051297" w:rsidP="00C925D9">
            <w:pPr>
              <w:ind w:firstLine="0"/>
              <w:jc w:val="center"/>
              <w:rPr>
                <w:lang w:val="en-US"/>
              </w:rPr>
            </w:pPr>
            <w:r w:rsidRPr="00051297">
              <w:rPr>
                <w:lang w:val="en-US"/>
              </w:rPr>
              <w:t>1.674</w:t>
            </w:r>
          </w:p>
        </w:tc>
        <w:tc>
          <w:tcPr>
            <w:tcW w:w="2070" w:type="dxa"/>
            <w:noWrap/>
            <w:hideMark/>
          </w:tcPr>
          <w:p w14:paraId="7C65C803" w14:textId="77777777" w:rsidR="00051297" w:rsidRPr="00051297" w:rsidRDefault="00051297" w:rsidP="00C925D9">
            <w:pPr>
              <w:ind w:firstLine="0"/>
              <w:jc w:val="center"/>
              <w:rPr>
                <w:lang w:val="en-US"/>
              </w:rPr>
            </w:pPr>
            <w:r w:rsidRPr="00051297">
              <w:rPr>
                <w:lang w:val="en-US"/>
              </w:rPr>
              <w:t>1.296</w:t>
            </w:r>
          </w:p>
        </w:tc>
      </w:tr>
      <w:tr w:rsidR="00051297" w:rsidRPr="00051297" w14:paraId="67C9826F" w14:textId="77777777" w:rsidTr="00D20B01">
        <w:trPr>
          <w:trHeight w:val="300"/>
          <w:jc w:val="center"/>
        </w:trPr>
        <w:tc>
          <w:tcPr>
            <w:tcW w:w="2245" w:type="dxa"/>
            <w:noWrap/>
            <w:hideMark/>
          </w:tcPr>
          <w:p w14:paraId="731566A7" w14:textId="77777777" w:rsidR="00051297" w:rsidRPr="00051297" w:rsidRDefault="00051297" w:rsidP="00C925D9">
            <w:pPr>
              <w:ind w:firstLine="0"/>
              <w:jc w:val="center"/>
              <w:rPr>
                <w:lang w:val="en-US"/>
              </w:rPr>
            </w:pPr>
            <w:r w:rsidRPr="00051297">
              <w:rPr>
                <w:lang w:val="en-US"/>
              </w:rPr>
              <w:t>10</w:t>
            </w:r>
            <w:r w:rsidRPr="00051297">
              <w:rPr>
                <w:vertAlign w:val="superscript"/>
                <w:lang w:val="en-US"/>
              </w:rPr>
              <w:t>-6</w:t>
            </w:r>
          </w:p>
        </w:tc>
        <w:tc>
          <w:tcPr>
            <w:tcW w:w="2070" w:type="dxa"/>
          </w:tcPr>
          <w:p w14:paraId="17100E34" w14:textId="77777777" w:rsidR="00051297" w:rsidRPr="00051297" w:rsidRDefault="00051297" w:rsidP="00C925D9">
            <w:pPr>
              <w:ind w:firstLine="0"/>
              <w:jc w:val="center"/>
              <w:rPr>
                <w:lang w:val="en-US"/>
              </w:rPr>
            </w:pPr>
            <w:r w:rsidRPr="00051297">
              <w:rPr>
                <w:lang w:val="en-US"/>
              </w:rPr>
              <w:t>1.716</w:t>
            </w:r>
          </w:p>
        </w:tc>
        <w:tc>
          <w:tcPr>
            <w:tcW w:w="2070" w:type="dxa"/>
            <w:noWrap/>
            <w:hideMark/>
          </w:tcPr>
          <w:p w14:paraId="5DFDAC58" w14:textId="77777777" w:rsidR="00051297" w:rsidRPr="00051297" w:rsidRDefault="00051297" w:rsidP="00C925D9">
            <w:pPr>
              <w:ind w:firstLine="0"/>
              <w:jc w:val="center"/>
              <w:rPr>
                <w:lang w:val="en-US"/>
              </w:rPr>
            </w:pPr>
            <w:r w:rsidRPr="00051297">
              <w:rPr>
                <w:lang w:val="en-US"/>
              </w:rPr>
              <w:t>1.180</w:t>
            </w:r>
          </w:p>
        </w:tc>
      </w:tr>
      <w:tr w:rsidR="00051297" w:rsidRPr="00051297" w14:paraId="4FCAFA17" w14:textId="77777777" w:rsidTr="00D20B01">
        <w:trPr>
          <w:trHeight w:val="300"/>
          <w:jc w:val="center"/>
        </w:trPr>
        <w:tc>
          <w:tcPr>
            <w:tcW w:w="2245" w:type="dxa"/>
            <w:noWrap/>
            <w:hideMark/>
          </w:tcPr>
          <w:p w14:paraId="389DCDB1" w14:textId="77777777" w:rsidR="00051297" w:rsidRPr="00051297" w:rsidRDefault="00051297" w:rsidP="00C925D9">
            <w:pPr>
              <w:ind w:firstLine="0"/>
              <w:jc w:val="center"/>
              <w:rPr>
                <w:lang w:val="en-US"/>
              </w:rPr>
            </w:pPr>
            <w:r w:rsidRPr="00051297">
              <w:rPr>
                <w:lang w:val="en-US"/>
              </w:rPr>
              <w:t>5∙10</w:t>
            </w:r>
            <w:r w:rsidRPr="00051297">
              <w:rPr>
                <w:vertAlign w:val="superscript"/>
                <w:lang w:val="en-US"/>
              </w:rPr>
              <w:t>-7</w:t>
            </w:r>
          </w:p>
        </w:tc>
        <w:tc>
          <w:tcPr>
            <w:tcW w:w="2070" w:type="dxa"/>
          </w:tcPr>
          <w:p w14:paraId="18E8D253" w14:textId="77777777" w:rsidR="00051297" w:rsidRPr="00051297" w:rsidRDefault="00051297" w:rsidP="00C925D9">
            <w:pPr>
              <w:ind w:firstLine="0"/>
              <w:jc w:val="center"/>
              <w:rPr>
                <w:lang w:val="en-US"/>
              </w:rPr>
            </w:pPr>
            <w:r w:rsidRPr="00051297">
              <w:rPr>
                <w:lang w:val="en-US"/>
              </w:rPr>
              <w:t>1.746</w:t>
            </w:r>
          </w:p>
        </w:tc>
        <w:tc>
          <w:tcPr>
            <w:tcW w:w="2070" w:type="dxa"/>
            <w:noWrap/>
            <w:hideMark/>
          </w:tcPr>
          <w:p w14:paraId="36D97785" w14:textId="77777777" w:rsidR="00051297" w:rsidRPr="00051297" w:rsidRDefault="00051297" w:rsidP="00C925D9">
            <w:pPr>
              <w:ind w:firstLine="0"/>
              <w:jc w:val="center"/>
              <w:rPr>
                <w:lang w:val="en-US"/>
              </w:rPr>
            </w:pPr>
            <w:r w:rsidRPr="00051297">
              <w:rPr>
                <w:lang w:val="en-US"/>
              </w:rPr>
              <w:t>1.108</w:t>
            </w:r>
          </w:p>
        </w:tc>
      </w:tr>
      <w:tr w:rsidR="00051297" w:rsidRPr="00051297" w14:paraId="0A512EB6" w14:textId="77777777" w:rsidTr="00D20B01">
        <w:trPr>
          <w:trHeight w:val="300"/>
          <w:jc w:val="center"/>
        </w:trPr>
        <w:tc>
          <w:tcPr>
            <w:tcW w:w="2245" w:type="dxa"/>
            <w:noWrap/>
            <w:hideMark/>
          </w:tcPr>
          <w:p w14:paraId="38E916DA" w14:textId="77777777" w:rsidR="00051297" w:rsidRPr="00051297" w:rsidRDefault="00051297" w:rsidP="00C925D9">
            <w:pPr>
              <w:ind w:firstLine="0"/>
              <w:jc w:val="center"/>
              <w:rPr>
                <w:lang w:val="en-US"/>
              </w:rPr>
            </w:pPr>
            <w:r w:rsidRPr="00051297">
              <w:rPr>
                <w:lang w:val="en-US"/>
              </w:rPr>
              <w:t>10</w:t>
            </w:r>
            <w:r w:rsidRPr="00051297">
              <w:rPr>
                <w:vertAlign w:val="superscript"/>
                <w:lang w:val="en-US"/>
              </w:rPr>
              <w:t>-7</w:t>
            </w:r>
          </w:p>
        </w:tc>
        <w:tc>
          <w:tcPr>
            <w:tcW w:w="2070" w:type="dxa"/>
          </w:tcPr>
          <w:p w14:paraId="611E8282" w14:textId="77777777" w:rsidR="00051297" w:rsidRPr="00051297" w:rsidRDefault="00051297" w:rsidP="00C925D9">
            <w:pPr>
              <w:ind w:firstLine="0"/>
              <w:jc w:val="center"/>
              <w:rPr>
                <w:lang w:val="en-US"/>
              </w:rPr>
            </w:pPr>
            <w:r w:rsidRPr="00051297">
              <w:rPr>
                <w:lang w:val="en-US"/>
              </w:rPr>
              <w:t>1.972</w:t>
            </w:r>
          </w:p>
        </w:tc>
        <w:tc>
          <w:tcPr>
            <w:tcW w:w="2070" w:type="dxa"/>
            <w:noWrap/>
            <w:hideMark/>
          </w:tcPr>
          <w:p w14:paraId="6A81A2D8" w14:textId="77777777" w:rsidR="00051297" w:rsidRPr="00051297" w:rsidRDefault="00051297" w:rsidP="00C925D9">
            <w:pPr>
              <w:ind w:firstLine="0"/>
              <w:jc w:val="center"/>
              <w:rPr>
                <w:lang w:val="en-US"/>
              </w:rPr>
            </w:pPr>
            <w:r w:rsidRPr="00051297">
              <w:rPr>
                <w:lang w:val="en-US"/>
              </w:rPr>
              <w:t>0.901</w:t>
            </w:r>
          </w:p>
        </w:tc>
      </w:tr>
    </w:tbl>
    <w:p w14:paraId="7D778A93" w14:textId="77777777" w:rsidR="00C925D9" w:rsidRDefault="00C925D9" w:rsidP="00C925D9">
      <w:pPr>
        <w:rPr>
          <w:lang w:val="en-US"/>
        </w:rPr>
      </w:pPr>
    </w:p>
    <w:p w14:paraId="40300476" w14:textId="558D6C17" w:rsidR="00051297" w:rsidRPr="00051297" w:rsidRDefault="00051297" w:rsidP="00C925D9">
      <w:pPr>
        <w:rPr>
          <w:lang w:val="en-US"/>
        </w:rPr>
      </w:pPr>
      <w:r w:rsidRPr="00051297">
        <w:rPr>
          <w:lang w:val="en-US"/>
        </w:rPr>
        <w:t xml:space="preserve">Moreover, in a real situation is almost difficult to achieve an instantaneous drawdown, but, it is always preferable to include potential worst scenarios in a slope stability analysis. </w:t>
      </w:r>
      <w:r w:rsidRPr="00051297">
        <w:rPr>
          <w:lang w:val="en-US"/>
        </w:rPr>
        <w:fldChar w:fldCharType="begin"/>
      </w:r>
      <w:r w:rsidRPr="00051297">
        <w:rPr>
          <w:lang w:val="en-US"/>
        </w:rPr>
        <w:instrText xml:space="preserve"> REF _Ref98107171 \h </w:instrText>
      </w:r>
      <w:r w:rsidRPr="00051297">
        <w:rPr>
          <w:lang w:val="en-US"/>
        </w:rPr>
      </w:r>
      <w:r w:rsidRPr="00051297">
        <w:rPr>
          <w:lang w:val="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21</w:t>
      </w:r>
      <w:r w:rsidRPr="00051297">
        <w:rPr>
          <w:lang w:val="en-US"/>
        </w:rPr>
        <w:fldChar w:fldCharType="end"/>
      </w:r>
      <w:r w:rsidRPr="00051297">
        <w:rPr>
          <w:lang w:val="en-US"/>
        </w:rPr>
        <w:t xml:space="preserve"> highlights the minimum values of factor of safety from </w:t>
      </w:r>
      <w:bookmarkStart w:id="1212" w:name="_Hlk78208442"/>
      <w:r w:rsidRPr="00051297">
        <w:rPr>
          <w:lang w:val="en-US"/>
        </w:rPr>
        <w:t>the instantaneous, 5 days and 10 days drawdown rates</w:t>
      </w:r>
      <w:bookmarkEnd w:id="1212"/>
      <w:r w:rsidRPr="00051297">
        <w:rPr>
          <w:lang w:val="en-US"/>
        </w:rPr>
        <w:t xml:space="preserve"> for the highest (</w:t>
      </w:r>
      <w:r w:rsidRPr="00051297">
        <w:rPr>
          <w:rFonts w:eastAsia="Times New Roman"/>
          <w:lang w:val="en-US" w:eastAsia="pl-PL"/>
        </w:rPr>
        <w:t>5∙10</w:t>
      </w:r>
      <w:r w:rsidRPr="00051297">
        <w:rPr>
          <w:rFonts w:eastAsia="Times New Roman"/>
          <w:vertAlign w:val="superscript"/>
          <w:lang w:val="en-US" w:eastAsia="pl-PL"/>
        </w:rPr>
        <w:t>-5</w:t>
      </w:r>
      <w:r w:rsidRPr="00051297">
        <w:rPr>
          <w:rFonts w:eastAsia="Times New Roman"/>
          <w:lang w:val="en-US" w:eastAsia="pl-PL"/>
        </w:rPr>
        <w:t xml:space="preserve"> m/s)</w:t>
      </w:r>
      <w:r w:rsidRPr="00051297">
        <w:rPr>
          <w:lang w:val="en-US"/>
        </w:rPr>
        <w:t xml:space="preserve"> and lowest (</w:t>
      </w:r>
      <w:r w:rsidRPr="00051297">
        <w:rPr>
          <w:rFonts w:eastAsia="Times New Roman"/>
          <w:lang w:val="en-US" w:eastAsia="pl-PL"/>
        </w:rPr>
        <w:t>10</w:t>
      </w:r>
      <w:r w:rsidRPr="00051297">
        <w:rPr>
          <w:rFonts w:eastAsia="Times New Roman"/>
          <w:vertAlign w:val="superscript"/>
          <w:lang w:val="en-US" w:eastAsia="pl-PL"/>
        </w:rPr>
        <w:t>-7</w:t>
      </w:r>
      <w:r w:rsidRPr="00051297">
        <w:rPr>
          <w:rFonts w:eastAsia="Times New Roman"/>
          <w:lang w:val="en-US" w:eastAsia="pl-PL"/>
        </w:rPr>
        <w:t xml:space="preserve"> m/s)</w:t>
      </w:r>
      <w:r w:rsidRPr="00051297">
        <w:rPr>
          <w:lang w:val="en-US"/>
        </w:rPr>
        <w:t xml:space="preserve"> saturated hydraulic conductivities. It can be observed that all the factor of safety values are below 1.0, revealing further that for the embankment material properties, the drawdown rate should not be below 1m per day.</w:t>
      </w:r>
    </w:p>
    <w:p w14:paraId="0D280BFF" w14:textId="77777777" w:rsidR="00051297" w:rsidRPr="00051297" w:rsidRDefault="00051297" w:rsidP="006568FB">
      <w:pPr>
        <w:keepNext/>
        <w:spacing w:after="240"/>
        <w:ind w:firstLine="0"/>
        <w:jc w:val="center"/>
        <w:rPr>
          <w:rFonts w:cs="Times New Roman"/>
          <w:szCs w:val="24"/>
        </w:rPr>
      </w:pPr>
      <w:r w:rsidRPr="00051297">
        <w:rPr>
          <w:rFonts w:eastAsia="Times New Roman" w:cs="Times New Roman"/>
          <w:noProof/>
          <w:szCs w:val="24"/>
          <w:lang w:val="pl-PL" w:eastAsia="pl-PL"/>
        </w:rPr>
        <w:drawing>
          <wp:inline distT="0" distB="0" distL="0" distR="0" wp14:anchorId="3B74148F" wp14:editId="06398957">
            <wp:extent cx="4572000" cy="3390900"/>
            <wp:effectExtent l="0" t="0" r="0" b="0"/>
            <wp:docPr id="19" name="Chart 14">
              <a:extLst xmlns:a="http://schemas.openxmlformats.org/drawingml/2006/main">
                <a:ext uri="{FF2B5EF4-FFF2-40B4-BE49-F238E27FC236}">
                  <a16:creationId xmlns:a16="http://schemas.microsoft.com/office/drawing/2014/main" id="{CD051BF3-E589-4133-8BD1-7735193AB6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5460E30B" w14:textId="29CF5E8B" w:rsidR="00051297" w:rsidRPr="00051297" w:rsidRDefault="00051297" w:rsidP="00051297">
      <w:pPr>
        <w:ind w:firstLine="0"/>
        <w:jc w:val="center"/>
        <w:rPr>
          <w:rFonts w:cs="Times New Roman"/>
          <w:szCs w:val="24"/>
          <w:lang w:val="en-US" w:bidi="en-US"/>
        </w:rPr>
      </w:pPr>
      <w:bookmarkStart w:id="1213" w:name="_Ref98107171"/>
      <w:bookmarkStart w:id="1214" w:name="_Toc97428284"/>
      <w:bookmarkStart w:id="1215" w:name="_Toc98085959"/>
      <w:bookmarkStart w:id="1216" w:name="_Toc103544154"/>
      <w:bookmarkStart w:id="1217" w:name="_Toc104985480"/>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21</w:t>
      </w:r>
      <w:r w:rsidR="00527861">
        <w:rPr>
          <w:rFonts w:cs="Times New Roman"/>
          <w:szCs w:val="24"/>
          <w:lang w:val="en-US" w:bidi="en-US"/>
        </w:rPr>
        <w:fldChar w:fldCharType="end"/>
      </w:r>
      <w:bookmarkEnd w:id="1213"/>
      <w:r w:rsidRPr="00051297">
        <w:rPr>
          <w:lang w:val="en-US"/>
        </w:rPr>
        <w:t xml:space="preserve"> </w:t>
      </w:r>
      <w:r w:rsidRPr="00051297">
        <w:rPr>
          <w:rFonts w:cs="Times New Roman"/>
          <w:szCs w:val="24"/>
          <w:lang w:val="en-US" w:bidi="en-US"/>
        </w:rPr>
        <w:t>– Minimum values of factor of safety from the instantaneous, 5 days, and 10 days drawdown rates under 5∙10</w:t>
      </w:r>
      <w:r w:rsidRPr="00051297">
        <w:rPr>
          <w:rFonts w:cs="Times New Roman"/>
          <w:szCs w:val="24"/>
          <w:vertAlign w:val="superscript"/>
          <w:lang w:val="en-US" w:bidi="en-US"/>
        </w:rPr>
        <w:t>-5</w:t>
      </w:r>
      <w:r w:rsidRPr="00051297">
        <w:rPr>
          <w:rFonts w:cs="Times New Roman"/>
          <w:szCs w:val="24"/>
          <w:lang w:val="en-US" w:bidi="en-US"/>
        </w:rPr>
        <w:t xml:space="preserve"> m/s and 10</w:t>
      </w:r>
      <w:r w:rsidRPr="00051297">
        <w:rPr>
          <w:rFonts w:cs="Times New Roman"/>
          <w:szCs w:val="24"/>
          <w:vertAlign w:val="superscript"/>
          <w:lang w:val="en-US" w:bidi="en-US"/>
        </w:rPr>
        <w:t>-7</w:t>
      </w:r>
      <w:r w:rsidRPr="00051297">
        <w:rPr>
          <w:rFonts w:cs="Times New Roman"/>
          <w:szCs w:val="24"/>
          <w:lang w:val="en-US" w:bidi="en-US"/>
        </w:rPr>
        <w:t xml:space="preserve"> m/s saturated hydraulic conductivities: FS- factor of safety</w:t>
      </w:r>
      <w:bookmarkEnd w:id="1214"/>
      <w:bookmarkEnd w:id="1215"/>
      <w:bookmarkEnd w:id="1216"/>
      <w:bookmarkEnd w:id="1217"/>
    </w:p>
    <w:p w14:paraId="23F2F9AF" w14:textId="7AD60D1C" w:rsidR="00051297" w:rsidRPr="00051297" w:rsidRDefault="00051297" w:rsidP="00C925D9">
      <w:pPr>
        <w:pStyle w:val="5"/>
        <w:rPr>
          <w:rFonts w:eastAsia="Times New Roman"/>
          <w:lang w:val="en-GB" w:eastAsia="pl-PL"/>
        </w:rPr>
      </w:pPr>
      <w:bookmarkStart w:id="1218" w:name="_Toc103544005"/>
      <w:bookmarkStart w:id="1219" w:name="_Toc104985330"/>
      <w:r w:rsidRPr="00051297">
        <w:rPr>
          <w:rFonts w:eastAsia="Times New Roman"/>
          <w:lang w:val="en-GB" w:eastAsia="pl-PL"/>
        </w:rPr>
        <w:lastRenderedPageBreak/>
        <w:t>Analysis of variance (ANOVA) under normal operating reservoir level and 1 m per day drawdown rate</w:t>
      </w:r>
      <w:bookmarkEnd w:id="1218"/>
      <w:bookmarkEnd w:id="1219"/>
    </w:p>
    <w:p w14:paraId="3B617C80" w14:textId="77777777" w:rsidR="00051297" w:rsidRPr="00051297" w:rsidRDefault="00051297" w:rsidP="00051297">
      <w:pPr>
        <w:rPr>
          <w:lang w:val="en-GB" w:eastAsia="pl-PL"/>
        </w:rPr>
      </w:pPr>
      <w:r w:rsidRPr="00051297">
        <w:rPr>
          <w:lang w:val="en-GB" w:eastAsia="pl-PL"/>
        </w:rPr>
        <w:t>The retrieved factor of safety values from the normal operating reservoir level, and different hydraulic conductivity values were subjected to the analysis of variance (ANOVA) in order to investigate the significance level of differences in the factor of safety values.</w:t>
      </w:r>
    </w:p>
    <w:p w14:paraId="25F210BF" w14:textId="3E523306" w:rsidR="00051297" w:rsidRPr="00051297" w:rsidRDefault="00051297" w:rsidP="00051297">
      <w:pPr>
        <w:rPr>
          <w:lang w:val="en-GB" w:eastAsia="pl-PL"/>
        </w:rPr>
      </w:pPr>
      <w:r w:rsidRPr="00051297">
        <w:rPr>
          <w:lang w:val="en-GB" w:eastAsia="pl-PL"/>
        </w:rPr>
        <w:fldChar w:fldCharType="begin"/>
      </w:r>
      <w:r w:rsidRPr="00051297">
        <w:rPr>
          <w:lang w:val="en-GB" w:eastAsia="pl-PL"/>
        </w:rPr>
        <w:instrText xml:space="preserve"> REF _Ref102349361 \h </w:instrText>
      </w:r>
      <w:r w:rsidRPr="00051297">
        <w:rPr>
          <w:lang w:val="en-GB" w:eastAsia="pl-PL"/>
        </w:rPr>
      </w:r>
      <w:r w:rsidRPr="00051297">
        <w:rPr>
          <w:lang w:val="en-GB" w:eastAsia="pl-PL"/>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5</w:t>
      </w:r>
      <w:r w:rsidR="004870F1" w:rsidRPr="00051297">
        <w:rPr>
          <w:rFonts w:cs="Times New Roman"/>
          <w:szCs w:val="24"/>
          <w:lang w:val="en-US" w:bidi="en-US"/>
        </w:rPr>
        <w:t>.</w:t>
      </w:r>
      <w:r w:rsidR="004870F1">
        <w:rPr>
          <w:rFonts w:cs="Times New Roman"/>
          <w:noProof/>
          <w:szCs w:val="24"/>
          <w:lang w:val="en-US" w:bidi="en-US"/>
        </w:rPr>
        <w:t>4</w:t>
      </w:r>
      <w:r w:rsidRPr="00051297">
        <w:rPr>
          <w:lang w:val="en-GB" w:eastAsia="pl-PL"/>
        </w:rPr>
        <w:fldChar w:fldCharType="end"/>
      </w:r>
      <w:r w:rsidRPr="00051297">
        <w:rPr>
          <w:lang w:val="en-GB" w:eastAsia="pl-PL"/>
        </w:rPr>
        <w:t xml:space="preserve"> presents a summary of the ANOVA results when the different hydraulic conductivity values were applied under normal operating reservoir levels and instantaneous drawdown rate. The combination of the hydraulic conductivity values, normal operating reservoir level, and instantaneous drawdown rate yielded a p-value of 4.64× 10</w:t>
      </w:r>
      <w:r w:rsidRPr="00051297">
        <w:rPr>
          <w:vertAlign w:val="superscript"/>
          <w:lang w:val="en-GB" w:eastAsia="pl-PL"/>
        </w:rPr>
        <w:t>−7</w:t>
      </w:r>
      <w:r w:rsidRPr="00051297">
        <w:rPr>
          <w:lang w:val="en-GB" w:eastAsia="pl-PL"/>
        </w:rPr>
        <w:t>. The p-value obtained was less than 0.05, indicating that the variations in factor of safety values from the combination of hydraulic conductivity values, normal operating reservoir level, and instantaneous drawdown rate were statistically significant.</w:t>
      </w:r>
    </w:p>
    <w:p w14:paraId="5279257C" w14:textId="08C09D71" w:rsidR="00051297" w:rsidRPr="00051297" w:rsidRDefault="00051297" w:rsidP="00051297">
      <w:pPr>
        <w:rPr>
          <w:rFonts w:cs="Times New Roman"/>
          <w:szCs w:val="24"/>
          <w:lang w:val="en-US" w:bidi="en-US"/>
        </w:rPr>
      </w:pPr>
      <w:bookmarkStart w:id="1220" w:name="_Ref102349361"/>
      <w:bookmarkStart w:id="1221" w:name="_Toc103544259"/>
      <w:bookmarkStart w:id="1222" w:name="_Toc104985585"/>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5</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4</w:t>
      </w:r>
      <w:r w:rsidRPr="00051297">
        <w:rPr>
          <w:rFonts w:cs="Times New Roman"/>
          <w:szCs w:val="24"/>
          <w:lang w:val="en-US" w:bidi="en-US"/>
        </w:rPr>
        <w:fldChar w:fldCharType="end"/>
      </w:r>
      <w:bookmarkEnd w:id="1220"/>
      <w:r w:rsidRPr="00051297">
        <w:rPr>
          <w:rFonts w:cs="Times New Roman"/>
          <w:szCs w:val="24"/>
          <w:lang w:val="en-US" w:bidi="en-US"/>
        </w:rPr>
        <w:t xml:space="preserve"> ANOVA results from different hydraulic conductivity values, normal operating reservoir level, and instantaneous drawdown rate.</w:t>
      </w:r>
      <w:bookmarkEnd w:id="1221"/>
      <w:bookmarkEnd w:id="1222"/>
    </w:p>
    <w:tbl>
      <w:tblPr>
        <w:tblStyle w:val="a8"/>
        <w:tblW w:w="0" w:type="auto"/>
        <w:jc w:val="center"/>
        <w:tblLook w:val="04A0" w:firstRow="1" w:lastRow="0" w:firstColumn="1" w:lastColumn="0" w:noHBand="0" w:noVBand="1"/>
      </w:tblPr>
      <w:tblGrid>
        <w:gridCol w:w="1735"/>
        <w:gridCol w:w="1116"/>
        <w:gridCol w:w="1116"/>
        <w:gridCol w:w="1116"/>
        <w:gridCol w:w="1116"/>
        <w:gridCol w:w="1356"/>
        <w:gridCol w:w="1350"/>
      </w:tblGrid>
      <w:tr w:rsidR="00051297" w:rsidRPr="00051297" w14:paraId="6D318F90" w14:textId="77777777" w:rsidTr="00D20B01">
        <w:trPr>
          <w:trHeight w:val="300"/>
          <w:jc w:val="center"/>
        </w:trPr>
        <w:tc>
          <w:tcPr>
            <w:tcW w:w="8905" w:type="dxa"/>
            <w:gridSpan w:val="7"/>
            <w:noWrap/>
            <w:hideMark/>
          </w:tcPr>
          <w:p w14:paraId="0C9FE56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 Single Factor</w:t>
            </w:r>
          </w:p>
        </w:tc>
      </w:tr>
      <w:tr w:rsidR="00051297" w:rsidRPr="00051297" w14:paraId="1C5E221E" w14:textId="77777777" w:rsidTr="00D20B01">
        <w:trPr>
          <w:trHeight w:val="315"/>
          <w:jc w:val="center"/>
        </w:trPr>
        <w:tc>
          <w:tcPr>
            <w:tcW w:w="8905" w:type="dxa"/>
            <w:gridSpan w:val="7"/>
            <w:noWrap/>
            <w:hideMark/>
          </w:tcPr>
          <w:p w14:paraId="215D890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SUMMARY</w:t>
            </w:r>
          </w:p>
        </w:tc>
      </w:tr>
      <w:tr w:rsidR="00051297" w:rsidRPr="00051297" w14:paraId="31BC49DA" w14:textId="77777777" w:rsidTr="00D20B01">
        <w:trPr>
          <w:trHeight w:val="300"/>
          <w:jc w:val="center"/>
        </w:trPr>
        <w:tc>
          <w:tcPr>
            <w:tcW w:w="1735" w:type="dxa"/>
            <w:noWrap/>
            <w:hideMark/>
          </w:tcPr>
          <w:p w14:paraId="624F8D3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Groups</w:t>
            </w:r>
          </w:p>
        </w:tc>
        <w:tc>
          <w:tcPr>
            <w:tcW w:w="1116" w:type="dxa"/>
            <w:noWrap/>
            <w:hideMark/>
          </w:tcPr>
          <w:p w14:paraId="20E8AF2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Count</w:t>
            </w:r>
          </w:p>
        </w:tc>
        <w:tc>
          <w:tcPr>
            <w:tcW w:w="1116" w:type="dxa"/>
            <w:noWrap/>
            <w:hideMark/>
          </w:tcPr>
          <w:p w14:paraId="1993310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w:t>
            </w:r>
          </w:p>
        </w:tc>
        <w:tc>
          <w:tcPr>
            <w:tcW w:w="1116" w:type="dxa"/>
            <w:noWrap/>
            <w:hideMark/>
          </w:tcPr>
          <w:p w14:paraId="3ECD6BB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Average</w:t>
            </w:r>
          </w:p>
        </w:tc>
        <w:tc>
          <w:tcPr>
            <w:tcW w:w="3822" w:type="dxa"/>
            <w:gridSpan w:val="3"/>
            <w:noWrap/>
            <w:hideMark/>
          </w:tcPr>
          <w:p w14:paraId="69A9CA2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Variance</w:t>
            </w:r>
          </w:p>
        </w:tc>
      </w:tr>
      <w:tr w:rsidR="00051297" w:rsidRPr="00051297" w14:paraId="7BE47BB6" w14:textId="77777777" w:rsidTr="00D20B01">
        <w:trPr>
          <w:trHeight w:val="300"/>
          <w:jc w:val="center"/>
        </w:trPr>
        <w:tc>
          <w:tcPr>
            <w:tcW w:w="1735" w:type="dxa"/>
            <w:noWrap/>
            <w:hideMark/>
          </w:tcPr>
          <w:p w14:paraId="1F69FF5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w:t>
            </w:r>
            <w:r w:rsidRPr="00051297">
              <w:rPr>
                <w:lang w:val="en-GB" w:eastAsia="pl-PL"/>
              </w:rPr>
              <w:t>10</w:t>
            </w:r>
            <w:r w:rsidRPr="00051297">
              <w:rPr>
                <w:vertAlign w:val="superscript"/>
                <w:lang w:val="en-GB" w:eastAsia="pl-PL"/>
              </w:rPr>
              <w:t>−5</w:t>
            </w:r>
          </w:p>
        </w:tc>
        <w:tc>
          <w:tcPr>
            <w:tcW w:w="1116" w:type="dxa"/>
            <w:noWrap/>
            <w:hideMark/>
          </w:tcPr>
          <w:p w14:paraId="4074BF6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59E0EC93" w14:textId="77777777" w:rsidR="00051297" w:rsidRPr="00051297" w:rsidRDefault="00051297" w:rsidP="00051297">
            <w:pPr>
              <w:spacing w:line="240" w:lineRule="auto"/>
              <w:ind w:firstLine="0"/>
              <w:jc w:val="center"/>
              <w:rPr>
                <w:rFonts w:cs="Times New Roman"/>
                <w:lang w:val="en-US"/>
              </w:rPr>
            </w:pPr>
            <w:r w:rsidRPr="00051297">
              <w:t>38.467</w:t>
            </w:r>
          </w:p>
        </w:tc>
        <w:tc>
          <w:tcPr>
            <w:tcW w:w="1116" w:type="dxa"/>
            <w:noWrap/>
            <w:hideMark/>
          </w:tcPr>
          <w:p w14:paraId="24E0A8C8" w14:textId="77777777" w:rsidR="00051297" w:rsidRPr="00051297" w:rsidRDefault="00051297" w:rsidP="00051297">
            <w:pPr>
              <w:spacing w:line="240" w:lineRule="auto"/>
              <w:ind w:firstLine="0"/>
              <w:jc w:val="center"/>
              <w:rPr>
                <w:rFonts w:cs="Times New Roman"/>
                <w:lang w:val="en-US"/>
              </w:rPr>
            </w:pPr>
            <w:r w:rsidRPr="00051297">
              <w:t>1.241</w:t>
            </w:r>
          </w:p>
        </w:tc>
        <w:tc>
          <w:tcPr>
            <w:tcW w:w="3822" w:type="dxa"/>
            <w:gridSpan w:val="3"/>
            <w:noWrap/>
            <w:hideMark/>
          </w:tcPr>
          <w:p w14:paraId="59B7D147" w14:textId="77777777" w:rsidR="00051297" w:rsidRPr="00051297" w:rsidRDefault="00051297" w:rsidP="00051297">
            <w:pPr>
              <w:spacing w:line="240" w:lineRule="auto"/>
              <w:ind w:firstLine="0"/>
              <w:jc w:val="center"/>
              <w:rPr>
                <w:rFonts w:cs="Times New Roman"/>
                <w:lang w:val="en-US"/>
              </w:rPr>
            </w:pPr>
            <w:r w:rsidRPr="00051297">
              <w:t>0.185</w:t>
            </w:r>
          </w:p>
        </w:tc>
      </w:tr>
      <w:tr w:rsidR="00051297" w:rsidRPr="00051297" w14:paraId="05ABE406" w14:textId="77777777" w:rsidTr="00D20B01">
        <w:trPr>
          <w:trHeight w:val="300"/>
          <w:jc w:val="center"/>
        </w:trPr>
        <w:tc>
          <w:tcPr>
            <w:tcW w:w="1735" w:type="dxa"/>
            <w:noWrap/>
            <w:hideMark/>
          </w:tcPr>
          <w:p w14:paraId="076AFD0A" w14:textId="77777777" w:rsidR="00051297" w:rsidRPr="00051297" w:rsidRDefault="00051297" w:rsidP="00051297">
            <w:pPr>
              <w:spacing w:line="240" w:lineRule="auto"/>
              <w:ind w:firstLine="0"/>
              <w:jc w:val="center"/>
              <w:rPr>
                <w:rFonts w:cs="Times New Roman"/>
                <w:lang w:val="en-US"/>
              </w:rPr>
            </w:pPr>
            <w:r w:rsidRPr="00051297">
              <w:rPr>
                <w:lang w:val="en-GB" w:eastAsia="pl-PL"/>
              </w:rPr>
              <w:t>10</w:t>
            </w:r>
            <w:r w:rsidRPr="00051297">
              <w:rPr>
                <w:vertAlign w:val="superscript"/>
                <w:lang w:val="en-GB" w:eastAsia="pl-PL"/>
              </w:rPr>
              <w:t>−5</w:t>
            </w:r>
          </w:p>
        </w:tc>
        <w:tc>
          <w:tcPr>
            <w:tcW w:w="1116" w:type="dxa"/>
            <w:noWrap/>
            <w:hideMark/>
          </w:tcPr>
          <w:p w14:paraId="2E7A2F4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20750EBD" w14:textId="77777777" w:rsidR="00051297" w:rsidRPr="00051297" w:rsidRDefault="00051297" w:rsidP="00051297">
            <w:pPr>
              <w:spacing w:line="240" w:lineRule="auto"/>
              <w:ind w:firstLine="0"/>
              <w:jc w:val="center"/>
              <w:rPr>
                <w:rFonts w:cs="Times New Roman"/>
                <w:lang w:val="en-US"/>
              </w:rPr>
            </w:pPr>
            <w:r w:rsidRPr="00051297">
              <w:t>35.430</w:t>
            </w:r>
          </w:p>
        </w:tc>
        <w:tc>
          <w:tcPr>
            <w:tcW w:w="1116" w:type="dxa"/>
            <w:noWrap/>
            <w:hideMark/>
          </w:tcPr>
          <w:p w14:paraId="45C32EDE" w14:textId="77777777" w:rsidR="00051297" w:rsidRPr="00051297" w:rsidRDefault="00051297" w:rsidP="00051297">
            <w:pPr>
              <w:spacing w:line="240" w:lineRule="auto"/>
              <w:ind w:firstLine="0"/>
              <w:jc w:val="center"/>
              <w:rPr>
                <w:rFonts w:cs="Times New Roman"/>
                <w:lang w:val="en-US"/>
              </w:rPr>
            </w:pPr>
            <w:r w:rsidRPr="00051297">
              <w:t>1.143</w:t>
            </w:r>
          </w:p>
        </w:tc>
        <w:tc>
          <w:tcPr>
            <w:tcW w:w="3822" w:type="dxa"/>
            <w:gridSpan w:val="3"/>
            <w:noWrap/>
            <w:hideMark/>
          </w:tcPr>
          <w:p w14:paraId="6BE9DC0E" w14:textId="77777777" w:rsidR="00051297" w:rsidRPr="00051297" w:rsidRDefault="00051297" w:rsidP="00051297">
            <w:pPr>
              <w:spacing w:line="240" w:lineRule="auto"/>
              <w:ind w:firstLine="0"/>
              <w:jc w:val="center"/>
              <w:rPr>
                <w:rFonts w:cs="Times New Roman"/>
                <w:lang w:val="en-US"/>
              </w:rPr>
            </w:pPr>
            <w:r w:rsidRPr="00051297">
              <w:t>0.187</w:t>
            </w:r>
          </w:p>
        </w:tc>
      </w:tr>
      <w:tr w:rsidR="00051297" w:rsidRPr="00051297" w14:paraId="740D14B0" w14:textId="77777777" w:rsidTr="00D20B01">
        <w:trPr>
          <w:trHeight w:val="300"/>
          <w:jc w:val="center"/>
        </w:trPr>
        <w:tc>
          <w:tcPr>
            <w:tcW w:w="1735" w:type="dxa"/>
            <w:noWrap/>
            <w:hideMark/>
          </w:tcPr>
          <w:p w14:paraId="2E57730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w:t>
            </w:r>
            <w:r w:rsidRPr="00051297">
              <w:rPr>
                <w:lang w:val="en-GB" w:eastAsia="pl-PL"/>
              </w:rPr>
              <w:t>10</w:t>
            </w:r>
            <w:r w:rsidRPr="00051297">
              <w:rPr>
                <w:vertAlign w:val="superscript"/>
                <w:lang w:val="en-GB" w:eastAsia="pl-PL"/>
              </w:rPr>
              <w:t>−6</w:t>
            </w:r>
          </w:p>
        </w:tc>
        <w:tc>
          <w:tcPr>
            <w:tcW w:w="1116" w:type="dxa"/>
            <w:noWrap/>
            <w:hideMark/>
          </w:tcPr>
          <w:p w14:paraId="6BE58E6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609475E8" w14:textId="77777777" w:rsidR="00051297" w:rsidRPr="00051297" w:rsidRDefault="00051297" w:rsidP="00051297">
            <w:pPr>
              <w:spacing w:line="240" w:lineRule="auto"/>
              <w:ind w:firstLine="0"/>
              <w:jc w:val="center"/>
              <w:rPr>
                <w:rFonts w:cs="Times New Roman"/>
                <w:lang w:val="en-US"/>
              </w:rPr>
            </w:pPr>
            <w:r w:rsidRPr="00051297">
              <w:t>34.370</w:t>
            </w:r>
          </w:p>
        </w:tc>
        <w:tc>
          <w:tcPr>
            <w:tcW w:w="1116" w:type="dxa"/>
            <w:noWrap/>
            <w:hideMark/>
          </w:tcPr>
          <w:p w14:paraId="3A7C2E8E" w14:textId="77777777" w:rsidR="00051297" w:rsidRPr="00051297" w:rsidRDefault="00051297" w:rsidP="00051297">
            <w:pPr>
              <w:spacing w:line="240" w:lineRule="auto"/>
              <w:ind w:firstLine="0"/>
              <w:jc w:val="center"/>
              <w:rPr>
                <w:rFonts w:cs="Times New Roman"/>
                <w:lang w:val="en-US"/>
              </w:rPr>
            </w:pPr>
            <w:r w:rsidRPr="00051297">
              <w:t>1.109</w:t>
            </w:r>
          </w:p>
        </w:tc>
        <w:tc>
          <w:tcPr>
            <w:tcW w:w="3822" w:type="dxa"/>
            <w:gridSpan w:val="3"/>
            <w:noWrap/>
            <w:hideMark/>
          </w:tcPr>
          <w:p w14:paraId="4912DF4B" w14:textId="77777777" w:rsidR="00051297" w:rsidRPr="00051297" w:rsidRDefault="00051297" w:rsidP="00051297">
            <w:pPr>
              <w:spacing w:line="240" w:lineRule="auto"/>
              <w:ind w:firstLine="0"/>
              <w:jc w:val="center"/>
              <w:rPr>
                <w:rFonts w:cs="Times New Roman"/>
                <w:lang w:val="en-US"/>
              </w:rPr>
            </w:pPr>
            <w:r w:rsidRPr="00051297">
              <w:t>0.190</w:t>
            </w:r>
          </w:p>
        </w:tc>
      </w:tr>
      <w:tr w:rsidR="00051297" w:rsidRPr="00051297" w14:paraId="2CE3A3F8" w14:textId="77777777" w:rsidTr="00D20B01">
        <w:trPr>
          <w:trHeight w:val="300"/>
          <w:jc w:val="center"/>
        </w:trPr>
        <w:tc>
          <w:tcPr>
            <w:tcW w:w="1735" w:type="dxa"/>
            <w:noWrap/>
            <w:hideMark/>
          </w:tcPr>
          <w:p w14:paraId="34DF98FA" w14:textId="77777777" w:rsidR="00051297" w:rsidRPr="00051297" w:rsidRDefault="00051297" w:rsidP="00051297">
            <w:pPr>
              <w:spacing w:line="240" w:lineRule="auto"/>
              <w:ind w:firstLine="0"/>
              <w:jc w:val="center"/>
              <w:rPr>
                <w:rFonts w:cs="Times New Roman"/>
                <w:lang w:val="en-US"/>
              </w:rPr>
            </w:pPr>
            <w:r w:rsidRPr="00051297">
              <w:rPr>
                <w:lang w:val="en-GB" w:eastAsia="pl-PL"/>
              </w:rPr>
              <w:t>10</w:t>
            </w:r>
            <w:r w:rsidRPr="00051297">
              <w:rPr>
                <w:vertAlign w:val="superscript"/>
                <w:lang w:val="en-GB" w:eastAsia="pl-PL"/>
              </w:rPr>
              <w:t>−6</w:t>
            </w:r>
          </w:p>
        </w:tc>
        <w:tc>
          <w:tcPr>
            <w:tcW w:w="1116" w:type="dxa"/>
            <w:noWrap/>
            <w:hideMark/>
          </w:tcPr>
          <w:p w14:paraId="00FC7E2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71811F2B" w14:textId="77777777" w:rsidR="00051297" w:rsidRPr="00051297" w:rsidRDefault="00051297" w:rsidP="00051297">
            <w:pPr>
              <w:spacing w:line="240" w:lineRule="auto"/>
              <w:ind w:firstLine="0"/>
              <w:jc w:val="center"/>
              <w:rPr>
                <w:rFonts w:cs="Times New Roman"/>
                <w:lang w:val="en-US"/>
              </w:rPr>
            </w:pPr>
            <w:r w:rsidRPr="00051297">
              <w:t>33.519</w:t>
            </w:r>
          </w:p>
        </w:tc>
        <w:tc>
          <w:tcPr>
            <w:tcW w:w="1116" w:type="dxa"/>
            <w:noWrap/>
            <w:hideMark/>
          </w:tcPr>
          <w:p w14:paraId="0195B5E1" w14:textId="77777777" w:rsidR="00051297" w:rsidRPr="00051297" w:rsidRDefault="00051297" w:rsidP="00051297">
            <w:pPr>
              <w:spacing w:line="240" w:lineRule="auto"/>
              <w:ind w:firstLine="0"/>
              <w:jc w:val="center"/>
              <w:rPr>
                <w:rFonts w:cs="Times New Roman"/>
                <w:lang w:val="en-US"/>
              </w:rPr>
            </w:pPr>
            <w:r w:rsidRPr="00051297">
              <w:t>1.081</w:t>
            </w:r>
          </w:p>
        </w:tc>
        <w:tc>
          <w:tcPr>
            <w:tcW w:w="3822" w:type="dxa"/>
            <w:gridSpan w:val="3"/>
            <w:noWrap/>
            <w:hideMark/>
          </w:tcPr>
          <w:p w14:paraId="676F1E20" w14:textId="77777777" w:rsidR="00051297" w:rsidRPr="00051297" w:rsidRDefault="00051297" w:rsidP="00051297">
            <w:pPr>
              <w:spacing w:line="240" w:lineRule="auto"/>
              <w:ind w:firstLine="0"/>
              <w:jc w:val="center"/>
              <w:rPr>
                <w:rFonts w:cs="Times New Roman"/>
                <w:lang w:val="en-US"/>
              </w:rPr>
            </w:pPr>
            <w:r w:rsidRPr="00051297">
              <w:t>0.095</w:t>
            </w:r>
          </w:p>
        </w:tc>
      </w:tr>
      <w:tr w:rsidR="00051297" w:rsidRPr="00051297" w14:paraId="34CEC610" w14:textId="77777777" w:rsidTr="00D20B01">
        <w:trPr>
          <w:trHeight w:val="300"/>
          <w:jc w:val="center"/>
        </w:trPr>
        <w:tc>
          <w:tcPr>
            <w:tcW w:w="1735" w:type="dxa"/>
            <w:noWrap/>
            <w:hideMark/>
          </w:tcPr>
          <w:p w14:paraId="3416271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w:t>
            </w:r>
            <w:r w:rsidRPr="00051297">
              <w:rPr>
                <w:lang w:val="en-GB" w:eastAsia="pl-PL"/>
              </w:rPr>
              <w:t>10</w:t>
            </w:r>
            <w:r w:rsidRPr="00051297">
              <w:rPr>
                <w:vertAlign w:val="superscript"/>
                <w:lang w:val="en-GB" w:eastAsia="pl-PL"/>
              </w:rPr>
              <w:t>−7</w:t>
            </w:r>
          </w:p>
        </w:tc>
        <w:tc>
          <w:tcPr>
            <w:tcW w:w="1116" w:type="dxa"/>
            <w:noWrap/>
            <w:hideMark/>
          </w:tcPr>
          <w:p w14:paraId="50E5F6C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2138A881" w14:textId="77777777" w:rsidR="00051297" w:rsidRPr="00051297" w:rsidRDefault="00051297" w:rsidP="00051297">
            <w:pPr>
              <w:spacing w:line="240" w:lineRule="auto"/>
              <w:ind w:firstLine="0"/>
              <w:jc w:val="center"/>
              <w:rPr>
                <w:rFonts w:cs="Times New Roman"/>
                <w:lang w:val="en-US"/>
              </w:rPr>
            </w:pPr>
            <w:r w:rsidRPr="00051297">
              <w:t>37.077</w:t>
            </w:r>
          </w:p>
        </w:tc>
        <w:tc>
          <w:tcPr>
            <w:tcW w:w="1116" w:type="dxa"/>
            <w:noWrap/>
            <w:hideMark/>
          </w:tcPr>
          <w:p w14:paraId="15A5148A" w14:textId="77777777" w:rsidR="00051297" w:rsidRPr="00051297" w:rsidRDefault="00051297" w:rsidP="00051297">
            <w:pPr>
              <w:spacing w:line="240" w:lineRule="auto"/>
              <w:ind w:firstLine="0"/>
              <w:jc w:val="center"/>
              <w:rPr>
                <w:rFonts w:cs="Times New Roman"/>
                <w:lang w:val="en-US"/>
              </w:rPr>
            </w:pPr>
            <w:r w:rsidRPr="00051297">
              <w:t>1.196</w:t>
            </w:r>
          </w:p>
        </w:tc>
        <w:tc>
          <w:tcPr>
            <w:tcW w:w="3822" w:type="dxa"/>
            <w:gridSpan w:val="3"/>
            <w:noWrap/>
            <w:hideMark/>
          </w:tcPr>
          <w:p w14:paraId="7911A408" w14:textId="77777777" w:rsidR="00051297" w:rsidRPr="00051297" w:rsidRDefault="00051297" w:rsidP="00051297">
            <w:pPr>
              <w:spacing w:line="240" w:lineRule="auto"/>
              <w:ind w:firstLine="0"/>
              <w:jc w:val="center"/>
              <w:rPr>
                <w:rFonts w:cs="Times New Roman"/>
                <w:lang w:val="en-US"/>
              </w:rPr>
            </w:pPr>
            <w:r w:rsidRPr="00051297">
              <w:t>0.063</w:t>
            </w:r>
          </w:p>
        </w:tc>
      </w:tr>
      <w:tr w:rsidR="00051297" w:rsidRPr="00051297" w14:paraId="249AFABA" w14:textId="77777777" w:rsidTr="00D20B01">
        <w:trPr>
          <w:trHeight w:val="315"/>
          <w:jc w:val="center"/>
        </w:trPr>
        <w:tc>
          <w:tcPr>
            <w:tcW w:w="1735" w:type="dxa"/>
            <w:noWrap/>
            <w:hideMark/>
          </w:tcPr>
          <w:p w14:paraId="7B9110BA" w14:textId="77777777" w:rsidR="00051297" w:rsidRPr="00051297" w:rsidRDefault="00051297" w:rsidP="00051297">
            <w:pPr>
              <w:spacing w:line="240" w:lineRule="auto"/>
              <w:ind w:firstLine="0"/>
              <w:jc w:val="center"/>
              <w:rPr>
                <w:rFonts w:cs="Times New Roman"/>
                <w:lang w:val="en-US"/>
              </w:rPr>
            </w:pPr>
            <w:r w:rsidRPr="00051297">
              <w:rPr>
                <w:lang w:val="en-GB" w:eastAsia="pl-PL"/>
              </w:rPr>
              <w:t>10</w:t>
            </w:r>
            <w:r w:rsidRPr="00051297">
              <w:rPr>
                <w:vertAlign w:val="superscript"/>
                <w:lang w:val="en-GB" w:eastAsia="pl-PL"/>
              </w:rPr>
              <w:t>−7</w:t>
            </w:r>
          </w:p>
        </w:tc>
        <w:tc>
          <w:tcPr>
            <w:tcW w:w="1116" w:type="dxa"/>
            <w:noWrap/>
            <w:hideMark/>
          </w:tcPr>
          <w:p w14:paraId="073BA34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15F30634" w14:textId="77777777" w:rsidR="00051297" w:rsidRPr="00051297" w:rsidRDefault="00051297" w:rsidP="00051297">
            <w:pPr>
              <w:spacing w:line="240" w:lineRule="auto"/>
              <w:ind w:firstLine="0"/>
              <w:jc w:val="center"/>
              <w:rPr>
                <w:rFonts w:cs="Times New Roman"/>
                <w:lang w:val="en-US"/>
              </w:rPr>
            </w:pPr>
            <w:r w:rsidRPr="00051297">
              <w:t>49.579</w:t>
            </w:r>
          </w:p>
        </w:tc>
        <w:tc>
          <w:tcPr>
            <w:tcW w:w="1116" w:type="dxa"/>
            <w:noWrap/>
            <w:hideMark/>
          </w:tcPr>
          <w:p w14:paraId="2741A999" w14:textId="77777777" w:rsidR="00051297" w:rsidRPr="00051297" w:rsidRDefault="00051297" w:rsidP="00051297">
            <w:pPr>
              <w:spacing w:line="240" w:lineRule="auto"/>
              <w:ind w:firstLine="0"/>
              <w:jc w:val="center"/>
              <w:rPr>
                <w:rFonts w:cs="Times New Roman"/>
                <w:lang w:val="en-US"/>
              </w:rPr>
            </w:pPr>
            <w:r w:rsidRPr="00051297">
              <w:t>1.599</w:t>
            </w:r>
          </w:p>
        </w:tc>
        <w:tc>
          <w:tcPr>
            <w:tcW w:w="3822" w:type="dxa"/>
            <w:gridSpan w:val="3"/>
            <w:noWrap/>
            <w:hideMark/>
          </w:tcPr>
          <w:p w14:paraId="1D14089C" w14:textId="77777777" w:rsidR="00051297" w:rsidRPr="00051297" w:rsidRDefault="00051297" w:rsidP="00051297">
            <w:pPr>
              <w:spacing w:line="240" w:lineRule="auto"/>
              <w:ind w:firstLine="0"/>
              <w:jc w:val="center"/>
              <w:rPr>
                <w:rFonts w:cs="Times New Roman"/>
                <w:lang w:val="en-US"/>
              </w:rPr>
            </w:pPr>
            <w:r w:rsidRPr="00051297">
              <w:t>0.099</w:t>
            </w:r>
          </w:p>
        </w:tc>
      </w:tr>
      <w:tr w:rsidR="00051297" w:rsidRPr="00051297" w14:paraId="2ECCB8CA" w14:textId="77777777" w:rsidTr="00D20B01">
        <w:trPr>
          <w:trHeight w:val="315"/>
          <w:jc w:val="center"/>
        </w:trPr>
        <w:tc>
          <w:tcPr>
            <w:tcW w:w="8905" w:type="dxa"/>
            <w:gridSpan w:val="7"/>
            <w:noWrap/>
            <w:hideMark/>
          </w:tcPr>
          <w:p w14:paraId="689171E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w:t>
            </w:r>
          </w:p>
        </w:tc>
      </w:tr>
      <w:tr w:rsidR="00051297" w:rsidRPr="00051297" w14:paraId="754D2D4E" w14:textId="77777777" w:rsidTr="00D20B01">
        <w:trPr>
          <w:trHeight w:val="300"/>
          <w:jc w:val="center"/>
        </w:trPr>
        <w:tc>
          <w:tcPr>
            <w:tcW w:w="1735" w:type="dxa"/>
            <w:noWrap/>
            <w:hideMark/>
          </w:tcPr>
          <w:p w14:paraId="7ED9E47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Source of Variation</w:t>
            </w:r>
          </w:p>
        </w:tc>
        <w:tc>
          <w:tcPr>
            <w:tcW w:w="1116" w:type="dxa"/>
            <w:noWrap/>
            <w:hideMark/>
          </w:tcPr>
          <w:p w14:paraId="081F77B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SS</w:t>
            </w:r>
          </w:p>
        </w:tc>
        <w:tc>
          <w:tcPr>
            <w:tcW w:w="1116" w:type="dxa"/>
            <w:noWrap/>
            <w:hideMark/>
          </w:tcPr>
          <w:p w14:paraId="3A4054F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df</w:t>
            </w:r>
          </w:p>
        </w:tc>
        <w:tc>
          <w:tcPr>
            <w:tcW w:w="1116" w:type="dxa"/>
            <w:noWrap/>
            <w:hideMark/>
          </w:tcPr>
          <w:p w14:paraId="5108450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MS</w:t>
            </w:r>
          </w:p>
        </w:tc>
        <w:tc>
          <w:tcPr>
            <w:tcW w:w="1116" w:type="dxa"/>
            <w:noWrap/>
            <w:hideMark/>
          </w:tcPr>
          <w:p w14:paraId="454CC0F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w:t>
            </w:r>
          </w:p>
        </w:tc>
        <w:tc>
          <w:tcPr>
            <w:tcW w:w="1356" w:type="dxa"/>
            <w:noWrap/>
            <w:hideMark/>
          </w:tcPr>
          <w:p w14:paraId="2C945A2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P-value</w:t>
            </w:r>
          </w:p>
        </w:tc>
        <w:tc>
          <w:tcPr>
            <w:tcW w:w="1350" w:type="dxa"/>
            <w:noWrap/>
            <w:hideMark/>
          </w:tcPr>
          <w:p w14:paraId="5253D63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 crit</w:t>
            </w:r>
          </w:p>
        </w:tc>
      </w:tr>
      <w:tr w:rsidR="00051297" w:rsidRPr="00051297" w14:paraId="175F5E56" w14:textId="77777777" w:rsidTr="00D20B01">
        <w:trPr>
          <w:trHeight w:val="300"/>
          <w:jc w:val="center"/>
        </w:trPr>
        <w:tc>
          <w:tcPr>
            <w:tcW w:w="1735" w:type="dxa"/>
            <w:noWrap/>
            <w:hideMark/>
          </w:tcPr>
          <w:p w14:paraId="2CCFEDD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Between Groups</w:t>
            </w:r>
          </w:p>
        </w:tc>
        <w:tc>
          <w:tcPr>
            <w:tcW w:w="1116" w:type="dxa"/>
            <w:noWrap/>
            <w:hideMark/>
          </w:tcPr>
          <w:p w14:paraId="3FE334B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5.644252</w:t>
            </w:r>
          </w:p>
        </w:tc>
        <w:tc>
          <w:tcPr>
            <w:tcW w:w="1116" w:type="dxa"/>
            <w:noWrap/>
            <w:hideMark/>
          </w:tcPr>
          <w:p w14:paraId="0A6AC08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w:t>
            </w:r>
          </w:p>
        </w:tc>
        <w:tc>
          <w:tcPr>
            <w:tcW w:w="1116" w:type="dxa"/>
            <w:noWrap/>
            <w:hideMark/>
          </w:tcPr>
          <w:p w14:paraId="3C69BA2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1.12885</w:t>
            </w:r>
          </w:p>
        </w:tc>
        <w:tc>
          <w:tcPr>
            <w:tcW w:w="1116" w:type="dxa"/>
            <w:noWrap/>
            <w:hideMark/>
          </w:tcPr>
          <w:p w14:paraId="3F17A80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8.276115</w:t>
            </w:r>
          </w:p>
        </w:tc>
        <w:tc>
          <w:tcPr>
            <w:tcW w:w="1356" w:type="dxa"/>
            <w:noWrap/>
            <w:hideMark/>
          </w:tcPr>
          <w:p w14:paraId="099645C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4.64</w:t>
            </w:r>
            <w:r w:rsidRPr="00051297">
              <w:rPr>
                <w:lang w:eastAsia="pl-PL"/>
              </w:rPr>
              <w:t>× 10</w:t>
            </w:r>
            <w:r w:rsidRPr="00051297">
              <w:rPr>
                <w:vertAlign w:val="superscript"/>
                <w:lang w:eastAsia="pl-PL"/>
              </w:rPr>
              <w:t>−7</w:t>
            </w:r>
          </w:p>
        </w:tc>
        <w:tc>
          <w:tcPr>
            <w:tcW w:w="1350" w:type="dxa"/>
            <w:noWrap/>
            <w:hideMark/>
          </w:tcPr>
          <w:p w14:paraId="64FEA07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2.26431</w:t>
            </w:r>
          </w:p>
        </w:tc>
      </w:tr>
      <w:tr w:rsidR="00051297" w:rsidRPr="00051297" w14:paraId="6D2FE284" w14:textId="77777777" w:rsidTr="00D20B01">
        <w:trPr>
          <w:trHeight w:val="300"/>
          <w:jc w:val="center"/>
        </w:trPr>
        <w:tc>
          <w:tcPr>
            <w:tcW w:w="1735" w:type="dxa"/>
            <w:noWrap/>
            <w:hideMark/>
          </w:tcPr>
          <w:p w14:paraId="40B2BFF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Within Groups</w:t>
            </w:r>
          </w:p>
        </w:tc>
        <w:tc>
          <w:tcPr>
            <w:tcW w:w="1116" w:type="dxa"/>
            <w:noWrap/>
            <w:hideMark/>
          </w:tcPr>
          <w:p w14:paraId="247A4AF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24.55175</w:t>
            </w:r>
          </w:p>
        </w:tc>
        <w:tc>
          <w:tcPr>
            <w:tcW w:w="1116" w:type="dxa"/>
            <w:noWrap/>
            <w:hideMark/>
          </w:tcPr>
          <w:p w14:paraId="029A5AA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180</w:t>
            </w:r>
          </w:p>
        </w:tc>
        <w:tc>
          <w:tcPr>
            <w:tcW w:w="1116" w:type="dxa"/>
            <w:noWrap/>
            <w:hideMark/>
          </w:tcPr>
          <w:p w14:paraId="769423E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0.136399</w:t>
            </w:r>
          </w:p>
        </w:tc>
        <w:tc>
          <w:tcPr>
            <w:tcW w:w="1116" w:type="dxa"/>
            <w:noWrap/>
            <w:hideMark/>
          </w:tcPr>
          <w:p w14:paraId="2C3295CA" w14:textId="77777777" w:rsidR="00051297" w:rsidRPr="00051297" w:rsidRDefault="00051297" w:rsidP="00051297">
            <w:pPr>
              <w:spacing w:line="240" w:lineRule="auto"/>
              <w:ind w:firstLine="0"/>
              <w:jc w:val="center"/>
              <w:rPr>
                <w:rFonts w:cs="Times New Roman"/>
                <w:lang w:val="en-US"/>
              </w:rPr>
            </w:pPr>
          </w:p>
        </w:tc>
        <w:tc>
          <w:tcPr>
            <w:tcW w:w="1356" w:type="dxa"/>
            <w:noWrap/>
            <w:hideMark/>
          </w:tcPr>
          <w:p w14:paraId="2BA91F68" w14:textId="77777777" w:rsidR="00051297" w:rsidRPr="00051297" w:rsidRDefault="00051297" w:rsidP="00051297">
            <w:pPr>
              <w:spacing w:line="240" w:lineRule="auto"/>
              <w:ind w:firstLine="0"/>
              <w:jc w:val="center"/>
              <w:rPr>
                <w:rFonts w:cs="Times New Roman"/>
                <w:lang w:val="en-US"/>
              </w:rPr>
            </w:pPr>
          </w:p>
        </w:tc>
        <w:tc>
          <w:tcPr>
            <w:tcW w:w="1350" w:type="dxa"/>
            <w:noWrap/>
            <w:hideMark/>
          </w:tcPr>
          <w:p w14:paraId="12269507" w14:textId="77777777" w:rsidR="00051297" w:rsidRPr="00051297" w:rsidRDefault="00051297" w:rsidP="00051297">
            <w:pPr>
              <w:spacing w:line="240" w:lineRule="auto"/>
              <w:ind w:firstLine="0"/>
              <w:jc w:val="center"/>
              <w:rPr>
                <w:rFonts w:cs="Times New Roman"/>
                <w:lang w:val="en-US"/>
              </w:rPr>
            </w:pPr>
          </w:p>
        </w:tc>
      </w:tr>
      <w:tr w:rsidR="00051297" w:rsidRPr="00051297" w14:paraId="26B02E8D" w14:textId="77777777" w:rsidTr="00D20B01">
        <w:trPr>
          <w:trHeight w:val="300"/>
          <w:jc w:val="center"/>
        </w:trPr>
        <w:tc>
          <w:tcPr>
            <w:tcW w:w="1735" w:type="dxa"/>
            <w:noWrap/>
            <w:hideMark/>
          </w:tcPr>
          <w:p w14:paraId="6111CBE6"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02C830C4"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55038C7E"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0431ADF3"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00EAE42D" w14:textId="77777777" w:rsidR="00051297" w:rsidRPr="00051297" w:rsidRDefault="00051297" w:rsidP="00051297">
            <w:pPr>
              <w:spacing w:line="240" w:lineRule="auto"/>
              <w:ind w:firstLine="0"/>
              <w:jc w:val="center"/>
              <w:rPr>
                <w:rFonts w:cs="Times New Roman"/>
                <w:lang w:val="en-US"/>
              </w:rPr>
            </w:pPr>
          </w:p>
        </w:tc>
        <w:tc>
          <w:tcPr>
            <w:tcW w:w="1356" w:type="dxa"/>
            <w:noWrap/>
            <w:hideMark/>
          </w:tcPr>
          <w:p w14:paraId="4E403BDB" w14:textId="77777777" w:rsidR="00051297" w:rsidRPr="00051297" w:rsidRDefault="00051297" w:rsidP="00051297">
            <w:pPr>
              <w:spacing w:line="240" w:lineRule="auto"/>
              <w:ind w:firstLine="0"/>
              <w:jc w:val="center"/>
              <w:rPr>
                <w:rFonts w:cs="Times New Roman"/>
                <w:lang w:val="en-US"/>
              </w:rPr>
            </w:pPr>
          </w:p>
        </w:tc>
        <w:tc>
          <w:tcPr>
            <w:tcW w:w="1350" w:type="dxa"/>
            <w:noWrap/>
            <w:hideMark/>
          </w:tcPr>
          <w:p w14:paraId="11453287" w14:textId="77777777" w:rsidR="00051297" w:rsidRPr="00051297" w:rsidRDefault="00051297" w:rsidP="00051297">
            <w:pPr>
              <w:spacing w:line="240" w:lineRule="auto"/>
              <w:ind w:firstLine="0"/>
              <w:jc w:val="center"/>
              <w:rPr>
                <w:rFonts w:cs="Times New Roman"/>
                <w:lang w:val="en-US"/>
              </w:rPr>
            </w:pPr>
          </w:p>
        </w:tc>
      </w:tr>
      <w:tr w:rsidR="00051297" w:rsidRPr="00051297" w14:paraId="736750A1" w14:textId="77777777" w:rsidTr="00D20B01">
        <w:trPr>
          <w:trHeight w:val="315"/>
          <w:jc w:val="center"/>
        </w:trPr>
        <w:tc>
          <w:tcPr>
            <w:tcW w:w="1735" w:type="dxa"/>
            <w:noWrap/>
            <w:hideMark/>
          </w:tcPr>
          <w:p w14:paraId="4FF691F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Total</w:t>
            </w:r>
          </w:p>
        </w:tc>
        <w:tc>
          <w:tcPr>
            <w:tcW w:w="1116" w:type="dxa"/>
            <w:noWrap/>
            <w:hideMark/>
          </w:tcPr>
          <w:p w14:paraId="414A9A2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30.196</w:t>
            </w:r>
          </w:p>
        </w:tc>
        <w:tc>
          <w:tcPr>
            <w:tcW w:w="1116" w:type="dxa"/>
            <w:noWrap/>
            <w:hideMark/>
          </w:tcPr>
          <w:p w14:paraId="6608B9C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185</w:t>
            </w:r>
          </w:p>
        </w:tc>
        <w:tc>
          <w:tcPr>
            <w:tcW w:w="1116" w:type="dxa"/>
            <w:noWrap/>
            <w:hideMark/>
          </w:tcPr>
          <w:p w14:paraId="77CD2CC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16" w:type="dxa"/>
            <w:noWrap/>
            <w:hideMark/>
          </w:tcPr>
          <w:p w14:paraId="153B2AA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356" w:type="dxa"/>
            <w:noWrap/>
            <w:hideMark/>
          </w:tcPr>
          <w:p w14:paraId="19DF2AA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350" w:type="dxa"/>
            <w:noWrap/>
            <w:hideMark/>
          </w:tcPr>
          <w:p w14:paraId="2173D2B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r>
    </w:tbl>
    <w:p w14:paraId="7A7E774A" w14:textId="77777777" w:rsidR="006568FB" w:rsidRDefault="006568FB" w:rsidP="00051297">
      <w:pPr>
        <w:rPr>
          <w:rFonts w:cs="Times New Roman"/>
          <w:szCs w:val="24"/>
          <w:lang w:val="en-US" w:bidi="en-US"/>
        </w:rPr>
      </w:pPr>
    </w:p>
    <w:p w14:paraId="5D8D1963" w14:textId="14C639A8" w:rsidR="00051297" w:rsidRPr="00051297" w:rsidRDefault="00051297" w:rsidP="00051297">
      <w:pPr>
        <w:rPr>
          <w:rFonts w:cs="Times New Roman"/>
          <w:szCs w:val="24"/>
          <w:lang w:val="en-US" w:bidi="en-US"/>
        </w:rPr>
      </w:pPr>
      <w:r w:rsidRPr="00051297">
        <w:rPr>
          <w:rFonts w:cs="Times New Roman"/>
          <w:szCs w:val="24"/>
          <w:lang w:val="en-US" w:bidi="en-US"/>
        </w:rPr>
        <w:t xml:space="preserve">The ANOVA results when the varied hydraulic conductivity values were applied under normal operating reservoir level and 5 days drawdown rate are summarized in </w:t>
      </w:r>
      <w:r w:rsidRPr="00051297">
        <w:rPr>
          <w:rFonts w:cs="Times New Roman"/>
          <w:szCs w:val="24"/>
          <w:lang w:val="en-US" w:bidi="en-US"/>
        </w:rPr>
        <w:fldChar w:fldCharType="begin"/>
      </w:r>
      <w:r w:rsidRPr="00051297">
        <w:rPr>
          <w:rFonts w:cs="Times New Roman"/>
          <w:szCs w:val="24"/>
          <w:lang w:val="en-US" w:bidi="en-US"/>
        </w:rPr>
        <w:instrText xml:space="preserve"> REF _Ref102349646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5</w:t>
      </w:r>
      <w:r w:rsidR="004870F1" w:rsidRPr="00051297">
        <w:rPr>
          <w:rFonts w:cs="Times New Roman"/>
          <w:szCs w:val="24"/>
          <w:lang w:val="en-US" w:bidi="en-US"/>
        </w:rPr>
        <w:t>.</w:t>
      </w:r>
      <w:r w:rsidR="004870F1">
        <w:rPr>
          <w:rFonts w:cs="Times New Roman"/>
          <w:noProof/>
          <w:szCs w:val="24"/>
          <w:lang w:val="en-US" w:bidi="en-US"/>
        </w:rPr>
        <w:t>5</w:t>
      </w:r>
      <w:r w:rsidRPr="00051297">
        <w:rPr>
          <w:rFonts w:cs="Times New Roman"/>
          <w:szCs w:val="24"/>
          <w:lang w:val="en-US" w:bidi="en-US"/>
        </w:rPr>
        <w:fldChar w:fldCharType="end"/>
      </w:r>
      <w:r w:rsidRPr="00051297">
        <w:rPr>
          <w:rFonts w:cs="Times New Roman"/>
          <w:szCs w:val="24"/>
          <w:lang w:val="en-US" w:bidi="en-US"/>
        </w:rPr>
        <w:t>. A p-value of 0.000302 was obtained by combining the hydraulic conductivity measurements, normal operating reservoir level, and 5 days drawdown rate. The calculated p-value was less than 0.05, showing that the differences in factor of safety values resulting from the combination of hydraulic conductivity values, normal operating reservoir level, and 5 days drawdown rate were statistically significant.</w:t>
      </w:r>
    </w:p>
    <w:p w14:paraId="0913D032" w14:textId="12989F30" w:rsidR="00051297" w:rsidRPr="00051297" w:rsidRDefault="00051297" w:rsidP="00051297">
      <w:pPr>
        <w:rPr>
          <w:rFonts w:cs="Times New Roman"/>
          <w:szCs w:val="24"/>
          <w:lang w:val="en-US" w:bidi="en-US"/>
        </w:rPr>
      </w:pPr>
      <w:bookmarkStart w:id="1223" w:name="_Ref102349646"/>
      <w:bookmarkStart w:id="1224" w:name="_Toc103544260"/>
      <w:bookmarkStart w:id="1225" w:name="_Toc104985586"/>
      <w:r w:rsidRPr="00051297">
        <w:rPr>
          <w:rFonts w:cs="Times New Roman"/>
          <w:szCs w:val="24"/>
          <w:lang w:val="en-US" w:bidi="en-US"/>
        </w:rPr>
        <w:lastRenderedPageBreak/>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5</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5</w:t>
      </w:r>
      <w:r w:rsidRPr="00051297">
        <w:rPr>
          <w:rFonts w:cs="Times New Roman"/>
          <w:szCs w:val="24"/>
          <w:lang w:val="en-US" w:bidi="en-US"/>
        </w:rPr>
        <w:fldChar w:fldCharType="end"/>
      </w:r>
      <w:bookmarkEnd w:id="1223"/>
      <w:r w:rsidRPr="00051297">
        <w:rPr>
          <w:rFonts w:cs="Times New Roman"/>
          <w:szCs w:val="24"/>
          <w:lang w:val="en-US" w:bidi="en-US"/>
        </w:rPr>
        <w:t xml:space="preserve"> ANOVA results from different hydraulic conductivity values, normal operating reservoir level, and 5 days drawdown rate.</w:t>
      </w:r>
      <w:bookmarkEnd w:id="1224"/>
      <w:bookmarkEnd w:id="1225"/>
    </w:p>
    <w:tbl>
      <w:tblPr>
        <w:tblStyle w:val="a8"/>
        <w:tblW w:w="0" w:type="auto"/>
        <w:jc w:val="center"/>
        <w:tblLook w:val="04A0" w:firstRow="1" w:lastRow="0" w:firstColumn="1" w:lastColumn="0" w:noHBand="0" w:noVBand="1"/>
      </w:tblPr>
      <w:tblGrid>
        <w:gridCol w:w="1735"/>
        <w:gridCol w:w="1116"/>
        <w:gridCol w:w="1116"/>
        <w:gridCol w:w="1116"/>
        <w:gridCol w:w="1116"/>
        <w:gridCol w:w="1116"/>
        <w:gridCol w:w="996"/>
      </w:tblGrid>
      <w:tr w:rsidR="00051297" w:rsidRPr="00051297" w14:paraId="642707FF" w14:textId="77777777" w:rsidTr="00D20B01">
        <w:trPr>
          <w:trHeight w:val="300"/>
          <w:jc w:val="center"/>
        </w:trPr>
        <w:tc>
          <w:tcPr>
            <w:tcW w:w="8311" w:type="dxa"/>
            <w:gridSpan w:val="7"/>
            <w:noWrap/>
            <w:hideMark/>
          </w:tcPr>
          <w:p w14:paraId="5826D0D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 Single Factor</w:t>
            </w:r>
          </w:p>
        </w:tc>
      </w:tr>
      <w:tr w:rsidR="00051297" w:rsidRPr="00051297" w14:paraId="3DE6BCF7" w14:textId="77777777" w:rsidTr="00D20B01">
        <w:trPr>
          <w:trHeight w:val="315"/>
          <w:jc w:val="center"/>
        </w:trPr>
        <w:tc>
          <w:tcPr>
            <w:tcW w:w="8311" w:type="dxa"/>
            <w:gridSpan w:val="7"/>
            <w:noWrap/>
            <w:hideMark/>
          </w:tcPr>
          <w:p w14:paraId="486AA27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SUMMARY</w:t>
            </w:r>
          </w:p>
        </w:tc>
      </w:tr>
      <w:tr w:rsidR="00051297" w:rsidRPr="00051297" w14:paraId="3C5B6643" w14:textId="77777777" w:rsidTr="00D20B01">
        <w:trPr>
          <w:trHeight w:val="300"/>
          <w:jc w:val="center"/>
        </w:trPr>
        <w:tc>
          <w:tcPr>
            <w:tcW w:w="1735" w:type="dxa"/>
            <w:noWrap/>
            <w:hideMark/>
          </w:tcPr>
          <w:p w14:paraId="57EC297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Groups</w:t>
            </w:r>
          </w:p>
        </w:tc>
        <w:tc>
          <w:tcPr>
            <w:tcW w:w="1116" w:type="dxa"/>
            <w:noWrap/>
            <w:hideMark/>
          </w:tcPr>
          <w:p w14:paraId="1A00B7D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Count</w:t>
            </w:r>
          </w:p>
        </w:tc>
        <w:tc>
          <w:tcPr>
            <w:tcW w:w="1116" w:type="dxa"/>
            <w:noWrap/>
            <w:hideMark/>
          </w:tcPr>
          <w:p w14:paraId="2899909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w:t>
            </w:r>
          </w:p>
        </w:tc>
        <w:tc>
          <w:tcPr>
            <w:tcW w:w="1116" w:type="dxa"/>
            <w:noWrap/>
            <w:hideMark/>
          </w:tcPr>
          <w:p w14:paraId="264DCB4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Average</w:t>
            </w:r>
          </w:p>
        </w:tc>
        <w:tc>
          <w:tcPr>
            <w:tcW w:w="3228" w:type="dxa"/>
            <w:gridSpan w:val="3"/>
            <w:noWrap/>
            <w:hideMark/>
          </w:tcPr>
          <w:p w14:paraId="117B258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Variance</w:t>
            </w:r>
          </w:p>
        </w:tc>
      </w:tr>
      <w:tr w:rsidR="00051297" w:rsidRPr="00051297" w14:paraId="2FBFFA23" w14:textId="77777777" w:rsidTr="00D20B01">
        <w:trPr>
          <w:trHeight w:val="300"/>
          <w:jc w:val="center"/>
        </w:trPr>
        <w:tc>
          <w:tcPr>
            <w:tcW w:w="1735" w:type="dxa"/>
            <w:noWrap/>
            <w:hideMark/>
          </w:tcPr>
          <w:p w14:paraId="196EF75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w:t>
            </w:r>
            <w:r w:rsidRPr="00051297">
              <w:rPr>
                <w:lang w:val="en-GB" w:eastAsia="pl-PL"/>
              </w:rPr>
              <w:t>10</w:t>
            </w:r>
            <w:r w:rsidRPr="00051297">
              <w:rPr>
                <w:vertAlign w:val="superscript"/>
                <w:lang w:val="en-GB" w:eastAsia="pl-PL"/>
              </w:rPr>
              <w:t>−5</w:t>
            </w:r>
          </w:p>
        </w:tc>
        <w:tc>
          <w:tcPr>
            <w:tcW w:w="1116" w:type="dxa"/>
            <w:noWrap/>
            <w:hideMark/>
          </w:tcPr>
          <w:p w14:paraId="5113F77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06093373" w14:textId="77777777" w:rsidR="00051297" w:rsidRPr="00051297" w:rsidRDefault="00051297" w:rsidP="00051297">
            <w:pPr>
              <w:spacing w:line="240" w:lineRule="auto"/>
              <w:ind w:firstLine="0"/>
              <w:jc w:val="center"/>
              <w:rPr>
                <w:rFonts w:cs="Times New Roman"/>
                <w:lang w:val="en-US"/>
              </w:rPr>
            </w:pPr>
            <w:r w:rsidRPr="00051297">
              <w:t>40.076</w:t>
            </w:r>
          </w:p>
        </w:tc>
        <w:tc>
          <w:tcPr>
            <w:tcW w:w="1116" w:type="dxa"/>
            <w:noWrap/>
            <w:hideMark/>
          </w:tcPr>
          <w:p w14:paraId="2A07847E" w14:textId="77777777" w:rsidR="00051297" w:rsidRPr="00051297" w:rsidRDefault="00051297" w:rsidP="00051297">
            <w:pPr>
              <w:spacing w:line="240" w:lineRule="auto"/>
              <w:ind w:firstLine="0"/>
              <w:jc w:val="center"/>
              <w:rPr>
                <w:rFonts w:cs="Times New Roman"/>
                <w:lang w:val="en-US"/>
              </w:rPr>
            </w:pPr>
            <w:r w:rsidRPr="00051297">
              <w:t>1.293</w:t>
            </w:r>
          </w:p>
        </w:tc>
        <w:tc>
          <w:tcPr>
            <w:tcW w:w="3228" w:type="dxa"/>
            <w:gridSpan w:val="3"/>
            <w:noWrap/>
            <w:hideMark/>
          </w:tcPr>
          <w:p w14:paraId="7D7294B6" w14:textId="77777777" w:rsidR="00051297" w:rsidRPr="00051297" w:rsidRDefault="00051297" w:rsidP="00051297">
            <w:pPr>
              <w:spacing w:line="240" w:lineRule="auto"/>
              <w:ind w:firstLine="0"/>
              <w:jc w:val="center"/>
              <w:rPr>
                <w:rFonts w:cs="Times New Roman"/>
                <w:lang w:val="en-US"/>
              </w:rPr>
            </w:pPr>
            <w:r w:rsidRPr="00051297">
              <w:t>0.193</w:t>
            </w:r>
          </w:p>
        </w:tc>
      </w:tr>
      <w:tr w:rsidR="00051297" w:rsidRPr="00051297" w14:paraId="080D6C48" w14:textId="77777777" w:rsidTr="00D20B01">
        <w:trPr>
          <w:trHeight w:val="300"/>
          <w:jc w:val="center"/>
        </w:trPr>
        <w:tc>
          <w:tcPr>
            <w:tcW w:w="1735" w:type="dxa"/>
            <w:noWrap/>
            <w:hideMark/>
          </w:tcPr>
          <w:p w14:paraId="72EBD978" w14:textId="77777777" w:rsidR="00051297" w:rsidRPr="00051297" w:rsidRDefault="00051297" w:rsidP="00051297">
            <w:pPr>
              <w:spacing w:line="240" w:lineRule="auto"/>
              <w:ind w:firstLine="0"/>
              <w:jc w:val="center"/>
              <w:rPr>
                <w:rFonts w:cs="Times New Roman"/>
                <w:lang w:val="en-US"/>
              </w:rPr>
            </w:pPr>
            <w:r w:rsidRPr="00051297">
              <w:rPr>
                <w:lang w:val="en-GB" w:eastAsia="pl-PL"/>
              </w:rPr>
              <w:t>10</w:t>
            </w:r>
            <w:r w:rsidRPr="00051297">
              <w:rPr>
                <w:vertAlign w:val="superscript"/>
                <w:lang w:val="en-GB" w:eastAsia="pl-PL"/>
              </w:rPr>
              <w:t>−5</w:t>
            </w:r>
          </w:p>
        </w:tc>
        <w:tc>
          <w:tcPr>
            <w:tcW w:w="1116" w:type="dxa"/>
            <w:noWrap/>
            <w:hideMark/>
          </w:tcPr>
          <w:p w14:paraId="5D02B8B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4C763D72" w14:textId="77777777" w:rsidR="00051297" w:rsidRPr="00051297" w:rsidRDefault="00051297" w:rsidP="00051297">
            <w:pPr>
              <w:spacing w:line="240" w:lineRule="auto"/>
              <w:ind w:firstLine="0"/>
              <w:jc w:val="center"/>
              <w:rPr>
                <w:rFonts w:cs="Times New Roman"/>
                <w:lang w:val="en-US"/>
              </w:rPr>
            </w:pPr>
            <w:r w:rsidRPr="00051297">
              <w:t>37.327</w:t>
            </w:r>
          </w:p>
        </w:tc>
        <w:tc>
          <w:tcPr>
            <w:tcW w:w="1116" w:type="dxa"/>
            <w:noWrap/>
            <w:hideMark/>
          </w:tcPr>
          <w:p w14:paraId="6F2011E2" w14:textId="77777777" w:rsidR="00051297" w:rsidRPr="00051297" w:rsidRDefault="00051297" w:rsidP="00051297">
            <w:pPr>
              <w:spacing w:line="240" w:lineRule="auto"/>
              <w:ind w:firstLine="0"/>
              <w:jc w:val="center"/>
              <w:rPr>
                <w:rFonts w:cs="Times New Roman"/>
                <w:lang w:val="en-US"/>
              </w:rPr>
            </w:pPr>
            <w:r w:rsidRPr="00051297">
              <w:t>1.204</w:t>
            </w:r>
          </w:p>
        </w:tc>
        <w:tc>
          <w:tcPr>
            <w:tcW w:w="3228" w:type="dxa"/>
            <w:gridSpan w:val="3"/>
            <w:noWrap/>
            <w:hideMark/>
          </w:tcPr>
          <w:p w14:paraId="3C5AF247" w14:textId="77777777" w:rsidR="00051297" w:rsidRPr="00051297" w:rsidRDefault="00051297" w:rsidP="00051297">
            <w:pPr>
              <w:spacing w:line="240" w:lineRule="auto"/>
              <w:ind w:firstLine="0"/>
              <w:jc w:val="center"/>
              <w:rPr>
                <w:rFonts w:cs="Times New Roman"/>
                <w:lang w:val="en-US"/>
              </w:rPr>
            </w:pPr>
            <w:r w:rsidRPr="00051297">
              <w:t>0.203</w:t>
            </w:r>
          </w:p>
        </w:tc>
      </w:tr>
      <w:tr w:rsidR="00051297" w:rsidRPr="00051297" w14:paraId="178650A5" w14:textId="77777777" w:rsidTr="00D20B01">
        <w:trPr>
          <w:trHeight w:val="300"/>
          <w:jc w:val="center"/>
        </w:trPr>
        <w:tc>
          <w:tcPr>
            <w:tcW w:w="1735" w:type="dxa"/>
            <w:noWrap/>
            <w:hideMark/>
          </w:tcPr>
          <w:p w14:paraId="05FFBB8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w:t>
            </w:r>
            <w:r w:rsidRPr="00051297">
              <w:rPr>
                <w:lang w:val="en-GB" w:eastAsia="pl-PL"/>
              </w:rPr>
              <w:t>10</w:t>
            </w:r>
            <w:r w:rsidRPr="00051297">
              <w:rPr>
                <w:vertAlign w:val="superscript"/>
                <w:lang w:val="en-GB" w:eastAsia="pl-PL"/>
              </w:rPr>
              <w:t>−6</w:t>
            </w:r>
          </w:p>
        </w:tc>
        <w:tc>
          <w:tcPr>
            <w:tcW w:w="1116" w:type="dxa"/>
            <w:noWrap/>
            <w:hideMark/>
          </w:tcPr>
          <w:p w14:paraId="3EC92A4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46683E56" w14:textId="77777777" w:rsidR="00051297" w:rsidRPr="00051297" w:rsidRDefault="00051297" w:rsidP="00051297">
            <w:pPr>
              <w:spacing w:line="240" w:lineRule="auto"/>
              <w:ind w:firstLine="0"/>
              <w:jc w:val="center"/>
              <w:rPr>
                <w:rFonts w:cs="Times New Roman"/>
                <w:lang w:val="en-US"/>
              </w:rPr>
            </w:pPr>
            <w:r w:rsidRPr="00051297">
              <w:t>36.347</w:t>
            </w:r>
          </w:p>
        </w:tc>
        <w:tc>
          <w:tcPr>
            <w:tcW w:w="1116" w:type="dxa"/>
            <w:noWrap/>
            <w:hideMark/>
          </w:tcPr>
          <w:p w14:paraId="282C40D6" w14:textId="77777777" w:rsidR="00051297" w:rsidRPr="00051297" w:rsidRDefault="00051297" w:rsidP="00051297">
            <w:pPr>
              <w:spacing w:line="240" w:lineRule="auto"/>
              <w:ind w:firstLine="0"/>
              <w:jc w:val="center"/>
              <w:rPr>
                <w:rFonts w:cs="Times New Roman"/>
                <w:lang w:val="en-US"/>
              </w:rPr>
            </w:pPr>
            <w:r w:rsidRPr="00051297">
              <w:t>1.172</w:t>
            </w:r>
          </w:p>
        </w:tc>
        <w:tc>
          <w:tcPr>
            <w:tcW w:w="3228" w:type="dxa"/>
            <w:gridSpan w:val="3"/>
            <w:noWrap/>
            <w:hideMark/>
          </w:tcPr>
          <w:p w14:paraId="44C0122E" w14:textId="77777777" w:rsidR="00051297" w:rsidRPr="00051297" w:rsidRDefault="00051297" w:rsidP="00051297">
            <w:pPr>
              <w:spacing w:line="240" w:lineRule="auto"/>
              <w:ind w:firstLine="0"/>
              <w:jc w:val="center"/>
              <w:rPr>
                <w:rFonts w:cs="Times New Roman"/>
                <w:lang w:val="en-US"/>
              </w:rPr>
            </w:pPr>
            <w:r w:rsidRPr="00051297">
              <w:t>0.209</w:t>
            </w:r>
          </w:p>
        </w:tc>
      </w:tr>
      <w:tr w:rsidR="00051297" w:rsidRPr="00051297" w14:paraId="0CE4CA2A" w14:textId="77777777" w:rsidTr="00D20B01">
        <w:trPr>
          <w:trHeight w:val="300"/>
          <w:jc w:val="center"/>
        </w:trPr>
        <w:tc>
          <w:tcPr>
            <w:tcW w:w="1735" w:type="dxa"/>
            <w:noWrap/>
            <w:hideMark/>
          </w:tcPr>
          <w:p w14:paraId="16D08CEE" w14:textId="77777777" w:rsidR="00051297" w:rsidRPr="00051297" w:rsidRDefault="00051297" w:rsidP="00051297">
            <w:pPr>
              <w:spacing w:line="240" w:lineRule="auto"/>
              <w:ind w:firstLine="0"/>
              <w:jc w:val="center"/>
              <w:rPr>
                <w:rFonts w:cs="Times New Roman"/>
                <w:lang w:val="en-US"/>
              </w:rPr>
            </w:pPr>
            <w:r w:rsidRPr="00051297">
              <w:rPr>
                <w:lang w:val="en-GB" w:eastAsia="pl-PL"/>
              </w:rPr>
              <w:t>10</w:t>
            </w:r>
            <w:r w:rsidRPr="00051297">
              <w:rPr>
                <w:vertAlign w:val="superscript"/>
                <w:lang w:val="en-GB" w:eastAsia="pl-PL"/>
              </w:rPr>
              <w:t>−6</w:t>
            </w:r>
          </w:p>
        </w:tc>
        <w:tc>
          <w:tcPr>
            <w:tcW w:w="1116" w:type="dxa"/>
            <w:noWrap/>
            <w:hideMark/>
          </w:tcPr>
          <w:p w14:paraId="59BB48C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00E3A442" w14:textId="77777777" w:rsidR="00051297" w:rsidRPr="00051297" w:rsidRDefault="00051297" w:rsidP="00051297">
            <w:pPr>
              <w:spacing w:line="240" w:lineRule="auto"/>
              <w:ind w:firstLine="0"/>
              <w:jc w:val="center"/>
              <w:rPr>
                <w:rFonts w:cs="Times New Roman"/>
                <w:lang w:val="en-US"/>
              </w:rPr>
            </w:pPr>
            <w:r w:rsidRPr="00051297">
              <w:t>33.324</w:t>
            </w:r>
          </w:p>
        </w:tc>
        <w:tc>
          <w:tcPr>
            <w:tcW w:w="1116" w:type="dxa"/>
            <w:noWrap/>
            <w:hideMark/>
          </w:tcPr>
          <w:p w14:paraId="382120AA" w14:textId="77777777" w:rsidR="00051297" w:rsidRPr="00051297" w:rsidRDefault="00051297" w:rsidP="00051297">
            <w:pPr>
              <w:spacing w:line="240" w:lineRule="auto"/>
              <w:ind w:firstLine="0"/>
              <w:jc w:val="center"/>
              <w:rPr>
                <w:rFonts w:cs="Times New Roman"/>
                <w:lang w:val="en-US"/>
              </w:rPr>
            </w:pPr>
            <w:r w:rsidRPr="00051297">
              <w:t>1.075</w:t>
            </w:r>
          </w:p>
        </w:tc>
        <w:tc>
          <w:tcPr>
            <w:tcW w:w="3228" w:type="dxa"/>
            <w:gridSpan w:val="3"/>
            <w:noWrap/>
            <w:hideMark/>
          </w:tcPr>
          <w:p w14:paraId="69EEE56F" w14:textId="77777777" w:rsidR="00051297" w:rsidRPr="00051297" w:rsidRDefault="00051297" w:rsidP="00051297">
            <w:pPr>
              <w:spacing w:line="240" w:lineRule="auto"/>
              <w:ind w:firstLine="0"/>
              <w:jc w:val="center"/>
              <w:rPr>
                <w:rFonts w:cs="Times New Roman"/>
                <w:lang w:val="en-US"/>
              </w:rPr>
            </w:pPr>
            <w:r w:rsidRPr="00051297">
              <w:t>0.069</w:t>
            </w:r>
          </w:p>
        </w:tc>
      </w:tr>
      <w:tr w:rsidR="00051297" w:rsidRPr="00051297" w14:paraId="3D7FE54A" w14:textId="77777777" w:rsidTr="00D20B01">
        <w:trPr>
          <w:trHeight w:val="300"/>
          <w:jc w:val="center"/>
        </w:trPr>
        <w:tc>
          <w:tcPr>
            <w:tcW w:w="1735" w:type="dxa"/>
            <w:noWrap/>
            <w:hideMark/>
          </w:tcPr>
          <w:p w14:paraId="402C63E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w:t>
            </w:r>
            <w:r w:rsidRPr="00051297">
              <w:rPr>
                <w:lang w:val="en-GB" w:eastAsia="pl-PL"/>
              </w:rPr>
              <w:t>10</w:t>
            </w:r>
            <w:r w:rsidRPr="00051297">
              <w:rPr>
                <w:vertAlign w:val="superscript"/>
                <w:lang w:val="en-GB" w:eastAsia="pl-PL"/>
              </w:rPr>
              <w:t>−7</w:t>
            </w:r>
          </w:p>
        </w:tc>
        <w:tc>
          <w:tcPr>
            <w:tcW w:w="1116" w:type="dxa"/>
            <w:noWrap/>
            <w:hideMark/>
          </w:tcPr>
          <w:p w14:paraId="0200988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6BE8ABE4" w14:textId="77777777" w:rsidR="00051297" w:rsidRPr="00051297" w:rsidRDefault="00051297" w:rsidP="00051297">
            <w:pPr>
              <w:spacing w:line="240" w:lineRule="auto"/>
              <w:ind w:firstLine="0"/>
              <w:jc w:val="center"/>
              <w:rPr>
                <w:rFonts w:cs="Times New Roman"/>
                <w:lang w:val="en-US"/>
              </w:rPr>
            </w:pPr>
            <w:r w:rsidRPr="00051297">
              <w:t>27.289</w:t>
            </w:r>
          </w:p>
        </w:tc>
        <w:tc>
          <w:tcPr>
            <w:tcW w:w="1116" w:type="dxa"/>
            <w:noWrap/>
            <w:hideMark/>
          </w:tcPr>
          <w:p w14:paraId="581727CA" w14:textId="77777777" w:rsidR="00051297" w:rsidRPr="00051297" w:rsidRDefault="00051297" w:rsidP="00051297">
            <w:pPr>
              <w:spacing w:line="240" w:lineRule="auto"/>
              <w:ind w:firstLine="0"/>
              <w:jc w:val="center"/>
              <w:rPr>
                <w:rFonts w:cs="Times New Roman"/>
                <w:lang w:val="en-US"/>
              </w:rPr>
            </w:pPr>
            <w:r w:rsidRPr="00051297">
              <w:t>0.880</w:t>
            </w:r>
          </w:p>
        </w:tc>
        <w:tc>
          <w:tcPr>
            <w:tcW w:w="3228" w:type="dxa"/>
            <w:gridSpan w:val="3"/>
            <w:noWrap/>
            <w:hideMark/>
          </w:tcPr>
          <w:p w14:paraId="0B5E58C3" w14:textId="77777777" w:rsidR="00051297" w:rsidRPr="00051297" w:rsidRDefault="00051297" w:rsidP="00051297">
            <w:pPr>
              <w:spacing w:line="240" w:lineRule="auto"/>
              <w:ind w:firstLine="0"/>
              <w:jc w:val="center"/>
              <w:rPr>
                <w:rFonts w:cs="Times New Roman"/>
                <w:lang w:val="en-US"/>
              </w:rPr>
            </w:pPr>
            <w:r w:rsidRPr="00051297">
              <w:t>0.087</w:t>
            </w:r>
          </w:p>
        </w:tc>
      </w:tr>
      <w:tr w:rsidR="00051297" w:rsidRPr="00051297" w14:paraId="078D86A6" w14:textId="77777777" w:rsidTr="00D20B01">
        <w:trPr>
          <w:trHeight w:val="315"/>
          <w:jc w:val="center"/>
        </w:trPr>
        <w:tc>
          <w:tcPr>
            <w:tcW w:w="1735" w:type="dxa"/>
            <w:noWrap/>
            <w:hideMark/>
          </w:tcPr>
          <w:p w14:paraId="6E8C276A" w14:textId="77777777" w:rsidR="00051297" w:rsidRPr="00051297" w:rsidRDefault="00051297" w:rsidP="00051297">
            <w:pPr>
              <w:spacing w:line="240" w:lineRule="auto"/>
              <w:ind w:firstLine="0"/>
              <w:jc w:val="center"/>
              <w:rPr>
                <w:rFonts w:cs="Times New Roman"/>
                <w:lang w:val="en-US"/>
              </w:rPr>
            </w:pPr>
            <w:r w:rsidRPr="00051297">
              <w:rPr>
                <w:lang w:val="en-GB" w:eastAsia="pl-PL"/>
              </w:rPr>
              <w:t>10</w:t>
            </w:r>
            <w:r w:rsidRPr="00051297">
              <w:rPr>
                <w:vertAlign w:val="superscript"/>
                <w:lang w:val="en-GB" w:eastAsia="pl-PL"/>
              </w:rPr>
              <w:t>−7</w:t>
            </w:r>
          </w:p>
        </w:tc>
        <w:tc>
          <w:tcPr>
            <w:tcW w:w="1116" w:type="dxa"/>
            <w:noWrap/>
            <w:hideMark/>
          </w:tcPr>
          <w:p w14:paraId="11D0FE0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19AF0BF8" w14:textId="77777777" w:rsidR="00051297" w:rsidRPr="00051297" w:rsidRDefault="00051297" w:rsidP="00051297">
            <w:pPr>
              <w:spacing w:line="240" w:lineRule="auto"/>
              <w:ind w:firstLine="0"/>
              <w:jc w:val="center"/>
              <w:rPr>
                <w:rFonts w:cs="Times New Roman"/>
                <w:lang w:val="en-US"/>
              </w:rPr>
            </w:pPr>
            <w:r w:rsidRPr="00051297">
              <w:t>30.063</w:t>
            </w:r>
          </w:p>
        </w:tc>
        <w:tc>
          <w:tcPr>
            <w:tcW w:w="1116" w:type="dxa"/>
            <w:noWrap/>
            <w:hideMark/>
          </w:tcPr>
          <w:p w14:paraId="6B6AFB5D" w14:textId="77777777" w:rsidR="00051297" w:rsidRPr="00051297" w:rsidRDefault="00051297" w:rsidP="00051297">
            <w:pPr>
              <w:spacing w:line="240" w:lineRule="auto"/>
              <w:ind w:firstLine="0"/>
              <w:jc w:val="center"/>
              <w:rPr>
                <w:rFonts w:cs="Times New Roman"/>
                <w:lang w:val="en-US"/>
              </w:rPr>
            </w:pPr>
            <w:r w:rsidRPr="00051297">
              <w:t>0.970</w:t>
            </w:r>
          </w:p>
        </w:tc>
        <w:tc>
          <w:tcPr>
            <w:tcW w:w="3228" w:type="dxa"/>
            <w:gridSpan w:val="3"/>
            <w:noWrap/>
            <w:hideMark/>
          </w:tcPr>
          <w:p w14:paraId="023A0990" w14:textId="77777777" w:rsidR="00051297" w:rsidRPr="00051297" w:rsidRDefault="00051297" w:rsidP="00051297">
            <w:pPr>
              <w:spacing w:line="240" w:lineRule="auto"/>
              <w:ind w:firstLine="0"/>
              <w:jc w:val="center"/>
              <w:rPr>
                <w:rFonts w:cs="Times New Roman"/>
                <w:lang w:val="en-US"/>
              </w:rPr>
            </w:pPr>
            <w:r w:rsidRPr="00051297">
              <w:t>0.140</w:t>
            </w:r>
          </w:p>
        </w:tc>
      </w:tr>
      <w:tr w:rsidR="00051297" w:rsidRPr="00051297" w14:paraId="6F11656F" w14:textId="77777777" w:rsidTr="00D20B01">
        <w:trPr>
          <w:trHeight w:val="315"/>
          <w:jc w:val="center"/>
        </w:trPr>
        <w:tc>
          <w:tcPr>
            <w:tcW w:w="8311" w:type="dxa"/>
            <w:gridSpan w:val="7"/>
            <w:noWrap/>
            <w:hideMark/>
          </w:tcPr>
          <w:p w14:paraId="5B733DA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w:t>
            </w:r>
          </w:p>
        </w:tc>
      </w:tr>
      <w:tr w:rsidR="00051297" w:rsidRPr="00051297" w14:paraId="651E1BB3" w14:textId="77777777" w:rsidTr="00D20B01">
        <w:trPr>
          <w:trHeight w:val="300"/>
          <w:jc w:val="center"/>
        </w:trPr>
        <w:tc>
          <w:tcPr>
            <w:tcW w:w="1735" w:type="dxa"/>
            <w:noWrap/>
            <w:hideMark/>
          </w:tcPr>
          <w:p w14:paraId="096D373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Source of Variation</w:t>
            </w:r>
          </w:p>
        </w:tc>
        <w:tc>
          <w:tcPr>
            <w:tcW w:w="1116" w:type="dxa"/>
            <w:noWrap/>
            <w:hideMark/>
          </w:tcPr>
          <w:p w14:paraId="3DEBA4A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SS</w:t>
            </w:r>
          </w:p>
        </w:tc>
        <w:tc>
          <w:tcPr>
            <w:tcW w:w="1116" w:type="dxa"/>
            <w:noWrap/>
            <w:hideMark/>
          </w:tcPr>
          <w:p w14:paraId="1419521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df</w:t>
            </w:r>
          </w:p>
        </w:tc>
        <w:tc>
          <w:tcPr>
            <w:tcW w:w="1116" w:type="dxa"/>
            <w:noWrap/>
            <w:hideMark/>
          </w:tcPr>
          <w:p w14:paraId="2A6E527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MS</w:t>
            </w:r>
          </w:p>
        </w:tc>
        <w:tc>
          <w:tcPr>
            <w:tcW w:w="1116" w:type="dxa"/>
            <w:noWrap/>
            <w:hideMark/>
          </w:tcPr>
          <w:p w14:paraId="655F1FA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w:t>
            </w:r>
          </w:p>
        </w:tc>
        <w:tc>
          <w:tcPr>
            <w:tcW w:w="1116" w:type="dxa"/>
            <w:noWrap/>
            <w:hideMark/>
          </w:tcPr>
          <w:p w14:paraId="0D4D79B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P-value</w:t>
            </w:r>
          </w:p>
        </w:tc>
        <w:tc>
          <w:tcPr>
            <w:tcW w:w="996" w:type="dxa"/>
            <w:noWrap/>
            <w:hideMark/>
          </w:tcPr>
          <w:p w14:paraId="704368F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 crit</w:t>
            </w:r>
          </w:p>
        </w:tc>
      </w:tr>
      <w:tr w:rsidR="00051297" w:rsidRPr="00051297" w14:paraId="4F22163D" w14:textId="77777777" w:rsidTr="00D20B01">
        <w:trPr>
          <w:trHeight w:val="300"/>
          <w:jc w:val="center"/>
        </w:trPr>
        <w:tc>
          <w:tcPr>
            <w:tcW w:w="1735" w:type="dxa"/>
            <w:noWrap/>
            <w:hideMark/>
          </w:tcPr>
          <w:p w14:paraId="4F1991B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Between Groups</w:t>
            </w:r>
          </w:p>
        </w:tc>
        <w:tc>
          <w:tcPr>
            <w:tcW w:w="1116" w:type="dxa"/>
            <w:noWrap/>
            <w:hideMark/>
          </w:tcPr>
          <w:p w14:paraId="22F91F8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3.692272</w:t>
            </w:r>
          </w:p>
        </w:tc>
        <w:tc>
          <w:tcPr>
            <w:tcW w:w="1116" w:type="dxa"/>
            <w:noWrap/>
            <w:hideMark/>
          </w:tcPr>
          <w:p w14:paraId="4A3C7C4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w:t>
            </w:r>
          </w:p>
        </w:tc>
        <w:tc>
          <w:tcPr>
            <w:tcW w:w="1116" w:type="dxa"/>
            <w:noWrap/>
            <w:hideMark/>
          </w:tcPr>
          <w:p w14:paraId="0D77922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0.738454</w:t>
            </w:r>
          </w:p>
        </w:tc>
        <w:tc>
          <w:tcPr>
            <w:tcW w:w="1116" w:type="dxa"/>
            <w:noWrap/>
            <w:hideMark/>
          </w:tcPr>
          <w:p w14:paraId="3F2E68B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4.920757</w:t>
            </w:r>
          </w:p>
        </w:tc>
        <w:tc>
          <w:tcPr>
            <w:tcW w:w="1116" w:type="dxa"/>
            <w:noWrap/>
            <w:hideMark/>
          </w:tcPr>
          <w:p w14:paraId="7272FA3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0.000302</w:t>
            </w:r>
          </w:p>
        </w:tc>
        <w:tc>
          <w:tcPr>
            <w:tcW w:w="996" w:type="dxa"/>
            <w:noWrap/>
            <w:hideMark/>
          </w:tcPr>
          <w:p w14:paraId="3FF5AE0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2.26431</w:t>
            </w:r>
          </w:p>
        </w:tc>
      </w:tr>
      <w:tr w:rsidR="00051297" w:rsidRPr="00051297" w14:paraId="794FB193" w14:textId="77777777" w:rsidTr="00D20B01">
        <w:trPr>
          <w:trHeight w:val="300"/>
          <w:jc w:val="center"/>
        </w:trPr>
        <w:tc>
          <w:tcPr>
            <w:tcW w:w="1735" w:type="dxa"/>
            <w:noWrap/>
            <w:hideMark/>
          </w:tcPr>
          <w:p w14:paraId="69BBF7E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Within Groups</w:t>
            </w:r>
          </w:p>
        </w:tc>
        <w:tc>
          <w:tcPr>
            <w:tcW w:w="1116" w:type="dxa"/>
            <w:noWrap/>
            <w:hideMark/>
          </w:tcPr>
          <w:p w14:paraId="6B2144C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27.01247</w:t>
            </w:r>
          </w:p>
        </w:tc>
        <w:tc>
          <w:tcPr>
            <w:tcW w:w="1116" w:type="dxa"/>
            <w:noWrap/>
            <w:hideMark/>
          </w:tcPr>
          <w:p w14:paraId="7658A8E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180</w:t>
            </w:r>
          </w:p>
        </w:tc>
        <w:tc>
          <w:tcPr>
            <w:tcW w:w="1116" w:type="dxa"/>
            <w:noWrap/>
            <w:hideMark/>
          </w:tcPr>
          <w:p w14:paraId="4253EC9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0.150069</w:t>
            </w:r>
          </w:p>
        </w:tc>
        <w:tc>
          <w:tcPr>
            <w:tcW w:w="1116" w:type="dxa"/>
            <w:noWrap/>
            <w:hideMark/>
          </w:tcPr>
          <w:p w14:paraId="28A88539"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640B94CD" w14:textId="77777777" w:rsidR="00051297" w:rsidRPr="00051297" w:rsidRDefault="00051297" w:rsidP="00051297">
            <w:pPr>
              <w:spacing w:line="240" w:lineRule="auto"/>
              <w:ind w:firstLine="0"/>
              <w:jc w:val="center"/>
              <w:rPr>
                <w:rFonts w:cs="Times New Roman"/>
                <w:lang w:val="en-US"/>
              </w:rPr>
            </w:pPr>
          </w:p>
        </w:tc>
        <w:tc>
          <w:tcPr>
            <w:tcW w:w="996" w:type="dxa"/>
            <w:noWrap/>
            <w:hideMark/>
          </w:tcPr>
          <w:p w14:paraId="2B58660C" w14:textId="77777777" w:rsidR="00051297" w:rsidRPr="00051297" w:rsidRDefault="00051297" w:rsidP="00051297">
            <w:pPr>
              <w:spacing w:line="240" w:lineRule="auto"/>
              <w:ind w:firstLine="0"/>
              <w:jc w:val="center"/>
              <w:rPr>
                <w:rFonts w:cs="Times New Roman"/>
                <w:lang w:val="en-US"/>
              </w:rPr>
            </w:pPr>
          </w:p>
        </w:tc>
      </w:tr>
      <w:tr w:rsidR="00051297" w:rsidRPr="00051297" w14:paraId="6F0BCD97" w14:textId="77777777" w:rsidTr="00D20B01">
        <w:trPr>
          <w:trHeight w:val="300"/>
          <w:jc w:val="center"/>
        </w:trPr>
        <w:tc>
          <w:tcPr>
            <w:tcW w:w="1735" w:type="dxa"/>
            <w:noWrap/>
            <w:hideMark/>
          </w:tcPr>
          <w:p w14:paraId="015C3EBB"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4ADF35D1"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7020815E"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2A0FF4C7"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412E330F"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2469AC34" w14:textId="77777777" w:rsidR="00051297" w:rsidRPr="00051297" w:rsidRDefault="00051297" w:rsidP="00051297">
            <w:pPr>
              <w:spacing w:line="240" w:lineRule="auto"/>
              <w:ind w:firstLine="0"/>
              <w:jc w:val="center"/>
              <w:rPr>
                <w:rFonts w:cs="Times New Roman"/>
                <w:lang w:val="en-US"/>
              </w:rPr>
            </w:pPr>
          </w:p>
        </w:tc>
        <w:tc>
          <w:tcPr>
            <w:tcW w:w="996" w:type="dxa"/>
            <w:noWrap/>
            <w:hideMark/>
          </w:tcPr>
          <w:p w14:paraId="050013FF" w14:textId="77777777" w:rsidR="00051297" w:rsidRPr="00051297" w:rsidRDefault="00051297" w:rsidP="00051297">
            <w:pPr>
              <w:spacing w:line="240" w:lineRule="auto"/>
              <w:ind w:firstLine="0"/>
              <w:jc w:val="center"/>
              <w:rPr>
                <w:rFonts w:cs="Times New Roman"/>
                <w:lang w:val="en-US"/>
              </w:rPr>
            </w:pPr>
          </w:p>
        </w:tc>
      </w:tr>
      <w:tr w:rsidR="00051297" w:rsidRPr="00051297" w14:paraId="75054F51" w14:textId="77777777" w:rsidTr="00D20B01">
        <w:trPr>
          <w:trHeight w:val="315"/>
          <w:jc w:val="center"/>
        </w:trPr>
        <w:tc>
          <w:tcPr>
            <w:tcW w:w="1735" w:type="dxa"/>
            <w:noWrap/>
            <w:hideMark/>
          </w:tcPr>
          <w:p w14:paraId="32DAFD4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Total</w:t>
            </w:r>
          </w:p>
        </w:tc>
        <w:tc>
          <w:tcPr>
            <w:tcW w:w="1116" w:type="dxa"/>
            <w:noWrap/>
            <w:hideMark/>
          </w:tcPr>
          <w:p w14:paraId="1633B4D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30.70474</w:t>
            </w:r>
          </w:p>
        </w:tc>
        <w:tc>
          <w:tcPr>
            <w:tcW w:w="1116" w:type="dxa"/>
            <w:noWrap/>
            <w:hideMark/>
          </w:tcPr>
          <w:p w14:paraId="58AE1F8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185</w:t>
            </w:r>
          </w:p>
        </w:tc>
        <w:tc>
          <w:tcPr>
            <w:tcW w:w="1116" w:type="dxa"/>
            <w:noWrap/>
            <w:hideMark/>
          </w:tcPr>
          <w:p w14:paraId="2AFB91E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16" w:type="dxa"/>
            <w:noWrap/>
            <w:hideMark/>
          </w:tcPr>
          <w:p w14:paraId="1019E07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16" w:type="dxa"/>
            <w:noWrap/>
            <w:hideMark/>
          </w:tcPr>
          <w:p w14:paraId="4BC4943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996" w:type="dxa"/>
            <w:noWrap/>
            <w:hideMark/>
          </w:tcPr>
          <w:p w14:paraId="4F75CB4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r>
    </w:tbl>
    <w:p w14:paraId="58130AAE" w14:textId="77777777" w:rsidR="00C925D9" w:rsidRDefault="00C925D9" w:rsidP="00051297">
      <w:pPr>
        <w:rPr>
          <w:rFonts w:cs="Times New Roman"/>
          <w:szCs w:val="24"/>
          <w:lang w:val="en-US" w:bidi="en-US"/>
        </w:rPr>
      </w:pPr>
    </w:p>
    <w:p w14:paraId="67C0CA6A" w14:textId="2E801586" w:rsidR="00051297" w:rsidRPr="00051297" w:rsidRDefault="00051297" w:rsidP="00051297">
      <w:pPr>
        <w:rPr>
          <w:rFonts w:cs="Times New Roman"/>
          <w:szCs w:val="24"/>
          <w:lang w:val="en-US" w:bidi="en-US"/>
        </w:rPr>
      </w:pPr>
      <w:r w:rsidRPr="00051297">
        <w:rPr>
          <w:rFonts w:cs="Times New Roman"/>
          <w:szCs w:val="24"/>
          <w:lang w:val="en-US" w:bidi="en-US"/>
        </w:rPr>
        <w:fldChar w:fldCharType="begin"/>
      </w:r>
      <w:r w:rsidRPr="00051297">
        <w:rPr>
          <w:rFonts w:cs="Times New Roman"/>
          <w:szCs w:val="24"/>
          <w:lang w:val="en-US" w:bidi="en-US"/>
        </w:rPr>
        <w:instrText xml:space="preserve"> REF _Ref102349957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5</w:t>
      </w:r>
      <w:r w:rsidR="004870F1" w:rsidRPr="00051297">
        <w:rPr>
          <w:rFonts w:cs="Times New Roman"/>
          <w:szCs w:val="24"/>
          <w:lang w:val="en-US" w:bidi="en-US"/>
        </w:rPr>
        <w:t>.</w:t>
      </w:r>
      <w:r w:rsidR="004870F1">
        <w:rPr>
          <w:rFonts w:cs="Times New Roman"/>
          <w:noProof/>
          <w:szCs w:val="24"/>
          <w:lang w:val="en-US" w:bidi="en-US"/>
        </w:rPr>
        <w:t>6</w:t>
      </w:r>
      <w:r w:rsidRPr="00051297">
        <w:rPr>
          <w:rFonts w:cs="Times New Roman"/>
          <w:szCs w:val="24"/>
          <w:lang w:val="en-US" w:bidi="en-US"/>
        </w:rPr>
        <w:fldChar w:fldCharType="end"/>
      </w:r>
      <w:r w:rsidRPr="00051297">
        <w:rPr>
          <w:rFonts w:cs="Times New Roman"/>
          <w:szCs w:val="24"/>
          <w:lang w:val="en-US" w:bidi="en-US"/>
        </w:rPr>
        <w:t xml:space="preserve"> presents a summary of the ANOVA results when the different hydraulic conductivity values were applied under normal operating reservoir levels and 10 days drawdown rate. Moreover, it can be observed that a p-value of 8.78× 10</w:t>
      </w:r>
      <w:r w:rsidRPr="00867105">
        <w:rPr>
          <w:rFonts w:cs="Times New Roman"/>
          <w:szCs w:val="24"/>
          <w:vertAlign w:val="superscript"/>
          <w:lang w:val="en-US" w:bidi="en-US"/>
        </w:rPr>
        <w:t>−6</w:t>
      </w:r>
      <w:r w:rsidRPr="00051297">
        <w:rPr>
          <w:rFonts w:cs="Times New Roman"/>
          <w:szCs w:val="24"/>
          <w:lang w:val="en-US" w:bidi="en-US"/>
        </w:rPr>
        <w:t xml:space="preserve"> from the investigated parameters</w:t>
      </w:r>
      <w:r w:rsidRPr="00051297">
        <w:rPr>
          <w:lang w:val="en-US" w:eastAsia="pl-PL"/>
        </w:rPr>
        <w:t xml:space="preserve"> is less than the alpha value of 0.05, indicating a high level of statistical significance from the factor of safety values among the investigated parameters.</w:t>
      </w:r>
    </w:p>
    <w:p w14:paraId="6A22253D" w14:textId="666295D3" w:rsidR="00051297" w:rsidRPr="00051297" w:rsidRDefault="00051297" w:rsidP="00051297">
      <w:pPr>
        <w:rPr>
          <w:rFonts w:cs="Times New Roman"/>
          <w:szCs w:val="24"/>
          <w:lang w:val="en-US" w:bidi="en-US"/>
        </w:rPr>
      </w:pPr>
      <w:bookmarkStart w:id="1226" w:name="_Ref102349957"/>
      <w:bookmarkStart w:id="1227" w:name="_Toc103544261"/>
      <w:bookmarkStart w:id="1228" w:name="_Toc104985587"/>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5</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6</w:t>
      </w:r>
      <w:r w:rsidRPr="00051297">
        <w:rPr>
          <w:rFonts w:cs="Times New Roman"/>
          <w:szCs w:val="24"/>
          <w:lang w:val="en-US" w:bidi="en-US"/>
        </w:rPr>
        <w:fldChar w:fldCharType="end"/>
      </w:r>
      <w:bookmarkEnd w:id="1226"/>
      <w:r w:rsidRPr="00051297">
        <w:rPr>
          <w:rFonts w:cs="Times New Roman"/>
          <w:szCs w:val="24"/>
          <w:lang w:val="en-US" w:bidi="en-US"/>
        </w:rPr>
        <w:t xml:space="preserve"> ANOVA results from different hydraulic conductivity values, normal operating reservoir level, and 10 days drawdown rate</w:t>
      </w:r>
      <w:bookmarkEnd w:id="1227"/>
      <w:bookmarkEnd w:id="1228"/>
    </w:p>
    <w:tbl>
      <w:tblPr>
        <w:tblStyle w:val="a8"/>
        <w:tblW w:w="0" w:type="auto"/>
        <w:jc w:val="center"/>
        <w:tblLook w:val="04A0" w:firstRow="1" w:lastRow="0" w:firstColumn="1" w:lastColumn="0" w:noHBand="0" w:noVBand="1"/>
      </w:tblPr>
      <w:tblGrid>
        <w:gridCol w:w="1765"/>
        <w:gridCol w:w="1135"/>
        <w:gridCol w:w="1135"/>
        <w:gridCol w:w="1135"/>
        <w:gridCol w:w="1135"/>
        <w:gridCol w:w="1471"/>
        <w:gridCol w:w="1101"/>
      </w:tblGrid>
      <w:tr w:rsidR="00051297" w:rsidRPr="00051297" w14:paraId="5DBB23B1" w14:textId="77777777" w:rsidTr="00C925D9">
        <w:trPr>
          <w:trHeight w:val="273"/>
          <w:jc w:val="center"/>
        </w:trPr>
        <w:tc>
          <w:tcPr>
            <w:tcW w:w="8877" w:type="dxa"/>
            <w:gridSpan w:val="7"/>
            <w:noWrap/>
            <w:hideMark/>
          </w:tcPr>
          <w:p w14:paraId="3AFB821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 Single Factor</w:t>
            </w:r>
          </w:p>
        </w:tc>
      </w:tr>
      <w:tr w:rsidR="00051297" w:rsidRPr="00051297" w14:paraId="31D24A4F" w14:textId="77777777" w:rsidTr="00C925D9">
        <w:trPr>
          <w:trHeight w:val="287"/>
          <w:jc w:val="center"/>
        </w:trPr>
        <w:tc>
          <w:tcPr>
            <w:tcW w:w="8877" w:type="dxa"/>
            <w:gridSpan w:val="7"/>
            <w:noWrap/>
            <w:hideMark/>
          </w:tcPr>
          <w:p w14:paraId="6F552DF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SUMMARY</w:t>
            </w:r>
          </w:p>
        </w:tc>
      </w:tr>
      <w:tr w:rsidR="00051297" w:rsidRPr="00051297" w14:paraId="50C0D7F5" w14:textId="77777777" w:rsidTr="00C925D9">
        <w:trPr>
          <w:trHeight w:val="273"/>
          <w:jc w:val="center"/>
        </w:trPr>
        <w:tc>
          <w:tcPr>
            <w:tcW w:w="1765" w:type="dxa"/>
            <w:noWrap/>
            <w:hideMark/>
          </w:tcPr>
          <w:p w14:paraId="6B7974D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Groups</w:t>
            </w:r>
          </w:p>
        </w:tc>
        <w:tc>
          <w:tcPr>
            <w:tcW w:w="1135" w:type="dxa"/>
            <w:noWrap/>
            <w:hideMark/>
          </w:tcPr>
          <w:p w14:paraId="2D853D0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Count</w:t>
            </w:r>
          </w:p>
        </w:tc>
        <w:tc>
          <w:tcPr>
            <w:tcW w:w="1135" w:type="dxa"/>
            <w:noWrap/>
            <w:hideMark/>
          </w:tcPr>
          <w:p w14:paraId="6B82B0A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w:t>
            </w:r>
          </w:p>
        </w:tc>
        <w:tc>
          <w:tcPr>
            <w:tcW w:w="1135" w:type="dxa"/>
            <w:noWrap/>
            <w:hideMark/>
          </w:tcPr>
          <w:p w14:paraId="0FC097B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Average</w:t>
            </w:r>
          </w:p>
        </w:tc>
        <w:tc>
          <w:tcPr>
            <w:tcW w:w="3705" w:type="dxa"/>
            <w:gridSpan w:val="3"/>
            <w:noWrap/>
            <w:hideMark/>
          </w:tcPr>
          <w:p w14:paraId="6A8A252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Variance</w:t>
            </w:r>
          </w:p>
        </w:tc>
      </w:tr>
      <w:tr w:rsidR="00051297" w:rsidRPr="00051297" w14:paraId="0BD2C888" w14:textId="77777777" w:rsidTr="00C925D9">
        <w:trPr>
          <w:trHeight w:val="273"/>
          <w:jc w:val="center"/>
        </w:trPr>
        <w:tc>
          <w:tcPr>
            <w:tcW w:w="1765" w:type="dxa"/>
            <w:noWrap/>
            <w:hideMark/>
          </w:tcPr>
          <w:p w14:paraId="1129BD1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w:t>
            </w:r>
            <w:r w:rsidRPr="00051297">
              <w:rPr>
                <w:lang w:val="en-GB" w:eastAsia="pl-PL"/>
              </w:rPr>
              <w:t>10</w:t>
            </w:r>
            <w:r w:rsidRPr="00051297">
              <w:rPr>
                <w:vertAlign w:val="superscript"/>
                <w:lang w:val="en-GB" w:eastAsia="pl-PL"/>
              </w:rPr>
              <w:t>−5</w:t>
            </w:r>
          </w:p>
        </w:tc>
        <w:tc>
          <w:tcPr>
            <w:tcW w:w="1135" w:type="dxa"/>
            <w:noWrap/>
            <w:hideMark/>
          </w:tcPr>
          <w:p w14:paraId="0947716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35" w:type="dxa"/>
            <w:noWrap/>
            <w:hideMark/>
          </w:tcPr>
          <w:p w14:paraId="14D61453" w14:textId="77777777" w:rsidR="00051297" w:rsidRPr="00051297" w:rsidRDefault="00051297" w:rsidP="00051297">
            <w:pPr>
              <w:spacing w:line="240" w:lineRule="auto"/>
              <w:ind w:firstLine="0"/>
              <w:jc w:val="center"/>
              <w:rPr>
                <w:rFonts w:cs="Times New Roman"/>
                <w:lang w:val="en-US"/>
              </w:rPr>
            </w:pPr>
            <w:r w:rsidRPr="00051297">
              <w:t>40.085</w:t>
            </w:r>
          </w:p>
        </w:tc>
        <w:tc>
          <w:tcPr>
            <w:tcW w:w="1135" w:type="dxa"/>
            <w:noWrap/>
            <w:hideMark/>
          </w:tcPr>
          <w:p w14:paraId="73D66574" w14:textId="77777777" w:rsidR="00051297" w:rsidRPr="00051297" w:rsidRDefault="00051297" w:rsidP="00051297">
            <w:pPr>
              <w:spacing w:line="240" w:lineRule="auto"/>
              <w:ind w:firstLine="0"/>
              <w:jc w:val="center"/>
              <w:rPr>
                <w:rFonts w:cs="Times New Roman"/>
                <w:lang w:val="en-US"/>
              </w:rPr>
            </w:pPr>
            <w:r w:rsidRPr="00051297">
              <w:t>1.293</w:t>
            </w:r>
          </w:p>
        </w:tc>
        <w:tc>
          <w:tcPr>
            <w:tcW w:w="3705" w:type="dxa"/>
            <w:gridSpan w:val="3"/>
            <w:noWrap/>
            <w:hideMark/>
          </w:tcPr>
          <w:p w14:paraId="02FF00EA" w14:textId="77777777" w:rsidR="00051297" w:rsidRPr="00051297" w:rsidRDefault="00051297" w:rsidP="00051297">
            <w:pPr>
              <w:spacing w:line="240" w:lineRule="auto"/>
              <w:ind w:firstLine="0"/>
              <w:jc w:val="center"/>
              <w:rPr>
                <w:rFonts w:cs="Times New Roman"/>
                <w:lang w:val="en-US"/>
              </w:rPr>
            </w:pPr>
            <w:r w:rsidRPr="00051297">
              <w:t>0.272</w:t>
            </w:r>
          </w:p>
        </w:tc>
      </w:tr>
      <w:tr w:rsidR="00051297" w:rsidRPr="00051297" w14:paraId="520A723B" w14:textId="77777777" w:rsidTr="00C925D9">
        <w:trPr>
          <w:trHeight w:val="273"/>
          <w:jc w:val="center"/>
        </w:trPr>
        <w:tc>
          <w:tcPr>
            <w:tcW w:w="1765" w:type="dxa"/>
            <w:noWrap/>
            <w:hideMark/>
          </w:tcPr>
          <w:p w14:paraId="3063D3BD" w14:textId="77777777" w:rsidR="00051297" w:rsidRPr="00051297" w:rsidRDefault="00051297" w:rsidP="00051297">
            <w:pPr>
              <w:spacing w:line="240" w:lineRule="auto"/>
              <w:ind w:firstLine="0"/>
              <w:jc w:val="center"/>
              <w:rPr>
                <w:rFonts w:cs="Times New Roman"/>
                <w:lang w:val="en-US"/>
              </w:rPr>
            </w:pPr>
            <w:r w:rsidRPr="00051297">
              <w:rPr>
                <w:lang w:val="en-GB" w:eastAsia="pl-PL"/>
              </w:rPr>
              <w:t>10</w:t>
            </w:r>
            <w:r w:rsidRPr="00051297">
              <w:rPr>
                <w:vertAlign w:val="superscript"/>
                <w:lang w:val="en-GB" w:eastAsia="pl-PL"/>
              </w:rPr>
              <w:t>−5</w:t>
            </w:r>
          </w:p>
        </w:tc>
        <w:tc>
          <w:tcPr>
            <w:tcW w:w="1135" w:type="dxa"/>
            <w:noWrap/>
            <w:hideMark/>
          </w:tcPr>
          <w:p w14:paraId="00BECB5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35" w:type="dxa"/>
            <w:noWrap/>
            <w:hideMark/>
          </w:tcPr>
          <w:p w14:paraId="328AF94C" w14:textId="77777777" w:rsidR="00051297" w:rsidRPr="00051297" w:rsidRDefault="00051297" w:rsidP="00051297">
            <w:pPr>
              <w:spacing w:line="240" w:lineRule="auto"/>
              <w:ind w:firstLine="0"/>
              <w:jc w:val="center"/>
              <w:rPr>
                <w:rFonts w:cs="Times New Roman"/>
                <w:lang w:val="en-US"/>
              </w:rPr>
            </w:pPr>
            <w:r w:rsidRPr="00051297">
              <w:t>42.420</w:t>
            </w:r>
          </w:p>
        </w:tc>
        <w:tc>
          <w:tcPr>
            <w:tcW w:w="1135" w:type="dxa"/>
            <w:noWrap/>
            <w:hideMark/>
          </w:tcPr>
          <w:p w14:paraId="188A950B" w14:textId="77777777" w:rsidR="00051297" w:rsidRPr="00051297" w:rsidRDefault="00051297" w:rsidP="00051297">
            <w:pPr>
              <w:spacing w:line="240" w:lineRule="auto"/>
              <w:ind w:firstLine="0"/>
              <w:jc w:val="center"/>
              <w:rPr>
                <w:rFonts w:cs="Times New Roman"/>
                <w:lang w:val="en-US"/>
              </w:rPr>
            </w:pPr>
            <w:r w:rsidRPr="00051297">
              <w:t>1.368</w:t>
            </w:r>
          </w:p>
        </w:tc>
        <w:tc>
          <w:tcPr>
            <w:tcW w:w="3705" w:type="dxa"/>
            <w:gridSpan w:val="3"/>
            <w:noWrap/>
            <w:hideMark/>
          </w:tcPr>
          <w:p w14:paraId="178485B7" w14:textId="77777777" w:rsidR="00051297" w:rsidRPr="00051297" w:rsidRDefault="00051297" w:rsidP="00051297">
            <w:pPr>
              <w:spacing w:line="240" w:lineRule="auto"/>
              <w:ind w:firstLine="0"/>
              <w:jc w:val="center"/>
              <w:rPr>
                <w:rFonts w:cs="Times New Roman"/>
                <w:lang w:val="en-US"/>
              </w:rPr>
            </w:pPr>
            <w:r w:rsidRPr="00051297">
              <w:t>0.250</w:t>
            </w:r>
          </w:p>
        </w:tc>
      </w:tr>
      <w:tr w:rsidR="00051297" w:rsidRPr="00051297" w14:paraId="48E18334" w14:textId="77777777" w:rsidTr="00C925D9">
        <w:trPr>
          <w:trHeight w:val="273"/>
          <w:jc w:val="center"/>
        </w:trPr>
        <w:tc>
          <w:tcPr>
            <w:tcW w:w="1765" w:type="dxa"/>
            <w:noWrap/>
            <w:hideMark/>
          </w:tcPr>
          <w:p w14:paraId="75CD167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w:t>
            </w:r>
            <w:r w:rsidRPr="00051297">
              <w:rPr>
                <w:lang w:val="en-GB" w:eastAsia="pl-PL"/>
              </w:rPr>
              <w:t>10</w:t>
            </w:r>
            <w:r w:rsidRPr="00051297">
              <w:rPr>
                <w:vertAlign w:val="superscript"/>
                <w:lang w:val="en-GB" w:eastAsia="pl-PL"/>
              </w:rPr>
              <w:t>−6</w:t>
            </w:r>
          </w:p>
        </w:tc>
        <w:tc>
          <w:tcPr>
            <w:tcW w:w="1135" w:type="dxa"/>
            <w:noWrap/>
            <w:hideMark/>
          </w:tcPr>
          <w:p w14:paraId="57E4266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35" w:type="dxa"/>
            <w:noWrap/>
            <w:hideMark/>
          </w:tcPr>
          <w:p w14:paraId="66A12BFB" w14:textId="77777777" w:rsidR="00051297" w:rsidRPr="00051297" w:rsidRDefault="00051297" w:rsidP="00051297">
            <w:pPr>
              <w:spacing w:line="240" w:lineRule="auto"/>
              <w:ind w:firstLine="0"/>
              <w:jc w:val="center"/>
              <w:rPr>
                <w:rFonts w:cs="Times New Roman"/>
                <w:lang w:val="en-US"/>
              </w:rPr>
            </w:pPr>
            <w:r w:rsidRPr="00051297">
              <w:t>39.241</w:t>
            </w:r>
          </w:p>
        </w:tc>
        <w:tc>
          <w:tcPr>
            <w:tcW w:w="1135" w:type="dxa"/>
            <w:noWrap/>
            <w:hideMark/>
          </w:tcPr>
          <w:p w14:paraId="502126BB" w14:textId="77777777" w:rsidR="00051297" w:rsidRPr="00051297" w:rsidRDefault="00051297" w:rsidP="00051297">
            <w:pPr>
              <w:spacing w:line="240" w:lineRule="auto"/>
              <w:ind w:firstLine="0"/>
              <w:jc w:val="center"/>
              <w:rPr>
                <w:rFonts w:cs="Times New Roman"/>
                <w:lang w:val="en-US"/>
              </w:rPr>
            </w:pPr>
            <w:r w:rsidRPr="00051297">
              <w:t>1.266</w:t>
            </w:r>
          </w:p>
        </w:tc>
        <w:tc>
          <w:tcPr>
            <w:tcW w:w="3705" w:type="dxa"/>
            <w:gridSpan w:val="3"/>
            <w:noWrap/>
            <w:hideMark/>
          </w:tcPr>
          <w:p w14:paraId="22D7B904" w14:textId="77777777" w:rsidR="00051297" w:rsidRPr="00051297" w:rsidRDefault="00051297" w:rsidP="00051297">
            <w:pPr>
              <w:spacing w:line="240" w:lineRule="auto"/>
              <w:ind w:firstLine="0"/>
              <w:jc w:val="center"/>
              <w:rPr>
                <w:rFonts w:cs="Times New Roman"/>
                <w:lang w:val="en-US"/>
              </w:rPr>
            </w:pPr>
            <w:r w:rsidRPr="00051297">
              <w:t>0.282</w:t>
            </w:r>
          </w:p>
        </w:tc>
      </w:tr>
      <w:tr w:rsidR="00051297" w:rsidRPr="00051297" w14:paraId="46B74501" w14:textId="77777777" w:rsidTr="00C925D9">
        <w:trPr>
          <w:trHeight w:val="273"/>
          <w:jc w:val="center"/>
        </w:trPr>
        <w:tc>
          <w:tcPr>
            <w:tcW w:w="1765" w:type="dxa"/>
            <w:noWrap/>
            <w:hideMark/>
          </w:tcPr>
          <w:p w14:paraId="0E7336F0" w14:textId="77777777" w:rsidR="00051297" w:rsidRPr="00051297" w:rsidRDefault="00051297" w:rsidP="00051297">
            <w:pPr>
              <w:spacing w:line="240" w:lineRule="auto"/>
              <w:ind w:firstLine="0"/>
              <w:jc w:val="center"/>
              <w:rPr>
                <w:rFonts w:cs="Times New Roman"/>
                <w:lang w:val="en-US"/>
              </w:rPr>
            </w:pPr>
            <w:r w:rsidRPr="00051297">
              <w:rPr>
                <w:lang w:val="en-GB" w:eastAsia="pl-PL"/>
              </w:rPr>
              <w:t>10</w:t>
            </w:r>
            <w:r w:rsidRPr="00051297">
              <w:rPr>
                <w:vertAlign w:val="superscript"/>
                <w:lang w:val="en-GB" w:eastAsia="pl-PL"/>
              </w:rPr>
              <w:t>−6</w:t>
            </w:r>
          </w:p>
        </w:tc>
        <w:tc>
          <w:tcPr>
            <w:tcW w:w="1135" w:type="dxa"/>
            <w:noWrap/>
            <w:hideMark/>
          </w:tcPr>
          <w:p w14:paraId="750F4EE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35" w:type="dxa"/>
            <w:noWrap/>
            <w:hideMark/>
          </w:tcPr>
          <w:p w14:paraId="675208B2" w14:textId="77777777" w:rsidR="00051297" w:rsidRPr="00051297" w:rsidRDefault="00051297" w:rsidP="00051297">
            <w:pPr>
              <w:spacing w:line="240" w:lineRule="auto"/>
              <w:ind w:firstLine="0"/>
              <w:jc w:val="center"/>
              <w:rPr>
                <w:rFonts w:cs="Times New Roman"/>
                <w:lang w:val="en-US"/>
              </w:rPr>
            </w:pPr>
            <w:r w:rsidRPr="00051297">
              <w:t>29.131</w:t>
            </w:r>
          </w:p>
        </w:tc>
        <w:tc>
          <w:tcPr>
            <w:tcW w:w="1135" w:type="dxa"/>
            <w:noWrap/>
            <w:hideMark/>
          </w:tcPr>
          <w:p w14:paraId="5124715A" w14:textId="77777777" w:rsidR="00051297" w:rsidRPr="00051297" w:rsidRDefault="00051297" w:rsidP="00051297">
            <w:pPr>
              <w:spacing w:line="240" w:lineRule="auto"/>
              <w:ind w:firstLine="0"/>
              <w:jc w:val="center"/>
              <w:rPr>
                <w:rFonts w:cs="Times New Roman"/>
                <w:lang w:val="en-US"/>
              </w:rPr>
            </w:pPr>
            <w:r w:rsidRPr="00051297">
              <w:t>0.940</w:t>
            </w:r>
          </w:p>
        </w:tc>
        <w:tc>
          <w:tcPr>
            <w:tcW w:w="3705" w:type="dxa"/>
            <w:gridSpan w:val="3"/>
            <w:noWrap/>
            <w:hideMark/>
          </w:tcPr>
          <w:p w14:paraId="7E1D579E" w14:textId="77777777" w:rsidR="00051297" w:rsidRPr="00051297" w:rsidRDefault="00051297" w:rsidP="00051297">
            <w:pPr>
              <w:spacing w:line="240" w:lineRule="auto"/>
              <w:ind w:firstLine="0"/>
              <w:jc w:val="center"/>
              <w:rPr>
                <w:rFonts w:cs="Times New Roman"/>
                <w:lang w:val="en-US"/>
              </w:rPr>
            </w:pPr>
            <w:r w:rsidRPr="00051297">
              <w:t>0.093</w:t>
            </w:r>
          </w:p>
        </w:tc>
      </w:tr>
      <w:tr w:rsidR="00051297" w:rsidRPr="00051297" w14:paraId="29D31B2F" w14:textId="77777777" w:rsidTr="00C925D9">
        <w:trPr>
          <w:trHeight w:val="273"/>
          <w:jc w:val="center"/>
        </w:trPr>
        <w:tc>
          <w:tcPr>
            <w:tcW w:w="1765" w:type="dxa"/>
            <w:noWrap/>
            <w:hideMark/>
          </w:tcPr>
          <w:p w14:paraId="7FDF13E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w:t>
            </w:r>
            <w:r w:rsidRPr="00051297">
              <w:rPr>
                <w:lang w:val="en-GB" w:eastAsia="pl-PL"/>
              </w:rPr>
              <w:t>10</w:t>
            </w:r>
            <w:r w:rsidRPr="00051297">
              <w:rPr>
                <w:vertAlign w:val="superscript"/>
                <w:lang w:val="en-GB" w:eastAsia="pl-PL"/>
              </w:rPr>
              <w:t>−7</w:t>
            </w:r>
          </w:p>
        </w:tc>
        <w:tc>
          <w:tcPr>
            <w:tcW w:w="1135" w:type="dxa"/>
            <w:noWrap/>
            <w:hideMark/>
          </w:tcPr>
          <w:p w14:paraId="2C0B44E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35" w:type="dxa"/>
            <w:noWrap/>
            <w:hideMark/>
          </w:tcPr>
          <w:p w14:paraId="475F56EA" w14:textId="77777777" w:rsidR="00051297" w:rsidRPr="00051297" w:rsidRDefault="00051297" w:rsidP="00051297">
            <w:pPr>
              <w:spacing w:line="240" w:lineRule="auto"/>
              <w:ind w:firstLine="0"/>
              <w:jc w:val="center"/>
              <w:rPr>
                <w:rFonts w:cs="Times New Roman"/>
                <w:lang w:val="en-US"/>
              </w:rPr>
            </w:pPr>
            <w:r w:rsidRPr="00051297">
              <w:t>33.677</w:t>
            </w:r>
          </w:p>
        </w:tc>
        <w:tc>
          <w:tcPr>
            <w:tcW w:w="1135" w:type="dxa"/>
            <w:noWrap/>
            <w:hideMark/>
          </w:tcPr>
          <w:p w14:paraId="2F9638A8" w14:textId="77777777" w:rsidR="00051297" w:rsidRPr="00051297" w:rsidRDefault="00051297" w:rsidP="00051297">
            <w:pPr>
              <w:spacing w:line="240" w:lineRule="auto"/>
              <w:ind w:firstLine="0"/>
              <w:jc w:val="center"/>
              <w:rPr>
                <w:rFonts w:cs="Times New Roman"/>
                <w:lang w:val="en-US"/>
              </w:rPr>
            </w:pPr>
            <w:r w:rsidRPr="00051297">
              <w:t>1.086</w:t>
            </w:r>
          </w:p>
        </w:tc>
        <w:tc>
          <w:tcPr>
            <w:tcW w:w="3705" w:type="dxa"/>
            <w:gridSpan w:val="3"/>
            <w:noWrap/>
            <w:hideMark/>
          </w:tcPr>
          <w:p w14:paraId="31086338" w14:textId="77777777" w:rsidR="00051297" w:rsidRPr="00051297" w:rsidRDefault="00051297" w:rsidP="00051297">
            <w:pPr>
              <w:spacing w:line="240" w:lineRule="auto"/>
              <w:ind w:firstLine="0"/>
              <w:jc w:val="center"/>
              <w:rPr>
                <w:rFonts w:cs="Times New Roman"/>
                <w:lang w:val="en-US"/>
              </w:rPr>
            </w:pPr>
            <w:r w:rsidRPr="00051297">
              <w:t>0.131</w:t>
            </w:r>
          </w:p>
        </w:tc>
      </w:tr>
      <w:tr w:rsidR="00051297" w:rsidRPr="00051297" w14:paraId="1CF3F43E" w14:textId="77777777" w:rsidTr="00C925D9">
        <w:trPr>
          <w:trHeight w:val="287"/>
          <w:jc w:val="center"/>
        </w:trPr>
        <w:tc>
          <w:tcPr>
            <w:tcW w:w="1765" w:type="dxa"/>
            <w:noWrap/>
            <w:hideMark/>
          </w:tcPr>
          <w:p w14:paraId="22C6AAA0" w14:textId="77777777" w:rsidR="00051297" w:rsidRPr="00051297" w:rsidRDefault="00051297" w:rsidP="00051297">
            <w:pPr>
              <w:spacing w:line="240" w:lineRule="auto"/>
              <w:ind w:firstLine="0"/>
              <w:jc w:val="center"/>
              <w:rPr>
                <w:rFonts w:cs="Times New Roman"/>
                <w:lang w:val="en-US"/>
              </w:rPr>
            </w:pPr>
            <w:r w:rsidRPr="00051297">
              <w:rPr>
                <w:lang w:val="en-GB" w:eastAsia="pl-PL"/>
              </w:rPr>
              <w:t>10</w:t>
            </w:r>
            <w:r w:rsidRPr="00051297">
              <w:rPr>
                <w:vertAlign w:val="superscript"/>
                <w:lang w:val="en-GB" w:eastAsia="pl-PL"/>
              </w:rPr>
              <w:t>−7</w:t>
            </w:r>
          </w:p>
        </w:tc>
        <w:tc>
          <w:tcPr>
            <w:tcW w:w="1135" w:type="dxa"/>
            <w:noWrap/>
            <w:hideMark/>
          </w:tcPr>
          <w:p w14:paraId="3A8C79B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35" w:type="dxa"/>
            <w:noWrap/>
            <w:hideMark/>
          </w:tcPr>
          <w:p w14:paraId="3A264729" w14:textId="77777777" w:rsidR="00051297" w:rsidRPr="00051297" w:rsidRDefault="00051297" w:rsidP="00051297">
            <w:pPr>
              <w:spacing w:line="240" w:lineRule="auto"/>
              <w:ind w:firstLine="0"/>
              <w:jc w:val="center"/>
              <w:rPr>
                <w:rFonts w:cs="Times New Roman"/>
                <w:lang w:val="en-US"/>
              </w:rPr>
            </w:pPr>
            <w:r w:rsidRPr="00051297">
              <w:t>26.440</w:t>
            </w:r>
          </w:p>
        </w:tc>
        <w:tc>
          <w:tcPr>
            <w:tcW w:w="1135" w:type="dxa"/>
            <w:noWrap/>
            <w:hideMark/>
          </w:tcPr>
          <w:p w14:paraId="6984B606" w14:textId="77777777" w:rsidR="00051297" w:rsidRPr="00051297" w:rsidRDefault="00051297" w:rsidP="00051297">
            <w:pPr>
              <w:spacing w:line="240" w:lineRule="auto"/>
              <w:ind w:firstLine="0"/>
              <w:jc w:val="center"/>
              <w:rPr>
                <w:rFonts w:cs="Times New Roman"/>
                <w:lang w:val="en-US"/>
              </w:rPr>
            </w:pPr>
            <w:r w:rsidRPr="00051297">
              <w:t>0.853</w:t>
            </w:r>
          </w:p>
        </w:tc>
        <w:tc>
          <w:tcPr>
            <w:tcW w:w="3705" w:type="dxa"/>
            <w:gridSpan w:val="3"/>
            <w:noWrap/>
            <w:hideMark/>
          </w:tcPr>
          <w:p w14:paraId="234804FC" w14:textId="77777777" w:rsidR="00051297" w:rsidRPr="00051297" w:rsidRDefault="00051297" w:rsidP="00051297">
            <w:pPr>
              <w:spacing w:line="240" w:lineRule="auto"/>
              <w:ind w:firstLine="0"/>
              <w:jc w:val="center"/>
              <w:rPr>
                <w:rFonts w:cs="Times New Roman"/>
                <w:lang w:val="en-US"/>
              </w:rPr>
            </w:pPr>
            <w:r w:rsidRPr="00051297">
              <w:t>0.167</w:t>
            </w:r>
          </w:p>
        </w:tc>
      </w:tr>
      <w:tr w:rsidR="00051297" w:rsidRPr="00051297" w14:paraId="192A6324" w14:textId="77777777" w:rsidTr="00C925D9">
        <w:trPr>
          <w:trHeight w:val="287"/>
          <w:jc w:val="center"/>
        </w:trPr>
        <w:tc>
          <w:tcPr>
            <w:tcW w:w="8877" w:type="dxa"/>
            <w:gridSpan w:val="7"/>
            <w:noWrap/>
            <w:hideMark/>
          </w:tcPr>
          <w:p w14:paraId="55EDA6F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w:t>
            </w:r>
          </w:p>
        </w:tc>
      </w:tr>
      <w:tr w:rsidR="00051297" w:rsidRPr="00051297" w14:paraId="7001260D" w14:textId="77777777" w:rsidTr="00C925D9">
        <w:trPr>
          <w:trHeight w:val="273"/>
          <w:jc w:val="center"/>
        </w:trPr>
        <w:tc>
          <w:tcPr>
            <w:tcW w:w="1765" w:type="dxa"/>
            <w:noWrap/>
            <w:hideMark/>
          </w:tcPr>
          <w:p w14:paraId="0A2A0BA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Source of Variation</w:t>
            </w:r>
          </w:p>
        </w:tc>
        <w:tc>
          <w:tcPr>
            <w:tcW w:w="1135" w:type="dxa"/>
            <w:noWrap/>
            <w:hideMark/>
          </w:tcPr>
          <w:p w14:paraId="0A0E12F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SS</w:t>
            </w:r>
          </w:p>
        </w:tc>
        <w:tc>
          <w:tcPr>
            <w:tcW w:w="1135" w:type="dxa"/>
            <w:noWrap/>
            <w:hideMark/>
          </w:tcPr>
          <w:p w14:paraId="58FB170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df</w:t>
            </w:r>
          </w:p>
        </w:tc>
        <w:tc>
          <w:tcPr>
            <w:tcW w:w="1135" w:type="dxa"/>
            <w:noWrap/>
            <w:hideMark/>
          </w:tcPr>
          <w:p w14:paraId="33B02ED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MS</w:t>
            </w:r>
          </w:p>
        </w:tc>
        <w:tc>
          <w:tcPr>
            <w:tcW w:w="1135" w:type="dxa"/>
            <w:noWrap/>
            <w:hideMark/>
          </w:tcPr>
          <w:p w14:paraId="0901647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w:t>
            </w:r>
          </w:p>
        </w:tc>
        <w:tc>
          <w:tcPr>
            <w:tcW w:w="1471" w:type="dxa"/>
            <w:noWrap/>
            <w:hideMark/>
          </w:tcPr>
          <w:p w14:paraId="15770C5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P-value</w:t>
            </w:r>
          </w:p>
        </w:tc>
        <w:tc>
          <w:tcPr>
            <w:tcW w:w="1098" w:type="dxa"/>
            <w:noWrap/>
            <w:hideMark/>
          </w:tcPr>
          <w:p w14:paraId="1320E51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 crit</w:t>
            </w:r>
          </w:p>
        </w:tc>
      </w:tr>
      <w:tr w:rsidR="00051297" w:rsidRPr="00051297" w14:paraId="38BB06D1" w14:textId="77777777" w:rsidTr="00C925D9">
        <w:trPr>
          <w:trHeight w:val="273"/>
          <w:jc w:val="center"/>
        </w:trPr>
        <w:tc>
          <w:tcPr>
            <w:tcW w:w="1765" w:type="dxa"/>
            <w:noWrap/>
            <w:hideMark/>
          </w:tcPr>
          <w:p w14:paraId="771DAF3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Between Groups</w:t>
            </w:r>
          </w:p>
        </w:tc>
        <w:tc>
          <w:tcPr>
            <w:tcW w:w="1135" w:type="dxa"/>
            <w:noWrap/>
            <w:hideMark/>
          </w:tcPr>
          <w:p w14:paraId="48D8B45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6.71568</w:t>
            </w:r>
          </w:p>
        </w:tc>
        <w:tc>
          <w:tcPr>
            <w:tcW w:w="1135" w:type="dxa"/>
            <w:noWrap/>
            <w:hideMark/>
          </w:tcPr>
          <w:p w14:paraId="3C8C41B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w:t>
            </w:r>
          </w:p>
        </w:tc>
        <w:tc>
          <w:tcPr>
            <w:tcW w:w="1135" w:type="dxa"/>
            <w:noWrap/>
            <w:hideMark/>
          </w:tcPr>
          <w:p w14:paraId="6BC1822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1.343136</w:t>
            </w:r>
          </w:p>
        </w:tc>
        <w:tc>
          <w:tcPr>
            <w:tcW w:w="1135" w:type="dxa"/>
            <w:noWrap/>
            <w:hideMark/>
          </w:tcPr>
          <w:p w14:paraId="79AA5A3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6.739369</w:t>
            </w:r>
          </w:p>
        </w:tc>
        <w:tc>
          <w:tcPr>
            <w:tcW w:w="1471" w:type="dxa"/>
            <w:noWrap/>
            <w:hideMark/>
          </w:tcPr>
          <w:p w14:paraId="1753162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8.78</w:t>
            </w:r>
            <w:r w:rsidRPr="00051297">
              <w:rPr>
                <w:lang w:eastAsia="pl-PL"/>
              </w:rPr>
              <w:t>× 10</w:t>
            </w:r>
            <w:r w:rsidRPr="00051297">
              <w:rPr>
                <w:vertAlign w:val="superscript"/>
                <w:lang w:eastAsia="pl-PL"/>
              </w:rPr>
              <w:t>−6</w:t>
            </w:r>
          </w:p>
        </w:tc>
        <w:tc>
          <w:tcPr>
            <w:tcW w:w="1098" w:type="dxa"/>
            <w:noWrap/>
            <w:hideMark/>
          </w:tcPr>
          <w:p w14:paraId="6985452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2.26431</w:t>
            </w:r>
          </w:p>
        </w:tc>
      </w:tr>
      <w:tr w:rsidR="00051297" w:rsidRPr="00051297" w14:paraId="6AEFFD9A" w14:textId="77777777" w:rsidTr="00C925D9">
        <w:trPr>
          <w:trHeight w:val="273"/>
          <w:jc w:val="center"/>
        </w:trPr>
        <w:tc>
          <w:tcPr>
            <w:tcW w:w="1765" w:type="dxa"/>
            <w:noWrap/>
            <w:hideMark/>
          </w:tcPr>
          <w:p w14:paraId="7A01605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Within Groups</w:t>
            </w:r>
          </w:p>
        </w:tc>
        <w:tc>
          <w:tcPr>
            <w:tcW w:w="1135" w:type="dxa"/>
            <w:noWrap/>
            <w:hideMark/>
          </w:tcPr>
          <w:p w14:paraId="21DA7A7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35.87346</w:t>
            </w:r>
          </w:p>
        </w:tc>
        <w:tc>
          <w:tcPr>
            <w:tcW w:w="1135" w:type="dxa"/>
            <w:noWrap/>
            <w:hideMark/>
          </w:tcPr>
          <w:p w14:paraId="559A224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180</w:t>
            </w:r>
          </w:p>
        </w:tc>
        <w:tc>
          <w:tcPr>
            <w:tcW w:w="1135" w:type="dxa"/>
            <w:noWrap/>
            <w:hideMark/>
          </w:tcPr>
          <w:p w14:paraId="15226E0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0.199297</w:t>
            </w:r>
          </w:p>
        </w:tc>
        <w:tc>
          <w:tcPr>
            <w:tcW w:w="1135" w:type="dxa"/>
            <w:noWrap/>
            <w:hideMark/>
          </w:tcPr>
          <w:p w14:paraId="64E34FF7" w14:textId="77777777" w:rsidR="00051297" w:rsidRPr="00051297" w:rsidRDefault="00051297" w:rsidP="00051297">
            <w:pPr>
              <w:spacing w:line="240" w:lineRule="auto"/>
              <w:ind w:firstLine="0"/>
              <w:jc w:val="center"/>
              <w:rPr>
                <w:rFonts w:cs="Times New Roman"/>
                <w:lang w:val="en-US"/>
              </w:rPr>
            </w:pPr>
          </w:p>
        </w:tc>
        <w:tc>
          <w:tcPr>
            <w:tcW w:w="1471" w:type="dxa"/>
            <w:noWrap/>
            <w:hideMark/>
          </w:tcPr>
          <w:p w14:paraId="7F7F9FA0" w14:textId="77777777" w:rsidR="00051297" w:rsidRPr="00051297" w:rsidRDefault="00051297" w:rsidP="00051297">
            <w:pPr>
              <w:spacing w:line="240" w:lineRule="auto"/>
              <w:ind w:firstLine="0"/>
              <w:jc w:val="center"/>
              <w:rPr>
                <w:rFonts w:cs="Times New Roman"/>
                <w:lang w:val="en-US"/>
              </w:rPr>
            </w:pPr>
          </w:p>
        </w:tc>
        <w:tc>
          <w:tcPr>
            <w:tcW w:w="1098" w:type="dxa"/>
            <w:noWrap/>
            <w:hideMark/>
          </w:tcPr>
          <w:p w14:paraId="5E1BC8B7" w14:textId="77777777" w:rsidR="00051297" w:rsidRPr="00051297" w:rsidRDefault="00051297" w:rsidP="00051297">
            <w:pPr>
              <w:spacing w:line="240" w:lineRule="auto"/>
              <w:ind w:firstLine="0"/>
              <w:jc w:val="center"/>
              <w:rPr>
                <w:rFonts w:cs="Times New Roman"/>
                <w:lang w:val="en-US"/>
              </w:rPr>
            </w:pPr>
          </w:p>
        </w:tc>
      </w:tr>
      <w:tr w:rsidR="00051297" w:rsidRPr="00051297" w14:paraId="48B7750F" w14:textId="77777777" w:rsidTr="00C925D9">
        <w:trPr>
          <w:trHeight w:val="273"/>
          <w:jc w:val="center"/>
        </w:trPr>
        <w:tc>
          <w:tcPr>
            <w:tcW w:w="1765" w:type="dxa"/>
            <w:noWrap/>
            <w:hideMark/>
          </w:tcPr>
          <w:p w14:paraId="13E0F715" w14:textId="77777777" w:rsidR="00051297" w:rsidRPr="00051297" w:rsidRDefault="00051297" w:rsidP="00051297">
            <w:pPr>
              <w:spacing w:line="240" w:lineRule="auto"/>
              <w:ind w:firstLine="0"/>
              <w:jc w:val="center"/>
              <w:rPr>
                <w:rFonts w:cs="Times New Roman"/>
                <w:lang w:val="en-US"/>
              </w:rPr>
            </w:pPr>
          </w:p>
        </w:tc>
        <w:tc>
          <w:tcPr>
            <w:tcW w:w="1135" w:type="dxa"/>
            <w:noWrap/>
            <w:hideMark/>
          </w:tcPr>
          <w:p w14:paraId="3873971A" w14:textId="77777777" w:rsidR="00051297" w:rsidRPr="00051297" w:rsidRDefault="00051297" w:rsidP="00051297">
            <w:pPr>
              <w:spacing w:line="240" w:lineRule="auto"/>
              <w:ind w:firstLine="0"/>
              <w:jc w:val="center"/>
              <w:rPr>
                <w:rFonts w:cs="Times New Roman"/>
                <w:lang w:val="en-US"/>
              </w:rPr>
            </w:pPr>
          </w:p>
        </w:tc>
        <w:tc>
          <w:tcPr>
            <w:tcW w:w="1135" w:type="dxa"/>
            <w:noWrap/>
            <w:hideMark/>
          </w:tcPr>
          <w:p w14:paraId="45789C4F" w14:textId="77777777" w:rsidR="00051297" w:rsidRPr="00051297" w:rsidRDefault="00051297" w:rsidP="00051297">
            <w:pPr>
              <w:spacing w:line="240" w:lineRule="auto"/>
              <w:ind w:firstLine="0"/>
              <w:jc w:val="center"/>
              <w:rPr>
                <w:rFonts w:cs="Times New Roman"/>
                <w:lang w:val="en-US"/>
              </w:rPr>
            </w:pPr>
          </w:p>
        </w:tc>
        <w:tc>
          <w:tcPr>
            <w:tcW w:w="1135" w:type="dxa"/>
            <w:noWrap/>
            <w:hideMark/>
          </w:tcPr>
          <w:p w14:paraId="3F1150B3" w14:textId="77777777" w:rsidR="00051297" w:rsidRPr="00051297" w:rsidRDefault="00051297" w:rsidP="00051297">
            <w:pPr>
              <w:spacing w:line="240" w:lineRule="auto"/>
              <w:ind w:firstLine="0"/>
              <w:jc w:val="center"/>
              <w:rPr>
                <w:rFonts w:cs="Times New Roman"/>
                <w:lang w:val="en-US"/>
              </w:rPr>
            </w:pPr>
          </w:p>
        </w:tc>
        <w:tc>
          <w:tcPr>
            <w:tcW w:w="1135" w:type="dxa"/>
            <w:noWrap/>
            <w:hideMark/>
          </w:tcPr>
          <w:p w14:paraId="1651C03E" w14:textId="77777777" w:rsidR="00051297" w:rsidRPr="00051297" w:rsidRDefault="00051297" w:rsidP="00051297">
            <w:pPr>
              <w:spacing w:line="240" w:lineRule="auto"/>
              <w:ind w:firstLine="0"/>
              <w:jc w:val="center"/>
              <w:rPr>
                <w:rFonts w:cs="Times New Roman"/>
                <w:lang w:val="en-US"/>
              </w:rPr>
            </w:pPr>
          </w:p>
        </w:tc>
        <w:tc>
          <w:tcPr>
            <w:tcW w:w="1471" w:type="dxa"/>
            <w:noWrap/>
            <w:hideMark/>
          </w:tcPr>
          <w:p w14:paraId="5948BC80" w14:textId="77777777" w:rsidR="00051297" w:rsidRPr="00051297" w:rsidRDefault="00051297" w:rsidP="00051297">
            <w:pPr>
              <w:spacing w:line="240" w:lineRule="auto"/>
              <w:ind w:firstLine="0"/>
              <w:jc w:val="center"/>
              <w:rPr>
                <w:rFonts w:cs="Times New Roman"/>
                <w:lang w:val="en-US"/>
              </w:rPr>
            </w:pPr>
          </w:p>
        </w:tc>
        <w:tc>
          <w:tcPr>
            <w:tcW w:w="1098" w:type="dxa"/>
            <w:noWrap/>
            <w:hideMark/>
          </w:tcPr>
          <w:p w14:paraId="56745A42" w14:textId="77777777" w:rsidR="00051297" w:rsidRPr="00051297" w:rsidRDefault="00051297" w:rsidP="00051297">
            <w:pPr>
              <w:spacing w:line="240" w:lineRule="auto"/>
              <w:ind w:firstLine="0"/>
              <w:jc w:val="center"/>
              <w:rPr>
                <w:rFonts w:cs="Times New Roman"/>
                <w:lang w:val="en-US"/>
              </w:rPr>
            </w:pPr>
          </w:p>
        </w:tc>
      </w:tr>
      <w:tr w:rsidR="00051297" w:rsidRPr="00051297" w14:paraId="4B1C94EB" w14:textId="77777777" w:rsidTr="00C925D9">
        <w:trPr>
          <w:trHeight w:val="287"/>
          <w:jc w:val="center"/>
        </w:trPr>
        <w:tc>
          <w:tcPr>
            <w:tcW w:w="1765" w:type="dxa"/>
            <w:noWrap/>
            <w:hideMark/>
          </w:tcPr>
          <w:p w14:paraId="4112AD8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Total</w:t>
            </w:r>
          </w:p>
        </w:tc>
        <w:tc>
          <w:tcPr>
            <w:tcW w:w="1135" w:type="dxa"/>
            <w:noWrap/>
            <w:hideMark/>
          </w:tcPr>
          <w:p w14:paraId="0498995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42.58914</w:t>
            </w:r>
          </w:p>
        </w:tc>
        <w:tc>
          <w:tcPr>
            <w:tcW w:w="1135" w:type="dxa"/>
            <w:noWrap/>
            <w:hideMark/>
          </w:tcPr>
          <w:p w14:paraId="6D3EA0E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185</w:t>
            </w:r>
          </w:p>
        </w:tc>
        <w:tc>
          <w:tcPr>
            <w:tcW w:w="1135" w:type="dxa"/>
            <w:noWrap/>
            <w:hideMark/>
          </w:tcPr>
          <w:p w14:paraId="16AE932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35" w:type="dxa"/>
            <w:noWrap/>
            <w:hideMark/>
          </w:tcPr>
          <w:p w14:paraId="4250410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471" w:type="dxa"/>
            <w:noWrap/>
            <w:hideMark/>
          </w:tcPr>
          <w:p w14:paraId="1BDB2E5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098" w:type="dxa"/>
            <w:noWrap/>
            <w:hideMark/>
          </w:tcPr>
          <w:p w14:paraId="428D8B0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r>
    </w:tbl>
    <w:p w14:paraId="2289C660" w14:textId="45CA6A21" w:rsidR="00051297" w:rsidRPr="00051297" w:rsidRDefault="00051297" w:rsidP="00051297">
      <w:pPr>
        <w:rPr>
          <w:rFonts w:cs="Times New Roman"/>
          <w:szCs w:val="24"/>
          <w:lang w:val="en-US" w:bidi="en-US"/>
        </w:rPr>
      </w:pPr>
      <w:r w:rsidRPr="00051297">
        <w:rPr>
          <w:rFonts w:cs="Times New Roman"/>
          <w:szCs w:val="24"/>
          <w:lang w:val="en-US" w:bidi="en-US"/>
        </w:rPr>
        <w:lastRenderedPageBreak/>
        <w:t xml:space="preserve">When the different hydraulic conductivity values were used under normal operating reservoir level and 10 days drawdown rate, the ANOVA results are summarized in </w:t>
      </w:r>
      <w:r w:rsidRPr="00051297">
        <w:rPr>
          <w:rFonts w:cs="Times New Roman"/>
          <w:szCs w:val="24"/>
          <w:lang w:val="en-US" w:bidi="en-US"/>
        </w:rPr>
        <w:fldChar w:fldCharType="begin"/>
      </w:r>
      <w:r w:rsidRPr="00051297">
        <w:rPr>
          <w:rFonts w:cs="Times New Roman"/>
          <w:szCs w:val="24"/>
          <w:lang w:val="en-US" w:bidi="en-US"/>
        </w:rPr>
        <w:instrText xml:space="preserve"> REF _Ref102350401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5</w:t>
      </w:r>
      <w:r w:rsidR="004870F1" w:rsidRPr="00051297">
        <w:rPr>
          <w:rFonts w:cs="Times New Roman"/>
          <w:szCs w:val="24"/>
          <w:lang w:val="en-US" w:bidi="en-US"/>
        </w:rPr>
        <w:t>.</w:t>
      </w:r>
      <w:r w:rsidR="004870F1">
        <w:rPr>
          <w:rFonts w:cs="Times New Roman"/>
          <w:noProof/>
          <w:szCs w:val="24"/>
          <w:lang w:val="en-US" w:bidi="en-US"/>
        </w:rPr>
        <w:t>7</w:t>
      </w:r>
      <w:r w:rsidRPr="00051297">
        <w:rPr>
          <w:rFonts w:cs="Times New Roman"/>
          <w:szCs w:val="24"/>
          <w:lang w:val="en-US" w:bidi="en-US"/>
        </w:rPr>
        <w:fldChar w:fldCharType="end"/>
      </w:r>
      <w:r w:rsidRPr="00051297">
        <w:rPr>
          <w:rFonts w:cs="Times New Roman"/>
          <w:szCs w:val="24"/>
          <w:lang w:val="en-US" w:bidi="en-US"/>
        </w:rPr>
        <w:t xml:space="preserve">. Furthermore, the studied parameters have a p-value of </w:t>
      </w:r>
      <w:r w:rsidRPr="00051297">
        <w:rPr>
          <w:rFonts w:cs="Times New Roman"/>
          <w:lang w:val="en-US"/>
        </w:rPr>
        <w:t>3.41</w:t>
      </w:r>
      <w:r w:rsidRPr="0079595C">
        <w:rPr>
          <w:lang w:val="en-US" w:eastAsia="pl-PL"/>
        </w:rPr>
        <w:t>× 10</w:t>
      </w:r>
      <w:r w:rsidRPr="0079595C">
        <w:rPr>
          <w:vertAlign w:val="superscript"/>
          <w:lang w:val="en-US" w:eastAsia="pl-PL"/>
        </w:rPr>
        <w:t>−9</w:t>
      </w:r>
      <w:r w:rsidRPr="00051297">
        <w:rPr>
          <w:rFonts w:cs="Times New Roman"/>
          <w:szCs w:val="24"/>
          <w:lang w:val="en-US" w:bidi="en-US"/>
        </w:rPr>
        <w:t>, which is less than the alpha value of 0.05, showing a high level of statistical significance from the factor of safety values among the investigated parameters</w:t>
      </w:r>
      <w:r w:rsidRPr="00051297">
        <w:rPr>
          <w:lang w:val="en-US" w:eastAsia="pl-PL"/>
        </w:rPr>
        <w:t>.</w:t>
      </w:r>
    </w:p>
    <w:p w14:paraId="1A8C23E6" w14:textId="276F0999" w:rsidR="00051297" w:rsidRPr="00051297" w:rsidRDefault="00051297" w:rsidP="00051297">
      <w:pPr>
        <w:rPr>
          <w:rFonts w:cs="Times New Roman"/>
          <w:szCs w:val="24"/>
          <w:lang w:val="en-US" w:bidi="en-US"/>
        </w:rPr>
      </w:pPr>
      <w:bookmarkStart w:id="1229" w:name="_Ref102350401"/>
      <w:bookmarkStart w:id="1230" w:name="_Toc103544262"/>
      <w:bookmarkStart w:id="1231" w:name="_Toc104985588"/>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5</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7</w:t>
      </w:r>
      <w:r w:rsidRPr="00051297">
        <w:rPr>
          <w:rFonts w:cs="Times New Roman"/>
          <w:szCs w:val="24"/>
          <w:lang w:val="en-US" w:bidi="en-US"/>
        </w:rPr>
        <w:fldChar w:fldCharType="end"/>
      </w:r>
      <w:bookmarkEnd w:id="1229"/>
      <w:r w:rsidRPr="00051297">
        <w:rPr>
          <w:rFonts w:cs="Times New Roman"/>
          <w:szCs w:val="24"/>
          <w:lang w:val="en-US" w:bidi="en-US"/>
        </w:rPr>
        <w:t xml:space="preserve"> ANOVA results from different hydraulic conductivity values, normal operating reservoir level, and 1 m per day drawdown rate</w:t>
      </w:r>
      <w:bookmarkEnd w:id="1230"/>
      <w:bookmarkEnd w:id="1231"/>
    </w:p>
    <w:tbl>
      <w:tblPr>
        <w:tblStyle w:val="a8"/>
        <w:tblW w:w="0" w:type="auto"/>
        <w:jc w:val="center"/>
        <w:tblLook w:val="04A0" w:firstRow="1" w:lastRow="0" w:firstColumn="1" w:lastColumn="0" w:noHBand="0" w:noVBand="1"/>
      </w:tblPr>
      <w:tblGrid>
        <w:gridCol w:w="1735"/>
        <w:gridCol w:w="1116"/>
        <w:gridCol w:w="1116"/>
        <w:gridCol w:w="1116"/>
        <w:gridCol w:w="1116"/>
        <w:gridCol w:w="1266"/>
        <w:gridCol w:w="996"/>
      </w:tblGrid>
      <w:tr w:rsidR="00051297" w:rsidRPr="00051297" w14:paraId="67EC8D81" w14:textId="77777777" w:rsidTr="00D20B01">
        <w:trPr>
          <w:trHeight w:val="300"/>
          <w:jc w:val="center"/>
        </w:trPr>
        <w:tc>
          <w:tcPr>
            <w:tcW w:w="8461" w:type="dxa"/>
            <w:gridSpan w:val="7"/>
            <w:noWrap/>
            <w:hideMark/>
          </w:tcPr>
          <w:p w14:paraId="0D49EBE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 Single Factor</w:t>
            </w:r>
          </w:p>
        </w:tc>
      </w:tr>
      <w:tr w:rsidR="00051297" w:rsidRPr="00051297" w14:paraId="31264086" w14:textId="77777777" w:rsidTr="00D20B01">
        <w:trPr>
          <w:trHeight w:val="315"/>
          <w:jc w:val="center"/>
        </w:trPr>
        <w:tc>
          <w:tcPr>
            <w:tcW w:w="8461" w:type="dxa"/>
            <w:gridSpan w:val="7"/>
            <w:noWrap/>
            <w:hideMark/>
          </w:tcPr>
          <w:p w14:paraId="78FD86B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SUMMARY</w:t>
            </w:r>
          </w:p>
        </w:tc>
      </w:tr>
      <w:tr w:rsidR="00051297" w:rsidRPr="00051297" w14:paraId="795A4B39" w14:textId="77777777" w:rsidTr="00D20B01">
        <w:trPr>
          <w:trHeight w:val="300"/>
          <w:jc w:val="center"/>
        </w:trPr>
        <w:tc>
          <w:tcPr>
            <w:tcW w:w="1735" w:type="dxa"/>
            <w:noWrap/>
            <w:hideMark/>
          </w:tcPr>
          <w:p w14:paraId="23861BF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Groups</w:t>
            </w:r>
          </w:p>
        </w:tc>
        <w:tc>
          <w:tcPr>
            <w:tcW w:w="1116" w:type="dxa"/>
            <w:noWrap/>
            <w:hideMark/>
          </w:tcPr>
          <w:p w14:paraId="6AEA960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Count</w:t>
            </w:r>
          </w:p>
        </w:tc>
        <w:tc>
          <w:tcPr>
            <w:tcW w:w="1116" w:type="dxa"/>
            <w:noWrap/>
            <w:hideMark/>
          </w:tcPr>
          <w:p w14:paraId="448BAF6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w:t>
            </w:r>
          </w:p>
        </w:tc>
        <w:tc>
          <w:tcPr>
            <w:tcW w:w="1116" w:type="dxa"/>
            <w:noWrap/>
            <w:hideMark/>
          </w:tcPr>
          <w:p w14:paraId="3DD559F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Average</w:t>
            </w:r>
          </w:p>
        </w:tc>
        <w:tc>
          <w:tcPr>
            <w:tcW w:w="3378" w:type="dxa"/>
            <w:gridSpan w:val="3"/>
            <w:noWrap/>
            <w:hideMark/>
          </w:tcPr>
          <w:p w14:paraId="3CEA08A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Variance</w:t>
            </w:r>
          </w:p>
        </w:tc>
      </w:tr>
      <w:tr w:rsidR="00051297" w:rsidRPr="00051297" w14:paraId="39E1C94C" w14:textId="77777777" w:rsidTr="00D20B01">
        <w:trPr>
          <w:trHeight w:val="300"/>
          <w:jc w:val="center"/>
        </w:trPr>
        <w:tc>
          <w:tcPr>
            <w:tcW w:w="1735" w:type="dxa"/>
            <w:noWrap/>
            <w:hideMark/>
          </w:tcPr>
          <w:p w14:paraId="1804CD2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w:t>
            </w:r>
            <w:r w:rsidRPr="00051297">
              <w:rPr>
                <w:lang w:val="en-GB" w:eastAsia="pl-PL"/>
              </w:rPr>
              <w:t>10</w:t>
            </w:r>
            <w:r w:rsidRPr="00051297">
              <w:rPr>
                <w:vertAlign w:val="superscript"/>
                <w:lang w:val="en-GB" w:eastAsia="pl-PL"/>
              </w:rPr>
              <w:t>−5</w:t>
            </w:r>
          </w:p>
        </w:tc>
        <w:tc>
          <w:tcPr>
            <w:tcW w:w="1116" w:type="dxa"/>
            <w:noWrap/>
            <w:hideMark/>
          </w:tcPr>
          <w:p w14:paraId="0B3E5BE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61</w:t>
            </w:r>
          </w:p>
        </w:tc>
        <w:tc>
          <w:tcPr>
            <w:tcW w:w="1116" w:type="dxa"/>
            <w:noWrap/>
            <w:hideMark/>
          </w:tcPr>
          <w:p w14:paraId="7258A2DA" w14:textId="77777777" w:rsidR="00051297" w:rsidRPr="00051297" w:rsidRDefault="00051297" w:rsidP="00051297">
            <w:pPr>
              <w:spacing w:line="240" w:lineRule="auto"/>
              <w:ind w:firstLine="0"/>
              <w:jc w:val="center"/>
              <w:rPr>
                <w:rFonts w:cs="Times New Roman"/>
                <w:lang w:val="en-US"/>
              </w:rPr>
            </w:pPr>
            <w:r w:rsidRPr="00051297">
              <w:t>94.760</w:t>
            </w:r>
          </w:p>
        </w:tc>
        <w:tc>
          <w:tcPr>
            <w:tcW w:w="1116" w:type="dxa"/>
            <w:noWrap/>
            <w:hideMark/>
          </w:tcPr>
          <w:p w14:paraId="4D6C81A7" w14:textId="77777777" w:rsidR="00051297" w:rsidRPr="00051297" w:rsidRDefault="00051297" w:rsidP="00051297">
            <w:pPr>
              <w:spacing w:line="240" w:lineRule="auto"/>
              <w:ind w:firstLine="0"/>
              <w:jc w:val="center"/>
              <w:rPr>
                <w:rFonts w:cs="Times New Roman"/>
                <w:lang w:val="en-US"/>
              </w:rPr>
            </w:pPr>
            <w:r w:rsidRPr="00051297">
              <w:t>1.553</w:t>
            </w:r>
          </w:p>
        </w:tc>
        <w:tc>
          <w:tcPr>
            <w:tcW w:w="3378" w:type="dxa"/>
            <w:gridSpan w:val="3"/>
            <w:noWrap/>
            <w:hideMark/>
          </w:tcPr>
          <w:p w14:paraId="56B6B244" w14:textId="77777777" w:rsidR="00051297" w:rsidRPr="00051297" w:rsidRDefault="00051297" w:rsidP="00051297">
            <w:pPr>
              <w:spacing w:line="240" w:lineRule="auto"/>
              <w:ind w:firstLine="0"/>
              <w:jc w:val="center"/>
              <w:rPr>
                <w:rFonts w:cs="Times New Roman"/>
                <w:lang w:val="en-US"/>
              </w:rPr>
            </w:pPr>
            <w:r w:rsidRPr="00051297">
              <w:t>0.093</w:t>
            </w:r>
          </w:p>
        </w:tc>
      </w:tr>
      <w:tr w:rsidR="00051297" w:rsidRPr="00051297" w14:paraId="7339849A" w14:textId="77777777" w:rsidTr="00D20B01">
        <w:trPr>
          <w:trHeight w:val="300"/>
          <w:jc w:val="center"/>
        </w:trPr>
        <w:tc>
          <w:tcPr>
            <w:tcW w:w="1735" w:type="dxa"/>
            <w:noWrap/>
            <w:hideMark/>
          </w:tcPr>
          <w:p w14:paraId="25F44659" w14:textId="77777777" w:rsidR="00051297" w:rsidRPr="00051297" w:rsidRDefault="00051297" w:rsidP="00051297">
            <w:pPr>
              <w:spacing w:line="240" w:lineRule="auto"/>
              <w:ind w:firstLine="0"/>
              <w:jc w:val="center"/>
              <w:rPr>
                <w:rFonts w:cs="Times New Roman"/>
                <w:lang w:val="en-US"/>
              </w:rPr>
            </w:pPr>
            <w:r w:rsidRPr="00051297">
              <w:rPr>
                <w:lang w:val="en-GB" w:eastAsia="pl-PL"/>
              </w:rPr>
              <w:t>10</w:t>
            </w:r>
            <w:r w:rsidRPr="00051297">
              <w:rPr>
                <w:vertAlign w:val="superscript"/>
                <w:lang w:val="en-GB" w:eastAsia="pl-PL"/>
              </w:rPr>
              <w:t>−5</w:t>
            </w:r>
          </w:p>
        </w:tc>
        <w:tc>
          <w:tcPr>
            <w:tcW w:w="1116" w:type="dxa"/>
            <w:noWrap/>
            <w:hideMark/>
          </w:tcPr>
          <w:p w14:paraId="273B80B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61</w:t>
            </w:r>
          </w:p>
        </w:tc>
        <w:tc>
          <w:tcPr>
            <w:tcW w:w="1116" w:type="dxa"/>
            <w:noWrap/>
            <w:hideMark/>
          </w:tcPr>
          <w:p w14:paraId="30C6227C" w14:textId="77777777" w:rsidR="00051297" w:rsidRPr="00051297" w:rsidRDefault="00051297" w:rsidP="00051297">
            <w:pPr>
              <w:spacing w:line="240" w:lineRule="auto"/>
              <w:ind w:firstLine="0"/>
              <w:jc w:val="center"/>
              <w:rPr>
                <w:rFonts w:cs="Times New Roman"/>
                <w:lang w:val="en-US"/>
              </w:rPr>
            </w:pPr>
            <w:r w:rsidRPr="00051297">
              <w:t>95.168</w:t>
            </w:r>
          </w:p>
        </w:tc>
        <w:tc>
          <w:tcPr>
            <w:tcW w:w="1116" w:type="dxa"/>
            <w:noWrap/>
            <w:hideMark/>
          </w:tcPr>
          <w:p w14:paraId="3C25AA64" w14:textId="77777777" w:rsidR="00051297" w:rsidRPr="00051297" w:rsidRDefault="00051297" w:rsidP="00051297">
            <w:pPr>
              <w:spacing w:line="240" w:lineRule="auto"/>
              <w:ind w:firstLine="0"/>
              <w:jc w:val="center"/>
              <w:rPr>
                <w:rFonts w:cs="Times New Roman"/>
                <w:lang w:val="en-US"/>
              </w:rPr>
            </w:pPr>
            <w:r w:rsidRPr="00051297">
              <w:t>1.560</w:t>
            </w:r>
          </w:p>
        </w:tc>
        <w:tc>
          <w:tcPr>
            <w:tcW w:w="3378" w:type="dxa"/>
            <w:gridSpan w:val="3"/>
            <w:noWrap/>
            <w:hideMark/>
          </w:tcPr>
          <w:p w14:paraId="0C0692C7" w14:textId="77777777" w:rsidR="00051297" w:rsidRPr="00051297" w:rsidRDefault="00051297" w:rsidP="00051297">
            <w:pPr>
              <w:spacing w:line="240" w:lineRule="auto"/>
              <w:ind w:firstLine="0"/>
              <w:jc w:val="center"/>
              <w:rPr>
                <w:rFonts w:cs="Times New Roman"/>
                <w:lang w:val="en-US"/>
              </w:rPr>
            </w:pPr>
            <w:r w:rsidRPr="00051297">
              <w:t>0.091</w:t>
            </w:r>
          </w:p>
        </w:tc>
      </w:tr>
      <w:tr w:rsidR="00051297" w:rsidRPr="00051297" w14:paraId="2A3D6C1D" w14:textId="77777777" w:rsidTr="00D20B01">
        <w:trPr>
          <w:trHeight w:val="300"/>
          <w:jc w:val="center"/>
        </w:trPr>
        <w:tc>
          <w:tcPr>
            <w:tcW w:w="1735" w:type="dxa"/>
            <w:noWrap/>
            <w:hideMark/>
          </w:tcPr>
          <w:p w14:paraId="00A0FD8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w:t>
            </w:r>
            <w:r w:rsidRPr="00051297">
              <w:rPr>
                <w:lang w:val="en-GB" w:eastAsia="pl-PL"/>
              </w:rPr>
              <w:t>10</w:t>
            </w:r>
            <w:r w:rsidRPr="00051297">
              <w:rPr>
                <w:vertAlign w:val="superscript"/>
                <w:lang w:val="en-GB" w:eastAsia="pl-PL"/>
              </w:rPr>
              <w:t>−6</w:t>
            </w:r>
          </w:p>
        </w:tc>
        <w:tc>
          <w:tcPr>
            <w:tcW w:w="1116" w:type="dxa"/>
            <w:noWrap/>
            <w:hideMark/>
          </w:tcPr>
          <w:p w14:paraId="3B2A3DE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61</w:t>
            </w:r>
          </w:p>
        </w:tc>
        <w:tc>
          <w:tcPr>
            <w:tcW w:w="1116" w:type="dxa"/>
            <w:noWrap/>
            <w:hideMark/>
          </w:tcPr>
          <w:p w14:paraId="5E96241B" w14:textId="77777777" w:rsidR="00051297" w:rsidRPr="00051297" w:rsidRDefault="00051297" w:rsidP="00051297">
            <w:pPr>
              <w:spacing w:line="240" w:lineRule="auto"/>
              <w:ind w:firstLine="0"/>
              <w:jc w:val="center"/>
              <w:rPr>
                <w:rFonts w:cs="Times New Roman"/>
                <w:lang w:val="en-US"/>
              </w:rPr>
            </w:pPr>
            <w:r w:rsidRPr="00051297">
              <w:t>93.723</w:t>
            </w:r>
          </w:p>
        </w:tc>
        <w:tc>
          <w:tcPr>
            <w:tcW w:w="1116" w:type="dxa"/>
            <w:noWrap/>
            <w:hideMark/>
          </w:tcPr>
          <w:p w14:paraId="40F40CE8" w14:textId="77777777" w:rsidR="00051297" w:rsidRPr="00051297" w:rsidRDefault="00051297" w:rsidP="00051297">
            <w:pPr>
              <w:spacing w:line="240" w:lineRule="auto"/>
              <w:ind w:firstLine="0"/>
              <w:jc w:val="center"/>
              <w:rPr>
                <w:rFonts w:cs="Times New Roman"/>
                <w:lang w:val="en-US"/>
              </w:rPr>
            </w:pPr>
            <w:r w:rsidRPr="00051297">
              <w:t>1.536</w:t>
            </w:r>
          </w:p>
        </w:tc>
        <w:tc>
          <w:tcPr>
            <w:tcW w:w="3378" w:type="dxa"/>
            <w:gridSpan w:val="3"/>
            <w:noWrap/>
            <w:hideMark/>
          </w:tcPr>
          <w:p w14:paraId="6D9FE5BD" w14:textId="77777777" w:rsidR="00051297" w:rsidRPr="00051297" w:rsidRDefault="00051297" w:rsidP="00051297">
            <w:pPr>
              <w:spacing w:line="240" w:lineRule="auto"/>
              <w:ind w:firstLine="0"/>
              <w:jc w:val="center"/>
              <w:rPr>
                <w:rFonts w:cs="Times New Roman"/>
                <w:lang w:val="en-US"/>
              </w:rPr>
            </w:pPr>
            <w:r w:rsidRPr="00051297">
              <w:t>0.085</w:t>
            </w:r>
          </w:p>
        </w:tc>
      </w:tr>
      <w:tr w:rsidR="00051297" w:rsidRPr="00051297" w14:paraId="0CE40DAE" w14:textId="77777777" w:rsidTr="00D20B01">
        <w:trPr>
          <w:trHeight w:val="300"/>
          <w:jc w:val="center"/>
        </w:trPr>
        <w:tc>
          <w:tcPr>
            <w:tcW w:w="1735" w:type="dxa"/>
            <w:noWrap/>
            <w:hideMark/>
          </w:tcPr>
          <w:p w14:paraId="1169501B" w14:textId="77777777" w:rsidR="00051297" w:rsidRPr="00051297" w:rsidRDefault="00051297" w:rsidP="00051297">
            <w:pPr>
              <w:spacing w:line="240" w:lineRule="auto"/>
              <w:ind w:firstLine="0"/>
              <w:jc w:val="center"/>
              <w:rPr>
                <w:rFonts w:cs="Times New Roman"/>
                <w:lang w:val="en-US"/>
              </w:rPr>
            </w:pPr>
            <w:r w:rsidRPr="00051297">
              <w:rPr>
                <w:lang w:val="en-GB" w:eastAsia="pl-PL"/>
              </w:rPr>
              <w:t>10</w:t>
            </w:r>
            <w:r w:rsidRPr="00051297">
              <w:rPr>
                <w:vertAlign w:val="superscript"/>
                <w:lang w:val="en-GB" w:eastAsia="pl-PL"/>
              </w:rPr>
              <w:t>−6</w:t>
            </w:r>
          </w:p>
        </w:tc>
        <w:tc>
          <w:tcPr>
            <w:tcW w:w="1116" w:type="dxa"/>
            <w:noWrap/>
            <w:hideMark/>
          </w:tcPr>
          <w:p w14:paraId="1032DEC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61</w:t>
            </w:r>
          </w:p>
        </w:tc>
        <w:tc>
          <w:tcPr>
            <w:tcW w:w="1116" w:type="dxa"/>
            <w:noWrap/>
            <w:hideMark/>
          </w:tcPr>
          <w:p w14:paraId="0A99FA6D" w14:textId="77777777" w:rsidR="00051297" w:rsidRPr="00051297" w:rsidRDefault="00051297" w:rsidP="00051297">
            <w:pPr>
              <w:spacing w:line="240" w:lineRule="auto"/>
              <w:ind w:firstLine="0"/>
              <w:jc w:val="center"/>
              <w:rPr>
                <w:rFonts w:cs="Times New Roman"/>
                <w:lang w:val="en-US"/>
              </w:rPr>
            </w:pPr>
            <w:r w:rsidRPr="00051297">
              <w:t>84.505</w:t>
            </w:r>
          </w:p>
        </w:tc>
        <w:tc>
          <w:tcPr>
            <w:tcW w:w="1116" w:type="dxa"/>
            <w:noWrap/>
            <w:hideMark/>
          </w:tcPr>
          <w:p w14:paraId="5028D18F" w14:textId="77777777" w:rsidR="00051297" w:rsidRPr="00051297" w:rsidRDefault="00051297" w:rsidP="00051297">
            <w:pPr>
              <w:spacing w:line="240" w:lineRule="auto"/>
              <w:ind w:firstLine="0"/>
              <w:jc w:val="center"/>
              <w:rPr>
                <w:rFonts w:cs="Times New Roman"/>
                <w:lang w:val="en-US"/>
              </w:rPr>
            </w:pPr>
            <w:r w:rsidRPr="00051297">
              <w:t>1.385</w:t>
            </w:r>
          </w:p>
        </w:tc>
        <w:tc>
          <w:tcPr>
            <w:tcW w:w="3378" w:type="dxa"/>
            <w:gridSpan w:val="3"/>
            <w:noWrap/>
            <w:hideMark/>
          </w:tcPr>
          <w:p w14:paraId="48FC2A00" w14:textId="77777777" w:rsidR="00051297" w:rsidRPr="00051297" w:rsidRDefault="00051297" w:rsidP="00051297">
            <w:pPr>
              <w:spacing w:line="240" w:lineRule="auto"/>
              <w:ind w:firstLine="0"/>
              <w:jc w:val="center"/>
              <w:rPr>
                <w:rFonts w:cs="Times New Roman"/>
                <w:lang w:val="en-US"/>
              </w:rPr>
            </w:pPr>
            <w:r w:rsidRPr="00051297">
              <w:t>0.063</w:t>
            </w:r>
          </w:p>
        </w:tc>
      </w:tr>
      <w:tr w:rsidR="00051297" w:rsidRPr="00051297" w14:paraId="1F5FFCF1" w14:textId="77777777" w:rsidTr="00D20B01">
        <w:trPr>
          <w:trHeight w:val="300"/>
          <w:jc w:val="center"/>
        </w:trPr>
        <w:tc>
          <w:tcPr>
            <w:tcW w:w="1735" w:type="dxa"/>
            <w:noWrap/>
            <w:hideMark/>
          </w:tcPr>
          <w:p w14:paraId="23ED913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 ×</w:t>
            </w:r>
            <w:r w:rsidRPr="00051297">
              <w:rPr>
                <w:lang w:val="en-GB" w:eastAsia="pl-PL"/>
              </w:rPr>
              <w:t>10</w:t>
            </w:r>
            <w:r w:rsidRPr="00051297">
              <w:rPr>
                <w:vertAlign w:val="superscript"/>
                <w:lang w:val="en-GB" w:eastAsia="pl-PL"/>
              </w:rPr>
              <w:t>−7</w:t>
            </w:r>
          </w:p>
        </w:tc>
        <w:tc>
          <w:tcPr>
            <w:tcW w:w="1116" w:type="dxa"/>
            <w:noWrap/>
            <w:hideMark/>
          </w:tcPr>
          <w:p w14:paraId="6BE8F65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61</w:t>
            </w:r>
          </w:p>
        </w:tc>
        <w:tc>
          <w:tcPr>
            <w:tcW w:w="1116" w:type="dxa"/>
            <w:noWrap/>
            <w:hideMark/>
          </w:tcPr>
          <w:p w14:paraId="633F887A" w14:textId="77777777" w:rsidR="00051297" w:rsidRPr="00051297" w:rsidRDefault="00051297" w:rsidP="00051297">
            <w:pPr>
              <w:spacing w:line="240" w:lineRule="auto"/>
              <w:ind w:firstLine="0"/>
              <w:jc w:val="center"/>
              <w:rPr>
                <w:rFonts w:cs="Times New Roman"/>
                <w:lang w:val="en-US"/>
              </w:rPr>
            </w:pPr>
            <w:r w:rsidRPr="00051297">
              <w:t>87.745</w:t>
            </w:r>
          </w:p>
        </w:tc>
        <w:tc>
          <w:tcPr>
            <w:tcW w:w="1116" w:type="dxa"/>
            <w:noWrap/>
            <w:hideMark/>
          </w:tcPr>
          <w:p w14:paraId="17638990" w14:textId="77777777" w:rsidR="00051297" w:rsidRPr="00051297" w:rsidRDefault="00051297" w:rsidP="00051297">
            <w:pPr>
              <w:spacing w:line="240" w:lineRule="auto"/>
              <w:ind w:firstLine="0"/>
              <w:jc w:val="center"/>
              <w:rPr>
                <w:rFonts w:cs="Times New Roman"/>
                <w:lang w:val="en-US"/>
              </w:rPr>
            </w:pPr>
            <w:r w:rsidRPr="00051297">
              <w:t>1.438</w:t>
            </w:r>
          </w:p>
        </w:tc>
        <w:tc>
          <w:tcPr>
            <w:tcW w:w="3378" w:type="dxa"/>
            <w:gridSpan w:val="3"/>
            <w:noWrap/>
            <w:hideMark/>
          </w:tcPr>
          <w:p w14:paraId="60A11999" w14:textId="77777777" w:rsidR="00051297" w:rsidRPr="00051297" w:rsidRDefault="00051297" w:rsidP="00051297">
            <w:pPr>
              <w:spacing w:line="240" w:lineRule="auto"/>
              <w:ind w:firstLine="0"/>
              <w:jc w:val="center"/>
              <w:rPr>
                <w:rFonts w:cs="Times New Roman"/>
                <w:lang w:val="en-US"/>
              </w:rPr>
            </w:pPr>
            <w:r w:rsidRPr="00051297">
              <w:t>0.052</w:t>
            </w:r>
          </w:p>
        </w:tc>
      </w:tr>
      <w:tr w:rsidR="00051297" w:rsidRPr="00051297" w14:paraId="5C9111D3" w14:textId="77777777" w:rsidTr="00D20B01">
        <w:trPr>
          <w:trHeight w:val="315"/>
          <w:jc w:val="center"/>
        </w:trPr>
        <w:tc>
          <w:tcPr>
            <w:tcW w:w="1735" w:type="dxa"/>
            <w:noWrap/>
            <w:hideMark/>
          </w:tcPr>
          <w:p w14:paraId="407774C7" w14:textId="77777777" w:rsidR="00051297" w:rsidRPr="00051297" w:rsidRDefault="00051297" w:rsidP="00051297">
            <w:pPr>
              <w:spacing w:line="240" w:lineRule="auto"/>
              <w:ind w:firstLine="0"/>
              <w:jc w:val="center"/>
              <w:rPr>
                <w:rFonts w:cs="Times New Roman"/>
                <w:lang w:val="en-US"/>
              </w:rPr>
            </w:pPr>
            <w:r w:rsidRPr="00051297">
              <w:rPr>
                <w:lang w:val="en-GB" w:eastAsia="pl-PL"/>
              </w:rPr>
              <w:t>10</w:t>
            </w:r>
            <w:r w:rsidRPr="00051297">
              <w:rPr>
                <w:vertAlign w:val="superscript"/>
                <w:lang w:val="en-GB" w:eastAsia="pl-PL"/>
              </w:rPr>
              <w:t>−7</w:t>
            </w:r>
          </w:p>
        </w:tc>
        <w:tc>
          <w:tcPr>
            <w:tcW w:w="1116" w:type="dxa"/>
            <w:noWrap/>
            <w:hideMark/>
          </w:tcPr>
          <w:p w14:paraId="41C7DE3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61</w:t>
            </w:r>
          </w:p>
        </w:tc>
        <w:tc>
          <w:tcPr>
            <w:tcW w:w="1116" w:type="dxa"/>
            <w:noWrap/>
            <w:hideMark/>
          </w:tcPr>
          <w:p w14:paraId="2BA4E1B6" w14:textId="77777777" w:rsidR="00051297" w:rsidRPr="00051297" w:rsidRDefault="00051297" w:rsidP="00051297">
            <w:pPr>
              <w:spacing w:line="240" w:lineRule="auto"/>
              <w:ind w:firstLine="0"/>
              <w:jc w:val="center"/>
              <w:rPr>
                <w:rFonts w:cs="Times New Roman"/>
                <w:lang w:val="en-US"/>
              </w:rPr>
            </w:pPr>
            <w:r w:rsidRPr="00051297">
              <w:t>77.295</w:t>
            </w:r>
          </w:p>
        </w:tc>
        <w:tc>
          <w:tcPr>
            <w:tcW w:w="1116" w:type="dxa"/>
            <w:noWrap/>
            <w:hideMark/>
          </w:tcPr>
          <w:p w14:paraId="6F73D503" w14:textId="77777777" w:rsidR="00051297" w:rsidRPr="00051297" w:rsidRDefault="00051297" w:rsidP="00051297">
            <w:pPr>
              <w:spacing w:line="240" w:lineRule="auto"/>
              <w:ind w:firstLine="0"/>
              <w:jc w:val="center"/>
              <w:rPr>
                <w:rFonts w:cs="Times New Roman"/>
                <w:lang w:val="en-US"/>
              </w:rPr>
            </w:pPr>
            <w:r w:rsidRPr="00051297">
              <w:t>1.267</w:t>
            </w:r>
          </w:p>
        </w:tc>
        <w:tc>
          <w:tcPr>
            <w:tcW w:w="3378" w:type="dxa"/>
            <w:gridSpan w:val="3"/>
            <w:noWrap/>
            <w:hideMark/>
          </w:tcPr>
          <w:p w14:paraId="49BFC262" w14:textId="77777777" w:rsidR="00051297" w:rsidRPr="00051297" w:rsidRDefault="00051297" w:rsidP="00051297">
            <w:pPr>
              <w:spacing w:line="240" w:lineRule="auto"/>
              <w:ind w:firstLine="0"/>
              <w:jc w:val="center"/>
              <w:rPr>
                <w:rFonts w:cs="Times New Roman"/>
                <w:lang w:val="en-US"/>
              </w:rPr>
            </w:pPr>
            <w:r w:rsidRPr="00051297">
              <w:t>0.101</w:t>
            </w:r>
          </w:p>
        </w:tc>
      </w:tr>
      <w:tr w:rsidR="00051297" w:rsidRPr="00051297" w14:paraId="0E59189B" w14:textId="77777777" w:rsidTr="00D20B01">
        <w:trPr>
          <w:trHeight w:val="315"/>
          <w:jc w:val="center"/>
        </w:trPr>
        <w:tc>
          <w:tcPr>
            <w:tcW w:w="8461" w:type="dxa"/>
            <w:gridSpan w:val="7"/>
            <w:noWrap/>
            <w:hideMark/>
          </w:tcPr>
          <w:p w14:paraId="4465BEE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w:t>
            </w:r>
          </w:p>
        </w:tc>
      </w:tr>
      <w:tr w:rsidR="00051297" w:rsidRPr="00051297" w14:paraId="32FCB85D" w14:textId="77777777" w:rsidTr="00D20B01">
        <w:trPr>
          <w:trHeight w:val="300"/>
          <w:jc w:val="center"/>
        </w:trPr>
        <w:tc>
          <w:tcPr>
            <w:tcW w:w="1735" w:type="dxa"/>
            <w:noWrap/>
            <w:hideMark/>
          </w:tcPr>
          <w:p w14:paraId="0B11BBB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Source of Variation</w:t>
            </w:r>
          </w:p>
        </w:tc>
        <w:tc>
          <w:tcPr>
            <w:tcW w:w="1116" w:type="dxa"/>
            <w:noWrap/>
            <w:hideMark/>
          </w:tcPr>
          <w:p w14:paraId="425C1BC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SS</w:t>
            </w:r>
          </w:p>
        </w:tc>
        <w:tc>
          <w:tcPr>
            <w:tcW w:w="1116" w:type="dxa"/>
            <w:noWrap/>
            <w:hideMark/>
          </w:tcPr>
          <w:p w14:paraId="62A34EA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df</w:t>
            </w:r>
          </w:p>
        </w:tc>
        <w:tc>
          <w:tcPr>
            <w:tcW w:w="1116" w:type="dxa"/>
            <w:noWrap/>
            <w:hideMark/>
          </w:tcPr>
          <w:p w14:paraId="2E0D4BF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MS</w:t>
            </w:r>
          </w:p>
        </w:tc>
        <w:tc>
          <w:tcPr>
            <w:tcW w:w="1116" w:type="dxa"/>
            <w:noWrap/>
            <w:hideMark/>
          </w:tcPr>
          <w:p w14:paraId="4F2705E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w:t>
            </w:r>
          </w:p>
        </w:tc>
        <w:tc>
          <w:tcPr>
            <w:tcW w:w="1266" w:type="dxa"/>
            <w:noWrap/>
            <w:hideMark/>
          </w:tcPr>
          <w:p w14:paraId="271A9FA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P-value</w:t>
            </w:r>
          </w:p>
        </w:tc>
        <w:tc>
          <w:tcPr>
            <w:tcW w:w="996" w:type="dxa"/>
            <w:noWrap/>
            <w:hideMark/>
          </w:tcPr>
          <w:p w14:paraId="436C762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 crit</w:t>
            </w:r>
          </w:p>
        </w:tc>
      </w:tr>
      <w:tr w:rsidR="00051297" w:rsidRPr="00051297" w14:paraId="5B569788" w14:textId="77777777" w:rsidTr="00D20B01">
        <w:trPr>
          <w:trHeight w:val="300"/>
          <w:jc w:val="center"/>
        </w:trPr>
        <w:tc>
          <w:tcPr>
            <w:tcW w:w="1735" w:type="dxa"/>
            <w:noWrap/>
            <w:hideMark/>
          </w:tcPr>
          <w:p w14:paraId="2439A29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Between Groups</w:t>
            </w:r>
          </w:p>
        </w:tc>
        <w:tc>
          <w:tcPr>
            <w:tcW w:w="1116" w:type="dxa"/>
            <w:noWrap/>
            <w:hideMark/>
          </w:tcPr>
          <w:p w14:paraId="521FA71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4.134524</w:t>
            </w:r>
          </w:p>
        </w:tc>
        <w:tc>
          <w:tcPr>
            <w:tcW w:w="1116" w:type="dxa"/>
            <w:noWrap/>
            <w:hideMark/>
          </w:tcPr>
          <w:p w14:paraId="235AF41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5</w:t>
            </w:r>
          </w:p>
        </w:tc>
        <w:tc>
          <w:tcPr>
            <w:tcW w:w="1116" w:type="dxa"/>
            <w:noWrap/>
            <w:hideMark/>
          </w:tcPr>
          <w:p w14:paraId="7352765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0.826905</w:t>
            </w:r>
          </w:p>
        </w:tc>
        <w:tc>
          <w:tcPr>
            <w:tcW w:w="1116" w:type="dxa"/>
            <w:noWrap/>
            <w:hideMark/>
          </w:tcPr>
          <w:p w14:paraId="3D93921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10.24486</w:t>
            </w:r>
          </w:p>
        </w:tc>
        <w:tc>
          <w:tcPr>
            <w:tcW w:w="1266" w:type="dxa"/>
            <w:noWrap/>
            <w:hideMark/>
          </w:tcPr>
          <w:p w14:paraId="61597BE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3.41</w:t>
            </w:r>
            <w:r w:rsidRPr="00051297">
              <w:rPr>
                <w:lang w:eastAsia="pl-PL"/>
              </w:rPr>
              <w:t>× 10</w:t>
            </w:r>
            <w:r w:rsidRPr="00051297">
              <w:rPr>
                <w:vertAlign w:val="superscript"/>
                <w:lang w:eastAsia="pl-PL"/>
              </w:rPr>
              <w:t>−9</w:t>
            </w:r>
          </w:p>
        </w:tc>
        <w:tc>
          <w:tcPr>
            <w:tcW w:w="996" w:type="dxa"/>
            <w:noWrap/>
            <w:hideMark/>
          </w:tcPr>
          <w:p w14:paraId="40F392E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2.23906</w:t>
            </w:r>
          </w:p>
        </w:tc>
      </w:tr>
      <w:tr w:rsidR="00051297" w:rsidRPr="00051297" w14:paraId="51A3036B" w14:textId="77777777" w:rsidTr="00D20B01">
        <w:trPr>
          <w:trHeight w:val="300"/>
          <w:jc w:val="center"/>
        </w:trPr>
        <w:tc>
          <w:tcPr>
            <w:tcW w:w="1735" w:type="dxa"/>
            <w:noWrap/>
            <w:hideMark/>
          </w:tcPr>
          <w:p w14:paraId="2400156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Within Groups</w:t>
            </w:r>
          </w:p>
        </w:tc>
        <w:tc>
          <w:tcPr>
            <w:tcW w:w="1116" w:type="dxa"/>
            <w:noWrap/>
            <w:hideMark/>
          </w:tcPr>
          <w:p w14:paraId="3242A1F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29.05709</w:t>
            </w:r>
          </w:p>
        </w:tc>
        <w:tc>
          <w:tcPr>
            <w:tcW w:w="1116" w:type="dxa"/>
            <w:noWrap/>
            <w:hideMark/>
          </w:tcPr>
          <w:p w14:paraId="414CFA8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360</w:t>
            </w:r>
          </w:p>
        </w:tc>
        <w:tc>
          <w:tcPr>
            <w:tcW w:w="1116" w:type="dxa"/>
            <w:noWrap/>
            <w:hideMark/>
          </w:tcPr>
          <w:p w14:paraId="4134709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0.080714</w:t>
            </w:r>
          </w:p>
        </w:tc>
        <w:tc>
          <w:tcPr>
            <w:tcW w:w="1116" w:type="dxa"/>
            <w:noWrap/>
            <w:hideMark/>
          </w:tcPr>
          <w:p w14:paraId="13D09013" w14:textId="77777777" w:rsidR="00051297" w:rsidRPr="00051297" w:rsidRDefault="00051297" w:rsidP="00051297">
            <w:pPr>
              <w:spacing w:line="240" w:lineRule="auto"/>
              <w:ind w:firstLine="0"/>
              <w:jc w:val="center"/>
              <w:rPr>
                <w:rFonts w:cs="Times New Roman"/>
                <w:lang w:val="en-US"/>
              </w:rPr>
            </w:pPr>
          </w:p>
        </w:tc>
        <w:tc>
          <w:tcPr>
            <w:tcW w:w="1266" w:type="dxa"/>
            <w:noWrap/>
            <w:hideMark/>
          </w:tcPr>
          <w:p w14:paraId="4333F15C" w14:textId="77777777" w:rsidR="00051297" w:rsidRPr="00051297" w:rsidRDefault="00051297" w:rsidP="00051297">
            <w:pPr>
              <w:spacing w:line="240" w:lineRule="auto"/>
              <w:ind w:firstLine="0"/>
              <w:jc w:val="center"/>
              <w:rPr>
                <w:rFonts w:cs="Times New Roman"/>
                <w:lang w:val="en-US"/>
              </w:rPr>
            </w:pPr>
          </w:p>
        </w:tc>
        <w:tc>
          <w:tcPr>
            <w:tcW w:w="996" w:type="dxa"/>
            <w:noWrap/>
            <w:hideMark/>
          </w:tcPr>
          <w:p w14:paraId="3ABF22B3" w14:textId="77777777" w:rsidR="00051297" w:rsidRPr="00051297" w:rsidRDefault="00051297" w:rsidP="00051297">
            <w:pPr>
              <w:spacing w:line="240" w:lineRule="auto"/>
              <w:ind w:firstLine="0"/>
              <w:jc w:val="center"/>
              <w:rPr>
                <w:rFonts w:cs="Times New Roman"/>
                <w:lang w:val="en-US"/>
              </w:rPr>
            </w:pPr>
          </w:p>
        </w:tc>
      </w:tr>
      <w:tr w:rsidR="00051297" w:rsidRPr="00051297" w14:paraId="06E1359F" w14:textId="77777777" w:rsidTr="00D20B01">
        <w:trPr>
          <w:trHeight w:val="300"/>
          <w:jc w:val="center"/>
        </w:trPr>
        <w:tc>
          <w:tcPr>
            <w:tcW w:w="1735" w:type="dxa"/>
            <w:noWrap/>
            <w:hideMark/>
          </w:tcPr>
          <w:p w14:paraId="75C70A44"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6FE1D035"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44FD64AF"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480C68E9"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1F219C98" w14:textId="77777777" w:rsidR="00051297" w:rsidRPr="00051297" w:rsidRDefault="00051297" w:rsidP="00051297">
            <w:pPr>
              <w:spacing w:line="240" w:lineRule="auto"/>
              <w:ind w:firstLine="0"/>
              <w:jc w:val="center"/>
              <w:rPr>
                <w:rFonts w:cs="Times New Roman"/>
                <w:lang w:val="en-US"/>
              </w:rPr>
            </w:pPr>
          </w:p>
        </w:tc>
        <w:tc>
          <w:tcPr>
            <w:tcW w:w="1266" w:type="dxa"/>
            <w:noWrap/>
            <w:hideMark/>
          </w:tcPr>
          <w:p w14:paraId="678146E9" w14:textId="77777777" w:rsidR="00051297" w:rsidRPr="00051297" w:rsidRDefault="00051297" w:rsidP="00051297">
            <w:pPr>
              <w:spacing w:line="240" w:lineRule="auto"/>
              <w:ind w:firstLine="0"/>
              <w:jc w:val="center"/>
              <w:rPr>
                <w:rFonts w:cs="Times New Roman"/>
                <w:lang w:val="en-US"/>
              </w:rPr>
            </w:pPr>
          </w:p>
        </w:tc>
        <w:tc>
          <w:tcPr>
            <w:tcW w:w="996" w:type="dxa"/>
            <w:noWrap/>
            <w:hideMark/>
          </w:tcPr>
          <w:p w14:paraId="658A54B9" w14:textId="77777777" w:rsidR="00051297" w:rsidRPr="00051297" w:rsidRDefault="00051297" w:rsidP="00051297">
            <w:pPr>
              <w:spacing w:line="240" w:lineRule="auto"/>
              <w:ind w:firstLine="0"/>
              <w:jc w:val="center"/>
              <w:rPr>
                <w:rFonts w:cs="Times New Roman"/>
                <w:lang w:val="en-US"/>
              </w:rPr>
            </w:pPr>
          </w:p>
        </w:tc>
      </w:tr>
      <w:tr w:rsidR="00051297" w:rsidRPr="00051297" w14:paraId="7846A07B" w14:textId="77777777" w:rsidTr="00D20B01">
        <w:trPr>
          <w:trHeight w:val="315"/>
          <w:jc w:val="center"/>
        </w:trPr>
        <w:tc>
          <w:tcPr>
            <w:tcW w:w="1735" w:type="dxa"/>
            <w:noWrap/>
            <w:hideMark/>
          </w:tcPr>
          <w:p w14:paraId="08D2C44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Total</w:t>
            </w:r>
          </w:p>
        </w:tc>
        <w:tc>
          <w:tcPr>
            <w:tcW w:w="1116" w:type="dxa"/>
            <w:noWrap/>
            <w:hideMark/>
          </w:tcPr>
          <w:p w14:paraId="18C044B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33.19161</w:t>
            </w:r>
          </w:p>
        </w:tc>
        <w:tc>
          <w:tcPr>
            <w:tcW w:w="1116" w:type="dxa"/>
            <w:noWrap/>
            <w:hideMark/>
          </w:tcPr>
          <w:p w14:paraId="2317E19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365</w:t>
            </w:r>
          </w:p>
        </w:tc>
        <w:tc>
          <w:tcPr>
            <w:tcW w:w="1116" w:type="dxa"/>
            <w:noWrap/>
            <w:hideMark/>
          </w:tcPr>
          <w:p w14:paraId="6635320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16" w:type="dxa"/>
            <w:noWrap/>
            <w:hideMark/>
          </w:tcPr>
          <w:p w14:paraId="21CDBCF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266" w:type="dxa"/>
            <w:noWrap/>
            <w:hideMark/>
          </w:tcPr>
          <w:p w14:paraId="6CD6476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996" w:type="dxa"/>
            <w:noWrap/>
            <w:hideMark/>
          </w:tcPr>
          <w:p w14:paraId="737F5E0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r>
    </w:tbl>
    <w:p w14:paraId="58FC77C6" w14:textId="77777777" w:rsidR="006568FB" w:rsidRDefault="006568FB" w:rsidP="006568FB">
      <w:pPr>
        <w:rPr>
          <w:lang w:val="en-US"/>
        </w:rPr>
      </w:pPr>
      <w:bookmarkStart w:id="1232" w:name="_Toc97504871"/>
      <w:bookmarkStart w:id="1233" w:name="_Toc103544006"/>
    </w:p>
    <w:p w14:paraId="14CEDD36" w14:textId="60B348CB" w:rsidR="00051297" w:rsidRPr="00051297" w:rsidRDefault="00051297" w:rsidP="00C925D9">
      <w:pPr>
        <w:pStyle w:val="4"/>
        <w:rPr>
          <w:lang w:val="en-US"/>
        </w:rPr>
      </w:pPr>
      <w:bookmarkStart w:id="1234" w:name="_Toc104985331"/>
      <w:r w:rsidRPr="00051297">
        <w:rPr>
          <w:lang w:val="en-US"/>
        </w:rPr>
        <w:t>At the reduced operating level</w:t>
      </w:r>
      <w:bookmarkEnd w:id="1232"/>
      <w:bookmarkEnd w:id="1233"/>
      <w:bookmarkEnd w:id="1234"/>
    </w:p>
    <w:p w14:paraId="5F092F4A" w14:textId="77777777" w:rsidR="00051297" w:rsidRPr="00051297" w:rsidRDefault="00051297" w:rsidP="00051297">
      <w:pPr>
        <w:rPr>
          <w:rFonts w:cs="Times New Roman"/>
          <w:szCs w:val="24"/>
          <w:lang w:val="en-GB" w:eastAsia="pl-PL"/>
        </w:rPr>
      </w:pPr>
      <w:r w:rsidRPr="00051297">
        <w:rPr>
          <w:rFonts w:cs="Times New Roman"/>
          <w:szCs w:val="24"/>
          <w:lang w:val="en-GB" w:eastAsia="pl-PL"/>
        </w:rPr>
        <w:t>In this study, the long-term water level was reduced to almost half of the embankment and then subjected to both seepage and slope stability analysis. The operating water level reduction was made to capture the effect of the rapid drawdown when the long-term operating reservoir water level has significantly reduced in the reservoir, whereby land use and land cover change, and climatic conditions are among the crucial factors leading to such a phenomenon.</w:t>
      </w:r>
    </w:p>
    <w:p w14:paraId="7E681F71" w14:textId="488C9A22" w:rsidR="00051297" w:rsidRPr="00051297" w:rsidRDefault="00051297" w:rsidP="00C925D9">
      <w:pPr>
        <w:pStyle w:val="5"/>
        <w:rPr>
          <w:lang w:bidi="en-US"/>
        </w:rPr>
      </w:pPr>
      <w:bookmarkStart w:id="1235" w:name="_Toc97504872"/>
      <w:bookmarkStart w:id="1236" w:name="_Toc103544007"/>
      <w:bookmarkStart w:id="1237" w:name="_Toc104985332"/>
      <w:r w:rsidRPr="00051297">
        <w:rPr>
          <w:lang w:bidi="en-US"/>
        </w:rPr>
        <w:t>Seepage analysis</w:t>
      </w:r>
      <w:bookmarkEnd w:id="1235"/>
      <w:bookmarkEnd w:id="1236"/>
      <w:bookmarkEnd w:id="1237"/>
    </w:p>
    <w:p w14:paraId="7B8B3206" w14:textId="6842871A" w:rsidR="00051297" w:rsidRPr="00051297" w:rsidRDefault="00051297" w:rsidP="00051297">
      <w:pPr>
        <w:rPr>
          <w:rFonts w:cs="Times New Roman"/>
          <w:szCs w:val="24"/>
          <w:lang w:val="en-US" w:bidi="en-US"/>
        </w:rPr>
      </w:pPr>
      <w:r w:rsidRPr="00051297">
        <w:rPr>
          <w:rFonts w:cs="Times New Roman"/>
          <w:szCs w:val="24"/>
          <w:lang w:val="en-US" w:bidi="en-US"/>
        </w:rPr>
        <w:t xml:space="preserve">From </w:t>
      </w:r>
      <w:r w:rsidRPr="00051297">
        <w:rPr>
          <w:rFonts w:cs="Times New Roman"/>
          <w:szCs w:val="24"/>
          <w:lang w:val="en-US" w:bidi="en-US"/>
        </w:rPr>
        <w:fldChar w:fldCharType="begin"/>
      </w:r>
      <w:r w:rsidRPr="00051297">
        <w:rPr>
          <w:rFonts w:cs="Times New Roman"/>
          <w:szCs w:val="24"/>
          <w:lang w:val="en-US" w:bidi="en-US"/>
        </w:rPr>
        <w:instrText xml:space="preserve"> REF _Ref98107224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22</w:t>
      </w:r>
      <w:r w:rsidRPr="00051297">
        <w:rPr>
          <w:rFonts w:cs="Times New Roman"/>
          <w:szCs w:val="24"/>
          <w:lang w:val="en-US" w:bidi="en-US"/>
        </w:rPr>
        <w:fldChar w:fldCharType="end"/>
      </w:r>
      <w:r w:rsidRPr="00051297">
        <w:rPr>
          <w:rFonts w:cs="Times New Roman"/>
          <w:szCs w:val="24"/>
          <w:lang w:val="en-US" w:bidi="en-US"/>
        </w:rPr>
        <w:t xml:space="preserve"> (presenting the long-term steady-state results under reduced operating level), we understand that the first three zones of the embankment are subjected to excess pore-water pressure as the long-term operating reservoir waster was reduced to almost a half of the embankment. The pore water pressure is critical for distinguishing total stress from effective stress in soil. For precise field calculations, a reliable depiction of soil stress is required. The phenomenon observed in </w:t>
      </w:r>
      <w:r w:rsidRPr="00051297">
        <w:rPr>
          <w:rFonts w:cs="Times New Roman"/>
          <w:szCs w:val="24"/>
          <w:lang w:val="en-US" w:bidi="en-US"/>
        </w:rPr>
        <w:fldChar w:fldCharType="begin"/>
      </w:r>
      <w:r w:rsidRPr="00051297">
        <w:rPr>
          <w:rFonts w:cs="Times New Roman"/>
          <w:szCs w:val="24"/>
          <w:lang w:val="en-US" w:bidi="en-US"/>
        </w:rPr>
        <w:instrText xml:space="preserve"> REF _Ref98107224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22</w:t>
      </w:r>
      <w:r w:rsidRPr="00051297">
        <w:rPr>
          <w:rFonts w:cs="Times New Roman"/>
          <w:szCs w:val="24"/>
          <w:lang w:val="en-US" w:bidi="en-US"/>
        </w:rPr>
        <w:fldChar w:fldCharType="end"/>
      </w:r>
      <w:r w:rsidRPr="00051297">
        <w:rPr>
          <w:rFonts w:cs="Times New Roman"/>
          <w:szCs w:val="24"/>
          <w:lang w:val="en-US" w:bidi="en-US"/>
        </w:rPr>
        <w:t xml:space="preserve"> may suggest that when the reservoir operating water level is reduced, then the upstream zone of the embankment should be of more non-cohesive materials. </w:t>
      </w:r>
    </w:p>
    <w:p w14:paraId="12E4C151" w14:textId="07687FF3" w:rsidR="00051297" w:rsidRPr="00051297" w:rsidRDefault="00A64A69" w:rsidP="00051297">
      <w:pPr>
        <w:keepNext/>
        <w:ind w:firstLine="0"/>
        <w:rPr>
          <w:rFonts w:cs="Times New Roman"/>
          <w:szCs w:val="24"/>
        </w:rPr>
      </w:pPr>
      <w:r>
        <w:rPr>
          <w:noProof/>
        </w:rPr>
        <w:lastRenderedPageBreak/>
        <w:drawing>
          <wp:inline distT="0" distB="0" distL="0" distR="0" wp14:anchorId="2FE3632B" wp14:editId="0132688B">
            <wp:extent cx="5939790" cy="2097405"/>
            <wp:effectExtent l="0" t="0" r="381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39790" cy="2097405"/>
                    </a:xfrm>
                    <a:prstGeom prst="rect">
                      <a:avLst/>
                    </a:prstGeom>
                    <a:noFill/>
                    <a:ln>
                      <a:noFill/>
                    </a:ln>
                  </pic:spPr>
                </pic:pic>
              </a:graphicData>
            </a:graphic>
          </wp:inline>
        </w:drawing>
      </w:r>
    </w:p>
    <w:p w14:paraId="6CD8EE21" w14:textId="1736854D" w:rsidR="00051297" w:rsidRPr="00051297" w:rsidRDefault="00051297" w:rsidP="00051297">
      <w:pPr>
        <w:ind w:firstLine="0"/>
        <w:jc w:val="center"/>
        <w:rPr>
          <w:rFonts w:cs="Times New Roman"/>
          <w:szCs w:val="24"/>
          <w:lang w:val="en-US" w:bidi="en-US"/>
        </w:rPr>
      </w:pPr>
      <w:bookmarkStart w:id="1238" w:name="_Ref98107224"/>
      <w:bookmarkStart w:id="1239" w:name="_Toc97428285"/>
      <w:bookmarkStart w:id="1240" w:name="_Toc98085960"/>
      <w:bookmarkStart w:id="1241" w:name="_Toc103544155"/>
      <w:bookmarkStart w:id="1242" w:name="_Toc104985481"/>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22</w:t>
      </w:r>
      <w:r w:rsidR="00527861">
        <w:rPr>
          <w:rFonts w:cs="Times New Roman"/>
          <w:szCs w:val="24"/>
          <w:lang w:val="en-US" w:bidi="en-US"/>
        </w:rPr>
        <w:fldChar w:fldCharType="end"/>
      </w:r>
      <w:bookmarkEnd w:id="1238"/>
      <w:r w:rsidRPr="00051297">
        <w:rPr>
          <w:lang w:val="en-US"/>
        </w:rPr>
        <w:t xml:space="preserve"> </w:t>
      </w:r>
      <w:r w:rsidRPr="00051297">
        <w:rPr>
          <w:rFonts w:cs="Times New Roman"/>
          <w:szCs w:val="24"/>
          <w:lang w:val="en-US" w:bidi="en-US"/>
        </w:rPr>
        <w:t>– Steady-state seepage under the reduced operating water level</w:t>
      </w:r>
      <w:bookmarkEnd w:id="1239"/>
      <w:bookmarkEnd w:id="1240"/>
      <w:bookmarkEnd w:id="1241"/>
      <w:bookmarkEnd w:id="1242"/>
    </w:p>
    <w:p w14:paraId="5934608C" w14:textId="78D84552" w:rsidR="00051297" w:rsidRPr="00051297" w:rsidRDefault="00051297" w:rsidP="00051297">
      <w:pPr>
        <w:rPr>
          <w:rFonts w:cs="Times New Roman"/>
          <w:szCs w:val="24"/>
          <w:lang w:bidi="en-US"/>
        </w:rPr>
      </w:pPr>
      <w:r w:rsidRPr="00051297">
        <w:rPr>
          <w:rFonts w:cs="Times New Roman"/>
          <w:szCs w:val="24"/>
          <w:lang w:val="en-US" w:bidi="en-US"/>
        </w:rPr>
        <w:fldChar w:fldCharType="begin"/>
      </w:r>
      <w:r w:rsidRPr="00051297">
        <w:rPr>
          <w:rFonts w:cs="Times New Roman"/>
          <w:szCs w:val="24"/>
          <w:lang w:val="en-US" w:bidi="en-US"/>
        </w:rPr>
        <w:instrText xml:space="preserve"> REF _Ref98107263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rFonts w:cs="Times New Roman"/>
          <w:szCs w:val="24"/>
          <w:lang w:val="en-US" w:bidi="en-US"/>
        </w:rPr>
        <w:t xml:space="preserve">Figure </w:t>
      </w:r>
      <w:r w:rsidR="004870F1">
        <w:rPr>
          <w:rFonts w:cs="Times New Roman"/>
          <w:noProof/>
          <w:szCs w:val="24"/>
          <w:lang w:val="en-US" w:bidi="en-US"/>
        </w:rPr>
        <w:t>5</w:t>
      </w:r>
      <w:r w:rsidR="004870F1">
        <w:rPr>
          <w:rFonts w:cs="Times New Roman"/>
          <w:szCs w:val="24"/>
          <w:lang w:val="en-US" w:bidi="en-US"/>
        </w:rPr>
        <w:t>.</w:t>
      </w:r>
      <w:r w:rsidR="004870F1">
        <w:rPr>
          <w:rFonts w:cs="Times New Roman"/>
          <w:noProof/>
          <w:szCs w:val="24"/>
          <w:lang w:val="en-US" w:bidi="en-US"/>
        </w:rPr>
        <w:t>23</w:t>
      </w:r>
      <w:r w:rsidRPr="00051297">
        <w:rPr>
          <w:rFonts w:cs="Times New Roman"/>
          <w:szCs w:val="24"/>
          <w:lang w:val="en-US" w:bidi="en-US"/>
        </w:rPr>
        <w:fldChar w:fldCharType="end"/>
      </w:r>
      <w:r w:rsidRPr="00051297">
        <w:rPr>
          <w:rFonts w:cs="Times New Roman"/>
          <w:szCs w:val="24"/>
          <w:lang w:val="en-US" w:bidi="en-US"/>
        </w:rPr>
        <w:t xml:space="preserve"> presents the results of the</w:t>
      </w:r>
      <w:r w:rsidRPr="00051297">
        <w:rPr>
          <w:rFonts w:cs="Times New Roman"/>
          <w:szCs w:val="24"/>
          <w:lang w:val="en-US"/>
        </w:rPr>
        <w:t xml:space="preserve"> </w:t>
      </w:r>
      <w:r w:rsidRPr="00051297">
        <w:rPr>
          <w:rFonts w:cs="Times New Roman"/>
          <w:szCs w:val="24"/>
          <w:lang w:val="en-US" w:bidi="en-US"/>
        </w:rPr>
        <w:t xml:space="preserve">instantaneous (worst assumed scenario) drawdown seepage under the reduced operating water level. Even after the water in the reservoir has been completely drained, the pore-water pressures in the embankment remain quite high, as seen by the piezometric lines in the figure. If an embankment is erected over a high cohesive material foundation, the material may experience a temporary situation of excess pore pressure, according to the literature. The extra pore pressure within the soil cannot easily disperse due to its low permeability. The higher pore pressure can therefore lead to decreased safety factors and probable failure in a non-steady-state condition </w:t>
      </w:r>
      <w:r w:rsidRPr="00051297">
        <w:rPr>
          <w:rFonts w:cs="Times New Roman"/>
          <w:szCs w:val="24"/>
          <w:lang w:bidi="en-US"/>
        </w:rPr>
        <w:fldChar w:fldCharType="begin" w:fldLock="1"/>
      </w:r>
      <w:r w:rsidR="0044426E">
        <w:rPr>
          <w:rFonts w:cs="Times New Roman"/>
          <w:szCs w:val="24"/>
          <w:lang w:val="en-US" w:bidi="en-US"/>
        </w:rPr>
        <w:instrText>ADDIN CSL_CITATION {"citationItems":[{"id":"ITEM-1","itemData":{"DOI":"10.1061/(ASCE)GT.1943-5606.0002118","ISSN":"1090-0241","abstract":"© 2019 American Society of Civil Engineers. A failed embankment on a cement deep mixing (CDM)-formed column-improved soft clay deposit in Saga, Japan, has been reported and analyzed. Based on the results of the field investigation and numerical simulation, the postulated failure mechanism is that columns under the failed section failed by bending (tension), which caused the whole embankment system to collapse. However, bending failure of columns is not necessarily checked in the current design process in Japan. In addition, it has been found that the limited number of all-core boring checks as adopted in Japan cannot guarantee the quality of all constructed columns, and development of a more robust field quality-control technique is urgently needed. It has also been found that for an embankment system with a lower factor of safety, relatively large deformation of the system may cause cracks in the embankment; at the cracked locations, the shear strength (su) will practically reduce to zero. This phenomenon has to be considered in deformation and stability analyses. Finally, the numerical results indicate that in the design of a reinforced embankment slope on a soft clay deposit, both the stability of the reinforced slope itself and the interaction between the embankment and soft clay deposit should be considered.","author":[{"dropping-particle":"","family":"Chai","given":"Jinchun","non-dropping-particle":"","parse-names":false,"suffix":""},{"dropping-particle":"","family":"Shrestha","given":"Sailesh","non-dropping-particle":"","parse-names":false,"suffix":""},{"dropping-particle":"","family":"Hino","given":"Takenori","non-dropping-particle":"","parse-names":false,"suffix":""}],"container-title":"Journal of Geotechnical and Geoenvironmental Engineering","id":"ITEM-1","issue":"9","issued":{"date-parts":[["2019","9"]]},"page":"05019006","title":"Failure of an Embankment on Soil-Cement Column–Improved Clay Deposit: Investigation and Analysis","type":"article-journal","volume":"145"},"uris":["http://www.mendeley.com/documents/?uuid=f8aad5c5-72b9-4d98-a802-3abaafc66dd5","http://www.mendeley.com/documents/?uuid=032a49f7-e404-458c-9045-0f27ed72b36f","http://www.mendeley.com/documents/?uuid=181588d6-7237-41f9-a993-f1a704c49703"]}],"mendeley":{"formattedCitation":"[286]","plainTextFormattedCitation":"[286]","previouslyFormattedCitation":"[286]"},"properties":{"noteIndex":0},"schema":"https://github.com/citation-style-language/schema/raw/master/csl-citation.json"}</w:instrText>
      </w:r>
      <w:r w:rsidRPr="00051297">
        <w:rPr>
          <w:rFonts w:cs="Times New Roman"/>
          <w:szCs w:val="24"/>
          <w:lang w:bidi="en-US"/>
        </w:rPr>
        <w:fldChar w:fldCharType="separate"/>
      </w:r>
      <w:r w:rsidR="00FA5896" w:rsidRPr="00FA5896">
        <w:rPr>
          <w:rFonts w:cs="Times New Roman"/>
          <w:noProof/>
          <w:szCs w:val="24"/>
          <w:lang w:bidi="en-US"/>
        </w:rPr>
        <w:t>[286]</w:t>
      </w:r>
      <w:r w:rsidRPr="00051297">
        <w:rPr>
          <w:rFonts w:cs="Times New Roman"/>
          <w:szCs w:val="24"/>
          <w:lang w:bidi="en-US"/>
        </w:rPr>
        <w:fldChar w:fldCharType="end"/>
      </w:r>
      <w:r w:rsidRPr="00051297">
        <w:rPr>
          <w:rFonts w:cs="Times New Roman"/>
          <w:szCs w:val="24"/>
          <w:lang w:bidi="en-US"/>
        </w:rPr>
        <w:t>.</w:t>
      </w:r>
    </w:p>
    <w:p w14:paraId="4968BEBD" w14:textId="1AB7E4ED" w:rsidR="00051297" w:rsidRPr="00051297" w:rsidRDefault="00E957A3" w:rsidP="00051297">
      <w:pPr>
        <w:keepNext/>
        <w:ind w:firstLine="0"/>
        <w:rPr>
          <w:rFonts w:cs="Times New Roman"/>
          <w:szCs w:val="24"/>
        </w:rPr>
      </w:pPr>
      <w:r>
        <w:rPr>
          <w:noProof/>
        </w:rPr>
        <w:drawing>
          <wp:inline distT="0" distB="0" distL="0" distR="0" wp14:anchorId="6CC3ED82" wp14:editId="05E13B12">
            <wp:extent cx="5939790" cy="2081530"/>
            <wp:effectExtent l="0" t="0" r="381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39790" cy="2081530"/>
                    </a:xfrm>
                    <a:prstGeom prst="rect">
                      <a:avLst/>
                    </a:prstGeom>
                    <a:noFill/>
                    <a:ln>
                      <a:noFill/>
                    </a:ln>
                  </pic:spPr>
                </pic:pic>
              </a:graphicData>
            </a:graphic>
          </wp:inline>
        </w:drawing>
      </w:r>
    </w:p>
    <w:p w14:paraId="526A375E" w14:textId="40E864AA" w:rsidR="00051297" w:rsidRPr="00051297" w:rsidRDefault="00051297" w:rsidP="00051297">
      <w:pPr>
        <w:ind w:firstLine="0"/>
        <w:jc w:val="center"/>
        <w:rPr>
          <w:rFonts w:cs="Times New Roman"/>
          <w:szCs w:val="24"/>
          <w:lang w:val="en-US" w:bidi="en-US"/>
        </w:rPr>
      </w:pPr>
      <w:bookmarkStart w:id="1243" w:name="_Ref98107263"/>
      <w:bookmarkStart w:id="1244" w:name="_Toc97428286"/>
      <w:bookmarkStart w:id="1245" w:name="_Toc98085961"/>
      <w:bookmarkStart w:id="1246" w:name="_Toc103544156"/>
      <w:bookmarkStart w:id="1247" w:name="_Toc104985482"/>
      <w:r w:rsidRPr="00051297">
        <w:rPr>
          <w:rFonts w:cs="Times New Roman"/>
          <w:szCs w:val="24"/>
          <w:lang w:val="en-US" w:bidi="en-US"/>
        </w:rPr>
        <w:t xml:space="preserve">Figure </w:t>
      </w:r>
      <w:r w:rsidR="00527861">
        <w:rPr>
          <w:rFonts w:cs="Times New Roman"/>
          <w:szCs w:val="24"/>
          <w:lang w:val="en-US" w:bidi="en-US"/>
        </w:rPr>
        <w:fldChar w:fldCharType="begin"/>
      </w:r>
      <w:r w:rsidR="00527861">
        <w:rPr>
          <w:rFonts w:cs="Times New Roman"/>
          <w:szCs w:val="24"/>
          <w:lang w:val="en-US" w:bidi="en-US"/>
        </w:rPr>
        <w:instrText xml:space="preserve"> STYLEREF 1 \s </w:instrText>
      </w:r>
      <w:r w:rsidR="00527861">
        <w:rPr>
          <w:rFonts w:cs="Times New Roman"/>
          <w:szCs w:val="24"/>
          <w:lang w:val="en-US" w:bidi="en-US"/>
        </w:rPr>
        <w:fldChar w:fldCharType="separate"/>
      </w:r>
      <w:r w:rsidR="004870F1">
        <w:rPr>
          <w:rFonts w:cs="Times New Roman"/>
          <w:noProof/>
          <w:szCs w:val="24"/>
          <w:lang w:val="en-US" w:bidi="en-US"/>
        </w:rPr>
        <w:t>5</w:t>
      </w:r>
      <w:r w:rsidR="00527861">
        <w:rPr>
          <w:rFonts w:cs="Times New Roman"/>
          <w:szCs w:val="24"/>
          <w:lang w:val="en-US" w:bidi="en-US"/>
        </w:rPr>
        <w:fldChar w:fldCharType="end"/>
      </w:r>
      <w:r w:rsidR="00527861">
        <w:rPr>
          <w:rFonts w:cs="Times New Roman"/>
          <w:szCs w:val="24"/>
          <w:lang w:val="en-US" w:bidi="en-US"/>
        </w:rPr>
        <w:t>.</w:t>
      </w:r>
      <w:r w:rsidR="00527861">
        <w:rPr>
          <w:rFonts w:cs="Times New Roman"/>
          <w:szCs w:val="24"/>
          <w:lang w:val="en-US" w:bidi="en-US"/>
        </w:rPr>
        <w:fldChar w:fldCharType="begin"/>
      </w:r>
      <w:r w:rsidR="00527861">
        <w:rPr>
          <w:rFonts w:cs="Times New Roman"/>
          <w:szCs w:val="24"/>
          <w:lang w:val="en-US" w:bidi="en-US"/>
        </w:rPr>
        <w:instrText xml:space="preserve"> SEQ Figure \* ARABIC \s 1 </w:instrText>
      </w:r>
      <w:r w:rsidR="00527861">
        <w:rPr>
          <w:rFonts w:cs="Times New Roman"/>
          <w:szCs w:val="24"/>
          <w:lang w:val="en-US" w:bidi="en-US"/>
        </w:rPr>
        <w:fldChar w:fldCharType="separate"/>
      </w:r>
      <w:r w:rsidR="004870F1">
        <w:rPr>
          <w:rFonts w:cs="Times New Roman"/>
          <w:noProof/>
          <w:szCs w:val="24"/>
          <w:lang w:val="en-US" w:bidi="en-US"/>
        </w:rPr>
        <w:t>23</w:t>
      </w:r>
      <w:r w:rsidR="00527861">
        <w:rPr>
          <w:rFonts w:cs="Times New Roman"/>
          <w:szCs w:val="24"/>
          <w:lang w:val="en-US" w:bidi="en-US"/>
        </w:rPr>
        <w:fldChar w:fldCharType="end"/>
      </w:r>
      <w:bookmarkEnd w:id="1243"/>
      <w:r w:rsidRPr="00051297">
        <w:rPr>
          <w:lang w:val="en-US"/>
        </w:rPr>
        <w:t xml:space="preserve"> </w:t>
      </w:r>
      <w:r w:rsidRPr="00051297">
        <w:rPr>
          <w:rFonts w:cs="Times New Roman"/>
          <w:szCs w:val="24"/>
          <w:lang w:val="en-US" w:bidi="en-US"/>
        </w:rPr>
        <w:t>– Instantaneous drawdown seepage under the reduced operating water level</w:t>
      </w:r>
      <w:bookmarkEnd w:id="1244"/>
      <w:bookmarkEnd w:id="1245"/>
      <w:bookmarkEnd w:id="1246"/>
      <w:bookmarkEnd w:id="1247"/>
    </w:p>
    <w:p w14:paraId="4FDB01C4" w14:textId="3CDB4818" w:rsidR="00051297" w:rsidRPr="00051297" w:rsidRDefault="00051297" w:rsidP="00051297">
      <w:pPr>
        <w:rPr>
          <w:rFonts w:cs="Times New Roman"/>
          <w:szCs w:val="24"/>
          <w:lang w:val="en-US"/>
        </w:rPr>
      </w:pPr>
      <w:r w:rsidRPr="00051297">
        <w:rPr>
          <w:rFonts w:cs="Times New Roman"/>
          <w:szCs w:val="24"/>
          <w:lang w:val="en-US"/>
        </w:rPr>
        <w:t xml:space="preserve">After the instantaneous drawdown scenario, the drawdown rate was then reduced to 5 days, whereby the results of the 5 days drawdown seepage under reduced operating water level are shown in </w:t>
      </w:r>
      <w:r w:rsidRPr="00051297">
        <w:rPr>
          <w:rFonts w:cs="Times New Roman"/>
          <w:szCs w:val="24"/>
          <w:lang w:val="en-US"/>
        </w:rPr>
        <w:fldChar w:fldCharType="begin"/>
      </w:r>
      <w:r w:rsidRPr="00051297">
        <w:rPr>
          <w:rFonts w:cs="Times New Roman"/>
          <w:szCs w:val="24"/>
          <w:lang w:val="en-US"/>
        </w:rPr>
        <w:instrText xml:space="preserve"> REF _Ref98107285 \h </w:instrText>
      </w:r>
      <w:r w:rsidRPr="00051297">
        <w:rPr>
          <w:rFonts w:cs="Times New Roman"/>
          <w:szCs w:val="24"/>
          <w:lang w:val="en-US"/>
        </w:rPr>
      </w:r>
      <w:r w:rsidRPr="00051297">
        <w:rPr>
          <w:rFonts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24</w:t>
      </w:r>
      <w:r w:rsidRPr="00051297">
        <w:rPr>
          <w:rFonts w:cs="Times New Roman"/>
          <w:szCs w:val="24"/>
          <w:lang w:val="en-US"/>
        </w:rPr>
        <w:fldChar w:fldCharType="end"/>
      </w:r>
      <w:r w:rsidRPr="00051297">
        <w:rPr>
          <w:rFonts w:cs="Times New Roman"/>
          <w:szCs w:val="24"/>
          <w:lang w:val="en-US"/>
        </w:rPr>
        <w:t xml:space="preserve">. A similar phenomenon can also be observed that, even after the water in the reservoir has been completely drained, the pore-water pressures in the embankment remain quite high, as seen by the piezometric lines in the figure. According to the literature, permeable non-cohesive soils have a high sensitivity to stress variations induced by construction and reservoir level fluctuations, as well as rapid dissipation, while excess pore pressures in clay dissipate much more slowly </w:t>
      </w:r>
      <w:r w:rsidRPr="00051297">
        <w:rPr>
          <w:rFonts w:cs="Times New Roman"/>
          <w:szCs w:val="24"/>
        </w:rPr>
        <w:fldChar w:fldCharType="begin" w:fldLock="1"/>
      </w:r>
      <w:r w:rsidR="0044426E">
        <w:rPr>
          <w:rFonts w:cs="Times New Roman"/>
          <w:szCs w:val="24"/>
          <w:lang w:val="en-US"/>
        </w:rPr>
        <w:instrText>ADDIN CSL_CITATION {"citationItems":[{"id":"ITEM-1","itemData":{"DOI":"10.1016/j.compgeo.2017.06.003","ISSN":"0266352X","abstract":"A test embankment was established on the soft Ballina clay and practising engineers and academics were invited to make predictions of the behaviour of the embankment. Comprehensive geotechnical investigations were performed and the testing data were provided to the predictors. This paper presents Class A and Class C predictions made by the authors for the embankment. In Class A prediction, the soft clay was modelled as a single homogeneous layer. The Class A prediction showed good agreement with measurements for settlement, but not for pore pressure and lateral ground movement. Class C prediction divided the soft clay into two layers based on the information of ground investigation, and achieved better predictions for settlement, pore pressure and lateral movement. Finite element analysis using Plaxis 2D was carried out for the prediction, and Soft Soil Creep model was used for the soft clay. Consolidation parameters were assessed by statistical analysis of the oedometer test data. Sensitivity studies were performed to investigate the influence of parameters on the analysis results. Results of the predictions and sensitivity studies are discussed in the paper.","author":[{"dropping-particle":"","family":"Gong","given":"Yibin","non-dropping-particle":"","parse-names":false,"suffix":""},{"dropping-particle":"","family":"Chok","given":"Yun Hang","non-dropping-particle":"","parse-names":false,"suffix":""}],"container-title":"Computers and Geotechnics","id":"ITEM-1","issued":{"date-parts":[["2018","1"]]},"page":"178-190","title":"Predicted and measured behaviour of a test embankment on Ballina clay","type":"article-journal","volume":"93"},"uris":["http://www.mendeley.com/documents/?uuid=22295c27-c3fc-40e4-9173-013ab4b35149","http://www.mendeley.com/documents/?uuid=9258cf32-88bc-4979-bb3a-dda13fcd4f7e","http://www.mendeley.com/documents/?uuid=c4664009-d75e-4647-bc1d-0387d85516ae"]}],"mendeley":{"formattedCitation":"[287]","plainTextFormattedCitation":"[287]","previouslyFormattedCitation":"[287]"},"properties":{"noteIndex":0},"schema":"https://github.com/citation-style-language/schema/raw/master/csl-citation.json"}</w:instrText>
      </w:r>
      <w:r w:rsidRPr="00051297">
        <w:rPr>
          <w:rFonts w:cs="Times New Roman"/>
          <w:szCs w:val="24"/>
        </w:rPr>
        <w:fldChar w:fldCharType="separate"/>
      </w:r>
      <w:r w:rsidR="00FA5896" w:rsidRPr="00FA5896">
        <w:rPr>
          <w:rFonts w:cs="Times New Roman"/>
          <w:noProof/>
          <w:szCs w:val="24"/>
          <w:lang w:val="en-US"/>
        </w:rPr>
        <w:t>[287]</w:t>
      </w:r>
      <w:r w:rsidRPr="00051297">
        <w:rPr>
          <w:rFonts w:cs="Times New Roman"/>
          <w:szCs w:val="24"/>
        </w:rPr>
        <w:fldChar w:fldCharType="end"/>
      </w:r>
      <w:r w:rsidRPr="00051297">
        <w:rPr>
          <w:rFonts w:cs="Times New Roman"/>
          <w:szCs w:val="24"/>
          <w:lang w:val="en-US"/>
        </w:rPr>
        <w:t>.</w:t>
      </w:r>
    </w:p>
    <w:p w14:paraId="1FDF9645" w14:textId="4A1CF31E" w:rsidR="00051297" w:rsidRPr="00051297" w:rsidRDefault="00E957A3" w:rsidP="00051297">
      <w:pPr>
        <w:keepNext/>
        <w:ind w:firstLine="0"/>
        <w:rPr>
          <w:rFonts w:cs="Times New Roman"/>
          <w:szCs w:val="24"/>
        </w:rPr>
      </w:pPr>
      <w:r>
        <w:rPr>
          <w:noProof/>
        </w:rPr>
        <w:lastRenderedPageBreak/>
        <w:drawing>
          <wp:inline distT="0" distB="0" distL="0" distR="0" wp14:anchorId="7C85DE7C" wp14:editId="2CA3D937">
            <wp:extent cx="5939790" cy="2103755"/>
            <wp:effectExtent l="0" t="0" r="381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39790" cy="2103755"/>
                    </a:xfrm>
                    <a:prstGeom prst="rect">
                      <a:avLst/>
                    </a:prstGeom>
                    <a:noFill/>
                    <a:ln>
                      <a:noFill/>
                    </a:ln>
                  </pic:spPr>
                </pic:pic>
              </a:graphicData>
            </a:graphic>
          </wp:inline>
        </w:drawing>
      </w:r>
    </w:p>
    <w:p w14:paraId="5F949547" w14:textId="7499B475" w:rsidR="00051297" w:rsidRPr="00051297" w:rsidRDefault="00051297" w:rsidP="00051297">
      <w:pPr>
        <w:ind w:firstLine="0"/>
        <w:jc w:val="center"/>
        <w:rPr>
          <w:lang w:val="en-US"/>
        </w:rPr>
      </w:pPr>
      <w:bookmarkStart w:id="1248" w:name="_Ref98107285"/>
      <w:bookmarkStart w:id="1249" w:name="_Toc97428287"/>
      <w:bookmarkStart w:id="1250" w:name="_Toc98085962"/>
      <w:bookmarkStart w:id="1251" w:name="_Toc103544157"/>
      <w:bookmarkStart w:id="1252" w:name="_Toc104985483"/>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24</w:t>
      </w:r>
      <w:r w:rsidR="00527861">
        <w:rPr>
          <w:lang w:val="en-US"/>
        </w:rPr>
        <w:fldChar w:fldCharType="end"/>
      </w:r>
      <w:bookmarkEnd w:id="1248"/>
      <w:r w:rsidRPr="00051297">
        <w:rPr>
          <w:lang w:val="en-US"/>
        </w:rPr>
        <w:t xml:space="preserve"> – Rapid drawdown (5 days) seepage under the reduced operating water level</w:t>
      </w:r>
      <w:bookmarkEnd w:id="1249"/>
      <w:bookmarkEnd w:id="1250"/>
      <w:bookmarkEnd w:id="1251"/>
      <w:bookmarkEnd w:id="1252"/>
    </w:p>
    <w:p w14:paraId="622FB82E" w14:textId="6A7851FF" w:rsidR="00051297" w:rsidRPr="00051297" w:rsidRDefault="00051297" w:rsidP="00051297">
      <w:pPr>
        <w:rPr>
          <w:rFonts w:cs="Times New Roman"/>
          <w:szCs w:val="24"/>
          <w:lang w:val="en-US" w:bidi="en-US"/>
        </w:rPr>
      </w:pPr>
      <w:r w:rsidRPr="00051297">
        <w:rPr>
          <w:rFonts w:cs="Times New Roman"/>
          <w:szCs w:val="24"/>
          <w:lang w:val="en-US" w:bidi="en-US"/>
        </w:rPr>
        <w:t xml:space="preserve">The drawdown rate was reduced further to 10 days following the instantaneous drawdown and 5 days drawdown rates, with the results of the 10 days drawdown rate seepage under reduced operating water level displayed in </w:t>
      </w:r>
      <w:r w:rsidRPr="00051297">
        <w:rPr>
          <w:rFonts w:cs="Times New Roman"/>
          <w:szCs w:val="24"/>
          <w:lang w:val="en-US" w:bidi="en-US"/>
        </w:rPr>
        <w:fldChar w:fldCharType="begin"/>
      </w:r>
      <w:r w:rsidRPr="00051297">
        <w:rPr>
          <w:rFonts w:cs="Times New Roman"/>
          <w:szCs w:val="24"/>
          <w:lang w:val="en-US" w:bidi="en-US"/>
        </w:rPr>
        <w:instrText xml:space="preserve"> REF _Ref98107313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25</w:t>
      </w:r>
      <w:r w:rsidRPr="00051297">
        <w:rPr>
          <w:rFonts w:cs="Times New Roman"/>
          <w:szCs w:val="24"/>
          <w:lang w:val="en-US" w:bidi="en-US"/>
        </w:rPr>
        <w:fldChar w:fldCharType="end"/>
      </w:r>
      <w:r w:rsidRPr="00051297">
        <w:rPr>
          <w:rFonts w:cs="Times New Roman"/>
          <w:szCs w:val="24"/>
          <w:lang w:val="en-US" w:bidi="en-US"/>
        </w:rPr>
        <w:t>. The piezometric lines in the Figure still show a similar phenomenon as observed from the instantaneous and 5 days drawdown rates, whereby, even after the water in the reservoir has been fully drained, the pore-water pressures in the embankment remain relatively high. This phenomenon reveals further that there is a potential threat to the stability of the embankment even when the drawdown rate is reduced to 10 days.</w:t>
      </w:r>
    </w:p>
    <w:p w14:paraId="5BB9B26C" w14:textId="289D5C9B" w:rsidR="00051297" w:rsidRPr="00051297" w:rsidRDefault="00E039DA" w:rsidP="00051297">
      <w:pPr>
        <w:keepNext/>
        <w:ind w:firstLine="0"/>
        <w:rPr>
          <w:rFonts w:cs="Times New Roman"/>
          <w:szCs w:val="24"/>
        </w:rPr>
      </w:pPr>
      <w:r>
        <w:rPr>
          <w:noProof/>
        </w:rPr>
        <w:drawing>
          <wp:inline distT="0" distB="0" distL="0" distR="0" wp14:anchorId="7FAA53C3" wp14:editId="24D0D062">
            <wp:extent cx="5939790" cy="2134870"/>
            <wp:effectExtent l="0" t="0" r="381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39790" cy="2134870"/>
                    </a:xfrm>
                    <a:prstGeom prst="rect">
                      <a:avLst/>
                    </a:prstGeom>
                    <a:noFill/>
                    <a:ln>
                      <a:noFill/>
                    </a:ln>
                  </pic:spPr>
                </pic:pic>
              </a:graphicData>
            </a:graphic>
          </wp:inline>
        </w:drawing>
      </w:r>
    </w:p>
    <w:p w14:paraId="7DFEC0C8" w14:textId="39F8DF47" w:rsidR="00051297" w:rsidRPr="00051297" w:rsidRDefault="00051297" w:rsidP="00051297">
      <w:pPr>
        <w:ind w:firstLine="0"/>
        <w:jc w:val="center"/>
        <w:rPr>
          <w:lang w:val="en-US"/>
        </w:rPr>
      </w:pPr>
      <w:bookmarkStart w:id="1253" w:name="_Ref98107313"/>
      <w:bookmarkStart w:id="1254" w:name="_Toc97428288"/>
      <w:bookmarkStart w:id="1255" w:name="_Toc98085963"/>
      <w:bookmarkStart w:id="1256" w:name="_Toc103544158"/>
      <w:bookmarkStart w:id="1257" w:name="_Toc104985484"/>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25</w:t>
      </w:r>
      <w:r w:rsidR="00527861">
        <w:rPr>
          <w:lang w:val="en-US"/>
        </w:rPr>
        <w:fldChar w:fldCharType="end"/>
      </w:r>
      <w:bookmarkEnd w:id="1253"/>
      <w:r w:rsidRPr="00051297">
        <w:rPr>
          <w:lang w:val="en-US"/>
        </w:rPr>
        <w:t xml:space="preserve"> – Rapid drawdown (10 days) seepage under the reduced operating water level</w:t>
      </w:r>
      <w:bookmarkEnd w:id="1254"/>
      <w:bookmarkEnd w:id="1255"/>
      <w:bookmarkEnd w:id="1256"/>
      <w:bookmarkEnd w:id="1257"/>
    </w:p>
    <w:p w14:paraId="3136B9E9" w14:textId="5B4F2ECE" w:rsidR="00051297" w:rsidRPr="00051297" w:rsidRDefault="00051297" w:rsidP="00051297">
      <w:pPr>
        <w:rPr>
          <w:rFonts w:cs="Times New Roman"/>
          <w:szCs w:val="24"/>
          <w:lang w:bidi="en-US"/>
        </w:rPr>
      </w:pPr>
      <w:r w:rsidRPr="00051297">
        <w:rPr>
          <w:rFonts w:cs="Times New Roman"/>
          <w:szCs w:val="24"/>
          <w:lang w:val="en-US" w:bidi="en-US"/>
        </w:rPr>
        <w:t xml:space="preserve">Despite some improvements in terms of pore-water pressure dissipation when the drawdown rate was reduced further to 1 m per day, it can be observed in </w:t>
      </w:r>
      <w:r w:rsidRPr="00051297">
        <w:rPr>
          <w:rFonts w:cs="Times New Roman"/>
          <w:szCs w:val="24"/>
          <w:lang w:val="en-US" w:bidi="en-US"/>
        </w:rPr>
        <w:fldChar w:fldCharType="begin"/>
      </w:r>
      <w:r w:rsidRPr="00051297">
        <w:rPr>
          <w:rFonts w:cs="Times New Roman"/>
          <w:szCs w:val="24"/>
          <w:lang w:val="en-US" w:bidi="en-US"/>
        </w:rPr>
        <w:instrText xml:space="preserve"> REF _Ref98107340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26</w:t>
      </w:r>
      <w:r w:rsidRPr="00051297">
        <w:rPr>
          <w:rFonts w:cs="Times New Roman"/>
          <w:szCs w:val="24"/>
          <w:lang w:val="en-US" w:bidi="en-US"/>
        </w:rPr>
        <w:fldChar w:fldCharType="end"/>
      </w:r>
      <w:r w:rsidRPr="00051297">
        <w:rPr>
          <w:rFonts w:cs="Times New Roman"/>
          <w:szCs w:val="24"/>
          <w:lang w:val="en-US" w:bidi="en-US"/>
        </w:rPr>
        <w:t xml:space="preserve"> that there is a significant struggle in terms of pore-water pressure dissipation after the drawdown. It has to be noted that, as the soil becomes increasingly saturated, the pore water pressure rises, lowering the soil's shearing resistance. The slope's factor of safety is reduced as a result of this circumstance. The constant rise in water level raises pore water pressure in the soil, causing considerable slope model slide </w:t>
      </w:r>
      <w:r w:rsidRPr="00051297">
        <w:rPr>
          <w:rFonts w:cs="Times New Roman"/>
          <w:szCs w:val="24"/>
          <w:lang w:bidi="en-US"/>
        </w:rPr>
        <w:fldChar w:fldCharType="begin" w:fldLock="1"/>
      </w:r>
      <w:r w:rsidR="0044426E">
        <w:rPr>
          <w:rFonts w:cs="Times New Roman"/>
          <w:szCs w:val="24"/>
          <w:lang w:val="en-US" w:bidi="en-US"/>
        </w:rPr>
        <w:instrText>ADDIN CSL_CITATION {"citationItems":[{"id":"ITEM-1","itemData":{"DOI":"10.3390/w12010194","ISSN":"2073-4441","abstract":"Cracks induced by evaporation or rainfall have a great influence on the stability of unsaturated soil slopes, which can lead to landslides during the rainfall process. In order to study the effect of crack characteristics on the evolution of stress and deformation of unsaturated soil slopes, a series of numerical analyses under different conditions were performed using a coupled elastoplastic finite element program that we developed for unsaturated soil. When carrying out the numerical analyses, the effective stress for unsaturated soil proposed by Bishop and an elastoplastic double-hardening constitutive model for the soil skeleton were employed. The varying parameters, including the crack location, the discharge speed, evaporation rate, infiltration rate, and tensile strength, were investigated to study the coupling process of pore water pressure and deformation in the process of evaporation and rainfall infiltration. The numerical results showed that the minimum pore water pressure of the soil slope at the end of evaporation/rainfall decreased gradually and the crack width increased gradually as the crack set closer to the slope; the larger the discharge speed of pore air, the greater the crack width. With the increase in the evaporation rate, the pore water pressure of the soil slope reduced and the crack initiated earlier and became wider. As the infiltration rate increased, the pore water pressure of the soil slope and the crack width increased, but the decreasing duration became shorter. The change of tensile strength had little effect on the pore water pressure, but the development of the crack width changed with evaporation and rainfall infiltration.","author":[{"dropping-particle":"","family":"Yang","given":"Liuxin","non-dropping-particle":"","parse-names":false,"suffix":""},{"dropping-particle":"","family":"Liu","given":"Enlong","non-dropping-particle":"","parse-names":false,"suffix":""}],"container-title":"Water","id":"ITEM-1","issue":"1","issued":{"date-parts":[["2020","1"]]},"page":"194","title":"Numerical Analysis of the Effects of Crack Characteristics on the Stress and Deformation of Unsaturated Soil Slopes","type":"article-journal","volume":"12"},"uris":["http://www.mendeley.com/documents/?uuid=5fcac145-0d55-47bc-93b3-ad2b1cb8c3f5","http://www.mendeley.com/documents/?uuid=cef5b07c-2a25-407f-99b6-d2f783ffa324","http://www.mendeley.com/documents/?uuid=7eff28f8-fb09-49c6-b42a-754f76b657c4"]}],"mendeley":{"formattedCitation":"[288]","plainTextFormattedCitation":"[288]","previouslyFormattedCitation":"[288]"},"properties":{"noteIndex":0},"schema":"https://github.com/citation-style-language/schema/raw/master/csl-citation.json"}</w:instrText>
      </w:r>
      <w:r w:rsidRPr="00051297">
        <w:rPr>
          <w:rFonts w:cs="Times New Roman"/>
          <w:szCs w:val="24"/>
          <w:lang w:bidi="en-US"/>
        </w:rPr>
        <w:fldChar w:fldCharType="separate"/>
      </w:r>
      <w:r w:rsidR="00FA5896" w:rsidRPr="00FA5896">
        <w:rPr>
          <w:rFonts w:cs="Times New Roman"/>
          <w:noProof/>
          <w:szCs w:val="24"/>
          <w:lang w:bidi="en-US"/>
        </w:rPr>
        <w:t>[288]</w:t>
      </w:r>
      <w:r w:rsidRPr="00051297">
        <w:rPr>
          <w:rFonts w:cs="Times New Roman"/>
          <w:szCs w:val="24"/>
          <w:lang w:bidi="en-US"/>
        </w:rPr>
        <w:fldChar w:fldCharType="end"/>
      </w:r>
      <w:r w:rsidRPr="00051297">
        <w:rPr>
          <w:rFonts w:cs="Times New Roman"/>
          <w:szCs w:val="24"/>
          <w:lang w:bidi="en-US"/>
        </w:rPr>
        <w:t>.</w:t>
      </w:r>
    </w:p>
    <w:p w14:paraId="1B86DFDC" w14:textId="2F9B2C3A" w:rsidR="00051297" w:rsidRPr="00051297" w:rsidRDefault="00E039DA" w:rsidP="00051297">
      <w:pPr>
        <w:keepNext/>
        <w:ind w:firstLine="0"/>
        <w:rPr>
          <w:rFonts w:cs="Times New Roman"/>
          <w:szCs w:val="24"/>
        </w:rPr>
      </w:pPr>
      <w:r>
        <w:rPr>
          <w:noProof/>
        </w:rPr>
        <w:lastRenderedPageBreak/>
        <w:drawing>
          <wp:inline distT="0" distB="0" distL="0" distR="0" wp14:anchorId="257E368E" wp14:editId="79D6F908">
            <wp:extent cx="5939790" cy="2124710"/>
            <wp:effectExtent l="0" t="0" r="3810" b="889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39790" cy="2124710"/>
                    </a:xfrm>
                    <a:prstGeom prst="rect">
                      <a:avLst/>
                    </a:prstGeom>
                    <a:noFill/>
                    <a:ln>
                      <a:noFill/>
                    </a:ln>
                  </pic:spPr>
                </pic:pic>
              </a:graphicData>
            </a:graphic>
          </wp:inline>
        </w:drawing>
      </w:r>
    </w:p>
    <w:p w14:paraId="2046C7F3" w14:textId="5960C630" w:rsidR="00051297" w:rsidRPr="00051297" w:rsidRDefault="00051297" w:rsidP="00051297">
      <w:pPr>
        <w:ind w:firstLine="0"/>
        <w:jc w:val="center"/>
        <w:rPr>
          <w:lang w:val="en-US"/>
        </w:rPr>
      </w:pPr>
      <w:bookmarkStart w:id="1258" w:name="_Ref98107340"/>
      <w:bookmarkStart w:id="1259" w:name="_Toc97428289"/>
      <w:bookmarkStart w:id="1260" w:name="_Toc98085964"/>
      <w:bookmarkStart w:id="1261" w:name="_Toc103544159"/>
      <w:bookmarkStart w:id="1262" w:name="_Toc104985485"/>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26</w:t>
      </w:r>
      <w:r w:rsidR="00527861">
        <w:rPr>
          <w:lang w:val="en-US"/>
        </w:rPr>
        <w:fldChar w:fldCharType="end"/>
      </w:r>
      <w:bookmarkEnd w:id="1258"/>
      <w:r w:rsidRPr="00051297">
        <w:rPr>
          <w:lang w:val="en-US"/>
        </w:rPr>
        <w:t xml:space="preserve"> – Rapid drawdown (1 m per day) seepage under the reduced operating water level</w:t>
      </w:r>
      <w:bookmarkEnd w:id="1259"/>
      <w:bookmarkEnd w:id="1260"/>
      <w:bookmarkEnd w:id="1261"/>
      <w:bookmarkEnd w:id="1262"/>
    </w:p>
    <w:p w14:paraId="567184A0" w14:textId="5487C7F7" w:rsidR="00051297" w:rsidRPr="00051297" w:rsidRDefault="00051297" w:rsidP="00C925D9">
      <w:pPr>
        <w:pStyle w:val="5"/>
        <w:rPr>
          <w:lang w:bidi="en-US"/>
        </w:rPr>
      </w:pPr>
      <w:bookmarkStart w:id="1263" w:name="_Toc97504873"/>
      <w:bookmarkStart w:id="1264" w:name="_Toc103544008"/>
      <w:bookmarkStart w:id="1265" w:name="_Toc104985333"/>
      <w:r w:rsidRPr="00051297">
        <w:rPr>
          <w:lang w:bidi="en-US"/>
        </w:rPr>
        <w:t>Slope stability</w:t>
      </w:r>
      <w:bookmarkEnd w:id="1263"/>
      <w:bookmarkEnd w:id="1264"/>
      <w:bookmarkEnd w:id="1265"/>
    </w:p>
    <w:p w14:paraId="5BF9D5AD" w14:textId="2041A1E9" w:rsidR="00051297" w:rsidRDefault="00051297" w:rsidP="00051297">
      <w:pPr>
        <w:rPr>
          <w:rFonts w:cs="Times New Roman"/>
          <w:szCs w:val="24"/>
          <w:lang w:val="en-US" w:bidi="en-US"/>
        </w:rPr>
      </w:pPr>
      <w:r w:rsidRPr="00051297">
        <w:rPr>
          <w:rFonts w:cs="Times New Roman"/>
          <w:szCs w:val="24"/>
          <w:lang w:val="en-US" w:bidi="en-US"/>
        </w:rPr>
        <w:t xml:space="preserve">Under the reduced operating water levels, the embankment was also subjected to slope stability analysis. For embankment slope stability, a minimum factor of safety of 1.5 is always suggested </w:t>
      </w:r>
      <w:r w:rsidRPr="00051297">
        <w:rPr>
          <w:rFonts w:cs="Times New Roman"/>
          <w:szCs w:val="24"/>
          <w:lang w:bidi="en-US"/>
        </w:rPr>
        <w:fldChar w:fldCharType="begin" w:fldLock="1"/>
      </w:r>
      <w:r w:rsidR="0044426E">
        <w:rPr>
          <w:rFonts w:cs="Times New Roman"/>
          <w:szCs w:val="24"/>
          <w:lang w:val="en-US" w:bidi="en-US"/>
        </w:rPr>
        <w:instrText>ADDIN CSL_CITATION {"citationItems":[{"id":"ITEM-1","itemData":{"abstract":"The principle of minimum acceptable factors of safety has been used to assess the stability of embankment dams for decades. The commonly applied minimum acceptable factors of safety remain very similar to those recommended in the early 1970's, despite the development of new design tools and better understanding of material behaviour. The purpose of factors of safety is to ensure reliability of the dam design and to account for uncertainties and variability of dam and foundation material parameters, uncertainties of design loads and limitations of the analysis method used. The impact of uncertainties and reliability of input values into stability analyses was recognised many decades ago, and the factor of safety was recommended depending on the loading conditions and the consequences of failure or unacceptable performance. Interestingly, the minimum recommended factors of safety used today do not take into account the potential consequences of dam failure or the uncertainties in input values, and are based on the loading conditions only. Yet, several authors have demonstrated that a higher factor of safety does not necessarily result in a lower probability of failure, as the analysis also depends on the quality of investigations, testing, design and construction. This paper summarises the history of the factor of safety principle in dam engineering, discusses the calculation of the factor of safety using commonly used analytical tools, demonstrates the impact of uncertainties using a case study and provides recommendations for potential improvements.","author":[{"dropping-particle":"","family":"Herza","given":"Jiri","non-dropping-particle":"","parse-names":false,"suffix":""},{"dropping-particle":"","family":"Ashley","given":"Michael","non-dropping-particle":"","parse-names":false,"suffix":""},{"dropping-particle":"","family":"Thorp","given":"James","non-dropping-particle":"","parse-names":false,"suffix":""}],"container-title":"Proceedings Australian National Congress on Large Dams, Hobart","id":"ITEM-1","issued":{"date-parts":[["2018"]]},"title":"Factor of Safety? Do we use it correctly?","type":"article-journal"},"uris":["http://www.mendeley.com/documents/?uuid=8065ca20-91ca-4b5f-833c-31ba1d34dfe3","http://www.mendeley.com/documents/?uuid=1f89d9ba-6c70-48b3-81cb-97429fee8b47"]}],"mendeley":{"formattedCitation":"[289]","plainTextFormattedCitation":"[289]","previouslyFormattedCitation":"[289]"},"properties":{"noteIndex":0},"schema":"https://github.com/citation-style-language/schema/raw/master/csl-citation.json"}</w:instrText>
      </w:r>
      <w:r w:rsidRPr="00051297">
        <w:rPr>
          <w:rFonts w:cs="Times New Roman"/>
          <w:szCs w:val="24"/>
          <w:lang w:bidi="en-US"/>
        </w:rPr>
        <w:fldChar w:fldCharType="separate"/>
      </w:r>
      <w:r w:rsidR="00FA5896" w:rsidRPr="00FA5896">
        <w:rPr>
          <w:rFonts w:cs="Times New Roman"/>
          <w:noProof/>
          <w:szCs w:val="24"/>
          <w:lang w:val="en-US" w:bidi="en-US"/>
        </w:rPr>
        <w:t>[289]</w:t>
      </w:r>
      <w:r w:rsidRPr="00051297">
        <w:rPr>
          <w:rFonts w:cs="Times New Roman"/>
          <w:szCs w:val="24"/>
          <w:lang w:bidi="en-US"/>
        </w:rPr>
        <w:fldChar w:fldCharType="end"/>
      </w:r>
      <w:r w:rsidRPr="00051297">
        <w:rPr>
          <w:rFonts w:cs="Times New Roman"/>
          <w:szCs w:val="24"/>
          <w:lang w:val="en-US" w:bidi="en-US"/>
        </w:rPr>
        <w:t xml:space="preserve">. From </w:t>
      </w:r>
      <w:r w:rsidRPr="00051297">
        <w:rPr>
          <w:rFonts w:cs="Times New Roman"/>
          <w:szCs w:val="24"/>
          <w:lang w:val="en-US" w:bidi="en-US"/>
        </w:rPr>
        <w:fldChar w:fldCharType="begin"/>
      </w:r>
      <w:r w:rsidRPr="00051297">
        <w:rPr>
          <w:rFonts w:cs="Times New Roman"/>
          <w:szCs w:val="24"/>
          <w:lang w:val="en-US" w:bidi="en-US"/>
        </w:rPr>
        <w:instrText xml:space="preserve"> REF _Ref98107562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27</w:t>
      </w:r>
      <w:r w:rsidRPr="00051297">
        <w:rPr>
          <w:rFonts w:cs="Times New Roman"/>
          <w:szCs w:val="24"/>
          <w:lang w:val="en-US" w:bidi="en-US"/>
        </w:rPr>
        <w:fldChar w:fldCharType="end"/>
      </w:r>
      <w:r w:rsidRPr="00051297">
        <w:rPr>
          <w:rFonts w:cs="Times New Roman"/>
          <w:szCs w:val="24"/>
          <w:lang w:val="en-US" w:bidi="en-US"/>
        </w:rPr>
        <w:t>, it can be observed that the steady-state achieved a minimum factor of safety of 1.62; however, this value is too close to the minimum recommended value, signifying that the embankment will fail under a rapid drawdown scenario. It is also worth noting that a steady-state flow condition is one in which the pressure at any location in the reservoir remains constant across time. In that matter, if the water level in the embankment is high enough to provide balance, it is expected that the factor of safety value should be relatively high. However, the observed low factor of safety value under the reduced reservoir operating level can be highly linked to the combination of the material properties and slope of the upstream face of the embankment. Based on these results, we understand that there is a significant influence of the reservoir's long-term operating level on the embankment slope stability.</w:t>
      </w:r>
    </w:p>
    <w:p w14:paraId="574096C7" w14:textId="77777777" w:rsidR="006568FB" w:rsidRPr="00051297" w:rsidRDefault="006568FB" w:rsidP="00051297">
      <w:pPr>
        <w:rPr>
          <w:rFonts w:cs="Times New Roman"/>
          <w:szCs w:val="24"/>
          <w:lang w:val="en-US" w:bidi="en-US"/>
        </w:rPr>
      </w:pPr>
    </w:p>
    <w:p w14:paraId="1A8728BD" w14:textId="614DA6C5" w:rsidR="00051297" w:rsidRPr="00051297" w:rsidRDefault="00436DB6" w:rsidP="00051297">
      <w:pPr>
        <w:keepNext/>
        <w:ind w:firstLine="0"/>
        <w:jc w:val="center"/>
        <w:rPr>
          <w:rFonts w:cs="Times New Roman"/>
          <w:szCs w:val="24"/>
        </w:rPr>
      </w:pPr>
      <w:r>
        <w:rPr>
          <w:noProof/>
        </w:rPr>
        <w:drawing>
          <wp:inline distT="0" distB="0" distL="0" distR="0" wp14:anchorId="1415C7C4" wp14:editId="471C9DA8">
            <wp:extent cx="5939790" cy="2267585"/>
            <wp:effectExtent l="0" t="0" r="381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39790" cy="2267585"/>
                    </a:xfrm>
                    <a:prstGeom prst="rect">
                      <a:avLst/>
                    </a:prstGeom>
                    <a:noFill/>
                    <a:ln>
                      <a:noFill/>
                    </a:ln>
                  </pic:spPr>
                </pic:pic>
              </a:graphicData>
            </a:graphic>
          </wp:inline>
        </w:drawing>
      </w:r>
    </w:p>
    <w:p w14:paraId="4E329ACC" w14:textId="093F79F3" w:rsidR="00051297" w:rsidRPr="00051297" w:rsidRDefault="00051297" w:rsidP="00051297">
      <w:pPr>
        <w:ind w:firstLine="0"/>
        <w:jc w:val="center"/>
        <w:rPr>
          <w:lang w:val="en-US"/>
        </w:rPr>
      </w:pPr>
      <w:bookmarkStart w:id="1266" w:name="_Ref98107562"/>
      <w:bookmarkStart w:id="1267" w:name="_Toc97428290"/>
      <w:bookmarkStart w:id="1268" w:name="_Toc98085965"/>
      <w:bookmarkStart w:id="1269" w:name="_Toc103544160"/>
      <w:bookmarkStart w:id="1270" w:name="_Toc104985486"/>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27</w:t>
      </w:r>
      <w:r w:rsidR="00527861">
        <w:rPr>
          <w:lang w:val="en-US"/>
        </w:rPr>
        <w:fldChar w:fldCharType="end"/>
      </w:r>
      <w:bookmarkEnd w:id="1266"/>
      <w:r w:rsidRPr="00051297">
        <w:rPr>
          <w:lang w:val="en-US"/>
        </w:rPr>
        <w:t xml:space="preserve"> – Steady-state slope stability under the reduced operating water level</w:t>
      </w:r>
      <w:bookmarkEnd w:id="1267"/>
      <w:bookmarkEnd w:id="1268"/>
      <w:bookmarkEnd w:id="1269"/>
      <w:bookmarkEnd w:id="1270"/>
    </w:p>
    <w:p w14:paraId="06697089" w14:textId="35379304" w:rsidR="00051297" w:rsidRDefault="00051297" w:rsidP="00051297">
      <w:pPr>
        <w:rPr>
          <w:rFonts w:cs="Times New Roman"/>
          <w:szCs w:val="24"/>
          <w:lang w:val="en-US" w:bidi="en-US"/>
        </w:rPr>
      </w:pPr>
      <w:r w:rsidRPr="00051297">
        <w:rPr>
          <w:rFonts w:cs="Times New Roman"/>
          <w:szCs w:val="24"/>
          <w:lang w:val="en-US" w:bidi="en-US"/>
        </w:rPr>
        <w:lastRenderedPageBreak/>
        <w:fldChar w:fldCharType="begin"/>
      </w:r>
      <w:r w:rsidRPr="00051297">
        <w:rPr>
          <w:rFonts w:cs="Times New Roman"/>
          <w:szCs w:val="24"/>
          <w:lang w:val="en-US" w:bidi="en-US"/>
        </w:rPr>
        <w:instrText xml:space="preserve"> REF _Ref98107596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28</w:t>
      </w:r>
      <w:r w:rsidRPr="00051297">
        <w:rPr>
          <w:rFonts w:cs="Times New Roman"/>
          <w:szCs w:val="24"/>
          <w:lang w:val="en-US" w:bidi="en-US"/>
        </w:rPr>
        <w:fldChar w:fldCharType="end"/>
      </w:r>
      <w:r w:rsidRPr="00051297">
        <w:rPr>
          <w:rFonts w:cs="Times New Roman"/>
          <w:szCs w:val="24"/>
          <w:lang w:val="en-US" w:bidi="en-US"/>
        </w:rPr>
        <w:t xml:space="preserve"> presents the assumed worst scenario of the drawdown rate where the reservoir is drained instantly. With the long-term reservoir operating level being almost at the middle of the embankment height, the embankment completely fails under an instantaneous drawdown rate.</w:t>
      </w:r>
      <w:r w:rsidRPr="00051297">
        <w:rPr>
          <w:rFonts w:cs="Times New Roman"/>
          <w:szCs w:val="24"/>
          <w:lang w:val="en-US"/>
        </w:rPr>
        <w:t xml:space="preserve"> </w:t>
      </w:r>
      <w:r w:rsidRPr="00051297">
        <w:rPr>
          <w:rFonts w:cs="Times New Roman"/>
          <w:szCs w:val="24"/>
          <w:lang w:val="en-US" w:bidi="en-US"/>
        </w:rPr>
        <w:t>Safety factors are a measure of how reliable geotechnical structures like embankment dams and soil slopes are. The safety factor accommodates for design load uncertainties as well as input value inconsistencies. In that matter, it is worth noting that a larger safety factor from a well-investigated system can provide an indication that the embankment is relatively stable and less prone to failure under different operating conditions.</w:t>
      </w:r>
    </w:p>
    <w:p w14:paraId="27CF1C26" w14:textId="77777777" w:rsidR="006568FB" w:rsidRPr="00051297" w:rsidRDefault="006568FB" w:rsidP="00051297">
      <w:pPr>
        <w:rPr>
          <w:rFonts w:cs="Times New Roman"/>
          <w:szCs w:val="24"/>
          <w:lang w:val="en-US" w:bidi="en-US"/>
        </w:rPr>
      </w:pPr>
    </w:p>
    <w:p w14:paraId="160EE4E1" w14:textId="43E5A8E4" w:rsidR="00051297" w:rsidRPr="00051297" w:rsidRDefault="00EF446A" w:rsidP="00051297">
      <w:pPr>
        <w:keepNext/>
        <w:ind w:firstLine="0"/>
        <w:jc w:val="center"/>
        <w:rPr>
          <w:rFonts w:cs="Times New Roman"/>
          <w:szCs w:val="24"/>
        </w:rPr>
      </w:pPr>
      <w:r>
        <w:rPr>
          <w:noProof/>
        </w:rPr>
        <w:drawing>
          <wp:inline distT="0" distB="0" distL="0" distR="0" wp14:anchorId="623AFDCC" wp14:editId="2FD90DEC">
            <wp:extent cx="5939790" cy="2265680"/>
            <wp:effectExtent l="0" t="0" r="3810" b="127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39790" cy="2265680"/>
                    </a:xfrm>
                    <a:prstGeom prst="rect">
                      <a:avLst/>
                    </a:prstGeom>
                    <a:noFill/>
                    <a:ln>
                      <a:noFill/>
                    </a:ln>
                  </pic:spPr>
                </pic:pic>
              </a:graphicData>
            </a:graphic>
          </wp:inline>
        </w:drawing>
      </w:r>
    </w:p>
    <w:p w14:paraId="546F4C8D" w14:textId="35671F9D" w:rsidR="00051297" w:rsidRPr="00051297" w:rsidRDefault="00051297" w:rsidP="00051297">
      <w:pPr>
        <w:ind w:firstLine="0"/>
        <w:jc w:val="center"/>
        <w:rPr>
          <w:lang w:val="en-US"/>
        </w:rPr>
      </w:pPr>
      <w:bookmarkStart w:id="1271" w:name="_Ref98107596"/>
      <w:bookmarkStart w:id="1272" w:name="_Toc97428291"/>
      <w:bookmarkStart w:id="1273" w:name="_Toc98085966"/>
      <w:bookmarkStart w:id="1274" w:name="_Toc103544161"/>
      <w:bookmarkStart w:id="1275" w:name="_Toc104985487"/>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28</w:t>
      </w:r>
      <w:r w:rsidR="00527861">
        <w:rPr>
          <w:lang w:val="en-US"/>
        </w:rPr>
        <w:fldChar w:fldCharType="end"/>
      </w:r>
      <w:bookmarkEnd w:id="1271"/>
      <w:r w:rsidRPr="00051297">
        <w:rPr>
          <w:lang w:val="en-US"/>
        </w:rPr>
        <w:t xml:space="preserve"> – Instantaneous slope stability under the reduced operating water level</w:t>
      </w:r>
      <w:bookmarkEnd w:id="1272"/>
      <w:bookmarkEnd w:id="1273"/>
      <w:bookmarkEnd w:id="1274"/>
      <w:bookmarkEnd w:id="1275"/>
    </w:p>
    <w:p w14:paraId="4CD89BA2" w14:textId="2DCF3C44" w:rsidR="00051297" w:rsidRDefault="00051297" w:rsidP="00051297">
      <w:pPr>
        <w:rPr>
          <w:rFonts w:cs="Times New Roman"/>
          <w:szCs w:val="24"/>
          <w:lang w:val="en-US" w:bidi="en-US"/>
        </w:rPr>
      </w:pPr>
      <w:r w:rsidRPr="00051297">
        <w:rPr>
          <w:rFonts w:cs="Times New Roman"/>
          <w:szCs w:val="24"/>
          <w:lang w:val="en-US" w:bidi="en-US"/>
        </w:rPr>
        <w:fldChar w:fldCharType="begin"/>
      </w:r>
      <w:r w:rsidRPr="00051297">
        <w:rPr>
          <w:rFonts w:cs="Times New Roman"/>
          <w:szCs w:val="24"/>
          <w:lang w:val="en-US" w:bidi="en-US"/>
        </w:rPr>
        <w:instrText xml:space="preserve"> REF _Ref98107617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29</w:t>
      </w:r>
      <w:r w:rsidRPr="00051297">
        <w:rPr>
          <w:rFonts w:cs="Times New Roman"/>
          <w:szCs w:val="24"/>
          <w:lang w:val="en-US" w:bidi="en-US"/>
        </w:rPr>
        <w:fldChar w:fldCharType="end"/>
      </w:r>
      <w:r w:rsidRPr="00051297">
        <w:rPr>
          <w:rFonts w:cs="Times New Roman"/>
          <w:szCs w:val="24"/>
          <w:lang w:val="en-US" w:bidi="en-US"/>
        </w:rPr>
        <w:t xml:space="preserve"> depicts the results from the 5 days drawdown rate, in which the reservoir is completely drained within 5 days. However, from the minimum obtained factor of safety value, we can understand that the embankment fully breaks under the specified drawdown rate with the long-term reservoir operating level almost at the midpoint of the embankment height.</w:t>
      </w:r>
    </w:p>
    <w:p w14:paraId="3DCA5241" w14:textId="77777777" w:rsidR="006568FB" w:rsidRPr="00051297" w:rsidRDefault="006568FB" w:rsidP="00051297">
      <w:pPr>
        <w:rPr>
          <w:rFonts w:cs="Times New Roman"/>
          <w:szCs w:val="24"/>
          <w:lang w:val="en-US" w:bidi="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051297" w:rsidRPr="00DF6C77" w14:paraId="5F2133C4" w14:textId="77777777" w:rsidTr="00040F11">
        <w:tc>
          <w:tcPr>
            <w:tcW w:w="9350" w:type="dxa"/>
          </w:tcPr>
          <w:p w14:paraId="3D372C19" w14:textId="77777777" w:rsidR="00051297" w:rsidRDefault="004561F6" w:rsidP="00051297">
            <w:pPr>
              <w:ind w:firstLine="0"/>
              <w:jc w:val="center"/>
              <w:rPr>
                <w:szCs w:val="24"/>
                <w:lang w:val="en-US" w:bidi="en-US"/>
              </w:rPr>
            </w:pPr>
            <w:r>
              <w:rPr>
                <w:noProof/>
              </w:rPr>
              <w:drawing>
                <wp:inline distT="0" distB="0" distL="0" distR="0" wp14:anchorId="68DF4BEC" wp14:editId="34F7F30C">
                  <wp:extent cx="5778857" cy="2257425"/>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86980" cy="2260598"/>
                          </a:xfrm>
                          <a:prstGeom prst="rect">
                            <a:avLst/>
                          </a:prstGeom>
                          <a:noFill/>
                          <a:ln>
                            <a:noFill/>
                          </a:ln>
                        </pic:spPr>
                      </pic:pic>
                    </a:graphicData>
                  </a:graphic>
                </wp:inline>
              </w:drawing>
            </w:r>
          </w:p>
          <w:p w14:paraId="2CD76A99" w14:textId="50EF3CF9" w:rsidR="00040F11" w:rsidRPr="00DF6C77" w:rsidRDefault="00040F11" w:rsidP="00051297">
            <w:pPr>
              <w:ind w:firstLine="0"/>
              <w:jc w:val="center"/>
              <w:rPr>
                <w:szCs w:val="24"/>
                <w:lang w:val="en-US" w:bidi="en-US"/>
              </w:rPr>
            </w:pPr>
            <w:r>
              <w:rPr>
                <w:szCs w:val="24"/>
                <w:lang w:val="en-US" w:bidi="en-US"/>
              </w:rPr>
              <w:t>(a)</w:t>
            </w:r>
          </w:p>
        </w:tc>
      </w:tr>
      <w:tr w:rsidR="00051297" w:rsidRPr="00051297" w14:paraId="00426446" w14:textId="77777777" w:rsidTr="00040F11">
        <w:tc>
          <w:tcPr>
            <w:tcW w:w="9350" w:type="dxa"/>
          </w:tcPr>
          <w:p w14:paraId="5F33A1D2" w14:textId="0DE24B4D" w:rsidR="00051297" w:rsidRDefault="00867105" w:rsidP="00051297">
            <w:pPr>
              <w:keepNext/>
              <w:ind w:firstLine="0"/>
              <w:jc w:val="center"/>
              <w:rPr>
                <w:szCs w:val="24"/>
                <w:lang w:bidi="en-US"/>
              </w:rPr>
            </w:pPr>
            <w:r>
              <w:rPr>
                <w:rFonts w:eastAsia="Times New Roman"/>
                <w:noProof/>
                <w:szCs w:val="24"/>
              </w:rPr>
              <w:lastRenderedPageBreak/>
              <mc:AlternateContent>
                <mc:Choice Requires="wps">
                  <w:drawing>
                    <wp:anchor distT="0" distB="0" distL="114300" distR="114300" simplePos="0" relativeHeight="251662336" behindDoc="0" locked="0" layoutInCell="1" allowOverlap="1" wp14:anchorId="10128B7B" wp14:editId="2733E4CF">
                      <wp:simplePos x="0" y="0"/>
                      <wp:positionH relativeFrom="column">
                        <wp:posOffset>2443880</wp:posOffset>
                      </wp:positionH>
                      <wp:positionV relativeFrom="paragraph">
                        <wp:posOffset>2347637</wp:posOffset>
                      </wp:positionV>
                      <wp:extent cx="1581117" cy="749721"/>
                      <wp:effectExtent l="0" t="0" r="19685" b="12700"/>
                      <wp:wrapNone/>
                      <wp:docPr id="4" name="Rectangle 4"/>
                      <wp:cNvGraphicFramePr/>
                      <a:graphic xmlns:a="http://schemas.openxmlformats.org/drawingml/2006/main">
                        <a:graphicData uri="http://schemas.microsoft.com/office/word/2010/wordprocessingShape">
                          <wps:wsp>
                            <wps:cNvSpPr/>
                            <wps:spPr>
                              <a:xfrm>
                                <a:off x="0" y="0"/>
                                <a:ext cx="1581117" cy="74972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971174D" id="Rectangle 4" o:spid="_x0000_s1026" style="position:absolute;margin-left:192.45pt;margin-top:184.85pt;width:124.5pt;height:59.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" filled="f" strokecolor="red" strokeweight="1pt"/>
                  </w:pict>
                </mc:Fallback>
              </mc:AlternateContent>
            </w:r>
            <w:r w:rsidRPr="00B52473">
              <w:rPr>
                <w:rFonts w:eastAsia="Times New Roman"/>
                <w:noProof/>
                <w:szCs w:val="24"/>
              </w:rPr>
              <mc:AlternateContent>
                <mc:Choice Requires="wps">
                  <w:drawing>
                    <wp:anchor distT="45720" distB="45720" distL="114300" distR="114300" simplePos="0" relativeHeight="251664384" behindDoc="0" locked="0" layoutInCell="1" allowOverlap="1" wp14:anchorId="60BCF32B" wp14:editId="0CDD9DB0">
                      <wp:simplePos x="0" y="0"/>
                      <wp:positionH relativeFrom="column">
                        <wp:posOffset>4208145</wp:posOffset>
                      </wp:positionH>
                      <wp:positionV relativeFrom="paragraph">
                        <wp:posOffset>2243455</wp:posOffset>
                      </wp:positionV>
                      <wp:extent cx="1586230" cy="89535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230" cy="895350"/>
                              </a:xfrm>
                              <a:prstGeom prst="rect">
                                <a:avLst/>
                              </a:prstGeom>
                              <a:noFill/>
                              <a:ln w="9525">
                                <a:noFill/>
                                <a:miter lim="800000"/>
                                <a:headEnd/>
                                <a:tailEnd/>
                              </a:ln>
                            </wps:spPr>
                            <wps:txbx>
                              <w:txbxContent>
                                <w:p w14:paraId="2409CA86" w14:textId="77777777" w:rsidR="00867105" w:rsidRPr="00B52473" w:rsidRDefault="00867105" w:rsidP="00867105">
                                  <w:pPr>
                                    <w:jc w:val="center"/>
                                    <w:rPr>
                                      <w:lang w:val="en-US"/>
                                    </w:rPr>
                                  </w:pPr>
                                  <w:r>
                                    <w:rPr>
                                      <w:lang w:val="en-US"/>
                                    </w:rPr>
                                    <w:t>Hypothetical region after failure: Minimum FS = 0.901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CF32B" id="_x0000_s1039" type="#_x0000_t202" style="position:absolute;left:0;text-align:left;margin-left:331.35pt;margin-top:176.65pt;width:124.9pt;height:70.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" filled="f" stroked="f">
                      <v:textbox>
                        <w:txbxContent>
                          <w:p w14:paraId="2409CA86" w14:textId="77777777" w:rsidR="00867105" w:rsidRPr="00B52473" w:rsidRDefault="00867105" w:rsidP="00867105">
                            <w:pPr>
                              <w:jc w:val="center"/>
                              <w:rPr>
                                <w:lang w:val="en-US"/>
                              </w:rPr>
                            </w:pPr>
                            <w:r>
                              <w:rPr>
                                <w:lang w:val="en-US"/>
                              </w:rPr>
                              <w:t>Hypothetical region after failure: Minimum FS = 0.901</w:t>
                            </w:r>
                          </w:p>
                        </w:txbxContent>
                      </v:textbox>
                    </v:shape>
                  </w:pict>
                </mc:Fallback>
              </mc:AlternateContent>
            </w:r>
            <w:r>
              <w:rPr>
                <w:rFonts w:eastAsia="Times New Roman"/>
                <w:noProof/>
                <w:szCs w:val="24"/>
              </w:rPr>
              <mc:AlternateContent>
                <mc:Choice Requires="wps">
                  <w:drawing>
                    <wp:anchor distT="0" distB="0" distL="114300" distR="114300" simplePos="0" relativeHeight="251663360" behindDoc="0" locked="0" layoutInCell="1" allowOverlap="1" wp14:anchorId="1AEC98EE" wp14:editId="2CF71D2A">
                      <wp:simplePos x="0" y="0"/>
                      <wp:positionH relativeFrom="column">
                        <wp:posOffset>4020820</wp:posOffset>
                      </wp:positionH>
                      <wp:positionV relativeFrom="paragraph">
                        <wp:posOffset>2696845</wp:posOffset>
                      </wp:positionV>
                      <wp:extent cx="357052" cy="0"/>
                      <wp:effectExtent l="38100" t="76200" r="0" b="95250"/>
                      <wp:wrapNone/>
                      <wp:docPr id="6" name="Straight Arrow Connector 6"/>
                      <wp:cNvGraphicFramePr/>
                      <a:graphic xmlns:a="http://schemas.openxmlformats.org/drawingml/2006/main">
                        <a:graphicData uri="http://schemas.microsoft.com/office/word/2010/wordprocessingShape">
                          <wps:wsp>
                            <wps:cNvCnPr/>
                            <wps:spPr>
                              <a:xfrm flipH="1">
                                <a:off x="0" y="0"/>
                                <a:ext cx="357052" cy="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BFA4E4F" id="Straight Arrow Connector 6" o:spid="_x0000_s1026" type="#_x0000_t32" style="position:absolute;margin-left:316.6pt;margin-top:212.35pt;width:28.1pt;height:0;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" strokecolor="red" strokeweight=".5pt">
                      <v:stroke endarrow="block" joinstyle="miter"/>
                    </v:shape>
                  </w:pict>
                </mc:Fallback>
              </mc:AlternateContent>
            </w:r>
            <w:r w:rsidR="00E64FF5" w:rsidRPr="00E64FF5">
              <w:rPr>
                <w:noProof/>
                <w:szCs w:val="24"/>
                <w:lang w:bidi="en-US"/>
              </w:rPr>
              <w:drawing>
                <wp:inline distT="0" distB="0" distL="0" distR="0" wp14:anchorId="060D1A8D" wp14:editId="1F269EE4">
                  <wp:extent cx="2686050" cy="3767640"/>
                  <wp:effectExtent l="0" t="0" r="0" b="444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99117" cy="3785969"/>
                          </a:xfrm>
                          <a:prstGeom prst="rect">
                            <a:avLst/>
                          </a:prstGeom>
                          <a:noFill/>
                          <a:ln>
                            <a:noFill/>
                          </a:ln>
                        </pic:spPr>
                      </pic:pic>
                    </a:graphicData>
                  </a:graphic>
                </wp:inline>
              </w:drawing>
            </w:r>
          </w:p>
          <w:p w14:paraId="17CBCB49" w14:textId="2660003A" w:rsidR="00040F11" w:rsidRPr="00040F11" w:rsidRDefault="00040F11" w:rsidP="00051297">
            <w:pPr>
              <w:keepNext/>
              <w:ind w:firstLine="0"/>
              <w:jc w:val="center"/>
              <w:rPr>
                <w:szCs w:val="24"/>
                <w:lang w:val="en-US" w:bidi="en-US"/>
              </w:rPr>
            </w:pPr>
            <w:r>
              <w:rPr>
                <w:szCs w:val="24"/>
                <w:lang w:val="en-US" w:bidi="en-US"/>
              </w:rPr>
              <w:t>(b)</w:t>
            </w:r>
          </w:p>
        </w:tc>
      </w:tr>
    </w:tbl>
    <w:p w14:paraId="0E0D801D" w14:textId="32A88DC6" w:rsidR="00051297" w:rsidRPr="00051297" w:rsidRDefault="00051297" w:rsidP="00051297">
      <w:pPr>
        <w:ind w:firstLine="0"/>
        <w:jc w:val="center"/>
        <w:rPr>
          <w:lang w:val="en-US"/>
        </w:rPr>
      </w:pPr>
      <w:bookmarkStart w:id="1276" w:name="_Ref98107617"/>
      <w:bookmarkStart w:id="1277" w:name="_Toc97428292"/>
      <w:bookmarkStart w:id="1278" w:name="_Toc98085967"/>
      <w:bookmarkStart w:id="1279" w:name="_Toc103544162"/>
      <w:bookmarkStart w:id="1280" w:name="_Toc104985488"/>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29</w:t>
      </w:r>
      <w:r w:rsidR="00527861">
        <w:rPr>
          <w:lang w:val="en-US"/>
        </w:rPr>
        <w:fldChar w:fldCharType="end"/>
      </w:r>
      <w:bookmarkEnd w:id="1276"/>
      <w:r w:rsidRPr="00051297">
        <w:rPr>
          <w:lang w:val="en-US"/>
        </w:rPr>
        <w:t xml:space="preserve"> – Rapid drawdown (5 days) slope stability under the reduced operating water level</w:t>
      </w:r>
      <w:bookmarkEnd w:id="1277"/>
      <w:bookmarkEnd w:id="1278"/>
      <w:bookmarkEnd w:id="1279"/>
      <w:r w:rsidR="00040F11">
        <w:rPr>
          <w:rFonts w:cs="Times New Roman"/>
          <w:szCs w:val="24"/>
          <w:lang w:val="en-US" w:bidi="en-US"/>
        </w:rPr>
        <w:t>; a) embankment with slip surface; b) graph of factor of safety values</w:t>
      </w:r>
      <w:bookmarkEnd w:id="1280"/>
    </w:p>
    <w:p w14:paraId="36F8923B" w14:textId="372EFD3C" w:rsidR="00051297" w:rsidRPr="00051297" w:rsidRDefault="00051297" w:rsidP="00051297">
      <w:pPr>
        <w:rPr>
          <w:rFonts w:cs="Times New Roman"/>
          <w:szCs w:val="24"/>
          <w:lang w:val="en-US" w:bidi="en-US"/>
        </w:rPr>
      </w:pPr>
      <w:r w:rsidRPr="00051297">
        <w:rPr>
          <w:rFonts w:cs="Times New Roman"/>
          <w:szCs w:val="24"/>
          <w:lang w:val="en-US" w:bidi="en-US"/>
        </w:rPr>
        <w:t xml:space="preserve">The results of the 10 days drawdown rate, in which the reservoir is drained in 10 days, are shown in </w:t>
      </w:r>
      <w:r w:rsidRPr="00051297">
        <w:rPr>
          <w:rFonts w:cs="Times New Roman"/>
          <w:szCs w:val="24"/>
          <w:lang w:val="en-US" w:bidi="en-US"/>
        </w:rPr>
        <w:fldChar w:fldCharType="begin"/>
      </w:r>
      <w:r w:rsidRPr="00051297">
        <w:rPr>
          <w:rFonts w:cs="Times New Roman"/>
          <w:szCs w:val="24"/>
          <w:lang w:val="en-US" w:bidi="en-US"/>
        </w:rPr>
        <w:instrText xml:space="preserve"> REF _Ref98107650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30</w:t>
      </w:r>
      <w:r w:rsidRPr="00051297">
        <w:rPr>
          <w:rFonts w:cs="Times New Roman"/>
          <w:szCs w:val="24"/>
          <w:lang w:val="en-US" w:bidi="en-US"/>
        </w:rPr>
        <w:fldChar w:fldCharType="end"/>
      </w:r>
      <w:r w:rsidRPr="00051297">
        <w:rPr>
          <w:rFonts w:cs="Times New Roman"/>
          <w:szCs w:val="24"/>
          <w:lang w:val="en-US" w:bidi="en-US"/>
        </w:rPr>
        <w:t>. However, the embankment breaks under the required drawdown rate, with the long-term reservoir operating level almost at the midway of the embankment height, as shown by the minimal obtained factor of safety value.</w:t>
      </w:r>
      <w:r w:rsidR="00867105" w:rsidRPr="00867105">
        <w:rPr>
          <w:rFonts w:eastAsia="Times New Roman"/>
          <w:noProof/>
          <w:szCs w:val="24"/>
          <w:lang w:val="en-US"/>
        </w:rPr>
        <w:t xml:space="preserve"> </w:t>
      </w:r>
    </w:p>
    <w:p w14:paraId="790EC464" w14:textId="5E8CD99E" w:rsidR="00051297" w:rsidRPr="00051297" w:rsidRDefault="00A10704" w:rsidP="00051297">
      <w:pPr>
        <w:keepNext/>
        <w:ind w:firstLine="0"/>
        <w:jc w:val="center"/>
        <w:rPr>
          <w:rFonts w:cs="Times New Roman"/>
          <w:szCs w:val="24"/>
        </w:rPr>
      </w:pPr>
      <w:r>
        <w:rPr>
          <w:noProof/>
        </w:rPr>
        <w:drawing>
          <wp:inline distT="0" distB="0" distL="0" distR="0" wp14:anchorId="7F3E70B1" wp14:editId="27AA4102">
            <wp:extent cx="5939790" cy="2273935"/>
            <wp:effectExtent l="0" t="0" r="381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39790" cy="2273935"/>
                    </a:xfrm>
                    <a:prstGeom prst="rect">
                      <a:avLst/>
                    </a:prstGeom>
                    <a:noFill/>
                    <a:ln>
                      <a:noFill/>
                    </a:ln>
                  </pic:spPr>
                </pic:pic>
              </a:graphicData>
            </a:graphic>
          </wp:inline>
        </w:drawing>
      </w:r>
    </w:p>
    <w:p w14:paraId="46913660" w14:textId="70DE3DA6" w:rsidR="00051297" w:rsidRPr="00051297" w:rsidRDefault="00051297" w:rsidP="00051297">
      <w:pPr>
        <w:ind w:firstLine="0"/>
        <w:jc w:val="center"/>
        <w:rPr>
          <w:lang w:val="en-US"/>
        </w:rPr>
      </w:pPr>
      <w:bookmarkStart w:id="1281" w:name="_Ref98107650"/>
      <w:bookmarkStart w:id="1282" w:name="_Toc97428293"/>
      <w:bookmarkStart w:id="1283" w:name="_Toc98085968"/>
      <w:bookmarkStart w:id="1284" w:name="_Toc103544163"/>
      <w:bookmarkStart w:id="1285" w:name="_Toc104985489"/>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30</w:t>
      </w:r>
      <w:r w:rsidR="00527861">
        <w:rPr>
          <w:lang w:val="en-US"/>
        </w:rPr>
        <w:fldChar w:fldCharType="end"/>
      </w:r>
      <w:bookmarkEnd w:id="1281"/>
      <w:r w:rsidRPr="00051297">
        <w:rPr>
          <w:lang w:val="en-US"/>
        </w:rPr>
        <w:t xml:space="preserve"> – Rapid drawdown (10 days) slope stability under the reduced operating water level</w:t>
      </w:r>
      <w:bookmarkEnd w:id="1282"/>
      <w:bookmarkEnd w:id="1283"/>
      <w:bookmarkEnd w:id="1284"/>
      <w:bookmarkEnd w:id="1285"/>
    </w:p>
    <w:p w14:paraId="4BDFD911" w14:textId="48E24FA7" w:rsidR="00051297" w:rsidRPr="00051297" w:rsidRDefault="00051297" w:rsidP="00051297">
      <w:pPr>
        <w:rPr>
          <w:rFonts w:cs="Times New Roman"/>
          <w:szCs w:val="24"/>
          <w:lang w:val="en-US" w:bidi="en-US"/>
        </w:rPr>
      </w:pPr>
      <w:r w:rsidRPr="00051297">
        <w:rPr>
          <w:rFonts w:cs="Times New Roman"/>
          <w:szCs w:val="24"/>
          <w:lang w:val="en-US" w:bidi="en-US"/>
        </w:rPr>
        <w:t xml:space="preserve">Despite the improvement in terms of the factor of safety value when the embankment was subjected to the 1 m per day drawdown rate, still the 1.107 (as shown in </w:t>
      </w:r>
      <w:r w:rsidRPr="00051297">
        <w:rPr>
          <w:rFonts w:cs="Times New Roman"/>
          <w:szCs w:val="24"/>
          <w:lang w:val="en-US" w:bidi="en-US"/>
        </w:rPr>
        <w:fldChar w:fldCharType="begin"/>
      </w:r>
      <w:r w:rsidRPr="00051297">
        <w:rPr>
          <w:rFonts w:cs="Times New Roman"/>
          <w:szCs w:val="24"/>
          <w:lang w:val="en-US" w:bidi="en-US"/>
        </w:rPr>
        <w:instrText xml:space="preserve"> REF _Ref98107664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31</w:t>
      </w:r>
      <w:r w:rsidRPr="00051297">
        <w:rPr>
          <w:rFonts w:cs="Times New Roman"/>
          <w:szCs w:val="24"/>
          <w:lang w:val="en-US" w:bidi="en-US"/>
        </w:rPr>
        <w:fldChar w:fldCharType="end"/>
      </w:r>
      <w:r w:rsidRPr="00051297">
        <w:rPr>
          <w:rFonts w:cs="Times New Roman"/>
          <w:szCs w:val="24"/>
          <w:lang w:val="en-US" w:bidi="en-US"/>
        </w:rPr>
        <w:t xml:space="preserve">) minimum factor of safety value is not sufficient enough to guarantee the safety of the embankment. </w:t>
      </w:r>
    </w:p>
    <w:p w14:paraId="659732FF" w14:textId="77777777" w:rsidR="00051297" w:rsidRPr="00051297" w:rsidRDefault="0082449C" w:rsidP="00051297">
      <w:pPr>
        <w:keepNext/>
        <w:ind w:firstLine="0"/>
        <w:jc w:val="center"/>
        <w:rPr>
          <w:rFonts w:cs="Times New Roman"/>
          <w:szCs w:val="24"/>
        </w:rPr>
      </w:pPr>
      <w:r>
        <w:rPr>
          <w:noProof/>
        </w:rPr>
        <w:lastRenderedPageBreak/>
        <w:drawing>
          <wp:inline distT="0" distB="0" distL="0" distR="0" wp14:anchorId="1531A354" wp14:editId="498CBBB3">
            <wp:extent cx="5939790" cy="228981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39790" cy="2289810"/>
                    </a:xfrm>
                    <a:prstGeom prst="rect">
                      <a:avLst/>
                    </a:prstGeom>
                    <a:noFill/>
                    <a:ln>
                      <a:noFill/>
                    </a:ln>
                  </pic:spPr>
                </pic:pic>
              </a:graphicData>
            </a:graphic>
          </wp:inline>
        </w:drawing>
      </w:r>
    </w:p>
    <w:p w14:paraId="748C47F6" w14:textId="6F4AA004" w:rsidR="00051297" w:rsidRPr="00051297" w:rsidRDefault="00051297" w:rsidP="00051297">
      <w:pPr>
        <w:ind w:firstLine="0"/>
        <w:jc w:val="center"/>
        <w:rPr>
          <w:lang w:val="en-US"/>
        </w:rPr>
      </w:pPr>
      <w:bookmarkStart w:id="1286" w:name="_Ref98107664"/>
      <w:bookmarkStart w:id="1287" w:name="_Toc97428294"/>
      <w:bookmarkStart w:id="1288" w:name="_Toc98085969"/>
      <w:bookmarkStart w:id="1289" w:name="_Toc103544164"/>
      <w:bookmarkStart w:id="1290" w:name="_Toc104985490"/>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31</w:t>
      </w:r>
      <w:r w:rsidR="00527861">
        <w:rPr>
          <w:lang w:val="en-US"/>
        </w:rPr>
        <w:fldChar w:fldCharType="end"/>
      </w:r>
      <w:bookmarkEnd w:id="1286"/>
      <w:r w:rsidRPr="00051297">
        <w:rPr>
          <w:lang w:val="en-US"/>
        </w:rPr>
        <w:t xml:space="preserve"> – Rapid drawdown (1 m per day slope stability) under the reduced operating water level</w:t>
      </w:r>
      <w:bookmarkEnd w:id="1287"/>
      <w:bookmarkEnd w:id="1288"/>
      <w:bookmarkEnd w:id="1289"/>
      <w:bookmarkEnd w:id="1290"/>
    </w:p>
    <w:p w14:paraId="44B194B7" w14:textId="22B01A66" w:rsidR="00051297" w:rsidRPr="00051297" w:rsidRDefault="00051297" w:rsidP="00C925D9">
      <w:pPr>
        <w:pStyle w:val="4"/>
      </w:pPr>
      <w:bookmarkStart w:id="1291" w:name="_Toc97504874"/>
      <w:bookmarkStart w:id="1292" w:name="_Toc103544009"/>
      <w:bookmarkStart w:id="1293" w:name="_Toc104985334"/>
      <w:r w:rsidRPr="00051297">
        <w:t>At embankment height</w:t>
      </w:r>
      <w:bookmarkEnd w:id="1291"/>
      <w:bookmarkEnd w:id="1292"/>
      <w:bookmarkEnd w:id="1293"/>
    </w:p>
    <w:p w14:paraId="6BA2FD21" w14:textId="77777777" w:rsidR="00051297" w:rsidRPr="00051297" w:rsidRDefault="00051297" w:rsidP="00051297">
      <w:pPr>
        <w:rPr>
          <w:rFonts w:cs="Times New Roman"/>
          <w:szCs w:val="24"/>
          <w:lang w:val="en-US" w:bidi="en-US"/>
        </w:rPr>
      </w:pPr>
      <w:r w:rsidRPr="00051297">
        <w:rPr>
          <w:rFonts w:cs="Times New Roman"/>
          <w:szCs w:val="24"/>
          <w:lang w:val="en-US" w:bidi="en-US"/>
        </w:rPr>
        <w:t>The long-term water level was increased to the maximum height of the embankment in this study, and then seepage and slope stability analyses were performed. This was done to capture the effect of rapid drawdown when the long-term operating reservoir water level has increased in the reservoir. It is also worth noting that land use and land cover change, as well as climatic conditions, are among the key elements that can contribute to a substantial increase in the reservoir's long-term operating level.</w:t>
      </w:r>
    </w:p>
    <w:p w14:paraId="66D5D438" w14:textId="27B3E2BB" w:rsidR="00051297" w:rsidRPr="00051297" w:rsidRDefault="00051297" w:rsidP="00C925D9">
      <w:pPr>
        <w:pStyle w:val="5"/>
        <w:rPr>
          <w:lang w:val="en-GB" w:eastAsia="pl-PL"/>
        </w:rPr>
      </w:pPr>
      <w:bookmarkStart w:id="1294" w:name="_Toc97504875"/>
      <w:bookmarkStart w:id="1295" w:name="_Toc103544010"/>
      <w:bookmarkStart w:id="1296" w:name="_Toc104985335"/>
      <w:r w:rsidRPr="00051297">
        <w:rPr>
          <w:lang w:val="en-GB" w:eastAsia="pl-PL"/>
        </w:rPr>
        <w:t>Seepage analysis</w:t>
      </w:r>
      <w:bookmarkEnd w:id="1294"/>
      <w:bookmarkEnd w:id="1295"/>
      <w:bookmarkEnd w:id="1296"/>
    </w:p>
    <w:p w14:paraId="343B64A7" w14:textId="1442C4AE" w:rsidR="00051297" w:rsidRPr="00051297" w:rsidRDefault="00051297" w:rsidP="00051297">
      <w:pPr>
        <w:rPr>
          <w:rFonts w:cs="Times New Roman"/>
          <w:szCs w:val="24"/>
          <w:lang w:val="en-US" w:bidi="en-US"/>
        </w:rPr>
      </w:pPr>
      <w:r w:rsidRPr="00051297">
        <w:rPr>
          <w:rFonts w:cs="Times New Roman"/>
          <w:szCs w:val="24"/>
          <w:lang w:val="en-US" w:bidi="en-US"/>
        </w:rPr>
        <w:t xml:space="preserve">We can see from </w:t>
      </w:r>
      <w:r w:rsidRPr="00051297">
        <w:rPr>
          <w:rFonts w:cs="Times New Roman"/>
          <w:szCs w:val="24"/>
          <w:lang w:val="en-US" w:bidi="en-US"/>
        </w:rPr>
        <w:fldChar w:fldCharType="begin"/>
      </w:r>
      <w:r w:rsidRPr="00051297">
        <w:rPr>
          <w:rFonts w:cs="Times New Roman"/>
          <w:szCs w:val="24"/>
          <w:lang w:val="en-US" w:bidi="en-US"/>
        </w:rPr>
        <w:instrText xml:space="preserve"> REF _Ref98107724 \h </w:instrText>
      </w:r>
      <w:r w:rsidRPr="00051297">
        <w:rPr>
          <w:rFonts w:cs="Times New Roman"/>
          <w:szCs w:val="24"/>
          <w:lang w:val="en-US" w:bidi="en-US"/>
        </w:rPr>
      </w:r>
      <w:r w:rsidRPr="00051297">
        <w:rPr>
          <w:rFonts w:cs="Times New Roman"/>
          <w:szCs w:val="24"/>
          <w:lang w:val="en-US" w:bidi="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32</w:t>
      </w:r>
      <w:r w:rsidRPr="00051297">
        <w:rPr>
          <w:rFonts w:cs="Times New Roman"/>
          <w:szCs w:val="24"/>
          <w:lang w:val="en-US" w:bidi="en-US"/>
        </w:rPr>
        <w:fldChar w:fldCharType="end"/>
      </w:r>
      <w:r w:rsidRPr="00051297">
        <w:rPr>
          <w:rFonts w:cs="Times New Roman"/>
          <w:szCs w:val="24"/>
          <w:lang w:val="en-US" w:bidi="en-US"/>
        </w:rPr>
        <w:t xml:space="preserve"> that the buildup of pore-water pressures had greatly decreased as compared to when the long-term water level was reduced to half of the embankment; whereby, in the analysis, it was observed that the first three zones of the embankment were subjected to excess pore-water pressure. As previously stated, the pore water pressure is crucial for separating total stress from effective stress in soil; thus, a correct depiction of soil stress is required for exact field calculations. </w:t>
      </w:r>
    </w:p>
    <w:p w14:paraId="65911B41" w14:textId="392C5189" w:rsidR="00051297" w:rsidRPr="00051297" w:rsidRDefault="00222B19" w:rsidP="00051297">
      <w:pPr>
        <w:keepNext/>
        <w:ind w:firstLine="0"/>
        <w:rPr>
          <w:rFonts w:cs="Times New Roman"/>
          <w:szCs w:val="24"/>
        </w:rPr>
      </w:pPr>
      <w:r>
        <w:rPr>
          <w:noProof/>
        </w:rPr>
        <w:drawing>
          <wp:inline distT="0" distB="0" distL="0" distR="0" wp14:anchorId="78BB4939" wp14:editId="370990ED">
            <wp:extent cx="5939790" cy="2148840"/>
            <wp:effectExtent l="0" t="0" r="381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39790" cy="2148840"/>
                    </a:xfrm>
                    <a:prstGeom prst="rect">
                      <a:avLst/>
                    </a:prstGeom>
                    <a:noFill/>
                    <a:ln>
                      <a:noFill/>
                    </a:ln>
                  </pic:spPr>
                </pic:pic>
              </a:graphicData>
            </a:graphic>
          </wp:inline>
        </w:drawing>
      </w:r>
    </w:p>
    <w:p w14:paraId="0ACF7C7C" w14:textId="11C46834" w:rsidR="00051297" w:rsidRPr="00051297" w:rsidRDefault="00051297" w:rsidP="00051297">
      <w:pPr>
        <w:ind w:firstLine="0"/>
        <w:jc w:val="center"/>
        <w:rPr>
          <w:lang w:val="en-US"/>
        </w:rPr>
      </w:pPr>
      <w:bookmarkStart w:id="1297" w:name="_Ref98107724"/>
      <w:bookmarkStart w:id="1298" w:name="_Toc97428295"/>
      <w:bookmarkStart w:id="1299" w:name="_Toc98085970"/>
      <w:bookmarkStart w:id="1300" w:name="_Toc103544165"/>
      <w:bookmarkStart w:id="1301" w:name="_Toc104985491"/>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32</w:t>
      </w:r>
      <w:r w:rsidR="00527861">
        <w:rPr>
          <w:lang w:val="en-US"/>
        </w:rPr>
        <w:fldChar w:fldCharType="end"/>
      </w:r>
      <w:bookmarkEnd w:id="1297"/>
      <w:r w:rsidRPr="00051297">
        <w:rPr>
          <w:lang w:val="en-US"/>
        </w:rPr>
        <w:t xml:space="preserve"> – Steady-state seepage at embankment height operating level</w:t>
      </w:r>
      <w:bookmarkEnd w:id="1298"/>
      <w:bookmarkEnd w:id="1299"/>
      <w:bookmarkEnd w:id="1300"/>
      <w:bookmarkEnd w:id="1301"/>
    </w:p>
    <w:p w14:paraId="54E75BCA" w14:textId="59EE8D7C" w:rsidR="00051297" w:rsidRPr="00051297" w:rsidRDefault="00051297" w:rsidP="00051297">
      <w:pPr>
        <w:rPr>
          <w:rFonts w:cs="Times New Roman"/>
          <w:szCs w:val="24"/>
          <w:lang w:val="en-GB" w:eastAsia="pl-PL"/>
        </w:rPr>
      </w:pPr>
      <w:r w:rsidRPr="00051297">
        <w:rPr>
          <w:rFonts w:cs="Times New Roman"/>
          <w:szCs w:val="24"/>
          <w:lang w:val="en-GB" w:eastAsia="pl-PL"/>
        </w:rPr>
        <w:lastRenderedPageBreak/>
        <w:t xml:space="preserve">The results of the instantaneous (worst-case scenario) drawdown seepage under increased operating water levels are shown in </w:t>
      </w:r>
      <w:r w:rsidRPr="00051297">
        <w:rPr>
          <w:rFonts w:cs="Times New Roman"/>
          <w:szCs w:val="24"/>
          <w:lang w:val="en-GB" w:eastAsia="pl-PL"/>
        </w:rPr>
        <w:fldChar w:fldCharType="begin"/>
      </w:r>
      <w:r w:rsidRPr="00051297">
        <w:rPr>
          <w:rFonts w:cs="Times New Roman"/>
          <w:szCs w:val="24"/>
          <w:lang w:val="en-GB" w:eastAsia="pl-PL"/>
        </w:rPr>
        <w:instrText xml:space="preserve"> REF _Ref98107744 \h </w:instrText>
      </w:r>
      <w:r w:rsidRPr="00051297">
        <w:rPr>
          <w:rFonts w:cs="Times New Roman"/>
          <w:szCs w:val="24"/>
          <w:lang w:val="en-GB" w:eastAsia="pl-PL"/>
        </w:rPr>
      </w:r>
      <w:r w:rsidRPr="00051297">
        <w:rPr>
          <w:rFonts w:cs="Times New Roman"/>
          <w:szCs w:val="24"/>
          <w:lang w:val="en-GB" w:eastAsia="pl-PL"/>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33</w:t>
      </w:r>
      <w:r w:rsidRPr="00051297">
        <w:rPr>
          <w:rFonts w:cs="Times New Roman"/>
          <w:szCs w:val="24"/>
          <w:lang w:val="en-GB" w:eastAsia="pl-PL"/>
        </w:rPr>
        <w:fldChar w:fldCharType="end"/>
      </w:r>
      <w:r w:rsidRPr="00051297">
        <w:rPr>
          <w:rFonts w:cs="Times New Roman"/>
          <w:szCs w:val="24"/>
          <w:lang w:val="en-GB" w:eastAsia="pl-PL"/>
        </w:rPr>
        <w:t>. Even after the water in the reservoir has been completely drained, the pore-water pressures in the embankment remain quite high, as seen by the piezometric lines in the figure. According to the literature, if an embankment is erected over a high cohesive material foundation, the material may experience a temporary situation of excess pore pressure. Due to the soil's limited permeability, the increased pore pressure cannot easily dissipate. In a non-steady-state scenario, greater pore pressure can lead to lower safety factors and possible failure.</w:t>
      </w:r>
    </w:p>
    <w:p w14:paraId="4AB93DCE" w14:textId="20F2E409" w:rsidR="00051297" w:rsidRPr="00051297" w:rsidRDefault="001C1ED5" w:rsidP="00051297">
      <w:pPr>
        <w:keepNext/>
        <w:ind w:firstLine="0"/>
        <w:rPr>
          <w:rFonts w:cs="Times New Roman"/>
          <w:szCs w:val="24"/>
        </w:rPr>
      </w:pPr>
      <w:r>
        <w:rPr>
          <w:noProof/>
        </w:rPr>
        <w:drawing>
          <wp:inline distT="0" distB="0" distL="0" distR="0" wp14:anchorId="35086443" wp14:editId="0509B835">
            <wp:extent cx="5939790" cy="2138045"/>
            <wp:effectExtent l="0" t="0" r="381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39790" cy="2138045"/>
                    </a:xfrm>
                    <a:prstGeom prst="rect">
                      <a:avLst/>
                    </a:prstGeom>
                    <a:noFill/>
                    <a:ln>
                      <a:noFill/>
                    </a:ln>
                  </pic:spPr>
                </pic:pic>
              </a:graphicData>
            </a:graphic>
          </wp:inline>
        </w:drawing>
      </w:r>
    </w:p>
    <w:p w14:paraId="3F84F77B" w14:textId="6C998129" w:rsidR="00051297" w:rsidRPr="00051297" w:rsidRDefault="00051297" w:rsidP="00051297">
      <w:pPr>
        <w:ind w:firstLine="0"/>
        <w:jc w:val="center"/>
        <w:rPr>
          <w:lang w:val="en-US"/>
        </w:rPr>
      </w:pPr>
      <w:bookmarkStart w:id="1302" w:name="_Ref98107744"/>
      <w:bookmarkStart w:id="1303" w:name="_Toc97428296"/>
      <w:bookmarkStart w:id="1304" w:name="_Toc98085971"/>
      <w:bookmarkStart w:id="1305" w:name="_Toc103544166"/>
      <w:bookmarkStart w:id="1306" w:name="_Toc104985492"/>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33</w:t>
      </w:r>
      <w:r w:rsidR="00527861">
        <w:rPr>
          <w:lang w:val="en-US"/>
        </w:rPr>
        <w:fldChar w:fldCharType="end"/>
      </w:r>
      <w:bookmarkEnd w:id="1302"/>
      <w:r w:rsidRPr="00051297">
        <w:rPr>
          <w:lang w:val="en-US"/>
        </w:rPr>
        <w:t xml:space="preserve"> – Instantaneous seepage at embankment height operating level</w:t>
      </w:r>
      <w:bookmarkEnd w:id="1303"/>
      <w:bookmarkEnd w:id="1304"/>
      <w:bookmarkEnd w:id="1305"/>
      <w:bookmarkEnd w:id="1306"/>
    </w:p>
    <w:p w14:paraId="6B16F5E2" w14:textId="4C5160C2" w:rsidR="00051297" w:rsidRPr="00051297" w:rsidRDefault="00051297" w:rsidP="00051297">
      <w:pPr>
        <w:rPr>
          <w:rFonts w:cs="Times New Roman"/>
          <w:szCs w:val="24"/>
          <w:lang w:val="en-GB" w:eastAsia="pl-PL"/>
        </w:rPr>
      </w:pPr>
      <w:r w:rsidRPr="00051297">
        <w:rPr>
          <w:rFonts w:cs="Times New Roman"/>
          <w:szCs w:val="24"/>
          <w:lang w:val="en-GB" w:eastAsia="pl-PL"/>
        </w:rPr>
        <w:t xml:space="preserve">The drawdown rate was reduced to 5 days after the instantaneous drawdown scenario, with the outcomes of the 5 days drawdown seepage under reduced working water level displayed in </w:t>
      </w:r>
      <w:r w:rsidRPr="00051297">
        <w:rPr>
          <w:rFonts w:cs="Times New Roman"/>
          <w:szCs w:val="24"/>
          <w:lang w:val="en-GB" w:eastAsia="pl-PL"/>
        </w:rPr>
        <w:fldChar w:fldCharType="begin"/>
      </w:r>
      <w:r w:rsidRPr="00051297">
        <w:rPr>
          <w:rFonts w:cs="Times New Roman"/>
          <w:szCs w:val="24"/>
          <w:lang w:val="en-GB" w:eastAsia="pl-PL"/>
        </w:rPr>
        <w:instrText xml:space="preserve"> REF _Ref98107759 \h </w:instrText>
      </w:r>
      <w:r w:rsidRPr="00051297">
        <w:rPr>
          <w:rFonts w:cs="Times New Roman"/>
          <w:szCs w:val="24"/>
          <w:lang w:val="en-GB" w:eastAsia="pl-PL"/>
        </w:rPr>
      </w:r>
      <w:r w:rsidRPr="00051297">
        <w:rPr>
          <w:rFonts w:cs="Times New Roman"/>
          <w:szCs w:val="24"/>
          <w:lang w:val="en-GB" w:eastAsia="pl-PL"/>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34</w:t>
      </w:r>
      <w:r w:rsidRPr="00051297">
        <w:rPr>
          <w:rFonts w:cs="Times New Roman"/>
          <w:szCs w:val="24"/>
          <w:lang w:val="en-GB" w:eastAsia="pl-PL"/>
        </w:rPr>
        <w:fldChar w:fldCharType="end"/>
      </w:r>
      <w:r w:rsidRPr="00051297">
        <w:rPr>
          <w:rFonts w:cs="Times New Roman"/>
          <w:szCs w:val="24"/>
          <w:lang w:val="en-GB" w:eastAsia="pl-PL"/>
        </w:rPr>
        <w:t xml:space="preserve">. The piezometric lines in the picture show a similar phenomenon: even after the water in the reservoir has been fully drained, the pore-water pressures in the embankment remain relatively high. As previously mentioned, permeable non-cohesive soils have been shown in the literature to have a high sensitivity to stress variations produced by construction and reservoir level fluctuations, as well as fast dissipation </w:t>
      </w:r>
      <w:r w:rsidRPr="00051297">
        <w:rPr>
          <w:rFonts w:cs="Times New Roman"/>
          <w:szCs w:val="24"/>
          <w:lang w:val="en-GB" w:eastAsia="pl-PL"/>
        </w:rPr>
        <w:fldChar w:fldCharType="begin" w:fldLock="1"/>
      </w:r>
      <w:r w:rsidR="0044426E">
        <w:rPr>
          <w:rFonts w:cs="Times New Roman"/>
          <w:szCs w:val="24"/>
          <w:lang w:val="en-GB" w:eastAsia="pl-PL"/>
        </w:rPr>
        <w:instrText>ADDIN CSL_CITATION {"citationItems":[{"id":"ITEM-1","itemData":{"DOI":"10.22630/PNIKS.2020.29.1.7","ISSN":"1732-9353","abstract":"The paper aims to comparison the permeability coefficient in non-cohesive soils by the method of test pumping and based on tests in a consolidometer. The tests were carried out on 18 types of non-cohesive soils with different fraction. Pumping tests were carried out according to the standard method i.e. by making one well with a diameter of 400 mm and installing two piezometers at different distances from the well. The water table change was measured in piezometers during water pumping from the well. Tests in the consolidometer were carried out on soil samples that were first compacted to the same density index as in the test site. The tests were carried out with a continuous inflow of water from below with constant gradients of 0.50. The tests presented in the paper allow to verify and compare the values of the permeability coefficient in non-cohesive soils determined in the field and laboratory tests.","author":[{"dropping-particle":"","family":"Wrzesiński","given":"Grzegorz","non-dropping-particle":"","parse-names":false,"suffix":""}],"container-title":"Przegląd Naukowy Inżynieria i Kształtowanie Środowiska","id":"ITEM-1","issue":"1","issued":{"date-parts":[["2020","4"]]},"page":"72-80","title":"Permeability coefficient tests in non-cohesive soils","type":"article-journal","volume":"29"},"uris":["http://www.mendeley.com/documents/?uuid=771a3efd-9ea1-4730-982f-1a0290aa4288","http://www.mendeley.com/documents/?uuid=03b53424-0cc1-44b7-a758-f0f387c1ec12","http://www.mendeley.com/documents/?uuid=48d3eb97-915f-4138-adfb-675cb55115dd"]}],"mendeley":{"formattedCitation":"[290]","plainTextFormattedCitation":"[290]","previouslyFormattedCitation":"[290]"},"properties":{"noteIndex":0},"schema":"https://github.com/citation-style-language/schema/raw/master/csl-citation.json"}</w:instrText>
      </w:r>
      <w:r w:rsidRPr="00051297">
        <w:rPr>
          <w:rFonts w:cs="Times New Roman"/>
          <w:szCs w:val="24"/>
          <w:lang w:val="en-GB" w:eastAsia="pl-PL"/>
        </w:rPr>
        <w:fldChar w:fldCharType="separate"/>
      </w:r>
      <w:r w:rsidR="00FA5896" w:rsidRPr="00FA5896">
        <w:rPr>
          <w:rFonts w:cs="Times New Roman"/>
          <w:noProof/>
          <w:szCs w:val="24"/>
          <w:lang w:val="en-GB" w:eastAsia="pl-PL"/>
        </w:rPr>
        <w:t>[290]</w:t>
      </w:r>
      <w:r w:rsidRPr="00051297">
        <w:rPr>
          <w:rFonts w:cs="Times New Roman"/>
          <w:szCs w:val="24"/>
          <w:lang w:val="en-GB" w:eastAsia="pl-PL"/>
        </w:rPr>
        <w:fldChar w:fldCharType="end"/>
      </w:r>
      <w:r w:rsidRPr="00051297">
        <w:rPr>
          <w:rFonts w:cs="Times New Roman"/>
          <w:szCs w:val="24"/>
          <w:lang w:val="en-GB" w:eastAsia="pl-PL"/>
        </w:rPr>
        <w:t>.</w:t>
      </w:r>
    </w:p>
    <w:p w14:paraId="6AE3D4E3" w14:textId="715E8C2A" w:rsidR="00051297" w:rsidRPr="00051297" w:rsidRDefault="00520E9B" w:rsidP="00051297">
      <w:pPr>
        <w:keepNext/>
        <w:ind w:firstLine="0"/>
        <w:rPr>
          <w:rFonts w:cs="Times New Roman"/>
          <w:szCs w:val="24"/>
        </w:rPr>
      </w:pPr>
      <w:r>
        <w:rPr>
          <w:noProof/>
        </w:rPr>
        <w:drawing>
          <wp:inline distT="0" distB="0" distL="0" distR="0" wp14:anchorId="2487546F" wp14:editId="60EC7024">
            <wp:extent cx="5939790" cy="2136775"/>
            <wp:effectExtent l="0" t="0" r="381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39790" cy="2136775"/>
                    </a:xfrm>
                    <a:prstGeom prst="rect">
                      <a:avLst/>
                    </a:prstGeom>
                    <a:noFill/>
                    <a:ln>
                      <a:noFill/>
                    </a:ln>
                  </pic:spPr>
                </pic:pic>
              </a:graphicData>
            </a:graphic>
          </wp:inline>
        </w:drawing>
      </w:r>
    </w:p>
    <w:p w14:paraId="416AF6FC" w14:textId="3C340FE7" w:rsidR="00051297" w:rsidRPr="00051297" w:rsidRDefault="00051297" w:rsidP="00051297">
      <w:pPr>
        <w:ind w:firstLine="0"/>
        <w:jc w:val="center"/>
        <w:rPr>
          <w:lang w:val="en-US"/>
        </w:rPr>
      </w:pPr>
      <w:bookmarkStart w:id="1307" w:name="_Ref98107759"/>
      <w:bookmarkStart w:id="1308" w:name="_Toc97428297"/>
      <w:bookmarkStart w:id="1309" w:name="_Toc98085972"/>
      <w:bookmarkStart w:id="1310" w:name="_Toc103544167"/>
      <w:bookmarkStart w:id="1311" w:name="_Toc104985493"/>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34</w:t>
      </w:r>
      <w:r w:rsidR="00527861">
        <w:rPr>
          <w:lang w:val="en-US"/>
        </w:rPr>
        <w:fldChar w:fldCharType="end"/>
      </w:r>
      <w:bookmarkEnd w:id="1307"/>
      <w:r w:rsidRPr="00051297">
        <w:rPr>
          <w:lang w:val="en-US"/>
        </w:rPr>
        <w:t xml:space="preserve"> – Rapid drawdown (5 days) seepage at embankment height operating level</w:t>
      </w:r>
      <w:bookmarkEnd w:id="1308"/>
      <w:bookmarkEnd w:id="1309"/>
      <w:bookmarkEnd w:id="1310"/>
      <w:bookmarkEnd w:id="1311"/>
    </w:p>
    <w:p w14:paraId="3F91F864" w14:textId="2C6450F9" w:rsidR="00051297" w:rsidRPr="00051297" w:rsidRDefault="00051297" w:rsidP="00051297">
      <w:pPr>
        <w:rPr>
          <w:rFonts w:cs="Times New Roman"/>
          <w:szCs w:val="24"/>
          <w:lang w:val="en-GB" w:eastAsia="pl-PL"/>
        </w:rPr>
      </w:pPr>
      <w:r w:rsidRPr="00051297">
        <w:rPr>
          <w:rFonts w:cs="Times New Roman"/>
          <w:szCs w:val="24"/>
          <w:lang w:val="en-GB" w:eastAsia="pl-PL"/>
        </w:rPr>
        <w:lastRenderedPageBreak/>
        <w:t xml:space="preserve">Following the immediate and 5 days drawdown rates, the drawdown rate was reduced to 10 days, with the results of the 10 days drawdown rate seepage under increasing operating water level shown in </w:t>
      </w:r>
      <w:r w:rsidRPr="00051297">
        <w:rPr>
          <w:rFonts w:cs="Times New Roman"/>
          <w:szCs w:val="24"/>
          <w:lang w:val="en-GB" w:eastAsia="pl-PL"/>
        </w:rPr>
        <w:fldChar w:fldCharType="begin"/>
      </w:r>
      <w:r w:rsidRPr="00051297">
        <w:rPr>
          <w:rFonts w:cs="Times New Roman"/>
          <w:szCs w:val="24"/>
          <w:lang w:val="en-GB" w:eastAsia="pl-PL"/>
        </w:rPr>
        <w:instrText xml:space="preserve"> REF _Ref98107775 \h </w:instrText>
      </w:r>
      <w:r w:rsidRPr="00051297">
        <w:rPr>
          <w:rFonts w:cs="Times New Roman"/>
          <w:szCs w:val="24"/>
          <w:lang w:val="en-GB" w:eastAsia="pl-PL"/>
        </w:rPr>
      </w:r>
      <w:r w:rsidRPr="00051297">
        <w:rPr>
          <w:rFonts w:cs="Times New Roman"/>
          <w:szCs w:val="24"/>
          <w:lang w:val="en-GB" w:eastAsia="pl-PL"/>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35</w:t>
      </w:r>
      <w:r w:rsidRPr="00051297">
        <w:rPr>
          <w:rFonts w:cs="Times New Roman"/>
          <w:szCs w:val="24"/>
          <w:lang w:val="en-GB" w:eastAsia="pl-PL"/>
        </w:rPr>
        <w:fldChar w:fldCharType="end"/>
      </w:r>
      <w:r w:rsidRPr="00051297">
        <w:rPr>
          <w:rFonts w:cs="Times New Roman"/>
          <w:szCs w:val="24"/>
          <w:lang w:val="en-GB" w:eastAsia="pl-PL"/>
        </w:rPr>
        <w:t>. The piezometric lines in the Figure still demonstrate the same phenomenon as the instantaneous and 5 days drawdown rates, namely that pore-water pressures in the embankment remain relatively high even after the reservoir has been completely drained. This event also demonstrates that even when the drawdown rate is lowered to 10 days, the embankment's stability may be jeopardized.</w:t>
      </w:r>
    </w:p>
    <w:p w14:paraId="5DF2DBCF" w14:textId="4DC7FD4E" w:rsidR="00051297" w:rsidRPr="00051297" w:rsidRDefault="004D5EC2" w:rsidP="00051297">
      <w:pPr>
        <w:keepNext/>
        <w:ind w:firstLine="0"/>
        <w:jc w:val="center"/>
        <w:rPr>
          <w:rFonts w:cs="Times New Roman"/>
          <w:szCs w:val="24"/>
        </w:rPr>
      </w:pPr>
      <w:r>
        <w:rPr>
          <w:noProof/>
        </w:rPr>
        <w:drawing>
          <wp:inline distT="0" distB="0" distL="0" distR="0" wp14:anchorId="3C11EC0B" wp14:editId="6996F954">
            <wp:extent cx="5939790" cy="2146300"/>
            <wp:effectExtent l="0" t="0" r="381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9790" cy="2146300"/>
                    </a:xfrm>
                    <a:prstGeom prst="rect">
                      <a:avLst/>
                    </a:prstGeom>
                    <a:noFill/>
                    <a:ln>
                      <a:noFill/>
                    </a:ln>
                  </pic:spPr>
                </pic:pic>
              </a:graphicData>
            </a:graphic>
          </wp:inline>
        </w:drawing>
      </w:r>
    </w:p>
    <w:p w14:paraId="48E778FA" w14:textId="14CDD0FF" w:rsidR="00051297" w:rsidRPr="00051297" w:rsidRDefault="00051297" w:rsidP="00051297">
      <w:pPr>
        <w:ind w:firstLine="0"/>
        <w:jc w:val="center"/>
        <w:rPr>
          <w:lang w:val="en-US"/>
        </w:rPr>
      </w:pPr>
      <w:bookmarkStart w:id="1312" w:name="_Ref98107775"/>
      <w:bookmarkStart w:id="1313" w:name="_Toc97428298"/>
      <w:bookmarkStart w:id="1314" w:name="_Toc98085973"/>
      <w:bookmarkStart w:id="1315" w:name="_Toc103544168"/>
      <w:bookmarkStart w:id="1316" w:name="_Toc104985494"/>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35</w:t>
      </w:r>
      <w:r w:rsidR="00527861">
        <w:rPr>
          <w:lang w:val="en-US"/>
        </w:rPr>
        <w:fldChar w:fldCharType="end"/>
      </w:r>
      <w:bookmarkEnd w:id="1312"/>
      <w:r w:rsidRPr="00051297">
        <w:rPr>
          <w:lang w:val="en-US"/>
        </w:rPr>
        <w:t xml:space="preserve"> – Rapid drawdown (10 days) seepage at embankment height operating level</w:t>
      </w:r>
      <w:bookmarkEnd w:id="1313"/>
      <w:bookmarkEnd w:id="1314"/>
      <w:bookmarkEnd w:id="1315"/>
      <w:bookmarkEnd w:id="1316"/>
    </w:p>
    <w:p w14:paraId="7318F46C" w14:textId="7F7869AD" w:rsidR="00051297" w:rsidRPr="00051297" w:rsidRDefault="00051297" w:rsidP="00051297">
      <w:pPr>
        <w:rPr>
          <w:rFonts w:cs="Times New Roman"/>
          <w:szCs w:val="24"/>
          <w:lang w:val="en-GB" w:eastAsia="pl-PL"/>
        </w:rPr>
      </w:pPr>
      <w:r w:rsidRPr="00051297">
        <w:rPr>
          <w:rFonts w:cs="Times New Roman"/>
          <w:szCs w:val="24"/>
          <w:lang w:val="en-GB" w:eastAsia="pl-PL"/>
        </w:rPr>
        <w:t xml:space="preserve">Despite modest gains in terms of pore-water pressure dissipation when the drawdown rate was reduced further to 1 m per day, </w:t>
      </w:r>
      <w:r w:rsidRPr="00051297">
        <w:rPr>
          <w:rFonts w:cs="Times New Roman"/>
          <w:szCs w:val="24"/>
          <w:lang w:val="en-GB" w:eastAsia="pl-PL"/>
        </w:rPr>
        <w:fldChar w:fldCharType="begin"/>
      </w:r>
      <w:r w:rsidRPr="00051297">
        <w:rPr>
          <w:rFonts w:cs="Times New Roman"/>
          <w:szCs w:val="24"/>
          <w:lang w:val="en-GB" w:eastAsia="pl-PL"/>
        </w:rPr>
        <w:instrText xml:space="preserve"> REF _Ref98107825 \h </w:instrText>
      </w:r>
      <w:r w:rsidRPr="00051297">
        <w:rPr>
          <w:rFonts w:cs="Times New Roman"/>
          <w:szCs w:val="24"/>
          <w:lang w:val="en-GB" w:eastAsia="pl-PL"/>
        </w:rPr>
      </w:r>
      <w:r w:rsidRPr="00051297">
        <w:rPr>
          <w:rFonts w:cs="Times New Roman"/>
          <w:szCs w:val="24"/>
          <w:lang w:val="en-GB" w:eastAsia="pl-PL"/>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36</w:t>
      </w:r>
      <w:r w:rsidRPr="00051297">
        <w:rPr>
          <w:rFonts w:cs="Times New Roman"/>
          <w:szCs w:val="24"/>
          <w:lang w:val="en-GB" w:eastAsia="pl-PL"/>
        </w:rPr>
        <w:fldChar w:fldCharType="end"/>
      </w:r>
      <w:r w:rsidRPr="00051297">
        <w:rPr>
          <w:rFonts w:cs="Times New Roman"/>
          <w:szCs w:val="24"/>
          <w:lang w:val="en-GB" w:eastAsia="pl-PL"/>
        </w:rPr>
        <w:t xml:space="preserve"> shows that pore-water pressure dissipation after the drawdown is a substantial challenge. It's worth once again noting that as the soil becomes more saturated, the pore water pressure rises, lowering the shearing resistance of the soil. As a result of this condition, the slope's factor of safety is diminished. The level of permeability rate in the upstream zone of the embankment enhances pore water pressure.</w:t>
      </w:r>
    </w:p>
    <w:p w14:paraId="1F65B8C4" w14:textId="069549EE" w:rsidR="00051297" w:rsidRPr="00051297" w:rsidRDefault="007D2CB0" w:rsidP="00051297">
      <w:pPr>
        <w:keepNext/>
        <w:ind w:firstLine="0"/>
        <w:jc w:val="center"/>
        <w:rPr>
          <w:rFonts w:cs="Times New Roman"/>
          <w:szCs w:val="24"/>
        </w:rPr>
      </w:pPr>
      <w:r>
        <w:rPr>
          <w:noProof/>
        </w:rPr>
        <w:drawing>
          <wp:inline distT="0" distB="0" distL="0" distR="0" wp14:anchorId="05CE68AD" wp14:editId="5FE80D11">
            <wp:extent cx="5939790" cy="2138680"/>
            <wp:effectExtent l="0" t="0" r="381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39790" cy="2138680"/>
                    </a:xfrm>
                    <a:prstGeom prst="rect">
                      <a:avLst/>
                    </a:prstGeom>
                    <a:noFill/>
                    <a:ln>
                      <a:noFill/>
                    </a:ln>
                  </pic:spPr>
                </pic:pic>
              </a:graphicData>
            </a:graphic>
          </wp:inline>
        </w:drawing>
      </w:r>
    </w:p>
    <w:p w14:paraId="1C6DEF7A" w14:textId="412EDA22" w:rsidR="00051297" w:rsidRPr="00051297" w:rsidRDefault="00051297" w:rsidP="00051297">
      <w:pPr>
        <w:ind w:firstLine="0"/>
        <w:jc w:val="center"/>
        <w:rPr>
          <w:lang w:val="en-US"/>
        </w:rPr>
      </w:pPr>
      <w:bookmarkStart w:id="1317" w:name="_Ref98107825"/>
      <w:bookmarkStart w:id="1318" w:name="_Toc97428299"/>
      <w:bookmarkStart w:id="1319" w:name="_Toc98085974"/>
      <w:bookmarkStart w:id="1320" w:name="_Toc103544169"/>
      <w:bookmarkStart w:id="1321" w:name="_Toc104985495"/>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36</w:t>
      </w:r>
      <w:r w:rsidR="00527861">
        <w:rPr>
          <w:lang w:val="en-US"/>
        </w:rPr>
        <w:fldChar w:fldCharType="end"/>
      </w:r>
      <w:bookmarkEnd w:id="1317"/>
      <w:r w:rsidRPr="00051297">
        <w:rPr>
          <w:lang w:val="en-US"/>
        </w:rPr>
        <w:t xml:space="preserve"> – Rapid drawdown (1 m per day) seepage at embankment height operating water level</w:t>
      </w:r>
      <w:bookmarkEnd w:id="1318"/>
      <w:bookmarkEnd w:id="1319"/>
      <w:bookmarkEnd w:id="1320"/>
      <w:bookmarkEnd w:id="1321"/>
    </w:p>
    <w:p w14:paraId="4088DE9B" w14:textId="2B8C9FCE" w:rsidR="00051297" w:rsidRPr="00051297" w:rsidRDefault="00051297" w:rsidP="00C925D9">
      <w:pPr>
        <w:pStyle w:val="5"/>
        <w:rPr>
          <w:lang w:val="en-GB" w:eastAsia="pl-PL"/>
        </w:rPr>
      </w:pPr>
      <w:bookmarkStart w:id="1322" w:name="_Toc97504876"/>
      <w:bookmarkStart w:id="1323" w:name="_Toc103544011"/>
      <w:bookmarkStart w:id="1324" w:name="_Toc104985336"/>
      <w:r w:rsidRPr="00051297">
        <w:rPr>
          <w:lang w:val="en-GB" w:eastAsia="pl-PL"/>
        </w:rPr>
        <w:lastRenderedPageBreak/>
        <w:t>Slope stability</w:t>
      </w:r>
      <w:bookmarkEnd w:id="1322"/>
      <w:bookmarkEnd w:id="1323"/>
      <w:bookmarkEnd w:id="1324"/>
    </w:p>
    <w:p w14:paraId="5DD0BE7E" w14:textId="26B00BA1" w:rsidR="00051297" w:rsidRPr="00051297" w:rsidRDefault="00051297" w:rsidP="00051297">
      <w:pPr>
        <w:rPr>
          <w:rFonts w:cs="Times New Roman"/>
          <w:szCs w:val="24"/>
          <w:lang w:val="en-US"/>
        </w:rPr>
      </w:pPr>
      <w:r w:rsidRPr="00051297">
        <w:rPr>
          <w:rFonts w:cs="Times New Roman"/>
          <w:szCs w:val="24"/>
          <w:lang w:val="en-US"/>
        </w:rPr>
        <w:t xml:space="preserve">A slope stability study was also performed on the embankment when operating water levels were increased to the maximum embankment height. With the fact that normally a minimum factor of safety of 1.5 is recommended to ensure that the embankment is relatively safe from failure, the factor of safety value of 1.795, as observed in </w:t>
      </w:r>
      <w:r w:rsidRPr="00051297">
        <w:rPr>
          <w:rFonts w:cs="Times New Roman"/>
          <w:szCs w:val="24"/>
          <w:lang w:val="en-US"/>
        </w:rPr>
        <w:fldChar w:fldCharType="begin"/>
      </w:r>
      <w:r w:rsidRPr="00051297">
        <w:rPr>
          <w:rFonts w:cs="Times New Roman"/>
          <w:szCs w:val="24"/>
          <w:lang w:val="en-US"/>
        </w:rPr>
        <w:instrText xml:space="preserve"> REF _Ref98107879 \h </w:instrText>
      </w:r>
      <w:r w:rsidRPr="00051297">
        <w:rPr>
          <w:rFonts w:cs="Times New Roman"/>
          <w:szCs w:val="24"/>
          <w:lang w:val="en-US"/>
        </w:rPr>
      </w:r>
      <w:r w:rsidRPr="00051297">
        <w:rPr>
          <w:rFonts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37</w:t>
      </w:r>
      <w:r w:rsidRPr="00051297">
        <w:rPr>
          <w:rFonts w:cs="Times New Roman"/>
          <w:szCs w:val="24"/>
          <w:lang w:val="en-US"/>
        </w:rPr>
        <w:fldChar w:fldCharType="end"/>
      </w:r>
      <w:r w:rsidRPr="00051297">
        <w:rPr>
          <w:rFonts w:cs="Times New Roman"/>
          <w:szCs w:val="24"/>
          <w:lang w:val="en-US"/>
        </w:rPr>
        <w:t xml:space="preserve">, is considered to be safe under steady-state operating conditions. However, as previously stated that in a steady-state flow condition, the pressure at any point in the reservoir remains constant over time. </w:t>
      </w:r>
    </w:p>
    <w:p w14:paraId="2C28CDFA" w14:textId="77777777" w:rsidR="00051297" w:rsidRPr="00051297" w:rsidRDefault="00051297" w:rsidP="00051297">
      <w:pPr>
        <w:rPr>
          <w:rFonts w:cs="Times New Roman"/>
          <w:szCs w:val="24"/>
          <w:lang w:val="en-US"/>
        </w:rPr>
      </w:pPr>
      <w:r w:rsidRPr="00051297">
        <w:rPr>
          <w:rFonts w:cs="Times New Roman"/>
          <w:szCs w:val="24"/>
          <w:lang w:val="en-US"/>
        </w:rPr>
        <w:t>The design of this study intended to investigate the potential effect of the rapid drawdown conditions on the embankment slope stability when the reservoir is operating at the maximum embankment height. The retrieved factor of safety value from the steady-state under increased operating level is approximately 10.8% higher than that of 1.62 factor of safety value observed when the operating level was reduced to half of the embankment.</w:t>
      </w:r>
    </w:p>
    <w:p w14:paraId="3472C05F" w14:textId="5B278793" w:rsidR="00051297" w:rsidRDefault="00051297" w:rsidP="00051297">
      <w:pPr>
        <w:rPr>
          <w:rFonts w:cs="Times New Roman"/>
          <w:szCs w:val="24"/>
          <w:lang w:val="en-US"/>
        </w:rPr>
      </w:pPr>
      <w:r w:rsidRPr="00051297">
        <w:rPr>
          <w:rFonts w:cs="Times New Roman"/>
          <w:szCs w:val="24"/>
          <w:lang w:val="en-US"/>
        </w:rPr>
        <w:t>The water level in the embankment appears to be sufficient in this situation to maintain a balance between the reservoir and the embankment, a phenomenon that may be required to obtain a high factor of safety value.</w:t>
      </w:r>
    </w:p>
    <w:p w14:paraId="1688E833" w14:textId="77777777" w:rsidR="006568FB" w:rsidRPr="00051297" w:rsidRDefault="006568FB" w:rsidP="00051297">
      <w:pPr>
        <w:rPr>
          <w:rFonts w:cs="Times New Roman"/>
          <w:color w:val="FF0000"/>
          <w:szCs w:val="24"/>
          <w:lang w:val="en-US"/>
        </w:rPr>
      </w:pPr>
    </w:p>
    <w:p w14:paraId="314ABA1B" w14:textId="394DC9F2" w:rsidR="00051297" w:rsidRPr="00051297" w:rsidRDefault="00C92A34" w:rsidP="00BC3C7B">
      <w:pPr>
        <w:keepNext/>
        <w:ind w:firstLine="0"/>
        <w:jc w:val="center"/>
        <w:rPr>
          <w:rFonts w:cs="Times New Roman"/>
          <w:szCs w:val="24"/>
        </w:rPr>
      </w:pPr>
      <w:r>
        <w:rPr>
          <w:noProof/>
        </w:rPr>
        <w:drawing>
          <wp:inline distT="0" distB="0" distL="0" distR="0" wp14:anchorId="4CC2FCC5" wp14:editId="644A2130">
            <wp:extent cx="5939790" cy="2283460"/>
            <wp:effectExtent l="0" t="0" r="381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39790" cy="2283460"/>
                    </a:xfrm>
                    <a:prstGeom prst="rect">
                      <a:avLst/>
                    </a:prstGeom>
                    <a:noFill/>
                    <a:ln>
                      <a:noFill/>
                    </a:ln>
                  </pic:spPr>
                </pic:pic>
              </a:graphicData>
            </a:graphic>
          </wp:inline>
        </w:drawing>
      </w:r>
    </w:p>
    <w:p w14:paraId="1AD25D20" w14:textId="371B28B7" w:rsidR="00051297" w:rsidRPr="00051297" w:rsidRDefault="00051297" w:rsidP="00051297">
      <w:pPr>
        <w:ind w:firstLine="0"/>
        <w:jc w:val="center"/>
        <w:rPr>
          <w:caps/>
          <w:lang w:val="en-US"/>
        </w:rPr>
      </w:pPr>
      <w:bookmarkStart w:id="1325" w:name="_Ref98107879"/>
      <w:bookmarkStart w:id="1326" w:name="_Toc97428300"/>
      <w:bookmarkStart w:id="1327" w:name="_Toc98085975"/>
      <w:bookmarkStart w:id="1328" w:name="_Toc103544170"/>
      <w:bookmarkStart w:id="1329" w:name="_Toc104985496"/>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37</w:t>
      </w:r>
      <w:r w:rsidR="00527861">
        <w:rPr>
          <w:lang w:val="en-US"/>
        </w:rPr>
        <w:fldChar w:fldCharType="end"/>
      </w:r>
      <w:bookmarkEnd w:id="1325"/>
      <w:r w:rsidRPr="00051297">
        <w:rPr>
          <w:lang w:val="en-US"/>
        </w:rPr>
        <w:t xml:space="preserve"> – Steady-state slope stability at embankment height operating water level</w:t>
      </w:r>
      <w:bookmarkEnd w:id="1326"/>
      <w:bookmarkEnd w:id="1327"/>
      <w:bookmarkEnd w:id="1328"/>
      <w:bookmarkEnd w:id="1329"/>
    </w:p>
    <w:p w14:paraId="134B5AC3" w14:textId="50216E01" w:rsidR="00051297" w:rsidRPr="00051297" w:rsidRDefault="00051297" w:rsidP="00051297">
      <w:pPr>
        <w:spacing w:after="240"/>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_Ref98107890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38</w:t>
      </w:r>
      <w:r w:rsidRPr="00051297">
        <w:rPr>
          <w:rFonts w:eastAsia="Calibri" w:cs="Times New Roman"/>
          <w:szCs w:val="24"/>
          <w:lang w:val="en-US"/>
        </w:rPr>
        <w:fldChar w:fldCharType="end"/>
      </w:r>
      <w:r w:rsidRPr="00051297">
        <w:rPr>
          <w:rFonts w:eastAsia="Calibri" w:cs="Times New Roman"/>
          <w:szCs w:val="24"/>
          <w:lang w:val="en-US"/>
        </w:rPr>
        <w:t xml:space="preserve"> depicts the worst-case drawdown rate, in which the reservoir is completely drained within a very short period. Based on the minimum factor of safety value, we understand that the embankment immediately fails under instantaneous drawdown with the long-term reservoir operating level almost at the maximum embankment height; this is due to the fact that safety factors measure the reliability of geotechnical structures such as embankment dams and soil slopes. Whereby it should also be highlighted that the safety factor accounts for design load uncertainties. </w:t>
      </w:r>
    </w:p>
    <w:p w14:paraId="4CE59EEA" w14:textId="28D26351" w:rsidR="00051297" w:rsidRPr="00051297" w:rsidRDefault="009764D4" w:rsidP="00244F0D">
      <w:pPr>
        <w:keepNext/>
        <w:ind w:firstLine="0"/>
        <w:jc w:val="center"/>
        <w:rPr>
          <w:rFonts w:cs="Times New Roman"/>
          <w:szCs w:val="24"/>
        </w:rPr>
      </w:pPr>
      <w:r>
        <w:rPr>
          <w:noProof/>
        </w:rPr>
        <w:lastRenderedPageBreak/>
        <w:drawing>
          <wp:inline distT="0" distB="0" distL="0" distR="0" wp14:anchorId="296F7A7E" wp14:editId="0AE80A61">
            <wp:extent cx="5939790" cy="2313305"/>
            <wp:effectExtent l="0" t="0" r="381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9790" cy="2313305"/>
                    </a:xfrm>
                    <a:prstGeom prst="rect">
                      <a:avLst/>
                    </a:prstGeom>
                    <a:noFill/>
                    <a:ln>
                      <a:noFill/>
                    </a:ln>
                  </pic:spPr>
                </pic:pic>
              </a:graphicData>
            </a:graphic>
          </wp:inline>
        </w:drawing>
      </w:r>
    </w:p>
    <w:p w14:paraId="200E5A11" w14:textId="4A1C2600" w:rsidR="00051297" w:rsidRPr="00051297" w:rsidRDefault="00051297" w:rsidP="00051297">
      <w:pPr>
        <w:ind w:firstLine="0"/>
        <w:jc w:val="center"/>
        <w:rPr>
          <w:lang w:val="en-US"/>
        </w:rPr>
      </w:pPr>
      <w:bookmarkStart w:id="1330" w:name="_Ref98107890"/>
      <w:bookmarkStart w:id="1331" w:name="_Toc97428301"/>
      <w:bookmarkStart w:id="1332" w:name="_Toc98085976"/>
      <w:bookmarkStart w:id="1333" w:name="_Toc103544171"/>
      <w:bookmarkStart w:id="1334" w:name="_Toc104985497"/>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38</w:t>
      </w:r>
      <w:r w:rsidR="00527861">
        <w:rPr>
          <w:lang w:val="en-US"/>
        </w:rPr>
        <w:fldChar w:fldCharType="end"/>
      </w:r>
      <w:bookmarkEnd w:id="1330"/>
      <w:r w:rsidRPr="00051297">
        <w:rPr>
          <w:lang w:val="en-US"/>
        </w:rPr>
        <w:t xml:space="preserve"> – Instantaneous slope stability at embankment height operating water level</w:t>
      </w:r>
      <w:bookmarkEnd w:id="1331"/>
      <w:bookmarkEnd w:id="1332"/>
      <w:bookmarkEnd w:id="1333"/>
      <w:bookmarkEnd w:id="1334"/>
    </w:p>
    <w:p w14:paraId="61A1F698" w14:textId="2FAEEA40" w:rsidR="00051297" w:rsidRPr="00051297" w:rsidRDefault="00051297" w:rsidP="00051297">
      <w:pPr>
        <w:spacing w:after="240"/>
        <w:rPr>
          <w:rFonts w:eastAsia="Calibri" w:cs="Times New Roman"/>
          <w:caps/>
          <w:szCs w:val="24"/>
          <w:lang w:val="en-US"/>
        </w:rPr>
      </w:pPr>
      <w:r w:rsidRPr="00051297">
        <w:rPr>
          <w:rFonts w:eastAsia="Calibri" w:cs="Times New Roman"/>
          <w:szCs w:val="24"/>
          <w:lang w:val="en-US"/>
        </w:rPr>
        <w:t xml:space="preserve">The results of the 5 days drawdown rate, in which the reservoir is drained in 5 days, are shown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_Ref98107915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39</w:t>
      </w:r>
      <w:r w:rsidRPr="00051297">
        <w:rPr>
          <w:rFonts w:eastAsia="Calibri" w:cs="Times New Roman"/>
          <w:szCs w:val="24"/>
          <w:lang w:val="en-US"/>
        </w:rPr>
        <w:fldChar w:fldCharType="end"/>
      </w:r>
      <w:r w:rsidRPr="00051297">
        <w:rPr>
          <w:rFonts w:eastAsia="Calibri" w:cs="Times New Roman"/>
          <w:szCs w:val="24"/>
          <w:lang w:val="en-US"/>
        </w:rPr>
        <w:t>. However, the embankment completely fails under the assigned drawdown rate, with the long-term reservoir operating level almost at the maximum height of the embankment height, judging from the minimal obtained factor of safety value. The minimum factor of safety value of 0.2</w:t>
      </w:r>
      <w:r w:rsidR="001354B0">
        <w:rPr>
          <w:rFonts w:eastAsia="Calibri" w:cs="Times New Roman"/>
          <w:szCs w:val="24"/>
          <w:lang w:val="en-US"/>
        </w:rPr>
        <w:t>10</w:t>
      </w:r>
      <w:r w:rsidRPr="00051297">
        <w:rPr>
          <w:rFonts w:eastAsia="Calibri" w:cs="Times New Roman"/>
          <w:szCs w:val="24"/>
          <w:lang w:val="en-US"/>
        </w:rPr>
        <w:t xml:space="preserve"> is way far below the recommended values. </w:t>
      </w:r>
    </w:p>
    <w:p w14:paraId="1D7E1CCF" w14:textId="1E9B7999" w:rsidR="00051297" w:rsidRPr="00051297" w:rsidRDefault="001354B0" w:rsidP="009764D4">
      <w:pPr>
        <w:keepNext/>
        <w:ind w:firstLine="0"/>
        <w:jc w:val="center"/>
        <w:rPr>
          <w:rFonts w:cs="Times New Roman"/>
          <w:szCs w:val="24"/>
        </w:rPr>
      </w:pPr>
      <w:r>
        <w:rPr>
          <w:noProof/>
        </w:rPr>
        <w:drawing>
          <wp:inline distT="0" distB="0" distL="0" distR="0" wp14:anchorId="559570D6" wp14:editId="02E2D9D9">
            <wp:extent cx="5939790" cy="2280920"/>
            <wp:effectExtent l="0" t="0" r="3810" b="508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9790" cy="2280920"/>
                    </a:xfrm>
                    <a:prstGeom prst="rect">
                      <a:avLst/>
                    </a:prstGeom>
                    <a:noFill/>
                    <a:ln>
                      <a:noFill/>
                    </a:ln>
                  </pic:spPr>
                </pic:pic>
              </a:graphicData>
            </a:graphic>
          </wp:inline>
        </w:drawing>
      </w:r>
    </w:p>
    <w:p w14:paraId="0A23E0C8" w14:textId="214D3F5F" w:rsidR="00051297" w:rsidRPr="00051297" w:rsidRDefault="00051297" w:rsidP="00051297">
      <w:pPr>
        <w:ind w:firstLine="0"/>
        <w:jc w:val="center"/>
        <w:rPr>
          <w:lang w:val="en-US"/>
        </w:rPr>
      </w:pPr>
      <w:bookmarkStart w:id="1335" w:name="_Ref98107915"/>
      <w:bookmarkStart w:id="1336" w:name="_Toc97428302"/>
      <w:bookmarkStart w:id="1337" w:name="_Toc98085977"/>
      <w:bookmarkStart w:id="1338" w:name="_Toc103544172"/>
      <w:bookmarkStart w:id="1339" w:name="_Toc104985498"/>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39</w:t>
      </w:r>
      <w:r w:rsidR="00527861">
        <w:rPr>
          <w:lang w:val="en-US"/>
        </w:rPr>
        <w:fldChar w:fldCharType="end"/>
      </w:r>
      <w:bookmarkEnd w:id="1335"/>
      <w:r w:rsidRPr="00051297">
        <w:rPr>
          <w:lang w:val="en-US"/>
        </w:rPr>
        <w:t xml:space="preserve"> – Rapid drawdown (5 days) slope stability at embankment height operating water level</w:t>
      </w:r>
      <w:bookmarkEnd w:id="1336"/>
      <w:bookmarkEnd w:id="1337"/>
      <w:bookmarkEnd w:id="1338"/>
      <w:bookmarkEnd w:id="1339"/>
    </w:p>
    <w:p w14:paraId="1D73193F" w14:textId="0B7B7292" w:rsidR="00051297" w:rsidRPr="00051297" w:rsidRDefault="00051297" w:rsidP="00051297">
      <w:pPr>
        <w:spacing w:after="240"/>
        <w:rPr>
          <w:rFonts w:eastAsia="Calibri" w:cs="Times New Roman"/>
          <w:caps/>
          <w:szCs w:val="24"/>
          <w:lang w:val="en-US"/>
        </w:rPr>
      </w:pPr>
      <w:r w:rsidRPr="00051297">
        <w:rPr>
          <w:rFonts w:eastAsia="Calibri" w:cs="Times New Roman"/>
          <w:szCs w:val="24"/>
          <w:lang w:val="en-US"/>
        </w:rPr>
        <w:t xml:space="preserve">Furthermore, the required factor of safety increased </w:t>
      </w:r>
      <w:r w:rsidR="005576CA">
        <w:rPr>
          <w:rFonts w:eastAsia="Calibri" w:cs="Times New Roman"/>
          <w:szCs w:val="24"/>
          <w:lang w:val="en-US"/>
        </w:rPr>
        <w:t>to some extent</w:t>
      </w:r>
      <w:r w:rsidRPr="00051297">
        <w:rPr>
          <w:rFonts w:eastAsia="Calibri" w:cs="Times New Roman"/>
          <w:szCs w:val="24"/>
          <w:lang w:val="en-US"/>
        </w:rPr>
        <w:t xml:space="preserve"> from 0.206 (5 days drawdown) to 0.</w:t>
      </w:r>
      <w:r w:rsidR="001354B0">
        <w:rPr>
          <w:rFonts w:eastAsia="Calibri" w:cs="Times New Roman"/>
          <w:szCs w:val="24"/>
          <w:lang w:val="en-US"/>
        </w:rPr>
        <w:t>290</w:t>
      </w:r>
      <w:r w:rsidRPr="00051297">
        <w:rPr>
          <w:rFonts w:eastAsia="Calibri" w:cs="Times New Roman"/>
          <w:szCs w:val="24"/>
          <w:lang w:val="en-US"/>
        </w:rPr>
        <w:t xml:space="preserve">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_Ref98107932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40</w:t>
      </w:r>
      <w:r w:rsidRPr="00051297">
        <w:rPr>
          <w:rFonts w:eastAsia="Calibri" w:cs="Times New Roman"/>
          <w:szCs w:val="24"/>
          <w:lang w:val="en-US"/>
        </w:rPr>
        <w:fldChar w:fldCharType="end"/>
      </w:r>
      <w:r w:rsidRPr="00051297">
        <w:rPr>
          <w:rFonts w:eastAsia="Calibri" w:cs="Times New Roman"/>
          <w:szCs w:val="24"/>
          <w:lang w:val="en-US"/>
        </w:rPr>
        <w:t xml:space="preserve">) when the embankment was subjected to a 10-day drawdown rate. However, the 10-day drawdown rate's minimal factor of safety value is still significantly below the specified minimum factor of safety value for slope stability in embankments. Apart from the 1.5 recommended minimum factor of safety value, some other literature sources use 1.0 as the threshold for the factor of safety values; whereby, according to the other sources, when the factor of safety is less than 1.0, a slope is considered unstable </w:t>
      </w:r>
      <w:r w:rsidRPr="00051297">
        <w:rPr>
          <w:rFonts w:eastAsia="Calibri" w:cs="Times New Roman"/>
          <w:szCs w:val="24"/>
        </w:rPr>
        <w:fldChar w:fldCharType="begin" w:fldLock="1"/>
      </w:r>
      <w:r w:rsidR="0044426E">
        <w:rPr>
          <w:rFonts w:eastAsia="Calibri" w:cs="Times New Roman"/>
          <w:szCs w:val="24"/>
          <w:lang w:val="en-US"/>
        </w:rPr>
        <w:instrText>ADDIN CSL_CITATION {"citationItems":[{"id":"ITEM-1","itemData":{"author":[{"dropping-particle":"","family":"Geoengineer","given":"","non-dropping-particle":"","parse-names":false,"suffix":""}],"id":"ITEM-1","issued":{"date-parts":[["2021"]]},"title":"Slope Stability: Critical Failure Surface &amp; Design Factor of Safety","type":"webpage"},"uris":["http://www.mendeley.com/documents/?uuid=353783a9-d13d-416f-b598-5c5c822ef487","http://www.mendeley.com/documents/?uuid=7e9a3cb1-e9d5-4f6c-8d7c-5c1a65544ca0"]}],"mendeley":{"formattedCitation":"[291]","plainTextFormattedCitation":"[291]","previouslyFormattedCitation":"[291]"},"properties":{"noteIndex":0},"schema":"https://github.com/citation-style-language/schema/raw/master/csl-citation.json"}</w:instrText>
      </w:r>
      <w:r w:rsidRPr="00051297">
        <w:rPr>
          <w:rFonts w:eastAsia="Calibri" w:cs="Times New Roman"/>
          <w:szCs w:val="24"/>
        </w:rPr>
        <w:fldChar w:fldCharType="separate"/>
      </w:r>
      <w:r w:rsidR="00FA5896" w:rsidRPr="00FA5896">
        <w:rPr>
          <w:rFonts w:eastAsia="Calibri" w:cs="Times New Roman"/>
          <w:noProof/>
          <w:szCs w:val="24"/>
          <w:lang w:val="en-US"/>
        </w:rPr>
        <w:t>[291]</w:t>
      </w:r>
      <w:r w:rsidRPr="00051297">
        <w:rPr>
          <w:rFonts w:eastAsia="Calibri" w:cs="Times New Roman"/>
          <w:szCs w:val="24"/>
        </w:rPr>
        <w:fldChar w:fldCharType="end"/>
      </w:r>
      <w:r w:rsidRPr="00051297">
        <w:rPr>
          <w:rFonts w:eastAsia="Calibri" w:cs="Times New Roman"/>
          <w:szCs w:val="24"/>
          <w:lang w:val="en-US"/>
        </w:rPr>
        <w:t xml:space="preserve">. </w:t>
      </w:r>
    </w:p>
    <w:p w14:paraId="639C4F64" w14:textId="12BAAFD8" w:rsidR="00051297" w:rsidRPr="00051297" w:rsidRDefault="001354B0" w:rsidP="00051297">
      <w:pPr>
        <w:keepNext/>
        <w:spacing w:after="240"/>
        <w:ind w:firstLine="0"/>
        <w:jc w:val="center"/>
        <w:rPr>
          <w:rFonts w:cs="Times New Roman"/>
          <w:szCs w:val="24"/>
        </w:rPr>
      </w:pPr>
      <w:r>
        <w:rPr>
          <w:noProof/>
        </w:rPr>
        <w:lastRenderedPageBreak/>
        <w:drawing>
          <wp:inline distT="0" distB="0" distL="0" distR="0" wp14:anchorId="2A6136B6" wp14:editId="53CC0C8F">
            <wp:extent cx="5939790" cy="2297430"/>
            <wp:effectExtent l="0" t="0" r="3810" b="762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9790" cy="2297430"/>
                    </a:xfrm>
                    <a:prstGeom prst="rect">
                      <a:avLst/>
                    </a:prstGeom>
                    <a:noFill/>
                    <a:ln>
                      <a:noFill/>
                    </a:ln>
                  </pic:spPr>
                </pic:pic>
              </a:graphicData>
            </a:graphic>
          </wp:inline>
        </w:drawing>
      </w:r>
    </w:p>
    <w:p w14:paraId="7E9E906F" w14:textId="46F6C807" w:rsidR="00051297" w:rsidRPr="00051297" w:rsidRDefault="00051297" w:rsidP="00051297">
      <w:pPr>
        <w:ind w:firstLine="0"/>
        <w:jc w:val="center"/>
        <w:rPr>
          <w:lang w:val="en-US"/>
        </w:rPr>
      </w:pPr>
      <w:bookmarkStart w:id="1340" w:name="_Ref98107932"/>
      <w:bookmarkStart w:id="1341" w:name="_Toc97428303"/>
      <w:bookmarkStart w:id="1342" w:name="_Toc98085978"/>
      <w:bookmarkStart w:id="1343" w:name="_Toc103544173"/>
      <w:bookmarkStart w:id="1344" w:name="_Toc104985499"/>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40</w:t>
      </w:r>
      <w:r w:rsidR="00527861">
        <w:rPr>
          <w:lang w:val="en-US"/>
        </w:rPr>
        <w:fldChar w:fldCharType="end"/>
      </w:r>
      <w:bookmarkEnd w:id="1340"/>
      <w:r w:rsidRPr="00051297">
        <w:rPr>
          <w:lang w:val="en-US"/>
        </w:rPr>
        <w:t xml:space="preserve"> – Rapid drawdown (10 days) slope stability at embankment height operating water level</w:t>
      </w:r>
      <w:bookmarkEnd w:id="1341"/>
      <w:bookmarkEnd w:id="1342"/>
      <w:bookmarkEnd w:id="1343"/>
      <w:bookmarkEnd w:id="1344"/>
    </w:p>
    <w:p w14:paraId="2417DBC0" w14:textId="547B73EF" w:rsidR="00051297" w:rsidRPr="00051297" w:rsidRDefault="00051297" w:rsidP="00051297">
      <w:pPr>
        <w:spacing w:after="240"/>
        <w:rPr>
          <w:rFonts w:eastAsia="Calibri" w:cs="Times New Roman"/>
          <w:caps/>
          <w:szCs w:val="24"/>
        </w:rPr>
      </w:pPr>
      <w:r w:rsidRPr="00051297">
        <w:rPr>
          <w:rFonts w:eastAsia="Calibri" w:cs="Times New Roman"/>
          <w:szCs w:val="24"/>
          <w:lang w:val="en-US"/>
        </w:rPr>
        <w:t>The drawdown rate was then reduced to 1 m per day.</w:t>
      </w:r>
      <w:r w:rsidR="005576CA">
        <w:rPr>
          <w:rFonts w:eastAsia="Calibri" w:cs="Times New Roman"/>
          <w:szCs w:val="24"/>
          <w:lang w:val="en-US"/>
        </w:rPr>
        <w:t xml:space="preserve"> Whereby,</w:t>
      </w:r>
      <w:r w:rsidRPr="00051297">
        <w:rPr>
          <w:rFonts w:eastAsia="Calibri" w:cs="Times New Roman"/>
          <w:szCs w:val="24"/>
          <w:lang w:val="en-US"/>
        </w:rPr>
        <w:t xml:space="preserve"> </w:t>
      </w:r>
      <w:r w:rsidR="005576CA">
        <w:rPr>
          <w:rFonts w:eastAsia="Calibri" w:cs="Times New Roman"/>
          <w:szCs w:val="24"/>
          <w:lang w:val="en-US"/>
        </w:rPr>
        <w:t>t</w:t>
      </w:r>
      <w:r w:rsidRPr="00051297">
        <w:rPr>
          <w:rFonts w:eastAsia="Calibri" w:cs="Times New Roman"/>
          <w:szCs w:val="24"/>
          <w:lang w:val="en-US"/>
        </w:rPr>
        <w:t xml:space="preserve">he minimum factor of safety value of 0.875 was </w:t>
      </w:r>
      <w:r w:rsidR="005576CA">
        <w:rPr>
          <w:rFonts w:eastAsia="Calibri" w:cs="Times New Roman"/>
          <w:szCs w:val="24"/>
          <w:lang w:val="en-US"/>
        </w:rPr>
        <w:t>retrieved</w:t>
      </w:r>
      <w:r w:rsidRPr="00051297">
        <w:rPr>
          <w:rFonts w:eastAsia="Calibri" w:cs="Times New Roman"/>
          <w:szCs w:val="24"/>
          <w:lang w:val="en-US"/>
        </w:rPr>
        <w:t xml:space="preserve"> from the 1 m per day drawdown rate, as shown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_Ref98107945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41</w:t>
      </w:r>
      <w:r w:rsidRPr="00051297">
        <w:rPr>
          <w:rFonts w:eastAsia="Calibri" w:cs="Times New Roman"/>
          <w:szCs w:val="24"/>
          <w:lang w:val="en-US"/>
        </w:rPr>
        <w:fldChar w:fldCharType="end"/>
      </w:r>
      <w:r w:rsidRPr="00051297">
        <w:rPr>
          <w:rFonts w:eastAsia="Calibri" w:cs="Times New Roman"/>
          <w:szCs w:val="24"/>
          <w:lang w:val="en-US"/>
        </w:rPr>
        <w:t>. The recovered minimal factor of safety value for embankment slope stability is still below the recommended minimum factor of safety value. The general phenomenon shows that the embankment will completely fail if it is subjected to a rapid drawdown while it is operating under the maximum height water level.</w:t>
      </w:r>
      <w:r w:rsidRPr="00051297">
        <w:rPr>
          <w:rFonts w:cs="Times New Roman"/>
          <w:szCs w:val="24"/>
          <w:lang w:val="en-US"/>
        </w:rPr>
        <w:t xml:space="preserve"> </w:t>
      </w:r>
      <w:r w:rsidRPr="00051297">
        <w:rPr>
          <w:rFonts w:eastAsia="Calibri" w:cs="Times New Roman"/>
          <w:szCs w:val="24"/>
          <w:lang w:val="en-US"/>
        </w:rPr>
        <w:t xml:space="preserve">When evaluating the stability of man-made or natural slopes, however, it is significantly important to choose the most critical surface, which means the critical surface with the lowest factor of safety value. Following the selection of this surface, it is also necessary to decide whether the slope should be reinforced to satisfy the minimum required factor of safety. Slope stability problems have forced projects to be dramatically revised in the past, according to the literature </w:t>
      </w:r>
      <w:r w:rsidRPr="00051297">
        <w:rPr>
          <w:rFonts w:eastAsia="Calibri" w:cs="Times New Roman"/>
          <w:szCs w:val="24"/>
        </w:rPr>
        <w:fldChar w:fldCharType="begin" w:fldLock="1"/>
      </w:r>
      <w:r w:rsidR="0044426E">
        <w:rPr>
          <w:rFonts w:eastAsia="Calibri" w:cs="Times New Roman"/>
          <w:szCs w:val="24"/>
          <w:lang w:val="en-US"/>
        </w:rPr>
        <w:instrText>ADDIN CSL_CITATION {"citationItems":[{"id":"ITEM-1","itemData":{"DOI":"10.1061/AJRUA6.0000987","ISSN":"2376-7642","abstract":"Geotechnical structures are generally designed using the deterministic approach, where uniform properties are used over the material space. This approach is not appropriate for deep cement mixed (DCM) ground due to the highly variable nature of material properties within the cement mixed soil. Although a large overdesign factor can reduce the risk of unsatisfactory performance, this method does not provide a systematic approach. Proper understanding of the variability-dependent performance of DCM ground is important to specify the design strength as well as to specify the quality controlling criteria. Therefore, in this paper, the reliability-based performance of an embankment stabilized using DCM wall panels underneath the side slopes was investigated. The spatial variability of elastic modulus and shear strength properties was considered. The strength variation was specified using the coefficient of variation (COV), mean strength, and the spatial correlation length. Material properties for different cases were randomly generated from a lognormal distribution with a specific mean strength and a COV using a computer program written in MATLAB. The ABAQUS finite element analysis was executed for each case within this MATLAB program and the reliability was determined using 1,500 Monte Carlo realizations. Results demonstrate that the spatial correlation length of strength properties has a great influence on the reliability-based performance of the embankment. The most critical probability of unsatisfactory performance was observed when the spatial correlation length is 0.18 times the width of DCM wall panels, at all mean strengths and COVs. The lateral deformation data obtained from Monte Carlo simulations showed increasing upper bound with increasing spatial correlation length and COV. The partial factor of safety (PFOS) has significantly contributed to the skewness of the deformation distribution without any change to the upper and lower bounds of the distribution.","author":[{"dropping-particle":"","family":"Wijerathna","given":"Manasi","non-dropping-particle":"","parse-names":false,"suffix":""},{"dropping-particle":"","family":"Liyanapathirana","given":"D. S.","non-dropping-particle":"","parse-names":false,"suffix":""}],"container-title":"ASCE-ASME Journal of Risk and Uncertainty in Engineering Systems, Part A: Civil Engineering","id":"ITEM-1","issue":"4","issued":{"date-parts":[["2018","12"]]},"page":"04018035","title":"Reliability-Based Performance of Embankments Improved with Deep Mixing Considering Spatial Variability of Material Properties","type":"article-journal","volume":"4"},"uris":["http://www.mendeley.com/documents/?uuid=e8029bb9-e350-49d8-a557-59d64db18f01","http://www.mendeley.com/documents/?uuid=ae801f80-39e4-45d0-ad48-47933257a0c1","http://www.mendeley.com/documents/?uuid=dd030126-4028-457e-960f-827b98cbc1d7"]}],"mendeley":{"formattedCitation":"[292]","plainTextFormattedCitation":"[292]","previouslyFormattedCitation":"[292]"},"properties":{"noteIndex":0},"schema":"https://github.com/citation-style-language/schema/raw/master/csl-citation.json"}</w:instrText>
      </w:r>
      <w:r w:rsidRPr="00051297">
        <w:rPr>
          <w:rFonts w:eastAsia="Calibri" w:cs="Times New Roman"/>
          <w:szCs w:val="24"/>
        </w:rPr>
        <w:fldChar w:fldCharType="separate"/>
      </w:r>
      <w:r w:rsidR="00FA5896" w:rsidRPr="00FA5896">
        <w:rPr>
          <w:rFonts w:eastAsia="Calibri" w:cs="Times New Roman"/>
          <w:noProof/>
          <w:szCs w:val="24"/>
        </w:rPr>
        <w:t>[292]</w:t>
      </w:r>
      <w:r w:rsidRPr="00051297">
        <w:rPr>
          <w:rFonts w:eastAsia="Calibri" w:cs="Times New Roman"/>
          <w:szCs w:val="24"/>
        </w:rPr>
        <w:fldChar w:fldCharType="end"/>
      </w:r>
      <w:r w:rsidRPr="00051297">
        <w:rPr>
          <w:rFonts w:eastAsia="Calibri" w:cs="Times New Roman"/>
          <w:szCs w:val="24"/>
        </w:rPr>
        <w:t>.</w:t>
      </w:r>
    </w:p>
    <w:p w14:paraId="42561E1B" w14:textId="66492FE1" w:rsidR="00051297" w:rsidRPr="00051297" w:rsidRDefault="00AD1EA7" w:rsidP="00051297">
      <w:pPr>
        <w:keepNext/>
        <w:ind w:firstLine="0"/>
        <w:jc w:val="center"/>
        <w:rPr>
          <w:rFonts w:cs="Times New Roman"/>
          <w:szCs w:val="24"/>
        </w:rPr>
      </w:pPr>
      <w:r>
        <w:rPr>
          <w:noProof/>
        </w:rPr>
        <w:drawing>
          <wp:inline distT="0" distB="0" distL="0" distR="0" wp14:anchorId="720A59ED" wp14:editId="560AA2AA">
            <wp:extent cx="5939790" cy="2285365"/>
            <wp:effectExtent l="0" t="0" r="3810" b="63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39790" cy="2285365"/>
                    </a:xfrm>
                    <a:prstGeom prst="rect">
                      <a:avLst/>
                    </a:prstGeom>
                    <a:noFill/>
                    <a:ln>
                      <a:noFill/>
                    </a:ln>
                  </pic:spPr>
                </pic:pic>
              </a:graphicData>
            </a:graphic>
          </wp:inline>
        </w:drawing>
      </w:r>
    </w:p>
    <w:p w14:paraId="7CCDC4FA" w14:textId="169B36BA" w:rsidR="00051297" w:rsidRPr="00051297" w:rsidRDefault="00051297" w:rsidP="00051297">
      <w:pPr>
        <w:ind w:firstLine="0"/>
        <w:jc w:val="center"/>
        <w:rPr>
          <w:lang w:val="en-US"/>
        </w:rPr>
      </w:pPr>
      <w:bookmarkStart w:id="1345" w:name="_Ref98107945"/>
      <w:bookmarkStart w:id="1346" w:name="_Toc97428304"/>
      <w:bookmarkStart w:id="1347" w:name="_Toc98085979"/>
      <w:bookmarkStart w:id="1348" w:name="_Toc103544174"/>
      <w:bookmarkStart w:id="1349" w:name="_Toc104985500"/>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41</w:t>
      </w:r>
      <w:r w:rsidR="00527861">
        <w:rPr>
          <w:lang w:val="en-US"/>
        </w:rPr>
        <w:fldChar w:fldCharType="end"/>
      </w:r>
      <w:bookmarkEnd w:id="1345"/>
      <w:r w:rsidRPr="00051297">
        <w:rPr>
          <w:lang w:val="en-US"/>
        </w:rPr>
        <w:t xml:space="preserve"> – Rapid drawdown (1 m per day) slope stability at embankment height operating water level</w:t>
      </w:r>
      <w:bookmarkEnd w:id="1346"/>
      <w:bookmarkEnd w:id="1347"/>
      <w:bookmarkEnd w:id="1348"/>
      <w:bookmarkEnd w:id="1349"/>
    </w:p>
    <w:p w14:paraId="7D0A9C7C" w14:textId="1C2E12CB" w:rsidR="00051297" w:rsidRPr="00051297" w:rsidRDefault="00051297" w:rsidP="00141AA5">
      <w:pPr>
        <w:pStyle w:val="5"/>
        <w:rPr>
          <w:lang w:val="en-GB" w:eastAsia="pl-PL"/>
        </w:rPr>
      </w:pPr>
      <w:bookmarkStart w:id="1350" w:name="_Toc103544012"/>
      <w:bookmarkStart w:id="1351" w:name="_Toc104985337"/>
      <w:r w:rsidRPr="00051297">
        <w:rPr>
          <w:lang w:val="en-GB" w:eastAsia="pl-PL"/>
        </w:rPr>
        <w:lastRenderedPageBreak/>
        <w:t>Analysis of variance (ANOVA) from different operating levels.</w:t>
      </w:r>
      <w:bookmarkEnd w:id="1350"/>
      <w:bookmarkEnd w:id="1351"/>
    </w:p>
    <w:p w14:paraId="1B223005" w14:textId="0E1FD62B" w:rsidR="00051297" w:rsidRPr="00051297" w:rsidRDefault="00051297" w:rsidP="00051297">
      <w:pPr>
        <w:rPr>
          <w:lang w:val="en-GB" w:eastAsia="pl-PL"/>
        </w:rPr>
      </w:pPr>
      <w:r w:rsidRPr="00051297">
        <w:rPr>
          <w:lang w:val="en-GB" w:eastAsia="pl-PL"/>
        </w:rPr>
        <w:t xml:space="preserve">When the different operating water levels were used under instantaneous drawdown rate, the ANOVA results are summarized in </w:t>
      </w:r>
      <w:r w:rsidRPr="00051297">
        <w:rPr>
          <w:lang w:val="en-GB" w:eastAsia="pl-PL"/>
        </w:rPr>
        <w:fldChar w:fldCharType="begin"/>
      </w:r>
      <w:r w:rsidRPr="00051297">
        <w:rPr>
          <w:lang w:val="en-GB" w:eastAsia="pl-PL"/>
        </w:rPr>
        <w:instrText xml:space="preserve"> REF _Ref102350627 \h </w:instrText>
      </w:r>
      <w:r w:rsidRPr="00051297">
        <w:rPr>
          <w:lang w:val="en-GB" w:eastAsia="pl-PL"/>
        </w:rPr>
      </w:r>
      <w:r w:rsidRPr="00051297">
        <w:rPr>
          <w:lang w:val="en-GB" w:eastAsia="pl-PL"/>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5</w:t>
      </w:r>
      <w:r w:rsidR="004870F1" w:rsidRPr="00051297">
        <w:rPr>
          <w:rFonts w:cs="Times New Roman"/>
          <w:szCs w:val="24"/>
          <w:lang w:val="en-US" w:bidi="en-US"/>
        </w:rPr>
        <w:t>.</w:t>
      </w:r>
      <w:r w:rsidR="004870F1">
        <w:rPr>
          <w:rFonts w:cs="Times New Roman"/>
          <w:noProof/>
          <w:szCs w:val="24"/>
          <w:lang w:val="en-US" w:bidi="en-US"/>
        </w:rPr>
        <w:t>8</w:t>
      </w:r>
      <w:r w:rsidRPr="00051297">
        <w:rPr>
          <w:lang w:val="en-GB" w:eastAsia="pl-PL"/>
        </w:rPr>
        <w:fldChar w:fldCharType="end"/>
      </w:r>
      <w:r w:rsidRPr="00051297">
        <w:rPr>
          <w:lang w:val="en-GB" w:eastAsia="pl-PL"/>
        </w:rPr>
        <w:t xml:space="preserve">. It can be observed that the studied parameters yielded a p-value of </w:t>
      </w:r>
      <w:r w:rsidRPr="00051297">
        <w:rPr>
          <w:rFonts w:cs="Times New Roman"/>
          <w:lang w:val="en-US"/>
        </w:rPr>
        <w:t>2.37</w:t>
      </w:r>
      <w:r w:rsidRPr="0079595C">
        <w:rPr>
          <w:lang w:val="en-US" w:eastAsia="pl-PL"/>
        </w:rPr>
        <w:t>× 10</w:t>
      </w:r>
      <w:r w:rsidRPr="0079595C">
        <w:rPr>
          <w:vertAlign w:val="superscript"/>
          <w:lang w:val="en-US" w:eastAsia="pl-PL"/>
        </w:rPr>
        <w:t>−</w:t>
      </w:r>
      <w:r w:rsidRPr="00051297">
        <w:rPr>
          <w:vertAlign w:val="superscript"/>
          <w:lang w:val="en-US" w:eastAsia="pl-PL"/>
        </w:rPr>
        <w:t>5</w:t>
      </w:r>
      <w:r w:rsidRPr="00051297">
        <w:rPr>
          <w:lang w:val="en-GB" w:eastAsia="pl-PL"/>
        </w:rPr>
        <w:t>, which is less than the alpha value of 0.05, showing a high level of statistical significance from the factor of safety values.</w:t>
      </w:r>
    </w:p>
    <w:p w14:paraId="0998E3BF" w14:textId="42CD1BEC" w:rsidR="00051297" w:rsidRPr="00051297" w:rsidRDefault="00051297" w:rsidP="00051297">
      <w:pPr>
        <w:rPr>
          <w:rFonts w:cs="Times New Roman"/>
          <w:szCs w:val="24"/>
          <w:lang w:val="en-US" w:bidi="en-US"/>
        </w:rPr>
      </w:pPr>
      <w:bookmarkStart w:id="1352" w:name="_Ref102350627"/>
      <w:bookmarkStart w:id="1353" w:name="_Toc103544263"/>
      <w:bookmarkStart w:id="1354" w:name="_Toc104985589"/>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5</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8</w:t>
      </w:r>
      <w:r w:rsidRPr="00051297">
        <w:rPr>
          <w:rFonts w:cs="Times New Roman"/>
          <w:szCs w:val="24"/>
          <w:lang w:val="en-US" w:bidi="en-US"/>
        </w:rPr>
        <w:fldChar w:fldCharType="end"/>
      </w:r>
      <w:bookmarkEnd w:id="1352"/>
      <w:r w:rsidRPr="00051297">
        <w:rPr>
          <w:rFonts w:cs="Times New Roman"/>
          <w:szCs w:val="24"/>
          <w:lang w:val="en-US" w:bidi="en-US"/>
        </w:rPr>
        <w:t xml:space="preserve"> ANOVA results from different operating reservoir levels and instantaneous drawdown rate</w:t>
      </w:r>
      <w:bookmarkEnd w:id="1353"/>
      <w:bookmarkEnd w:id="1354"/>
    </w:p>
    <w:tbl>
      <w:tblPr>
        <w:tblStyle w:val="a8"/>
        <w:tblW w:w="0" w:type="auto"/>
        <w:jc w:val="center"/>
        <w:tblLook w:val="04A0" w:firstRow="1" w:lastRow="0" w:firstColumn="1" w:lastColumn="0" w:noHBand="0" w:noVBand="1"/>
      </w:tblPr>
      <w:tblGrid>
        <w:gridCol w:w="1735"/>
        <w:gridCol w:w="1116"/>
        <w:gridCol w:w="1116"/>
        <w:gridCol w:w="1116"/>
        <w:gridCol w:w="1116"/>
        <w:gridCol w:w="1266"/>
        <w:gridCol w:w="1116"/>
      </w:tblGrid>
      <w:tr w:rsidR="00051297" w:rsidRPr="00051297" w14:paraId="6048DD1A" w14:textId="77777777" w:rsidTr="00D20B01">
        <w:trPr>
          <w:trHeight w:val="300"/>
          <w:jc w:val="center"/>
        </w:trPr>
        <w:tc>
          <w:tcPr>
            <w:tcW w:w="8581" w:type="dxa"/>
            <w:gridSpan w:val="7"/>
            <w:noWrap/>
            <w:hideMark/>
          </w:tcPr>
          <w:p w14:paraId="4965C52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 Single Factor</w:t>
            </w:r>
          </w:p>
        </w:tc>
      </w:tr>
      <w:tr w:rsidR="00051297" w:rsidRPr="00051297" w14:paraId="383E1825" w14:textId="77777777" w:rsidTr="00D20B01">
        <w:trPr>
          <w:trHeight w:val="315"/>
          <w:jc w:val="center"/>
        </w:trPr>
        <w:tc>
          <w:tcPr>
            <w:tcW w:w="8581" w:type="dxa"/>
            <w:gridSpan w:val="7"/>
            <w:noWrap/>
            <w:hideMark/>
          </w:tcPr>
          <w:p w14:paraId="6657254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SUMMARY</w:t>
            </w:r>
          </w:p>
        </w:tc>
      </w:tr>
      <w:tr w:rsidR="00051297" w:rsidRPr="00051297" w14:paraId="68D4CBA2" w14:textId="77777777" w:rsidTr="00D20B01">
        <w:trPr>
          <w:trHeight w:val="300"/>
          <w:jc w:val="center"/>
        </w:trPr>
        <w:tc>
          <w:tcPr>
            <w:tcW w:w="1735" w:type="dxa"/>
            <w:noWrap/>
            <w:hideMark/>
          </w:tcPr>
          <w:p w14:paraId="413106E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Groups</w:t>
            </w:r>
          </w:p>
        </w:tc>
        <w:tc>
          <w:tcPr>
            <w:tcW w:w="1116" w:type="dxa"/>
            <w:noWrap/>
            <w:hideMark/>
          </w:tcPr>
          <w:p w14:paraId="10E1AB8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Count</w:t>
            </w:r>
          </w:p>
        </w:tc>
        <w:tc>
          <w:tcPr>
            <w:tcW w:w="1116" w:type="dxa"/>
            <w:noWrap/>
            <w:hideMark/>
          </w:tcPr>
          <w:p w14:paraId="3C7D051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w:t>
            </w:r>
          </w:p>
        </w:tc>
        <w:tc>
          <w:tcPr>
            <w:tcW w:w="1116" w:type="dxa"/>
            <w:noWrap/>
            <w:hideMark/>
          </w:tcPr>
          <w:p w14:paraId="2339616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Average</w:t>
            </w:r>
          </w:p>
        </w:tc>
        <w:tc>
          <w:tcPr>
            <w:tcW w:w="3498" w:type="dxa"/>
            <w:gridSpan w:val="3"/>
            <w:noWrap/>
            <w:hideMark/>
          </w:tcPr>
          <w:p w14:paraId="6B59A32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Variance</w:t>
            </w:r>
          </w:p>
        </w:tc>
      </w:tr>
      <w:tr w:rsidR="00051297" w:rsidRPr="00051297" w14:paraId="5C996FCC" w14:textId="77777777" w:rsidTr="00D20B01">
        <w:trPr>
          <w:trHeight w:val="300"/>
          <w:jc w:val="center"/>
        </w:trPr>
        <w:tc>
          <w:tcPr>
            <w:tcW w:w="1735" w:type="dxa"/>
            <w:noWrap/>
            <w:hideMark/>
          </w:tcPr>
          <w:p w14:paraId="4694F62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Normal</w:t>
            </w:r>
          </w:p>
        </w:tc>
        <w:tc>
          <w:tcPr>
            <w:tcW w:w="1116" w:type="dxa"/>
            <w:noWrap/>
            <w:hideMark/>
          </w:tcPr>
          <w:p w14:paraId="5BB4B42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3E70F30C" w14:textId="77777777" w:rsidR="00051297" w:rsidRPr="00051297" w:rsidRDefault="00051297" w:rsidP="00051297">
            <w:pPr>
              <w:spacing w:line="240" w:lineRule="auto"/>
              <w:ind w:firstLine="0"/>
              <w:jc w:val="center"/>
              <w:rPr>
                <w:rFonts w:cs="Times New Roman"/>
                <w:lang w:val="en-US"/>
              </w:rPr>
            </w:pPr>
            <w:r w:rsidRPr="00051297">
              <w:t>49.579</w:t>
            </w:r>
          </w:p>
        </w:tc>
        <w:tc>
          <w:tcPr>
            <w:tcW w:w="1116" w:type="dxa"/>
            <w:noWrap/>
            <w:hideMark/>
          </w:tcPr>
          <w:p w14:paraId="0E28DEE4" w14:textId="77777777" w:rsidR="00051297" w:rsidRPr="00051297" w:rsidRDefault="00051297" w:rsidP="00051297">
            <w:pPr>
              <w:spacing w:line="240" w:lineRule="auto"/>
              <w:ind w:firstLine="0"/>
              <w:jc w:val="center"/>
              <w:rPr>
                <w:rFonts w:cs="Times New Roman"/>
                <w:lang w:val="en-US"/>
              </w:rPr>
            </w:pPr>
            <w:r w:rsidRPr="00051297">
              <w:t>1.599</w:t>
            </w:r>
          </w:p>
        </w:tc>
        <w:tc>
          <w:tcPr>
            <w:tcW w:w="3498" w:type="dxa"/>
            <w:gridSpan w:val="3"/>
            <w:noWrap/>
            <w:hideMark/>
          </w:tcPr>
          <w:p w14:paraId="50FB87E6" w14:textId="77777777" w:rsidR="00051297" w:rsidRPr="00051297" w:rsidRDefault="00051297" w:rsidP="00051297">
            <w:pPr>
              <w:spacing w:line="240" w:lineRule="auto"/>
              <w:ind w:firstLine="0"/>
              <w:jc w:val="center"/>
              <w:rPr>
                <w:rFonts w:cs="Times New Roman"/>
                <w:lang w:val="en-US"/>
              </w:rPr>
            </w:pPr>
            <w:r w:rsidRPr="00051297">
              <w:t>0.099</w:t>
            </w:r>
          </w:p>
        </w:tc>
      </w:tr>
      <w:tr w:rsidR="00051297" w:rsidRPr="00051297" w14:paraId="5456861D" w14:textId="77777777" w:rsidTr="00D20B01">
        <w:trPr>
          <w:trHeight w:val="300"/>
          <w:jc w:val="center"/>
        </w:trPr>
        <w:tc>
          <w:tcPr>
            <w:tcW w:w="1735" w:type="dxa"/>
            <w:noWrap/>
            <w:hideMark/>
          </w:tcPr>
          <w:p w14:paraId="0562DED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Reduced</w:t>
            </w:r>
          </w:p>
        </w:tc>
        <w:tc>
          <w:tcPr>
            <w:tcW w:w="1116" w:type="dxa"/>
            <w:noWrap/>
            <w:hideMark/>
          </w:tcPr>
          <w:p w14:paraId="3D0CCAD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2ECF1617" w14:textId="77777777" w:rsidR="00051297" w:rsidRPr="00051297" w:rsidRDefault="00051297" w:rsidP="00051297">
            <w:pPr>
              <w:spacing w:line="240" w:lineRule="auto"/>
              <w:ind w:firstLine="0"/>
              <w:jc w:val="center"/>
              <w:rPr>
                <w:rFonts w:cs="Times New Roman"/>
                <w:lang w:val="en-US"/>
              </w:rPr>
            </w:pPr>
            <w:r w:rsidRPr="00051297">
              <w:t>39.537</w:t>
            </w:r>
          </w:p>
        </w:tc>
        <w:tc>
          <w:tcPr>
            <w:tcW w:w="1116" w:type="dxa"/>
            <w:noWrap/>
            <w:hideMark/>
          </w:tcPr>
          <w:p w14:paraId="598F44B9" w14:textId="77777777" w:rsidR="00051297" w:rsidRPr="00051297" w:rsidRDefault="00051297" w:rsidP="00051297">
            <w:pPr>
              <w:spacing w:line="240" w:lineRule="auto"/>
              <w:ind w:firstLine="0"/>
              <w:jc w:val="center"/>
              <w:rPr>
                <w:rFonts w:cs="Times New Roman"/>
                <w:lang w:val="en-US"/>
              </w:rPr>
            </w:pPr>
            <w:r w:rsidRPr="00051297">
              <w:t>1.275</w:t>
            </w:r>
          </w:p>
        </w:tc>
        <w:tc>
          <w:tcPr>
            <w:tcW w:w="3498" w:type="dxa"/>
            <w:gridSpan w:val="3"/>
            <w:noWrap/>
            <w:hideMark/>
          </w:tcPr>
          <w:p w14:paraId="684C5B46" w14:textId="77777777" w:rsidR="00051297" w:rsidRPr="00051297" w:rsidRDefault="00051297" w:rsidP="00051297">
            <w:pPr>
              <w:spacing w:line="240" w:lineRule="auto"/>
              <w:ind w:firstLine="0"/>
              <w:jc w:val="center"/>
              <w:rPr>
                <w:rFonts w:cs="Times New Roman"/>
                <w:lang w:val="en-US"/>
              </w:rPr>
            </w:pPr>
            <w:r w:rsidRPr="00051297">
              <w:t>0.075</w:t>
            </w:r>
          </w:p>
        </w:tc>
      </w:tr>
      <w:tr w:rsidR="00051297" w:rsidRPr="00051297" w14:paraId="0EA716A2" w14:textId="77777777" w:rsidTr="00D20B01">
        <w:trPr>
          <w:trHeight w:val="315"/>
          <w:jc w:val="center"/>
        </w:trPr>
        <w:tc>
          <w:tcPr>
            <w:tcW w:w="1735" w:type="dxa"/>
            <w:noWrap/>
            <w:hideMark/>
          </w:tcPr>
          <w:p w14:paraId="1663DFC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Maximum</w:t>
            </w:r>
          </w:p>
        </w:tc>
        <w:tc>
          <w:tcPr>
            <w:tcW w:w="1116" w:type="dxa"/>
            <w:noWrap/>
            <w:hideMark/>
          </w:tcPr>
          <w:p w14:paraId="108C959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7C53491F" w14:textId="77777777" w:rsidR="00051297" w:rsidRPr="00051297" w:rsidRDefault="00051297" w:rsidP="00051297">
            <w:pPr>
              <w:spacing w:line="240" w:lineRule="auto"/>
              <w:ind w:firstLine="0"/>
              <w:jc w:val="center"/>
              <w:rPr>
                <w:rFonts w:cs="Times New Roman"/>
                <w:lang w:val="en-US"/>
              </w:rPr>
            </w:pPr>
            <w:r w:rsidRPr="00051297">
              <w:t>49.181</w:t>
            </w:r>
          </w:p>
        </w:tc>
        <w:tc>
          <w:tcPr>
            <w:tcW w:w="1116" w:type="dxa"/>
            <w:noWrap/>
            <w:hideMark/>
          </w:tcPr>
          <w:p w14:paraId="22291BDB" w14:textId="77777777" w:rsidR="00051297" w:rsidRPr="00051297" w:rsidRDefault="00051297" w:rsidP="00051297">
            <w:pPr>
              <w:spacing w:line="240" w:lineRule="auto"/>
              <w:ind w:firstLine="0"/>
              <w:jc w:val="center"/>
              <w:rPr>
                <w:rFonts w:cs="Times New Roman"/>
                <w:lang w:val="en-US"/>
              </w:rPr>
            </w:pPr>
            <w:r w:rsidRPr="00051297">
              <w:t>1.586</w:t>
            </w:r>
          </w:p>
        </w:tc>
        <w:tc>
          <w:tcPr>
            <w:tcW w:w="3498" w:type="dxa"/>
            <w:gridSpan w:val="3"/>
            <w:noWrap/>
            <w:hideMark/>
          </w:tcPr>
          <w:p w14:paraId="1E1E6220" w14:textId="77777777" w:rsidR="00051297" w:rsidRPr="00051297" w:rsidRDefault="00051297" w:rsidP="00051297">
            <w:pPr>
              <w:spacing w:line="240" w:lineRule="auto"/>
              <w:ind w:firstLine="0"/>
              <w:jc w:val="center"/>
              <w:rPr>
                <w:rFonts w:cs="Times New Roman"/>
                <w:lang w:val="en-US"/>
              </w:rPr>
            </w:pPr>
            <w:r w:rsidRPr="00051297">
              <w:t>0.086</w:t>
            </w:r>
          </w:p>
        </w:tc>
      </w:tr>
      <w:tr w:rsidR="00051297" w:rsidRPr="00051297" w14:paraId="39E1CDE6" w14:textId="77777777" w:rsidTr="00D20B01">
        <w:trPr>
          <w:trHeight w:val="315"/>
          <w:jc w:val="center"/>
        </w:trPr>
        <w:tc>
          <w:tcPr>
            <w:tcW w:w="8581" w:type="dxa"/>
            <w:gridSpan w:val="7"/>
            <w:noWrap/>
            <w:hideMark/>
          </w:tcPr>
          <w:p w14:paraId="3B1BF06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w:t>
            </w:r>
          </w:p>
        </w:tc>
      </w:tr>
      <w:tr w:rsidR="00051297" w:rsidRPr="00051297" w14:paraId="6BD1CB4C" w14:textId="77777777" w:rsidTr="00D20B01">
        <w:trPr>
          <w:trHeight w:val="300"/>
          <w:jc w:val="center"/>
        </w:trPr>
        <w:tc>
          <w:tcPr>
            <w:tcW w:w="1735" w:type="dxa"/>
            <w:noWrap/>
            <w:hideMark/>
          </w:tcPr>
          <w:p w14:paraId="26A4B26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Source of Variation</w:t>
            </w:r>
          </w:p>
        </w:tc>
        <w:tc>
          <w:tcPr>
            <w:tcW w:w="1116" w:type="dxa"/>
            <w:noWrap/>
            <w:hideMark/>
          </w:tcPr>
          <w:p w14:paraId="175D7FC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SS</w:t>
            </w:r>
          </w:p>
        </w:tc>
        <w:tc>
          <w:tcPr>
            <w:tcW w:w="1116" w:type="dxa"/>
            <w:noWrap/>
            <w:hideMark/>
          </w:tcPr>
          <w:p w14:paraId="78FAAA2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df</w:t>
            </w:r>
          </w:p>
        </w:tc>
        <w:tc>
          <w:tcPr>
            <w:tcW w:w="1116" w:type="dxa"/>
            <w:noWrap/>
            <w:hideMark/>
          </w:tcPr>
          <w:p w14:paraId="435ED6B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MS</w:t>
            </w:r>
          </w:p>
        </w:tc>
        <w:tc>
          <w:tcPr>
            <w:tcW w:w="1116" w:type="dxa"/>
            <w:noWrap/>
            <w:hideMark/>
          </w:tcPr>
          <w:p w14:paraId="285EF81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w:t>
            </w:r>
          </w:p>
        </w:tc>
        <w:tc>
          <w:tcPr>
            <w:tcW w:w="1266" w:type="dxa"/>
            <w:noWrap/>
            <w:hideMark/>
          </w:tcPr>
          <w:p w14:paraId="5E5FDE7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P-value</w:t>
            </w:r>
          </w:p>
        </w:tc>
        <w:tc>
          <w:tcPr>
            <w:tcW w:w="1116" w:type="dxa"/>
            <w:noWrap/>
            <w:hideMark/>
          </w:tcPr>
          <w:p w14:paraId="1EE5AAA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 crit</w:t>
            </w:r>
          </w:p>
        </w:tc>
      </w:tr>
      <w:tr w:rsidR="00051297" w:rsidRPr="00051297" w14:paraId="5B1A46CE" w14:textId="77777777" w:rsidTr="00D20B01">
        <w:trPr>
          <w:trHeight w:val="300"/>
          <w:jc w:val="center"/>
        </w:trPr>
        <w:tc>
          <w:tcPr>
            <w:tcW w:w="1735" w:type="dxa"/>
            <w:noWrap/>
            <w:hideMark/>
          </w:tcPr>
          <w:p w14:paraId="6A7106A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Between Groups</w:t>
            </w:r>
          </w:p>
        </w:tc>
        <w:tc>
          <w:tcPr>
            <w:tcW w:w="1116" w:type="dxa"/>
            <w:noWrap/>
            <w:hideMark/>
          </w:tcPr>
          <w:p w14:paraId="0D1887F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2.085776</w:t>
            </w:r>
          </w:p>
        </w:tc>
        <w:tc>
          <w:tcPr>
            <w:tcW w:w="1116" w:type="dxa"/>
            <w:noWrap/>
            <w:hideMark/>
          </w:tcPr>
          <w:p w14:paraId="0123CB2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w:t>
            </w:r>
          </w:p>
        </w:tc>
        <w:tc>
          <w:tcPr>
            <w:tcW w:w="1116" w:type="dxa"/>
            <w:noWrap/>
            <w:hideMark/>
          </w:tcPr>
          <w:p w14:paraId="5536075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1.042888</w:t>
            </w:r>
          </w:p>
        </w:tc>
        <w:tc>
          <w:tcPr>
            <w:tcW w:w="1116" w:type="dxa"/>
            <w:noWrap/>
            <w:hideMark/>
          </w:tcPr>
          <w:p w14:paraId="14C367F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12.01519</w:t>
            </w:r>
          </w:p>
        </w:tc>
        <w:tc>
          <w:tcPr>
            <w:tcW w:w="1266" w:type="dxa"/>
            <w:noWrap/>
            <w:hideMark/>
          </w:tcPr>
          <w:p w14:paraId="27788D9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2.37</w:t>
            </w:r>
            <w:r w:rsidRPr="00051297">
              <w:rPr>
                <w:lang w:eastAsia="pl-PL"/>
              </w:rPr>
              <w:t>× 10</w:t>
            </w:r>
            <w:r w:rsidRPr="00051297">
              <w:rPr>
                <w:vertAlign w:val="superscript"/>
                <w:lang w:eastAsia="pl-PL"/>
              </w:rPr>
              <w:t>−</w:t>
            </w:r>
            <w:r w:rsidRPr="00051297">
              <w:rPr>
                <w:vertAlign w:val="superscript"/>
                <w:lang w:val="en-US" w:eastAsia="pl-PL"/>
              </w:rPr>
              <w:t>5</w:t>
            </w:r>
          </w:p>
        </w:tc>
        <w:tc>
          <w:tcPr>
            <w:tcW w:w="1116" w:type="dxa"/>
            <w:noWrap/>
            <w:hideMark/>
          </w:tcPr>
          <w:p w14:paraId="56DC439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3.097698</w:t>
            </w:r>
          </w:p>
        </w:tc>
      </w:tr>
      <w:tr w:rsidR="00051297" w:rsidRPr="00051297" w14:paraId="3646DB60" w14:textId="77777777" w:rsidTr="00D20B01">
        <w:trPr>
          <w:trHeight w:val="300"/>
          <w:jc w:val="center"/>
        </w:trPr>
        <w:tc>
          <w:tcPr>
            <w:tcW w:w="1735" w:type="dxa"/>
            <w:noWrap/>
            <w:hideMark/>
          </w:tcPr>
          <w:p w14:paraId="1A1B413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Within Groups</w:t>
            </w:r>
          </w:p>
        </w:tc>
        <w:tc>
          <w:tcPr>
            <w:tcW w:w="1116" w:type="dxa"/>
            <w:noWrap/>
            <w:hideMark/>
          </w:tcPr>
          <w:p w14:paraId="22A11EB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7.811768</w:t>
            </w:r>
          </w:p>
        </w:tc>
        <w:tc>
          <w:tcPr>
            <w:tcW w:w="1116" w:type="dxa"/>
            <w:noWrap/>
            <w:hideMark/>
          </w:tcPr>
          <w:p w14:paraId="1A25110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90</w:t>
            </w:r>
          </w:p>
        </w:tc>
        <w:tc>
          <w:tcPr>
            <w:tcW w:w="1116" w:type="dxa"/>
            <w:noWrap/>
            <w:hideMark/>
          </w:tcPr>
          <w:p w14:paraId="1B0A0CC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0.086797</w:t>
            </w:r>
          </w:p>
        </w:tc>
        <w:tc>
          <w:tcPr>
            <w:tcW w:w="1116" w:type="dxa"/>
            <w:noWrap/>
            <w:hideMark/>
          </w:tcPr>
          <w:p w14:paraId="6B984D8F" w14:textId="77777777" w:rsidR="00051297" w:rsidRPr="00051297" w:rsidRDefault="00051297" w:rsidP="00051297">
            <w:pPr>
              <w:spacing w:line="240" w:lineRule="auto"/>
              <w:ind w:firstLine="0"/>
              <w:jc w:val="center"/>
              <w:rPr>
                <w:rFonts w:cs="Times New Roman"/>
                <w:lang w:val="en-US"/>
              </w:rPr>
            </w:pPr>
          </w:p>
        </w:tc>
        <w:tc>
          <w:tcPr>
            <w:tcW w:w="1266" w:type="dxa"/>
            <w:noWrap/>
            <w:hideMark/>
          </w:tcPr>
          <w:p w14:paraId="4CE4540B"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6E7915D1" w14:textId="77777777" w:rsidR="00051297" w:rsidRPr="00051297" w:rsidRDefault="00051297" w:rsidP="00051297">
            <w:pPr>
              <w:spacing w:line="240" w:lineRule="auto"/>
              <w:ind w:firstLine="0"/>
              <w:jc w:val="center"/>
              <w:rPr>
                <w:rFonts w:cs="Times New Roman"/>
                <w:lang w:val="en-US"/>
              </w:rPr>
            </w:pPr>
          </w:p>
        </w:tc>
      </w:tr>
      <w:tr w:rsidR="00051297" w:rsidRPr="00051297" w14:paraId="5E5D501C" w14:textId="77777777" w:rsidTr="00D20B01">
        <w:trPr>
          <w:trHeight w:val="315"/>
          <w:jc w:val="center"/>
        </w:trPr>
        <w:tc>
          <w:tcPr>
            <w:tcW w:w="1735" w:type="dxa"/>
            <w:noWrap/>
            <w:hideMark/>
          </w:tcPr>
          <w:p w14:paraId="575AD3C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Total</w:t>
            </w:r>
          </w:p>
        </w:tc>
        <w:tc>
          <w:tcPr>
            <w:tcW w:w="1116" w:type="dxa"/>
            <w:noWrap/>
            <w:hideMark/>
          </w:tcPr>
          <w:p w14:paraId="527C6F2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9.897544</w:t>
            </w:r>
          </w:p>
        </w:tc>
        <w:tc>
          <w:tcPr>
            <w:tcW w:w="1116" w:type="dxa"/>
            <w:noWrap/>
            <w:hideMark/>
          </w:tcPr>
          <w:p w14:paraId="0AC246C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92</w:t>
            </w:r>
          </w:p>
        </w:tc>
        <w:tc>
          <w:tcPr>
            <w:tcW w:w="1116" w:type="dxa"/>
            <w:noWrap/>
            <w:hideMark/>
          </w:tcPr>
          <w:p w14:paraId="5A21041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16" w:type="dxa"/>
            <w:noWrap/>
            <w:hideMark/>
          </w:tcPr>
          <w:p w14:paraId="3FA61BF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266" w:type="dxa"/>
            <w:noWrap/>
            <w:hideMark/>
          </w:tcPr>
          <w:p w14:paraId="628B2B5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16" w:type="dxa"/>
            <w:noWrap/>
            <w:hideMark/>
          </w:tcPr>
          <w:p w14:paraId="1009ADC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r>
    </w:tbl>
    <w:p w14:paraId="283FB861" w14:textId="2CD9A335" w:rsidR="00051297" w:rsidRPr="00051297" w:rsidRDefault="00051297" w:rsidP="00051297">
      <w:pPr>
        <w:rPr>
          <w:lang w:val="en-GB" w:eastAsia="pl-PL"/>
        </w:rPr>
      </w:pPr>
      <w:r w:rsidRPr="00051297">
        <w:rPr>
          <w:lang w:val="en-GB" w:eastAsia="pl-PL"/>
        </w:rPr>
        <w:fldChar w:fldCharType="begin"/>
      </w:r>
      <w:r w:rsidRPr="00051297">
        <w:rPr>
          <w:lang w:val="en-GB" w:eastAsia="pl-PL"/>
        </w:rPr>
        <w:instrText xml:space="preserve"> REF _Ref102350897 \h  \* MERGEFORMAT </w:instrText>
      </w:r>
      <w:r w:rsidRPr="00051297">
        <w:rPr>
          <w:lang w:val="en-GB" w:eastAsia="pl-PL"/>
        </w:rPr>
      </w:r>
      <w:r w:rsidRPr="00051297">
        <w:rPr>
          <w:lang w:val="en-GB" w:eastAsia="pl-PL"/>
        </w:rPr>
        <w:fldChar w:fldCharType="separate"/>
      </w:r>
      <w:r w:rsidR="004870F1" w:rsidRPr="004870F1">
        <w:rPr>
          <w:lang w:val="en-GB" w:eastAsia="pl-PL"/>
        </w:rPr>
        <w:t>Table 5.9</w:t>
      </w:r>
      <w:r w:rsidRPr="00051297">
        <w:rPr>
          <w:lang w:val="en-GB" w:eastAsia="pl-PL"/>
        </w:rPr>
        <w:fldChar w:fldCharType="end"/>
      </w:r>
      <w:r w:rsidRPr="00051297">
        <w:rPr>
          <w:lang w:val="en-GB" w:eastAsia="pl-PL"/>
        </w:rPr>
        <w:t xml:space="preserve"> presents the results from the ANOVA when the different operating reservoir levels were applied under the 5 days drawdown rate. It can be seen that a p-value of 0.01071 was retrieved, which is less than the alpha value of 0.05. The obtained p-value also shows a high level of statistical significance in the differences in terms of factor of safety values.</w:t>
      </w:r>
    </w:p>
    <w:p w14:paraId="2F911A8F" w14:textId="549A055E" w:rsidR="00051297" w:rsidRPr="00051297" w:rsidRDefault="00051297" w:rsidP="00051297">
      <w:pPr>
        <w:rPr>
          <w:rFonts w:cs="Times New Roman"/>
          <w:szCs w:val="24"/>
          <w:lang w:val="en-US" w:bidi="en-US"/>
        </w:rPr>
      </w:pPr>
      <w:bookmarkStart w:id="1355" w:name="_Ref102350897"/>
      <w:bookmarkStart w:id="1356" w:name="_Toc103544264"/>
      <w:bookmarkStart w:id="1357" w:name="_Toc104985590"/>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5</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9</w:t>
      </w:r>
      <w:r w:rsidRPr="00051297">
        <w:rPr>
          <w:rFonts w:cs="Times New Roman"/>
          <w:szCs w:val="24"/>
          <w:lang w:val="en-US" w:bidi="en-US"/>
        </w:rPr>
        <w:fldChar w:fldCharType="end"/>
      </w:r>
      <w:bookmarkEnd w:id="1355"/>
      <w:r w:rsidRPr="00051297">
        <w:rPr>
          <w:rFonts w:cs="Times New Roman"/>
          <w:szCs w:val="24"/>
          <w:lang w:val="en-US" w:bidi="en-US"/>
        </w:rPr>
        <w:t xml:space="preserve"> ANOVA results from different operating reservoir levels and 5 days drawdown rate</w:t>
      </w:r>
      <w:bookmarkEnd w:id="1356"/>
      <w:bookmarkEnd w:id="1357"/>
    </w:p>
    <w:tbl>
      <w:tblPr>
        <w:tblStyle w:val="a8"/>
        <w:tblW w:w="0" w:type="auto"/>
        <w:jc w:val="center"/>
        <w:tblLook w:val="04A0" w:firstRow="1" w:lastRow="0" w:firstColumn="1" w:lastColumn="0" w:noHBand="0" w:noVBand="1"/>
      </w:tblPr>
      <w:tblGrid>
        <w:gridCol w:w="1735"/>
        <w:gridCol w:w="1116"/>
        <w:gridCol w:w="1116"/>
        <w:gridCol w:w="1116"/>
        <w:gridCol w:w="1116"/>
        <w:gridCol w:w="996"/>
        <w:gridCol w:w="1116"/>
      </w:tblGrid>
      <w:tr w:rsidR="00051297" w:rsidRPr="00051297" w14:paraId="6C062F07" w14:textId="77777777" w:rsidTr="00D20B01">
        <w:trPr>
          <w:trHeight w:val="300"/>
          <w:jc w:val="center"/>
        </w:trPr>
        <w:tc>
          <w:tcPr>
            <w:tcW w:w="8311" w:type="dxa"/>
            <w:gridSpan w:val="7"/>
            <w:noWrap/>
            <w:hideMark/>
          </w:tcPr>
          <w:p w14:paraId="6CB4B81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 Single Factor</w:t>
            </w:r>
          </w:p>
        </w:tc>
      </w:tr>
      <w:tr w:rsidR="00051297" w:rsidRPr="00051297" w14:paraId="748057D3" w14:textId="77777777" w:rsidTr="00D20B01">
        <w:trPr>
          <w:trHeight w:val="315"/>
          <w:jc w:val="center"/>
        </w:trPr>
        <w:tc>
          <w:tcPr>
            <w:tcW w:w="8311" w:type="dxa"/>
            <w:gridSpan w:val="7"/>
            <w:noWrap/>
            <w:hideMark/>
          </w:tcPr>
          <w:p w14:paraId="44470B1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SUMMARY</w:t>
            </w:r>
          </w:p>
        </w:tc>
      </w:tr>
      <w:tr w:rsidR="00051297" w:rsidRPr="00051297" w14:paraId="7BCE0964" w14:textId="77777777" w:rsidTr="00D20B01">
        <w:trPr>
          <w:trHeight w:val="300"/>
          <w:jc w:val="center"/>
        </w:trPr>
        <w:tc>
          <w:tcPr>
            <w:tcW w:w="1735" w:type="dxa"/>
            <w:noWrap/>
            <w:hideMark/>
          </w:tcPr>
          <w:p w14:paraId="7AB632E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Groups</w:t>
            </w:r>
          </w:p>
        </w:tc>
        <w:tc>
          <w:tcPr>
            <w:tcW w:w="1116" w:type="dxa"/>
            <w:noWrap/>
            <w:hideMark/>
          </w:tcPr>
          <w:p w14:paraId="3ACB046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Count</w:t>
            </w:r>
          </w:p>
        </w:tc>
        <w:tc>
          <w:tcPr>
            <w:tcW w:w="1116" w:type="dxa"/>
            <w:noWrap/>
            <w:hideMark/>
          </w:tcPr>
          <w:p w14:paraId="1974F0C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w:t>
            </w:r>
          </w:p>
        </w:tc>
        <w:tc>
          <w:tcPr>
            <w:tcW w:w="1116" w:type="dxa"/>
            <w:noWrap/>
            <w:hideMark/>
          </w:tcPr>
          <w:p w14:paraId="364705A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Average</w:t>
            </w:r>
          </w:p>
        </w:tc>
        <w:tc>
          <w:tcPr>
            <w:tcW w:w="3228" w:type="dxa"/>
            <w:gridSpan w:val="3"/>
            <w:noWrap/>
            <w:hideMark/>
          </w:tcPr>
          <w:p w14:paraId="5DB1747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Variance</w:t>
            </w:r>
          </w:p>
        </w:tc>
      </w:tr>
      <w:tr w:rsidR="00051297" w:rsidRPr="00051297" w14:paraId="172A4C5B" w14:textId="77777777" w:rsidTr="00D20B01">
        <w:trPr>
          <w:trHeight w:val="300"/>
          <w:jc w:val="center"/>
        </w:trPr>
        <w:tc>
          <w:tcPr>
            <w:tcW w:w="1735" w:type="dxa"/>
            <w:noWrap/>
            <w:hideMark/>
          </w:tcPr>
          <w:p w14:paraId="2A4B2D7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Normal</w:t>
            </w:r>
          </w:p>
        </w:tc>
        <w:tc>
          <w:tcPr>
            <w:tcW w:w="1116" w:type="dxa"/>
            <w:noWrap/>
            <w:hideMark/>
          </w:tcPr>
          <w:p w14:paraId="211B72D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35106DD4" w14:textId="77777777" w:rsidR="00051297" w:rsidRPr="00051297" w:rsidRDefault="00051297" w:rsidP="00051297">
            <w:pPr>
              <w:spacing w:line="240" w:lineRule="auto"/>
              <w:ind w:firstLine="0"/>
              <w:jc w:val="center"/>
              <w:rPr>
                <w:rFonts w:cs="Times New Roman"/>
                <w:lang w:val="en-US"/>
              </w:rPr>
            </w:pPr>
            <w:r w:rsidRPr="00051297">
              <w:t>30.063</w:t>
            </w:r>
          </w:p>
        </w:tc>
        <w:tc>
          <w:tcPr>
            <w:tcW w:w="1116" w:type="dxa"/>
            <w:noWrap/>
            <w:hideMark/>
          </w:tcPr>
          <w:p w14:paraId="525236CE" w14:textId="77777777" w:rsidR="00051297" w:rsidRPr="00051297" w:rsidRDefault="00051297" w:rsidP="00051297">
            <w:pPr>
              <w:spacing w:line="240" w:lineRule="auto"/>
              <w:ind w:firstLine="0"/>
              <w:jc w:val="center"/>
              <w:rPr>
                <w:rFonts w:cs="Times New Roman"/>
                <w:lang w:val="en-US"/>
              </w:rPr>
            </w:pPr>
            <w:r w:rsidRPr="00051297">
              <w:t>0.970</w:t>
            </w:r>
          </w:p>
        </w:tc>
        <w:tc>
          <w:tcPr>
            <w:tcW w:w="3228" w:type="dxa"/>
            <w:gridSpan w:val="3"/>
            <w:noWrap/>
            <w:hideMark/>
          </w:tcPr>
          <w:p w14:paraId="370D600B" w14:textId="77777777" w:rsidR="00051297" w:rsidRPr="00051297" w:rsidRDefault="00051297" w:rsidP="00051297">
            <w:pPr>
              <w:spacing w:line="240" w:lineRule="auto"/>
              <w:ind w:firstLine="0"/>
              <w:jc w:val="center"/>
              <w:rPr>
                <w:rFonts w:cs="Times New Roman"/>
                <w:lang w:val="en-US"/>
              </w:rPr>
            </w:pPr>
            <w:r w:rsidRPr="00051297">
              <w:t>0.140</w:t>
            </w:r>
          </w:p>
        </w:tc>
      </w:tr>
      <w:tr w:rsidR="00051297" w:rsidRPr="00051297" w14:paraId="2DEF1BFD" w14:textId="77777777" w:rsidTr="00D20B01">
        <w:trPr>
          <w:trHeight w:val="300"/>
          <w:jc w:val="center"/>
        </w:trPr>
        <w:tc>
          <w:tcPr>
            <w:tcW w:w="1735" w:type="dxa"/>
            <w:noWrap/>
            <w:hideMark/>
          </w:tcPr>
          <w:p w14:paraId="4CC0080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Reduced</w:t>
            </w:r>
          </w:p>
        </w:tc>
        <w:tc>
          <w:tcPr>
            <w:tcW w:w="1116" w:type="dxa"/>
            <w:noWrap/>
            <w:hideMark/>
          </w:tcPr>
          <w:p w14:paraId="7E013E5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10C0D610" w14:textId="77777777" w:rsidR="00051297" w:rsidRPr="00051297" w:rsidRDefault="00051297" w:rsidP="00051297">
            <w:pPr>
              <w:spacing w:line="240" w:lineRule="auto"/>
              <w:ind w:firstLine="0"/>
              <w:jc w:val="center"/>
              <w:rPr>
                <w:rFonts w:cs="Times New Roman"/>
                <w:lang w:val="en-US"/>
              </w:rPr>
            </w:pPr>
            <w:r w:rsidRPr="00051297">
              <w:t>33.600</w:t>
            </w:r>
          </w:p>
        </w:tc>
        <w:tc>
          <w:tcPr>
            <w:tcW w:w="1116" w:type="dxa"/>
            <w:noWrap/>
            <w:hideMark/>
          </w:tcPr>
          <w:p w14:paraId="50E0EA78" w14:textId="77777777" w:rsidR="00051297" w:rsidRPr="00051297" w:rsidRDefault="00051297" w:rsidP="00051297">
            <w:pPr>
              <w:spacing w:line="240" w:lineRule="auto"/>
              <w:ind w:firstLine="0"/>
              <w:jc w:val="center"/>
              <w:rPr>
                <w:rFonts w:cs="Times New Roman"/>
                <w:lang w:val="en-US"/>
              </w:rPr>
            </w:pPr>
            <w:r w:rsidRPr="00051297">
              <w:t>1.084</w:t>
            </w:r>
          </w:p>
        </w:tc>
        <w:tc>
          <w:tcPr>
            <w:tcW w:w="3228" w:type="dxa"/>
            <w:gridSpan w:val="3"/>
            <w:noWrap/>
            <w:hideMark/>
          </w:tcPr>
          <w:p w14:paraId="5F8FE272" w14:textId="77777777" w:rsidR="00051297" w:rsidRPr="00051297" w:rsidRDefault="00051297" w:rsidP="00051297">
            <w:pPr>
              <w:spacing w:line="240" w:lineRule="auto"/>
              <w:ind w:firstLine="0"/>
              <w:jc w:val="center"/>
              <w:rPr>
                <w:rFonts w:cs="Times New Roman"/>
                <w:lang w:val="en-US"/>
              </w:rPr>
            </w:pPr>
            <w:r w:rsidRPr="00051297">
              <w:t>0.047</w:t>
            </w:r>
          </w:p>
        </w:tc>
      </w:tr>
      <w:tr w:rsidR="00051297" w:rsidRPr="00051297" w14:paraId="2CB86636" w14:textId="77777777" w:rsidTr="00D20B01">
        <w:trPr>
          <w:trHeight w:val="315"/>
          <w:jc w:val="center"/>
        </w:trPr>
        <w:tc>
          <w:tcPr>
            <w:tcW w:w="1735" w:type="dxa"/>
            <w:noWrap/>
            <w:hideMark/>
          </w:tcPr>
          <w:p w14:paraId="491173F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Maximum</w:t>
            </w:r>
          </w:p>
        </w:tc>
        <w:tc>
          <w:tcPr>
            <w:tcW w:w="1116" w:type="dxa"/>
            <w:noWrap/>
            <w:hideMark/>
          </w:tcPr>
          <w:p w14:paraId="3D9A369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602C848F" w14:textId="77777777" w:rsidR="00051297" w:rsidRPr="00051297" w:rsidRDefault="00051297" w:rsidP="00051297">
            <w:pPr>
              <w:spacing w:line="240" w:lineRule="auto"/>
              <w:ind w:firstLine="0"/>
              <w:jc w:val="center"/>
              <w:rPr>
                <w:rFonts w:cs="Times New Roman"/>
                <w:lang w:val="en-US"/>
              </w:rPr>
            </w:pPr>
            <w:r w:rsidRPr="00051297">
              <w:t>24.289</w:t>
            </w:r>
          </w:p>
        </w:tc>
        <w:tc>
          <w:tcPr>
            <w:tcW w:w="1116" w:type="dxa"/>
            <w:noWrap/>
            <w:hideMark/>
          </w:tcPr>
          <w:p w14:paraId="26E65604" w14:textId="77777777" w:rsidR="00051297" w:rsidRPr="00051297" w:rsidRDefault="00051297" w:rsidP="00051297">
            <w:pPr>
              <w:spacing w:line="240" w:lineRule="auto"/>
              <w:ind w:firstLine="0"/>
              <w:jc w:val="center"/>
              <w:rPr>
                <w:rFonts w:cs="Times New Roman"/>
                <w:lang w:val="en-US"/>
              </w:rPr>
            </w:pPr>
            <w:r w:rsidRPr="00051297">
              <w:t>0.784</w:t>
            </w:r>
          </w:p>
        </w:tc>
        <w:tc>
          <w:tcPr>
            <w:tcW w:w="3228" w:type="dxa"/>
            <w:gridSpan w:val="3"/>
            <w:noWrap/>
            <w:hideMark/>
          </w:tcPr>
          <w:p w14:paraId="6D7E98CA" w14:textId="77777777" w:rsidR="00051297" w:rsidRPr="00051297" w:rsidRDefault="00051297" w:rsidP="00051297">
            <w:pPr>
              <w:spacing w:line="240" w:lineRule="auto"/>
              <w:ind w:firstLine="0"/>
              <w:jc w:val="center"/>
              <w:rPr>
                <w:rFonts w:cs="Times New Roman"/>
                <w:lang w:val="en-US"/>
              </w:rPr>
            </w:pPr>
            <w:r w:rsidRPr="00051297">
              <w:t>0.262</w:t>
            </w:r>
          </w:p>
        </w:tc>
      </w:tr>
      <w:tr w:rsidR="00051297" w:rsidRPr="00051297" w14:paraId="6282B7A1" w14:textId="77777777" w:rsidTr="00D20B01">
        <w:trPr>
          <w:trHeight w:val="315"/>
          <w:jc w:val="center"/>
        </w:trPr>
        <w:tc>
          <w:tcPr>
            <w:tcW w:w="8311" w:type="dxa"/>
            <w:gridSpan w:val="7"/>
            <w:noWrap/>
            <w:hideMark/>
          </w:tcPr>
          <w:p w14:paraId="3935DD9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w:t>
            </w:r>
          </w:p>
        </w:tc>
      </w:tr>
      <w:tr w:rsidR="00051297" w:rsidRPr="00051297" w14:paraId="70BA8C36" w14:textId="77777777" w:rsidTr="00D20B01">
        <w:trPr>
          <w:trHeight w:val="300"/>
          <w:jc w:val="center"/>
        </w:trPr>
        <w:tc>
          <w:tcPr>
            <w:tcW w:w="1735" w:type="dxa"/>
            <w:noWrap/>
            <w:hideMark/>
          </w:tcPr>
          <w:p w14:paraId="4BCB8A2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Source of Variation</w:t>
            </w:r>
          </w:p>
        </w:tc>
        <w:tc>
          <w:tcPr>
            <w:tcW w:w="1116" w:type="dxa"/>
            <w:noWrap/>
            <w:hideMark/>
          </w:tcPr>
          <w:p w14:paraId="5A80053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SS</w:t>
            </w:r>
          </w:p>
        </w:tc>
        <w:tc>
          <w:tcPr>
            <w:tcW w:w="1116" w:type="dxa"/>
            <w:noWrap/>
            <w:hideMark/>
          </w:tcPr>
          <w:p w14:paraId="7C55AD6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df</w:t>
            </w:r>
          </w:p>
        </w:tc>
        <w:tc>
          <w:tcPr>
            <w:tcW w:w="1116" w:type="dxa"/>
            <w:noWrap/>
            <w:hideMark/>
          </w:tcPr>
          <w:p w14:paraId="7DEB3E9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MS</w:t>
            </w:r>
          </w:p>
        </w:tc>
        <w:tc>
          <w:tcPr>
            <w:tcW w:w="1116" w:type="dxa"/>
            <w:noWrap/>
            <w:hideMark/>
          </w:tcPr>
          <w:p w14:paraId="44CDC50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w:t>
            </w:r>
          </w:p>
        </w:tc>
        <w:tc>
          <w:tcPr>
            <w:tcW w:w="996" w:type="dxa"/>
            <w:noWrap/>
            <w:hideMark/>
          </w:tcPr>
          <w:p w14:paraId="250BAB9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P-value</w:t>
            </w:r>
          </w:p>
        </w:tc>
        <w:tc>
          <w:tcPr>
            <w:tcW w:w="1116" w:type="dxa"/>
            <w:noWrap/>
            <w:hideMark/>
          </w:tcPr>
          <w:p w14:paraId="4BC21C0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 crit</w:t>
            </w:r>
          </w:p>
        </w:tc>
      </w:tr>
      <w:tr w:rsidR="00051297" w:rsidRPr="00051297" w14:paraId="52B09753" w14:textId="77777777" w:rsidTr="00D20B01">
        <w:trPr>
          <w:trHeight w:val="300"/>
          <w:jc w:val="center"/>
        </w:trPr>
        <w:tc>
          <w:tcPr>
            <w:tcW w:w="1735" w:type="dxa"/>
            <w:noWrap/>
            <w:hideMark/>
          </w:tcPr>
          <w:p w14:paraId="3FA1F8F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Between Groups</w:t>
            </w:r>
          </w:p>
        </w:tc>
        <w:tc>
          <w:tcPr>
            <w:tcW w:w="1116" w:type="dxa"/>
            <w:noWrap/>
            <w:hideMark/>
          </w:tcPr>
          <w:p w14:paraId="43D9E80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1.42528</w:t>
            </w:r>
          </w:p>
        </w:tc>
        <w:tc>
          <w:tcPr>
            <w:tcW w:w="1116" w:type="dxa"/>
            <w:noWrap/>
            <w:hideMark/>
          </w:tcPr>
          <w:p w14:paraId="19A7913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w:t>
            </w:r>
          </w:p>
        </w:tc>
        <w:tc>
          <w:tcPr>
            <w:tcW w:w="1116" w:type="dxa"/>
            <w:noWrap/>
            <w:hideMark/>
          </w:tcPr>
          <w:p w14:paraId="4C7AACB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0.71264</w:t>
            </w:r>
          </w:p>
        </w:tc>
        <w:tc>
          <w:tcPr>
            <w:tcW w:w="1116" w:type="dxa"/>
            <w:noWrap/>
            <w:hideMark/>
          </w:tcPr>
          <w:p w14:paraId="193FE79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4.773089</w:t>
            </w:r>
          </w:p>
        </w:tc>
        <w:tc>
          <w:tcPr>
            <w:tcW w:w="996" w:type="dxa"/>
            <w:noWrap/>
            <w:hideMark/>
          </w:tcPr>
          <w:p w14:paraId="43A4EEF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0.01071</w:t>
            </w:r>
          </w:p>
        </w:tc>
        <w:tc>
          <w:tcPr>
            <w:tcW w:w="1116" w:type="dxa"/>
            <w:noWrap/>
            <w:hideMark/>
          </w:tcPr>
          <w:p w14:paraId="2970426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3.097698</w:t>
            </w:r>
          </w:p>
        </w:tc>
      </w:tr>
      <w:tr w:rsidR="00051297" w:rsidRPr="00051297" w14:paraId="4EBDEA3F" w14:textId="77777777" w:rsidTr="00D20B01">
        <w:trPr>
          <w:trHeight w:val="300"/>
          <w:jc w:val="center"/>
        </w:trPr>
        <w:tc>
          <w:tcPr>
            <w:tcW w:w="1735" w:type="dxa"/>
            <w:noWrap/>
            <w:hideMark/>
          </w:tcPr>
          <w:p w14:paraId="5BAA3B8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Within Groups</w:t>
            </w:r>
          </w:p>
        </w:tc>
        <w:tc>
          <w:tcPr>
            <w:tcW w:w="1116" w:type="dxa"/>
            <w:noWrap/>
            <w:hideMark/>
          </w:tcPr>
          <w:p w14:paraId="2CBB2F0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13.43733</w:t>
            </w:r>
          </w:p>
        </w:tc>
        <w:tc>
          <w:tcPr>
            <w:tcW w:w="1116" w:type="dxa"/>
            <w:noWrap/>
            <w:hideMark/>
          </w:tcPr>
          <w:p w14:paraId="24079F6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90</w:t>
            </w:r>
          </w:p>
        </w:tc>
        <w:tc>
          <w:tcPr>
            <w:tcW w:w="1116" w:type="dxa"/>
            <w:noWrap/>
            <w:hideMark/>
          </w:tcPr>
          <w:p w14:paraId="537AB19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0.149304</w:t>
            </w:r>
          </w:p>
        </w:tc>
        <w:tc>
          <w:tcPr>
            <w:tcW w:w="1116" w:type="dxa"/>
            <w:noWrap/>
            <w:hideMark/>
          </w:tcPr>
          <w:p w14:paraId="24FBEE22" w14:textId="77777777" w:rsidR="00051297" w:rsidRPr="00051297" w:rsidRDefault="00051297" w:rsidP="00051297">
            <w:pPr>
              <w:spacing w:line="240" w:lineRule="auto"/>
              <w:ind w:firstLine="0"/>
              <w:jc w:val="center"/>
              <w:rPr>
                <w:rFonts w:cs="Times New Roman"/>
                <w:lang w:val="en-US"/>
              </w:rPr>
            </w:pPr>
          </w:p>
        </w:tc>
        <w:tc>
          <w:tcPr>
            <w:tcW w:w="996" w:type="dxa"/>
            <w:noWrap/>
            <w:hideMark/>
          </w:tcPr>
          <w:p w14:paraId="6FEB66FD"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34DAF38B" w14:textId="77777777" w:rsidR="00051297" w:rsidRPr="00051297" w:rsidRDefault="00051297" w:rsidP="00051297">
            <w:pPr>
              <w:spacing w:line="240" w:lineRule="auto"/>
              <w:ind w:firstLine="0"/>
              <w:jc w:val="center"/>
              <w:rPr>
                <w:rFonts w:cs="Times New Roman"/>
                <w:lang w:val="en-US"/>
              </w:rPr>
            </w:pPr>
          </w:p>
        </w:tc>
      </w:tr>
      <w:tr w:rsidR="00051297" w:rsidRPr="00051297" w14:paraId="59B6A54D" w14:textId="77777777" w:rsidTr="00D20B01">
        <w:trPr>
          <w:trHeight w:val="315"/>
          <w:jc w:val="center"/>
        </w:trPr>
        <w:tc>
          <w:tcPr>
            <w:tcW w:w="1735" w:type="dxa"/>
            <w:noWrap/>
            <w:hideMark/>
          </w:tcPr>
          <w:p w14:paraId="66D0490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Total</w:t>
            </w:r>
          </w:p>
        </w:tc>
        <w:tc>
          <w:tcPr>
            <w:tcW w:w="1116" w:type="dxa"/>
            <w:noWrap/>
            <w:hideMark/>
          </w:tcPr>
          <w:p w14:paraId="5F8F739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14.86261</w:t>
            </w:r>
          </w:p>
        </w:tc>
        <w:tc>
          <w:tcPr>
            <w:tcW w:w="1116" w:type="dxa"/>
            <w:noWrap/>
            <w:hideMark/>
          </w:tcPr>
          <w:p w14:paraId="1D51D84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92</w:t>
            </w:r>
          </w:p>
        </w:tc>
        <w:tc>
          <w:tcPr>
            <w:tcW w:w="1116" w:type="dxa"/>
            <w:noWrap/>
            <w:hideMark/>
          </w:tcPr>
          <w:p w14:paraId="67E2B14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16" w:type="dxa"/>
            <w:noWrap/>
            <w:hideMark/>
          </w:tcPr>
          <w:p w14:paraId="7EB88F7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996" w:type="dxa"/>
            <w:noWrap/>
            <w:hideMark/>
          </w:tcPr>
          <w:p w14:paraId="0964C6C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16" w:type="dxa"/>
            <w:noWrap/>
            <w:hideMark/>
          </w:tcPr>
          <w:p w14:paraId="7A2ADEE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r>
    </w:tbl>
    <w:p w14:paraId="53277975" w14:textId="77777777" w:rsidR="006568FB" w:rsidRDefault="006568FB" w:rsidP="00051297">
      <w:pPr>
        <w:rPr>
          <w:lang w:val="en-GB" w:eastAsia="pl-PL"/>
        </w:rPr>
      </w:pPr>
    </w:p>
    <w:p w14:paraId="4EF06333" w14:textId="0AD801E8" w:rsidR="00051297" w:rsidRPr="00051297" w:rsidRDefault="00051297" w:rsidP="00051297">
      <w:pPr>
        <w:rPr>
          <w:lang w:val="en-GB" w:eastAsia="pl-PL"/>
        </w:rPr>
      </w:pPr>
      <w:r w:rsidRPr="00051297">
        <w:rPr>
          <w:lang w:val="en-GB" w:eastAsia="pl-PL"/>
        </w:rPr>
        <w:lastRenderedPageBreak/>
        <w:t xml:space="preserve">The findings of the ANOVA when the varied operational reservoir levels were applied under the 10 days drawdown rate are shown in </w:t>
      </w:r>
      <w:r w:rsidRPr="00051297">
        <w:rPr>
          <w:lang w:val="en-GB" w:eastAsia="pl-PL"/>
        </w:rPr>
        <w:fldChar w:fldCharType="begin"/>
      </w:r>
      <w:r w:rsidRPr="00051297">
        <w:rPr>
          <w:lang w:val="en-GB" w:eastAsia="pl-PL"/>
        </w:rPr>
        <w:instrText xml:space="preserve"> REF _Ref102351240 \h </w:instrText>
      </w:r>
      <w:r w:rsidRPr="00051297">
        <w:rPr>
          <w:lang w:val="en-GB" w:eastAsia="pl-PL"/>
        </w:rPr>
      </w:r>
      <w:r w:rsidRPr="00051297">
        <w:rPr>
          <w:lang w:val="en-GB" w:eastAsia="pl-PL"/>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5</w:t>
      </w:r>
      <w:r w:rsidR="004870F1" w:rsidRPr="00051297">
        <w:rPr>
          <w:rFonts w:cs="Times New Roman"/>
          <w:szCs w:val="24"/>
          <w:lang w:val="en-US" w:bidi="en-US"/>
        </w:rPr>
        <w:t>.</w:t>
      </w:r>
      <w:r w:rsidR="004870F1">
        <w:rPr>
          <w:rFonts w:cs="Times New Roman"/>
          <w:noProof/>
          <w:szCs w:val="24"/>
          <w:lang w:val="en-US" w:bidi="en-US"/>
        </w:rPr>
        <w:t>10</w:t>
      </w:r>
      <w:r w:rsidRPr="00051297">
        <w:rPr>
          <w:lang w:val="en-GB" w:eastAsia="pl-PL"/>
        </w:rPr>
        <w:fldChar w:fldCharType="end"/>
      </w:r>
      <w:r w:rsidRPr="00051297">
        <w:rPr>
          <w:lang w:val="en-GB" w:eastAsia="pl-PL"/>
        </w:rPr>
        <w:t xml:space="preserve">. As can be seen, a p-value of </w:t>
      </w:r>
      <w:r w:rsidRPr="00051297">
        <w:rPr>
          <w:rFonts w:cs="Times New Roman"/>
          <w:lang w:val="en-US"/>
        </w:rPr>
        <w:t>4.81</w:t>
      </w:r>
      <w:r w:rsidRPr="0079595C">
        <w:rPr>
          <w:lang w:val="en-US" w:eastAsia="pl-PL"/>
        </w:rPr>
        <w:t>× 10</w:t>
      </w:r>
      <w:r w:rsidRPr="0079595C">
        <w:rPr>
          <w:vertAlign w:val="superscript"/>
          <w:lang w:val="en-US" w:eastAsia="pl-PL"/>
        </w:rPr>
        <w:t>−</w:t>
      </w:r>
      <w:r w:rsidRPr="00051297">
        <w:rPr>
          <w:vertAlign w:val="superscript"/>
          <w:lang w:val="en-US" w:eastAsia="pl-PL"/>
        </w:rPr>
        <w:t>5</w:t>
      </w:r>
      <w:r w:rsidRPr="00051297">
        <w:rPr>
          <w:lang w:val="en-GB" w:eastAsia="pl-PL"/>
        </w:rPr>
        <w:t xml:space="preserve"> was found, which is lower than the alpha value of 0.05. In terms of variations in factor of safety values, the calculated p-value likewise reveals a high level of statistical significance.</w:t>
      </w:r>
    </w:p>
    <w:p w14:paraId="771A6867" w14:textId="57F2CFC1" w:rsidR="00051297" w:rsidRPr="00051297" w:rsidRDefault="00051297" w:rsidP="00051297">
      <w:pPr>
        <w:rPr>
          <w:rFonts w:cs="Times New Roman"/>
          <w:szCs w:val="24"/>
          <w:lang w:val="en-US" w:bidi="en-US"/>
        </w:rPr>
      </w:pPr>
      <w:bookmarkStart w:id="1358" w:name="_Ref102351240"/>
      <w:bookmarkStart w:id="1359" w:name="_Toc103544265"/>
      <w:bookmarkStart w:id="1360" w:name="_Toc104985591"/>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5</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10</w:t>
      </w:r>
      <w:r w:rsidRPr="00051297">
        <w:rPr>
          <w:rFonts w:cs="Times New Roman"/>
          <w:szCs w:val="24"/>
          <w:lang w:val="en-US" w:bidi="en-US"/>
        </w:rPr>
        <w:fldChar w:fldCharType="end"/>
      </w:r>
      <w:bookmarkEnd w:id="1358"/>
      <w:r w:rsidRPr="00051297">
        <w:rPr>
          <w:rFonts w:cs="Times New Roman"/>
          <w:szCs w:val="24"/>
          <w:lang w:val="en-US" w:bidi="en-US"/>
        </w:rPr>
        <w:t xml:space="preserve"> ANOVA results from different operating reservoir levels and 10 days drawdown rate</w:t>
      </w:r>
      <w:bookmarkEnd w:id="1359"/>
      <w:bookmarkEnd w:id="1360"/>
    </w:p>
    <w:tbl>
      <w:tblPr>
        <w:tblStyle w:val="a8"/>
        <w:tblW w:w="0" w:type="auto"/>
        <w:jc w:val="center"/>
        <w:tblLook w:val="04A0" w:firstRow="1" w:lastRow="0" w:firstColumn="1" w:lastColumn="0" w:noHBand="0" w:noVBand="1"/>
      </w:tblPr>
      <w:tblGrid>
        <w:gridCol w:w="1735"/>
        <w:gridCol w:w="1116"/>
        <w:gridCol w:w="1116"/>
        <w:gridCol w:w="1116"/>
        <w:gridCol w:w="1116"/>
        <w:gridCol w:w="1356"/>
        <w:gridCol w:w="1116"/>
      </w:tblGrid>
      <w:tr w:rsidR="00051297" w:rsidRPr="00051297" w14:paraId="43CD8AAB" w14:textId="77777777" w:rsidTr="00D20B01">
        <w:trPr>
          <w:trHeight w:val="300"/>
          <w:jc w:val="center"/>
        </w:trPr>
        <w:tc>
          <w:tcPr>
            <w:tcW w:w="8671" w:type="dxa"/>
            <w:gridSpan w:val="7"/>
            <w:noWrap/>
            <w:hideMark/>
          </w:tcPr>
          <w:p w14:paraId="4B241F3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 Single Factor</w:t>
            </w:r>
          </w:p>
        </w:tc>
      </w:tr>
      <w:tr w:rsidR="00051297" w:rsidRPr="00051297" w14:paraId="207BD17F" w14:textId="77777777" w:rsidTr="00D20B01">
        <w:trPr>
          <w:trHeight w:val="315"/>
          <w:jc w:val="center"/>
        </w:trPr>
        <w:tc>
          <w:tcPr>
            <w:tcW w:w="8671" w:type="dxa"/>
            <w:gridSpan w:val="7"/>
            <w:noWrap/>
            <w:hideMark/>
          </w:tcPr>
          <w:p w14:paraId="3F4DA33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SUMMARY</w:t>
            </w:r>
          </w:p>
        </w:tc>
      </w:tr>
      <w:tr w:rsidR="00051297" w:rsidRPr="00051297" w14:paraId="505F6820" w14:textId="77777777" w:rsidTr="00D20B01">
        <w:trPr>
          <w:trHeight w:val="300"/>
          <w:jc w:val="center"/>
        </w:trPr>
        <w:tc>
          <w:tcPr>
            <w:tcW w:w="1735" w:type="dxa"/>
            <w:noWrap/>
            <w:hideMark/>
          </w:tcPr>
          <w:p w14:paraId="4920BE6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Groups</w:t>
            </w:r>
          </w:p>
        </w:tc>
        <w:tc>
          <w:tcPr>
            <w:tcW w:w="1116" w:type="dxa"/>
            <w:noWrap/>
            <w:hideMark/>
          </w:tcPr>
          <w:p w14:paraId="0835DB1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Count</w:t>
            </w:r>
          </w:p>
        </w:tc>
        <w:tc>
          <w:tcPr>
            <w:tcW w:w="1116" w:type="dxa"/>
            <w:noWrap/>
            <w:hideMark/>
          </w:tcPr>
          <w:p w14:paraId="1522375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w:t>
            </w:r>
          </w:p>
        </w:tc>
        <w:tc>
          <w:tcPr>
            <w:tcW w:w="1116" w:type="dxa"/>
            <w:noWrap/>
            <w:hideMark/>
          </w:tcPr>
          <w:p w14:paraId="5CB159A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Average</w:t>
            </w:r>
          </w:p>
        </w:tc>
        <w:tc>
          <w:tcPr>
            <w:tcW w:w="3588" w:type="dxa"/>
            <w:gridSpan w:val="3"/>
            <w:noWrap/>
            <w:hideMark/>
          </w:tcPr>
          <w:p w14:paraId="1AC9F24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Variance</w:t>
            </w:r>
          </w:p>
        </w:tc>
      </w:tr>
      <w:tr w:rsidR="00051297" w:rsidRPr="00051297" w14:paraId="517F8892" w14:textId="77777777" w:rsidTr="00D20B01">
        <w:trPr>
          <w:trHeight w:val="300"/>
          <w:jc w:val="center"/>
        </w:trPr>
        <w:tc>
          <w:tcPr>
            <w:tcW w:w="1735" w:type="dxa"/>
            <w:noWrap/>
            <w:hideMark/>
          </w:tcPr>
          <w:p w14:paraId="772A7C8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Normal</w:t>
            </w:r>
          </w:p>
        </w:tc>
        <w:tc>
          <w:tcPr>
            <w:tcW w:w="1116" w:type="dxa"/>
            <w:noWrap/>
            <w:hideMark/>
          </w:tcPr>
          <w:p w14:paraId="33F805E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4D077E68" w14:textId="77777777" w:rsidR="00051297" w:rsidRPr="00051297" w:rsidRDefault="00051297" w:rsidP="00051297">
            <w:pPr>
              <w:spacing w:line="240" w:lineRule="auto"/>
              <w:ind w:firstLine="0"/>
              <w:jc w:val="center"/>
              <w:rPr>
                <w:rFonts w:cs="Times New Roman"/>
                <w:lang w:val="en-US"/>
              </w:rPr>
            </w:pPr>
            <w:r w:rsidRPr="00051297">
              <w:t>26.440</w:t>
            </w:r>
          </w:p>
        </w:tc>
        <w:tc>
          <w:tcPr>
            <w:tcW w:w="1116" w:type="dxa"/>
            <w:noWrap/>
            <w:hideMark/>
          </w:tcPr>
          <w:p w14:paraId="33892F8D" w14:textId="77777777" w:rsidR="00051297" w:rsidRPr="00051297" w:rsidRDefault="00051297" w:rsidP="00051297">
            <w:pPr>
              <w:spacing w:line="240" w:lineRule="auto"/>
              <w:ind w:firstLine="0"/>
              <w:jc w:val="center"/>
              <w:rPr>
                <w:rFonts w:cs="Times New Roman"/>
                <w:lang w:val="en-US"/>
              </w:rPr>
            </w:pPr>
            <w:r w:rsidRPr="00051297">
              <w:t>0.853</w:t>
            </w:r>
          </w:p>
        </w:tc>
        <w:tc>
          <w:tcPr>
            <w:tcW w:w="3588" w:type="dxa"/>
            <w:gridSpan w:val="3"/>
            <w:noWrap/>
            <w:hideMark/>
          </w:tcPr>
          <w:p w14:paraId="30F210E9" w14:textId="77777777" w:rsidR="00051297" w:rsidRPr="00051297" w:rsidRDefault="00051297" w:rsidP="00051297">
            <w:pPr>
              <w:spacing w:line="240" w:lineRule="auto"/>
              <w:ind w:firstLine="0"/>
              <w:jc w:val="center"/>
              <w:rPr>
                <w:rFonts w:cs="Times New Roman"/>
                <w:lang w:val="en-US"/>
              </w:rPr>
            </w:pPr>
            <w:r w:rsidRPr="00051297">
              <w:t>0.167</w:t>
            </w:r>
          </w:p>
        </w:tc>
      </w:tr>
      <w:tr w:rsidR="00051297" w:rsidRPr="00051297" w14:paraId="4C75EFCC" w14:textId="77777777" w:rsidTr="00D20B01">
        <w:trPr>
          <w:trHeight w:val="300"/>
          <w:jc w:val="center"/>
        </w:trPr>
        <w:tc>
          <w:tcPr>
            <w:tcW w:w="1735" w:type="dxa"/>
            <w:noWrap/>
            <w:hideMark/>
          </w:tcPr>
          <w:p w14:paraId="24A71F4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Reduced</w:t>
            </w:r>
          </w:p>
        </w:tc>
        <w:tc>
          <w:tcPr>
            <w:tcW w:w="1116" w:type="dxa"/>
            <w:noWrap/>
            <w:hideMark/>
          </w:tcPr>
          <w:p w14:paraId="3A67E99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3F7A31C8" w14:textId="77777777" w:rsidR="00051297" w:rsidRPr="00051297" w:rsidRDefault="00051297" w:rsidP="00051297">
            <w:pPr>
              <w:spacing w:line="240" w:lineRule="auto"/>
              <w:ind w:firstLine="0"/>
              <w:jc w:val="center"/>
              <w:rPr>
                <w:rFonts w:cs="Times New Roman"/>
                <w:lang w:val="en-US"/>
              </w:rPr>
            </w:pPr>
            <w:r w:rsidRPr="00051297">
              <w:t>34.797</w:t>
            </w:r>
          </w:p>
        </w:tc>
        <w:tc>
          <w:tcPr>
            <w:tcW w:w="1116" w:type="dxa"/>
            <w:noWrap/>
            <w:hideMark/>
          </w:tcPr>
          <w:p w14:paraId="4DD4A843" w14:textId="77777777" w:rsidR="00051297" w:rsidRPr="00051297" w:rsidRDefault="00051297" w:rsidP="00051297">
            <w:pPr>
              <w:spacing w:line="240" w:lineRule="auto"/>
              <w:ind w:firstLine="0"/>
              <w:jc w:val="center"/>
              <w:rPr>
                <w:rFonts w:cs="Times New Roman"/>
                <w:lang w:val="en-US"/>
              </w:rPr>
            </w:pPr>
            <w:r w:rsidRPr="00051297">
              <w:t>1.122</w:t>
            </w:r>
          </w:p>
        </w:tc>
        <w:tc>
          <w:tcPr>
            <w:tcW w:w="3588" w:type="dxa"/>
            <w:gridSpan w:val="3"/>
            <w:noWrap/>
            <w:hideMark/>
          </w:tcPr>
          <w:p w14:paraId="7247EDAD" w14:textId="77777777" w:rsidR="00051297" w:rsidRPr="00051297" w:rsidRDefault="00051297" w:rsidP="00051297">
            <w:pPr>
              <w:spacing w:line="240" w:lineRule="auto"/>
              <w:ind w:firstLine="0"/>
              <w:jc w:val="center"/>
              <w:rPr>
                <w:rFonts w:cs="Times New Roman"/>
                <w:lang w:val="en-US"/>
              </w:rPr>
            </w:pPr>
            <w:r w:rsidRPr="00051297">
              <w:t>0.056</w:t>
            </w:r>
          </w:p>
        </w:tc>
      </w:tr>
      <w:tr w:rsidR="00051297" w:rsidRPr="00051297" w14:paraId="4EBEC774" w14:textId="77777777" w:rsidTr="00D20B01">
        <w:trPr>
          <w:trHeight w:val="315"/>
          <w:jc w:val="center"/>
        </w:trPr>
        <w:tc>
          <w:tcPr>
            <w:tcW w:w="1735" w:type="dxa"/>
            <w:noWrap/>
            <w:hideMark/>
          </w:tcPr>
          <w:p w14:paraId="637D38F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Maximum</w:t>
            </w:r>
          </w:p>
        </w:tc>
        <w:tc>
          <w:tcPr>
            <w:tcW w:w="1116" w:type="dxa"/>
            <w:noWrap/>
            <w:hideMark/>
          </w:tcPr>
          <w:p w14:paraId="55FECC4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31</w:t>
            </w:r>
          </w:p>
        </w:tc>
        <w:tc>
          <w:tcPr>
            <w:tcW w:w="1116" w:type="dxa"/>
            <w:noWrap/>
            <w:hideMark/>
          </w:tcPr>
          <w:p w14:paraId="2AF0496A" w14:textId="77777777" w:rsidR="00051297" w:rsidRPr="00051297" w:rsidRDefault="00051297" w:rsidP="00051297">
            <w:pPr>
              <w:spacing w:line="240" w:lineRule="auto"/>
              <w:ind w:firstLine="0"/>
              <w:jc w:val="center"/>
              <w:rPr>
                <w:rFonts w:cs="Times New Roman"/>
                <w:lang w:val="en-US"/>
              </w:rPr>
            </w:pPr>
            <w:r w:rsidRPr="00051297">
              <w:t>22.041</w:t>
            </w:r>
          </w:p>
        </w:tc>
        <w:tc>
          <w:tcPr>
            <w:tcW w:w="1116" w:type="dxa"/>
            <w:noWrap/>
            <w:hideMark/>
          </w:tcPr>
          <w:p w14:paraId="5F3D3E20" w14:textId="77777777" w:rsidR="00051297" w:rsidRPr="00051297" w:rsidRDefault="00051297" w:rsidP="00051297">
            <w:pPr>
              <w:spacing w:line="240" w:lineRule="auto"/>
              <w:ind w:firstLine="0"/>
              <w:jc w:val="center"/>
              <w:rPr>
                <w:rFonts w:cs="Times New Roman"/>
                <w:lang w:val="en-US"/>
              </w:rPr>
            </w:pPr>
            <w:r w:rsidRPr="00051297">
              <w:t>0.711</w:t>
            </w:r>
          </w:p>
        </w:tc>
        <w:tc>
          <w:tcPr>
            <w:tcW w:w="3588" w:type="dxa"/>
            <w:gridSpan w:val="3"/>
            <w:noWrap/>
            <w:hideMark/>
          </w:tcPr>
          <w:p w14:paraId="4B852A91" w14:textId="77777777" w:rsidR="00051297" w:rsidRPr="00051297" w:rsidRDefault="00051297" w:rsidP="00051297">
            <w:pPr>
              <w:spacing w:line="240" w:lineRule="auto"/>
              <w:ind w:firstLine="0"/>
              <w:jc w:val="center"/>
              <w:rPr>
                <w:rFonts w:cs="Times New Roman"/>
                <w:lang w:val="en-US"/>
              </w:rPr>
            </w:pPr>
            <w:r w:rsidRPr="00051297">
              <w:t>0.141</w:t>
            </w:r>
          </w:p>
        </w:tc>
      </w:tr>
      <w:tr w:rsidR="00051297" w:rsidRPr="00051297" w14:paraId="193D4A7E" w14:textId="77777777" w:rsidTr="00D20B01">
        <w:trPr>
          <w:trHeight w:val="315"/>
          <w:jc w:val="center"/>
        </w:trPr>
        <w:tc>
          <w:tcPr>
            <w:tcW w:w="8671" w:type="dxa"/>
            <w:gridSpan w:val="7"/>
            <w:noWrap/>
            <w:hideMark/>
          </w:tcPr>
          <w:p w14:paraId="07F691A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w:t>
            </w:r>
          </w:p>
        </w:tc>
      </w:tr>
      <w:tr w:rsidR="00051297" w:rsidRPr="00051297" w14:paraId="4838881D" w14:textId="77777777" w:rsidTr="00D20B01">
        <w:trPr>
          <w:trHeight w:val="300"/>
          <w:jc w:val="center"/>
        </w:trPr>
        <w:tc>
          <w:tcPr>
            <w:tcW w:w="1735" w:type="dxa"/>
            <w:noWrap/>
            <w:hideMark/>
          </w:tcPr>
          <w:p w14:paraId="5F5F936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Source of Variation</w:t>
            </w:r>
          </w:p>
        </w:tc>
        <w:tc>
          <w:tcPr>
            <w:tcW w:w="1116" w:type="dxa"/>
            <w:noWrap/>
            <w:hideMark/>
          </w:tcPr>
          <w:p w14:paraId="70A7734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SS</w:t>
            </w:r>
          </w:p>
        </w:tc>
        <w:tc>
          <w:tcPr>
            <w:tcW w:w="1116" w:type="dxa"/>
            <w:noWrap/>
            <w:hideMark/>
          </w:tcPr>
          <w:p w14:paraId="62FEF50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df</w:t>
            </w:r>
          </w:p>
        </w:tc>
        <w:tc>
          <w:tcPr>
            <w:tcW w:w="1116" w:type="dxa"/>
            <w:noWrap/>
            <w:hideMark/>
          </w:tcPr>
          <w:p w14:paraId="6A0A5C2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MS</w:t>
            </w:r>
          </w:p>
        </w:tc>
        <w:tc>
          <w:tcPr>
            <w:tcW w:w="1116" w:type="dxa"/>
            <w:noWrap/>
            <w:hideMark/>
          </w:tcPr>
          <w:p w14:paraId="2A7E9C9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w:t>
            </w:r>
          </w:p>
        </w:tc>
        <w:tc>
          <w:tcPr>
            <w:tcW w:w="1356" w:type="dxa"/>
            <w:noWrap/>
            <w:hideMark/>
          </w:tcPr>
          <w:p w14:paraId="564909F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P-value</w:t>
            </w:r>
          </w:p>
        </w:tc>
        <w:tc>
          <w:tcPr>
            <w:tcW w:w="1116" w:type="dxa"/>
            <w:noWrap/>
            <w:hideMark/>
          </w:tcPr>
          <w:p w14:paraId="4B1037C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 crit</w:t>
            </w:r>
          </w:p>
        </w:tc>
      </w:tr>
      <w:tr w:rsidR="00051297" w:rsidRPr="00051297" w14:paraId="7949D060" w14:textId="77777777" w:rsidTr="00D20B01">
        <w:trPr>
          <w:trHeight w:val="300"/>
          <w:jc w:val="center"/>
        </w:trPr>
        <w:tc>
          <w:tcPr>
            <w:tcW w:w="1735" w:type="dxa"/>
            <w:noWrap/>
            <w:hideMark/>
          </w:tcPr>
          <w:p w14:paraId="3BCA8A9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Between Groups</w:t>
            </w:r>
          </w:p>
        </w:tc>
        <w:tc>
          <w:tcPr>
            <w:tcW w:w="1116" w:type="dxa"/>
            <w:noWrap/>
            <w:hideMark/>
          </w:tcPr>
          <w:p w14:paraId="6432A1D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2.708766</w:t>
            </w:r>
          </w:p>
        </w:tc>
        <w:tc>
          <w:tcPr>
            <w:tcW w:w="1116" w:type="dxa"/>
            <w:noWrap/>
            <w:hideMark/>
          </w:tcPr>
          <w:p w14:paraId="05775B5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w:t>
            </w:r>
          </w:p>
        </w:tc>
        <w:tc>
          <w:tcPr>
            <w:tcW w:w="1116" w:type="dxa"/>
            <w:noWrap/>
            <w:hideMark/>
          </w:tcPr>
          <w:p w14:paraId="4EF724B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1.354383</w:t>
            </w:r>
          </w:p>
        </w:tc>
        <w:tc>
          <w:tcPr>
            <w:tcW w:w="1116" w:type="dxa"/>
            <w:noWrap/>
            <w:hideMark/>
          </w:tcPr>
          <w:p w14:paraId="7A47743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11.12675</w:t>
            </w:r>
          </w:p>
        </w:tc>
        <w:tc>
          <w:tcPr>
            <w:tcW w:w="1356" w:type="dxa"/>
            <w:noWrap/>
            <w:hideMark/>
          </w:tcPr>
          <w:p w14:paraId="22423A9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4.81</w:t>
            </w:r>
            <w:r w:rsidRPr="00051297">
              <w:rPr>
                <w:lang w:eastAsia="pl-PL"/>
              </w:rPr>
              <w:t>× 10</w:t>
            </w:r>
            <w:r w:rsidRPr="00051297">
              <w:rPr>
                <w:vertAlign w:val="superscript"/>
                <w:lang w:eastAsia="pl-PL"/>
              </w:rPr>
              <w:t>−</w:t>
            </w:r>
            <w:r w:rsidRPr="00051297">
              <w:rPr>
                <w:vertAlign w:val="superscript"/>
                <w:lang w:val="en-US" w:eastAsia="pl-PL"/>
              </w:rPr>
              <w:t>5</w:t>
            </w:r>
          </w:p>
        </w:tc>
        <w:tc>
          <w:tcPr>
            <w:tcW w:w="1116" w:type="dxa"/>
            <w:noWrap/>
            <w:hideMark/>
          </w:tcPr>
          <w:p w14:paraId="61CFBB1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3.097698</w:t>
            </w:r>
          </w:p>
        </w:tc>
      </w:tr>
      <w:tr w:rsidR="00051297" w:rsidRPr="00051297" w14:paraId="17040660" w14:textId="77777777" w:rsidTr="00D20B01">
        <w:trPr>
          <w:trHeight w:val="300"/>
          <w:jc w:val="center"/>
        </w:trPr>
        <w:tc>
          <w:tcPr>
            <w:tcW w:w="1735" w:type="dxa"/>
            <w:noWrap/>
            <w:hideMark/>
          </w:tcPr>
          <w:p w14:paraId="1FCBDD5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Within Groups</w:t>
            </w:r>
          </w:p>
        </w:tc>
        <w:tc>
          <w:tcPr>
            <w:tcW w:w="1116" w:type="dxa"/>
            <w:noWrap/>
            <w:hideMark/>
          </w:tcPr>
          <w:p w14:paraId="6AF77D8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10.95508</w:t>
            </w:r>
          </w:p>
        </w:tc>
        <w:tc>
          <w:tcPr>
            <w:tcW w:w="1116" w:type="dxa"/>
            <w:noWrap/>
            <w:hideMark/>
          </w:tcPr>
          <w:p w14:paraId="3397172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90</w:t>
            </w:r>
          </w:p>
        </w:tc>
        <w:tc>
          <w:tcPr>
            <w:tcW w:w="1116" w:type="dxa"/>
            <w:noWrap/>
            <w:hideMark/>
          </w:tcPr>
          <w:p w14:paraId="46602A1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0.121723</w:t>
            </w:r>
          </w:p>
        </w:tc>
        <w:tc>
          <w:tcPr>
            <w:tcW w:w="1116" w:type="dxa"/>
            <w:noWrap/>
            <w:hideMark/>
          </w:tcPr>
          <w:p w14:paraId="723B2538" w14:textId="77777777" w:rsidR="00051297" w:rsidRPr="00051297" w:rsidRDefault="00051297" w:rsidP="00051297">
            <w:pPr>
              <w:spacing w:line="240" w:lineRule="auto"/>
              <w:ind w:firstLine="0"/>
              <w:jc w:val="center"/>
              <w:rPr>
                <w:rFonts w:cs="Times New Roman"/>
                <w:lang w:val="en-US"/>
              </w:rPr>
            </w:pPr>
          </w:p>
        </w:tc>
        <w:tc>
          <w:tcPr>
            <w:tcW w:w="1356" w:type="dxa"/>
            <w:noWrap/>
            <w:hideMark/>
          </w:tcPr>
          <w:p w14:paraId="620FBB05" w14:textId="77777777" w:rsidR="00051297" w:rsidRPr="00051297" w:rsidRDefault="00051297" w:rsidP="00051297">
            <w:pPr>
              <w:spacing w:line="240" w:lineRule="auto"/>
              <w:ind w:firstLine="0"/>
              <w:jc w:val="center"/>
              <w:rPr>
                <w:rFonts w:cs="Times New Roman"/>
                <w:lang w:val="en-US"/>
              </w:rPr>
            </w:pPr>
          </w:p>
        </w:tc>
        <w:tc>
          <w:tcPr>
            <w:tcW w:w="1116" w:type="dxa"/>
            <w:noWrap/>
            <w:hideMark/>
          </w:tcPr>
          <w:p w14:paraId="10869B64" w14:textId="77777777" w:rsidR="00051297" w:rsidRPr="00051297" w:rsidRDefault="00051297" w:rsidP="00051297">
            <w:pPr>
              <w:spacing w:line="240" w:lineRule="auto"/>
              <w:ind w:firstLine="0"/>
              <w:jc w:val="center"/>
              <w:rPr>
                <w:rFonts w:cs="Times New Roman"/>
                <w:lang w:val="en-US"/>
              </w:rPr>
            </w:pPr>
          </w:p>
        </w:tc>
      </w:tr>
      <w:tr w:rsidR="00051297" w:rsidRPr="00051297" w14:paraId="717154ED" w14:textId="77777777" w:rsidTr="00D20B01">
        <w:trPr>
          <w:trHeight w:val="315"/>
          <w:jc w:val="center"/>
        </w:trPr>
        <w:tc>
          <w:tcPr>
            <w:tcW w:w="1735" w:type="dxa"/>
            <w:noWrap/>
            <w:hideMark/>
          </w:tcPr>
          <w:p w14:paraId="1075497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Total</w:t>
            </w:r>
          </w:p>
        </w:tc>
        <w:tc>
          <w:tcPr>
            <w:tcW w:w="1116" w:type="dxa"/>
            <w:noWrap/>
            <w:hideMark/>
          </w:tcPr>
          <w:p w14:paraId="7E8F799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13.66385</w:t>
            </w:r>
          </w:p>
        </w:tc>
        <w:tc>
          <w:tcPr>
            <w:tcW w:w="1116" w:type="dxa"/>
            <w:noWrap/>
            <w:hideMark/>
          </w:tcPr>
          <w:p w14:paraId="6137CA1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92</w:t>
            </w:r>
          </w:p>
        </w:tc>
        <w:tc>
          <w:tcPr>
            <w:tcW w:w="1116" w:type="dxa"/>
            <w:noWrap/>
            <w:hideMark/>
          </w:tcPr>
          <w:p w14:paraId="34512F3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16" w:type="dxa"/>
            <w:noWrap/>
            <w:hideMark/>
          </w:tcPr>
          <w:p w14:paraId="298D672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356" w:type="dxa"/>
            <w:noWrap/>
            <w:hideMark/>
          </w:tcPr>
          <w:p w14:paraId="30BA83DB"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16" w:type="dxa"/>
            <w:noWrap/>
            <w:hideMark/>
          </w:tcPr>
          <w:p w14:paraId="7E612FB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r>
    </w:tbl>
    <w:p w14:paraId="23D3FE43" w14:textId="77777777" w:rsidR="00051297" w:rsidRPr="00051297" w:rsidRDefault="00051297" w:rsidP="00051297">
      <w:pPr>
        <w:ind w:firstLine="0"/>
        <w:rPr>
          <w:lang w:val="en-US"/>
        </w:rPr>
      </w:pPr>
    </w:p>
    <w:p w14:paraId="16CE150D" w14:textId="746A2762" w:rsidR="00051297" w:rsidRPr="00051297" w:rsidRDefault="00051297" w:rsidP="006568FB">
      <w:pPr>
        <w:rPr>
          <w:lang w:val="en-US"/>
        </w:rPr>
      </w:pPr>
      <w:r w:rsidRPr="00051297">
        <w:rPr>
          <w:lang w:val="en-GB" w:eastAsia="pl-PL"/>
        </w:rPr>
        <w:fldChar w:fldCharType="begin"/>
      </w:r>
      <w:r w:rsidRPr="00051297">
        <w:rPr>
          <w:lang w:val="en-GB" w:eastAsia="pl-PL"/>
        </w:rPr>
        <w:instrText xml:space="preserve"> REF _Ref102351345 \h </w:instrText>
      </w:r>
      <w:r w:rsidR="006568FB">
        <w:rPr>
          <w:lang w:val="en-GB" w:eastAsia="pl-PL"/>
        </w:rPr>
        <w:instrText xml:space="preserve"> \* MERGEFORMAT </w:instrText>
      </w:r>
      <w:r w:rsidRPr="00051297">
        <w:rPr>
          <w:lang w:val="en-GB" w:eastAsia="pl-PL"/>
        </w:rPr>
      </w:r>
      <w:r w:rsidRPr="00051297">
        <w:rPr>
          <w:lang w:val="en-GB" w:eastAsia="pl-PL"/>
        </w:rPr>
        <w:fldChar w:fldCharType="separate"/>
      </w:r>
      <w:r w:rsidR="004870F1" w:rsidRPr="00051297">
        <w:rPr>
          <w:rFonts w:cs="Times New Roman"/>
          <w:szCs w:val="24"/>
          <w:lang w:val="en-US" w:bidi="en-US"/>
        </w:rPr>
        <w:t xml:space="preserve">Table </w:t>
      </w:r>
      <w:r w:rsidR="004870F1">
        <w:rPr>
          <w:rFonts w:cs="Times New Roman"/>
          <w:noProof/>
          <w:szCs w:val="24"/>
          <w:lang w:val="en-US" w:bidi="en-US"/>
        </w:rPr>
        <w:t>5</w:t>
      </w:r>
      <w:r w:rsidR="004870F1" w:rsidRPr="00051297">
        <w:rPr>
          <w:rFonts w:cs="Times New Roman"/>
          <w:noProof/>
          <w:szCs w:val="24"/>
          <w:lang w:val="en-US" w:bidi="en-US"/>
        </w:rPr>
        <w:t>.</w:t>
      </w:r>
      <w:r w:rsidR="004870F1">
        <w:rPr>
          <w:rFonts w:cs="Times New Roman"/>
          <w:noProof/>
          <w:szCs w:val="24"/>
          <w:lang w:val="en-US" w:bidi="en-US"/>
        </w:rPr>
        <w:t>11</w:t>
      </w:r>
      <w:r w:rsidRPr="00051297">
        <w:rPr>
          <w:lang w:val="en-GB" w:eastAsia="pl-PL"/>
        </w:rPr>
        <w:fldChar w:fldCharType="end"/>
      </w:r>
      <w:r w:rsidRPr="00051297">
        <w:rPr>
          <w:lang w:val="en-GB" w:eastAsia="pl-PL"/>
        </w:rPr>
        <w:t xml:space="preserve"> presents the results from the ANOVA from the factor of safety values when the different operating reservoir levels were applied under the 1 m per day drawdown rate. It can be seen that a p-value of 0.090534 was retrieved, which is less than the alpha value of 0.05 (statistically significant).</w:t>
      </w:r>
    </w:p>
    <w:p w14:paraId="7B0A5CD9" w14:textId="2188CCCF" w:rsidR="00051297" w:rsidRPr="00051297" w:rsidRDefault="00051297" w:rsidP="00051297">
      <w:pPr>
        <w:rPr>
          <w:rFonts w:cs="Times New Roman"/>
          <w:szCs w:val="24"/>
          <w:lang w:val="en-US" w:bidi="en-US"/>
        </w:rPr>
      </w:pPr>
      <w:bookmarkStart w:id="1361" w:name="_Ref102351345"/>
      <w:bookmarkStart w:id="1362" w:name="_Toc103544266"/>
      <w:bookmarkStart w:id="1363" w:name="_Toc104985592"/>
      <w:r w:rsidRPr="00051297">
        <w:rPr>
          <w:rFonts w:cs="Times New Roman"/>
          <w:szCs w:val="24"/>
          <w:lang w:val="en-US" w:bidi="en-US"/>
        </w:rPr>
        <w:t xml:space="preserve">Table </w:t>
      </w:r>
      <w:r w:rsidRPr="00051297">
        <w:rPr>
          <w:rFonts w:cs="Times New Roman"/>
          <w:szCs w:val="24"/>
          <w:lang w:val="en-US" w:bidi="en-US"/>
        </w:rPr>
        <w:fldChar w:fldCharType="begin"/>
      </w:r>
      <w:r w:rsidRPr="00051297">
        <w:rPr>
          <w:rFonts w:cs="Times New Roman"/>
          <w:szCs w:val="24"/>
          <w:lang w:val="en-US" w:bidi="en-US"/>
        </w:rPr>
        <w:instrText xml:space="preserve"> STYLEREF 1 \s </w:instrText>
      </w:r>
      <w:r w:rsidRPr="00051297">
        <w:rPr>
          <w:rFonts w:cs="Times New Roman"/>
          <w:szCs w:val="24"/>
          <w:lang w:val="en-US" w:bidi="en-US"/>
        </w:rPr>
        <w:fldChar w:fldCharType="separate"/>
      </w:r>
      <w:r w:rsidR="004870F1">
        <w:rPr>
          <w:rFonts w:cs="Times New Roman"/>
          <w:noProof/>
          <w:szCs w:val="24"/>
          <w:lang w:val="en-US" w:bidi="en-US"/>
        </w:rPr>
        <w:t>5</w:t>
      </w:r>
      <w:r w:rsidRPr="00051297">
        <w:rPr>
          <w:rFonts w:cs="Times New Roman"/>
          <w:szCs w:val="24"/>
          <w:lang w:val="en-US" w:bidi="en-US"/>
        </w:rPr>
        <w:fldChar w:fldCharType="end"/>
      </w:r>
      <w:r w:rsidRPr="00051297">
        <w:rPr>
          <w:rFonts w:cs="Times New Roman"/>
          <w:szCs w:val="24"/>
          <w:lang w:val="en-US" w:bidi="en-US"/>
        </w:rPr>
        <w:t>.</w:t>
      </w:r>
      <w:r w:rsidRPr="00051297">
        <w:rPr>
          <w:rFonts w:cs="Times New Roman"/>
          <w:szCs w:val="24"/>
          <w:lang w:val="en-US" w:bidi="en-US"/>
        </w:rPr>
        <w:fldChar w:fldCharType="begin"/>
      </w:r>
      <w:r w:rsidRPr="00051297">
        <w:rPr>
          <w:rFonts w:cs="Times New Roman"/>
          <w:szCs w:val="24"/>
          <w:lang w:val="en-US" w:bidi="en-US"/>
        </w:rPr>
        <w:instrText xml:space="preserve"> SEQ Table \* ARABIC \s 1 </w:instrText>
      </w:r>
      <w:r w:rsidRPr="00051297">
        <w:rPr>
          <w:rFonts w:cs="Times New Roman"/>
          <w:szCs w:val="24"/>
          <w:lang w:val="en-US" w:bidi="en-US"/>
        </w:rPr>
        <w:fldChar w:fldCharType="separate"/>
      </w:r>
      <w:r w:rsidR="004870F1">
        <w:rPr>
          <w:rFonts w:cs="Times New Roman"/>
          <w:noProof/>
          <w:szCs w:val="24"/>
          <w:lang w:val="en-US" w:bidi="en-US"/>
        </w:rPr>
        <w:t>11</w:t>
      </w:r>
      <w:r w:rsidRPr="00051297">
        <w:rPr>
          <w:rFonts w:cs="Times New Roman"/>
          <w:szCs w:val="24"/>
          <w:lang w:val="en-US" w:bidi="en-US"/>
        </w:rPr>
        <w:fldChar w:fldCharType="end"/>
      </w:r>
      <w:bookmarkEnd w:id="1361"/>
      <w:r w:rsidRPr="00051297">
        <w:rPr>
          <w:rFonts w:cs="Times New Roman"/>
          <w:szCs w:val="24"/>
          <w:lang w:val="en-US" w:bidi="en-US"/>
        </w:rPr>
        <w:t xml:space="preserve"> ANOVA results from different operating reservoir levels and 1 m per day drawdown rate</w:t>
      </w:r>
      <w:bookmarkEnd w:id="1362"/>
      <w:bookmarkEnd w:id="1363"/>
    </w:p>
    <w:tbl>
      <w:tblPr>
        <w:tblStyle w:val="a8"/>
        <w:tblW w:w="0" w:type="auto"/>
        <w:jc w:val="center"/>
        <w:tblLook w:val="04A0" w:firstRow="1" w:lastRow="0" w:firstColumn="1" w:lastColumn="0" w:noHBand="0" w:noVBand="1"/>
      </w:tblPr>
      <w:tblGrid>
        <w:gridCol w:w="1727"/>
        <w:gridCol w:w="1116"/>
        <w:gridCol w:w="1111"/>
        <w:gridCol w:w="1116"/>
        <w:gridCol w:w="1116"/>
        <w:gridCol w:w="1116"/>
        <w:gridCol w:w="1116"/>
      </w:tblGrid>
      <w:tr w:rsidR="00051297" w:rsidRPr="00051297" w14:paraId="2301A565" w14:textId="77777777" w:rsidTr="006568FB">
        <w:trPr>
          <w:trHeight w:val="370"/>
          <w:jc w:val="center"/>
        </w:trPr>
        <w:tc>
          <w:tcPr>
            <w:tcW w:w="8395" w:type="dxa"/>
            <w:gridSpan w:val="7"/>
            <w:noWrap/>
            <w:hideMark/>
          </w:tcPr>
          <w:p w14:paraId="5798FBD3"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 Single Factor</w:t>
            </w:r>
          </w:p>
        </w:tc>
      </w:tr>
      <w:tr w:rsidR="00051297" w:rsidRPr="00051297" w14:paraId="68177FDD" w14:textId="77777777" w:rsidTr="006568FB">
        <w:trPr>
          <w:trHeight w:val="389"/>
          <w:jc w:val="center"/>
        </w:trPr>
        <w:tc>
          <w:tcPr>
            <w:tcW w:w="8395" w:type="dxa"/>
            <w:gridSpan w:val="7"/>
            <w:noWrap/>
            <w:hideMark/>
          </w:tcPr>
          <w:p w14:paraId="1132E21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SUMMARY</w:t>
            </w:r>
          </w:p>
        </w:tc>
      </w:tr>
      <w:tr w:rsidR="00051297" w:rsidRPr="00051297" w14:paraId="2A0C4854" w14:textId="77777777" w:rsidTr="006568FB">
        <w:trPr>
          <w:trHeight w:val="370"/>
          <w:jc w:val="center"/>
        </w:trPr>
        <w:tc>
          <w:tcPr>
            <w:tcW w:w="1727" w:type="dxa"/>
            <w:noWrap/>
            <w:hideMark/>
          </w:tcPr>
          <w:p w14:paraId="68912B6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Groups</w:t>
            </w:r>
          </w:p>
        </w:tc>
        <w:tc>
          <w:tcPr>
            <w:tcW w:w="1111" w:type="dxa"/>
            <w:noWrap/>
            <w:hideMark/>
          </w:tcPr>
          <w:p w14:paraId="243A303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Count</w:t>
            </w:r>
          </w:p>
        </w:tc>
        <w:tc>
          <w:tcPr>
            <w:tcW w:w="1111" w:type="dxa"/>
            <w:noWrap/>
            <w:hideMark/>
          </w:tcPr>
          <w:p w14:paraId="67593B4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Sum</w:t>
            </w:r>
          </w:p>
        </w:tc>
        <w:tc>
          <w:tcPr>
            <w:tcW w:w="1111" w:type="dxa"/>
            <w:noWrap/>
            <w:hideMark/>
          </w:tcPr>
          <w:p w14:paraId="6543BF3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Average</w:t>
            </w:r>
          </w:p>
        </w:tc>
        <w:tc>
          <w:tcPr>
            <w:tcW w:w="3333" w:type="dxa"/>
            <w:gridSpan w:val="3"/>
            <w:noWrap/>
            <w:hideMark/>
          </w:tcPr>
          <w:p w14:paraId="730BE2E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Variance</w:t>
            </w:r>
          </w:p>
        </w:tc>
      </w:tr>
      <w:tr w:rsidR="00051297" w:rsidRPr="00051297" w14:paraId="6C3BA6BB" w14:textId="77777777" w:rsidTr="006568FB">
        <w:trPr>
          <w:trHeight w:val="370"/>
          <w:jc w:val="center"/>
        </w:trPr>
        <w:tc>
          <w:tcPr>
            <w:tcW w:w="1727" w:type="dxa"/>
            <w:noWrap/>
            <w:hideMark/>
          </w:tcPr>
          <w:p w14:paraId="343F8FF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Normal</w:t>
            </w:r>
          </w:p>
        </w:tc>
        <w:tc>
          <w:tcPr>
            <w:tcW w:w="1111" w:type="dxa"/>
            <w:noWrap/>
            <w:hideMark/>
          </w:tcPr>
          <w:p w14:paraId="0582BB3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61</w:t>
            </w:r>
          </w:p>
        </w:tc>
        <w:tc>
          <w:tcPr>
            <w:tcW w:w="1111" w:type="dxa"/>
            <w:noWrap/>
            <w:hideMark/>
          </w:tcPr>
          <w:p w14:paraId="03550793" w14:textId="77777777" w:rsidR="00051297" w:rsidRPr="00051297" w:rsidRDefault="00051297" w:rsidP="00051297">
            <w:pPr>
              <w:spacing w:line="240" w:lineRule="auto"/>
              <w:ind w:firstLine="0"/>
              <w:jc w:val="center"/>
              <w:rPr>
                <w:rFonts w:cs="Times New Roman"/>
                <w:lang w:val="en-US"/>
              </w:rPr>
            </w:pPr>
            <w:r w:rsidRPr="00051297">
              <w:t>77.295</w:t>
            </w:r>
          </w:p>
        </w:tc>
        <w:tc>
          <w:tcPr>
            <w:tcW w:w="1111" w:type="dxa"/>
            <w:noWrap/>
            <w:hideMark/>
          </w:tcPr>
          <w:p w14:paraId="701036AA" w14:textId="77777777" w:rsidR="00051297" w:rsidRPr="00051297" w:rsidRDefault="00051297" w:rsidP="00051297">
            <w:pPr>
              <w:spacing w:line="240" w:lineRule="auto"/>
              <w:ind w:firstLine="0"/>
              <w:jc w:val="center"/>
              <w:rPr>
                <w:rFonts w:cs="Times New Roman"/>
                <w:lang w:val="en-US"/>
              </w:rPr>
            </w:pPr>
            <w:r w:rsidRPr="00051297">
              <w:t>1.267</w:t>
            </w:r>
          </w:p>
        </w:tc>
        <w:tc>
          <w:tcPr>
            <w:tcW w:w="3333" w:type="dxa"/>
            <w:gridSpan w:val="3"/>
            <w:noWrap/>
            <w:hideMark/>
          </w:tcPr>
          <w:p w14:paraId="390E14AB" w14:textId="77777777" w:rsidR="00051297" w:rsidRPr="00051297" w:rsidRDefault="00051297" w:rsidP="00051297">
            <w:pPr>
              <w:spacing w:line="240" w:lineRule="auto"/>
              <w:ind w:firstLine="0"/>
              <w:jc w:val="center"/>
              <w:rPr>
                <w:rFonts w:cs="Times New Roman"/>
                <w:lang w:val="en-US"/>
              </w:rPr>
            </w:pPr>
            <w:r w:rsidRPr="00051297">
              <w:t>0.101</w:t>
            </w:r>
          </w:p>
        </w:tc>
      </w:tr>
      <w:tr w:rsidR="00051297" w:rsidRPr="00051297" w14:paraId="523A992B" w14:textId="77777777" w:rsidTr="006568FB">
        <w:trPr>
          <w:trHeight w:val="370"/>
          <w:jc w:val="center"/>
        </w:trPr>
        <w:tc>
          <w:tcPr>
            <w:tcW w:w="1727" w:type="dxa"/>
            <w:noWrap/>
            <w:hideMark/>
          </w:tcPr>
          <w:p w14:paraId="4778402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Reduced</w:t>
            </w:r>
          </w:p>
        </w:tc>
        <w:tc>
          <w:tcPr>
            <w:tcW w:w="1111" w:type="dxa"/>
            <w:noWrap/>
            <w:hideMark/>
          </w:tcPr>
          <w:p w14:paraId="6B4116E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61</w:t>
            </w:r>
          </w:p>
        </w:tc>
        <w:tc>
          <w:tcPr>
            <w:tcW w:w="1111" w:type="dxa"/>
            <w:noWrap/>
            <w:hideMark/>
          </w:tcPr>
          <w:p w14:paraId="3B19028C" w14:textId="77777777" w:rsidR="00051297" w:rsidRPr="00051297" w:rsidRDefault="00051297" w:rsidP="00051297">
            <w:pPr>
              <w:spacing w:line="240" w:lineRule="auto"/>
              <w:ind w:firstLine="0"/>
              <w:jc w:val="center"/>
              <w:rPr>
                <w:rFonts w:cs="Times New Roman"/>
                <w:lang w:val="en-US"/>
              </w:rPr>
            </w:pPr>
            <w:r w:rsidRPr="00051297">
              <w:t>74.580</w:t>
            </w:r>
          </w:p>
        </w:tc>
        <w:tc>
          <w:tcPr>
            <w:tcW w:w="1111" w:type="dxa"/>
            <w:noWrap/>
            <w:hideMark/>
          </w:tcPr>
          <w:p w14:paraId="4983924B" w14:textId="77777777" w:rsidR="00051297" w:rsidRPr="00051297" w:rsidRDefault="00051297" w:rsidP="00051297">
            <w:pPr>
              <w:spacing w:line="240" w:lineRule="auto"/>
              <w:ind w:firstLine="0"/>
              <w:jc w:val="center"/>
              <w:rPr>
                <w:rFonts w:cs="Times New Roman"/>
                <w:lang w:val="en-US"/>
              </w:rPr>
            </w:pPr>
            <w:r w:rsidRPr="00051297">
              <w:t>1.223</w:t>
            </w:r>
          </w:p>
        </w:tc>
        <w:tc>
          <w:tcPr>
            <w:tcW w:w="3333" w:type="dxa"/>
            <w:gridSpan w:val="3"/>
            <w:noWrap/>
            <w:hideMark/>
          </w:tcPr>
          <w:p w14:paraId="5790347E" w14:textId="77777777" w:rsidR="00051297" w:rsidRPr="00051297" w:rsidRDefault="00051297" w:rsidP="00051297">
            <w:pPr>
              <w:spacing w:line="240" w:lineRule="auto"/>
              <w:ind w:firstLine="0"/>
              <w:jc w:val="center"/>
              <w:rPr>
                <w:rFonts w:cs="Times New Roman"/>
                <w:lang w:val="en-US"/>
              </w:rPr>
            </w:pPr>
            <w:r w:rsidRPr="00051297">
              <w:t>0.035</w:t>
            </w:r>
          </w:p>
        </w:tc>
      </w:tr>
      <w:tr w:rsidR="00051297" w:rsidRPr="00051297" w14:paraId="04D4A14C" w14:textId="77777777" w:rsidTr="006568FB">
        <w:trPr>
          <w:trHeight w:val="389"/>
          <w:jc w:val="center"/>
        </w:trPr>
        <w:tc>
          <w:tcPr>
            <w:tcW w:w="1727" w:type="dxa"/>
            <w:noWrap/>
            <w:hideMark/>
          </w:tcPr>
          <w:p w14:paraId="2D12E6D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Maximum</w:t>
            </w:r>
          </w:p>
        </w:tc>
        <w:tc>
          <w:tcPr>
            <w:tcW w:w="1111" w:type="dxa"/>
            <w:noWrap/>
            <w:hideMark/>
          </w:tcPr>
          <w:p w14:paraId="492E358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61</w:t>
            </w:r>
          </w:p>
        </w:tc>
        <w:tc>
          <w:tcPr>
            <w:tcW w:w="1111" w:type="dxa"/>
            <w:noWrap/>
            <w:hideMark/>
          </w:tcPr>
          <w:p w14:paraId="0CC9103B" w14:textId="77777777" w:rsidR="00051297" w:rsidRPr="00051297" w:rsidRDefault="00051297" w:rsidP="00051297">
            <w:pPr>
              <w:spacing w:line="240" w:lineRule="auto"/>
              <w:ind w:firstLine="0"/>
              <w:jc w:val="center"/>
              <w:rPr>
                <w:rFonts w:cs="Times New Roman"/>
                <w:lang w:val="en-US"/>
              </w:rPr>
            </w:pPr>
            <w:r w:rsidRPr="00051297">
              <w:t>69.833</w:t>
            </w:r>
          </w:p>
        </w:tc>
        <w:tc>
          <w:tcPr>
            <w:tcW w:w="1111" w:type="dxa"/>
            <w:noWrap/>
            <w:hideMark/>
          </w:tcPr>
          <w:p w14:paraId="18806F25" w14:textId="77777777" w:rsidR="00051297" w:rsidRPr="00051297" w:rsidRDefault="00051297" w:rsidP="00051297">
            <w:pPr>
              <w:spacing w:line="240" w:lineRule="auto"/>
              <w:ind w:firstLine="0"/>
              <w:jc w:val="center"/>
              <w:rPr>
                <w:rFonts w:cs="Times New Roman"/>
                <w:lang w:val="en-US"/>
              </w:rPr>
            </w:pPr>
            <w:r w:rsidRPr="00051297">
              <w:t>1.145</w:t>
            </w:r>
          </w:p>
        </w:tc>
        <w:tc>
          <w:tcPr>
            <w:tcW w:w="3333" w:type="dxa"/>
            <w:gridSpan w:val="3"/>
            <w:noWrap/>
            <w:hideMark/>
          </w:tcPr>
          <w:p w14:paraId="12348B67" w14:textId="77777777" w:rsidR="00051297" w:rsidRPr="00051297" w:rsidRDefault="00051297" w:rsidP="00051297">
            <w:pPr>
              <w:spacing w:line="240" w:lineRule="auto"/>
              <w:ind w:firstLine="0"/>
              <w:jc w:val="center"/>
              <w:rPr>
                <w:rFonts w:cs="Times New Roman"/>
                <w:lang w:val="en-US"/>
              </w:rPr>
            </w:pPr>
            <w:r w:rsidRPr="00051297">
              <w:t>0.153</w:t>
            </w:r>
          </w:p>
        </w:tc>
      </w:tr>
      <w:tr w:rsidR="00051297" w:rsidRPr="00051297" w14:paraId="6CF56B8C" w14:textId="77777777" w:rsidTr="006568FB">
        <w:trPr>
          <w:trHeight w:val="389"/>
          <w:jc w:val="center"/>
        </w:trPr>
        <w:tc>
          <w:tcPr>
            <w:tcW w:w="8395" w:type="dxa"/>
            <w:gridSpan w:val="7"/>
            <w:noWrap/>
            <w:hideMark/>
          </w:tcPr>
          <w:p w14:paraId="6C3CA0E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ANOVA</w:t>
            </w:r>
          </w:p>
        </w:tc>
      </w:tr>
      <w:tr w:rsidR="00051297" w:rsidRPr="00051297" w14:paraId="0D07B5CB" w14:textId="77777777" w:rsidTr="006568FB">
        <w:trPr>
          <w:trHeight w:val="370"/>
          <w:jc w:val="center"/>
        </w:trPr>
        <w:tc>
          <w:tcPr>
            <w:tcW w:w="1727" w:type="dxa"/>
            <w:noWrap/>
            <w:hideMark/>
          </w:tcPr>
          <w:p w14:paraId="1E2BCB8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Source of Variation</w:t>
            </w:r>
          </w:p>
        </w:tc>
        <w:tc>
          <w:tcPr>
            <w:tcW w:w="1111" w:type="dxa"/>
            <w:noWrap/>
            <w:hideMark/>
          </w:tcPr>
          <w:p w14:paraId="112BC2A7"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SS</w:t>
            </w:r>
          </w:p>
        </w:tc>
        <w:tc>
          <w:tcPr>
            <w:tcW w:w="1111" w:type="dxa"/>
            <w:noWrap/>
            <w:hideMark/>
          </w:tcPr>
          <w:p w14:paraId="56D73484"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df</w:t>
            </w:r>
          </w:p>
        </w:tc>
        <w:tc>
          <w:tcPr>
            <w:tcW w:w="1111" w:type="dxa"/>
            <w:noWrap/>
            <w:hideMark/>
          </w:tcPr>
          <w:p w14:paraId="1906A07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MS</w:t>
            </w:r>
          </w:p>
        </w:tc>
        <w:tc>
          <w:tcPr>
            <w:tcW w:w="1111" w:type="dxa"/>
            <w:noWrap/>
            <w:hideMark/>
          </w:tcPr>
          <w:p w14:paraId="2E46E06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w:t>
            </w:r>
          </w:p>
        </w:tc>
        <w:tc>
          <w:tcPr>
            <w:tcW w:w="1111" w:type="dxa"/>
            <w:noWrap/>
            <w:hideMark/>
          </w:tcPr>
          <w:p w14:paraId="701AB95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P-value</w:t>
            </w:r>
          </w:p>
        </w:tc>
        <w:tc>
          <w:tcPr>
            <w:tcW w:w="1111" w:type="dxa"/>
            <w:noWrap/>
            <w:hideMark/>
          </w:tcPr>
          <w:p w14:paraId="4C44F8C0"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F crit</w:t>
            </w:r>
          </w:p>
        </w:tc>
      </w:tr>
      <w:tr w:rsidR="00051297" w:rsidRPr="00051297" w14:paraId="3EFC5A26" w14:textId="77777777" w:rsidTr="006568FB">
        <w:trPr>
          <w:trHeight w:val="370"/>
          <w:jc w:val="center"/>
        </w:trPr>
        <w:tc>
          <w:tcPr>
            <w:tcW w:w="1727" w:type="dxa"/>
            <w:noWrap/>
            <w:hideMark/>
          </w:tcPr>
          <w:p w14:paraId="7BD5F0A1"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Between Groups</w:t>
            </w:r>
          </w:p>
        </w:tc>
        <w:tc>
          <w:tcPr>
            <w:tcW w:w="1111" w:type="dxa"/>
            <w:noWrap/>
            <w:hideMark/>
          </w:tcPr>
          <w:p w14:paraId="597D400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0.467745</w:t>
            </w:r>
          </w:p>
        </w:tc>
        <w:tc>
          <w:tcPr>
            <w:tcW w:w="1111" w:type="dxa"/>
            <w:noWrap/>
            <w:hideMark/>
          </w:tcPr>
          <w:p w14:paraId="350F44C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w:t>
            </w:r>
          </w:p>
        </w:tc>
        <w:tc>
          <w:tcPr>
            <w:tcW w:w="1111" w:type="dxa"/>
            <w:noWrap/>
            <w:hideMark/>
          </w:tcPr>
          <w:p w14:paraId="25CDA0FE"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0.233872</w:t>
            </w:r>
          </w:p>
        </w:tc>
        <w:tc>
          <w:tcPr>
            <w:tcW w:w="1111" w:type="dxa"/>
            <w:noWrap/>
            <w:hideMark/>
          </w:tcPr>
          <w:p w14:paraId="5CA5F3E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2.434373</w:t>
            </w:r>
          </w:p>
        </w:tc>
        <w:tc>
          <w:tcPr>
            <w:tcW w:w="1111" w:type="dxa"/>
            <w:noWrap/>
            <w:hideMark/>
          </w:tcPr>
          <w:p w14:paraId="658BF27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0.090534</w:t>
            </w:r>
          </w:p>
        </w:tc>
        <w:tc>
          <w:tcPr>
            <w:tcW w:w="1111" w:type="dxa"/>
            <w:noWrap/>
            <w:hideMark/>
          </w:tcPr>
          <w:p w14:paraId="44E2770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3.046148</w:t>
            </w:r>
          </w:p>
        </w:tc>
      </w:tr>
      <w:tr w:rsidR="00051297" w:rsidRPr="00051297" w14:paraId="1C5F3771" w14:textId="77777777" w:rsidTr="006568FB">
        <w:trPr>
          <w:trHeight w:val="370"/>
          <w:jc w:val="center"/>
        </w:trPr>
        <w:tc>
          <w:tcPr>
            <w:tcW w:w="1727" w:type="dxa"/>
            <w:noWrap/>
            <w:hideMark/>
          </w:tcPr>
          <w:p w14:paraId="721B362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Within Groups</w:t>
            </w:r>
          </w:p>
        </w:tc>
        <w:tc>
          <w:tcPr>
            <w:tcW w:w="1111" w:type="dxa"/>
            <w:noWrap/>
            <w:hideMark/>
          </w:tcPr>
          <w:p w14:paraId="18F9418C"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17.29276</w:t>
            </w:r>
          </w:p>
        </w:tc>
        <w:tc>
          <w:tcPr>
            <w:tcW w:w="1111" w:type="dxa"/>
            <w:noWrap/>
            <w:hideMark/>
          </w:tcPr>
          <w:p w14:paraId="2D546782"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180</w:t>
            </w:r>
          </w:p>
        </w:tc>
        <w:tc>
          <w:tcPr>
            <w:tcW w:w="1111" w:type="dxa"/>
            <w:noWrap/>
            <w:hideMark/>
          </w:tcPr>
          <w:p w14:paraId="1A13C34A"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0.096071</w:t>
            </w:r>
          </w:p>
        </w:tc>
        <w:tc>
          <w:tcPr>
            <w:tcW w:w="1111" w:type="dxa"/>
            <w:noWrap/>
            <w:hideMark/>
          </w:tcPr>
          <w:p w14:paraId="0337B84A" w14:textId="77777777" w:rsidR="00051297" w:rsidRPr="00051297" w:rsidRDefault="00051297" w:rsidP="00051297">
            <w:pPr>
              <w:spacing w:line="240" w:lineRule="auto"/>
              <w:ind w:firstLine="0"/>
              <w:jc w:val="center"/>
              <w:rPr>
                <w:rFonts w:cs="Times New Roman"/>
                <w:lang w:val="en-US"/>
              </w:rPr>
            </w:pPr>
          </w:p>
        </w:tc>
        <w:tc>
          <w:tcPr>
            <w:tcW w:w="1111" w:type="dxa"/>
            <w:noWrap/>
            <w:hideMark/>
          </w:tcPr>
          <w:p w14:paraId="0BA5B086" w14:textId="77777777" w:rsidR="00051297" w:rsidRPr="00051297" w:rsidRDefault="00051297" w:rsidP="00051297">
            <w:pPr>
              <w:spacing w:line="240" w:lineRule="auto"/>
              <w:ind w:firstLine="0"/>
              <w:jc w:val="center"/>
              <w:rPr>
                <w:rFonts w:cs="Times New Roman"/>
                <w:lang w:val="en-US"/>
              </w:rPr>
            </w:pPr>
          </w:p>
        </w:tc>
        <w:tc>
          <w:tcPr>
            <w:tcW w:w="1111" w:type="dxa"/>
            <w:noWrap/>
            <w:hideMark/>
          </w:tcPr>
          <w:p w14:paraId="6E71BCA7" w14:textId="77777777" w:rsidR="00051297" w:rsidRPr="00051297" w:rsidRDefault="00051297" w:rsidP="00051297">
            <w:pPr>
              <w:spacing w:line="240" w:lineRule="auto"/>
              <w:ind w:firstLine="0"/>
              <w:jc w:val="center"/>
              <w:rPr>
                <w:rFonts w:cs="Times New Roman"/>
                <w:lang w:val="en-US"/>
              </w:rPr>
            </w:pPr>
          </w:p>
        </w:tc>
      </w:tr>
      <w:tr w:rsidR="00051297" w:rsidRPr="00051297" w14:paraId="721F8762" w14:textId="77777777" w:rsidTr="006568FB">
        <w:trPr>
          <w:trHeight w:val="389"/>
          <w:jc w:val="center"/>
        </w:trPr>
        <w:tc>
          <w:tcPr>
            <w:tcW w:w="1727" w:type="dxa"/>
            <w:noWrap/>
            <w:hideMark/>
          </w:tcPr>
          <w:p w14:paraId="0BDE9A15"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Total</w:t>
            </w:r>
          </w:p>
        </w:tc>
        <w:tc>
          <w:tcPr>
            <w:tcW w:w="1111" w:type="dxa"/>
            <w:noWrap/>
            <w:hideMark/>
          </w:tcPr>
          <w:p w14:paraId="75C9DBA9"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17.7605</w:t>
            </w:r>
          </w:p>
        </w:tc>
        <w:tc>
          <w:tcPr>
            <w:tcW w:w="1111" w:type="dxa"/>
            <w:noWrap/>
            <w:hideMark/>
          </w:tcPr>
          <w:p w14:paraId="5BFCDFE6"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182</w:t>
            </w:r>
          </w:p>
        </w:tc>
        <w:tc>
          <w:tcPr>
            <w:tcW w:w="1111" w:type="dxa"/>
            <w:noWrap/>
            <w:hideMark/>
          </w:tcPr>
          <w:p w14:paraId="0F265DFD"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11" w:type="dxa"/>
            <w:noWrap/>
            <w:hideMark/>
          </w:tcPr>
          <w:p w14:paraId="4DF067C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11" w:type="dxa"/>
            <w:noWrap/>
            <w:hideMark/>
          </w:tcPr>
          <w:p w14:paraId="1ACB532F"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c>
          <w:tcPr>
            <w:tcW w:w="1111" w:type="dxa"/>
            <w:noWrap/>
            <w:hideMark/>
          </w:tcPr>
          <w:p w14:paraId="0542E388" w14:textId="77777777" w:rsidR="00051297" w:rsidRPr="00051297" w:rsidRDefault="00051297" w:rsidP="00051297">
            <w:pPr>
              <w:spacing w:line="240" w:lineRule="auto"/>
              <w:ind w:firstLine="0"/>
              <w:jc w:val="center"/>
              <w:rPr>
                <w:rFonts w:cs="Times New Roman"/>
                <w:lang w:val="en-US"/>
              </w:rPr>
            </w:pPr>
            <w:r w:rsidRPr="00051297">
              <w:rPr>
                <w:rFonts w:cs="Times New Roman"/>
                <w:lang w:val="en-US"/>
              </w:rPr>
              <w:t> </w:t>
            </w:r>
          </w:p>
        </w:tc>
      </w:tr>
    </w:tbl>
    <w:p w14:paraId="3E99B689" w14:textId="77777777" w:rsidR="00051297" w:rsidRPr="00051297" w:rsidRDefault="00051297" w:rsidP="00051297">
      <w:pPr>
        <w:ind w:firstLine="0"/>
        <w:rPr>
          <w:lang w:val="en-US"/>
        </w:rPr>
      </w:pPr>
    </w:p>
    <w:p w14:paraId="29FC6A08" w14:textId="7A90D4F9" w:rsidR="00051297" w:rsidRPr="00051297" w:rsidRDefault="00051297" w:rsidP="00141AA5">
      <w:pPr>
        <w:pStyle w:val="4"/>
        <w:rPr>
          <w:rFonts w:eastAsia="Calibri"/>
          <w:lang w:val="en-US"/>
        </w:rPr>
      </w:pPr>
      <w:bookmarkStart w:id="1364" w:name="_Toc103544013"/>
      <w:bookmarkStart w:id="1365" w:name="_Toc104985338"/>
      <w:r w:rsidRPr="00051297">
        <w:rPr>
          <w:rFonts w:eastAsia="Calibri"/>
          <w:lang w:val="en-US"/>
        </w:rPr>
        <w:lastRenderedPageBreak/>
        <w:t>Comparison of different slope stability methods</w:t>
      </w:r>
      <w:bookmarkEnd w:id="1364"/>
      <w:bookmarkEnd w:id="1365"/>
    </w:p>
    <w:p w14:paraId="33875F40" w14:textId="379C9FFF" w:rsidR="00051297" w:rsidRPr="006568FB" w:rsidRDefault="00051297" w:rsidP="006568FB">
      <w:pPr>
        <w:rPr>
          <w:spacing w:val="-4"/>
          <w:lang w:val="en-US"/>
        </w:rPr>
      </w:pPr>
      <w:r w:rsidRPr="00051297">
        <w:rPr>
          <w:lang w:val="en-US"/>
        </w:rPr>
        <w:fldChar w:fldCharType="begin"/>
      </w:r>
      <w:r w:rsidRPr="00051297">
        <w:rPr>
          <w:lang w:val="en-US"/>
        </w:rPr>
        <w:instrText xml:space="preserve"> REF _Ref98107965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42</w:t>
      </w:r>
      <w:r w:rsidRPr="00051297">
        <w:rPr>
          <w:lang w:val="en-US"/>
        </w:rPr>
        <w:fldChar w:fldCharType="end"/>
      </w:r>
      <w:r w:rsidRPr="00051297">
        <w:rPr>
          <w:lang w:val="en-US"/>
        </w:rPr>
        <w:t xml:space="preserve"> presents the results from different slope stability analysis methods under steady-state conditions; it can be observed that, except for the Bishop method, which produced 1.971 as a long-term steady-state factor of safety value, all the other methods produced the same long-term steady-state factor of safety value. However, the difference between the factor of safety retrieved from the Bishop method and the other methods (Spencer, Janbu, Morgenstern-Price, and Sarma) is relatively small to make a significant impact. According to the study conducted by Wen-Jie Niu </w:t>
      </w:r>
      <w:r w:rsidRPr="00051297">
        <w:rPr>
          <w:lang w:val="en-US"/>
        </w:rPr>
        <w:fldChar w:fldCharType="begin" w:fldLock="1"/>
      </w:r>
      <w:r w:rsidR="0044426E">
        <w:rPr>
          <w:lang w:val="en-US"/>
        </w:rPr>
        <w:instrText>ADDIN CSL_CITATION {"citationItems":[{"id":"ITEM-1","itemData":{"DOI":"10.1155/2014/950531","ISSN":"2356-6140","abstract":"In the current practice, to determine the safety factor of a slope with two-dimensional circular potential failure surface, one of the searching methods for the critical slip surface is Genetic Algorithm (GA), while the method to calculate the slope safety factor is Fellenius’ slices method. However GA needs to be validated with more numeric tests, while Fellenius’ slices method is just an approximate method like finite element method. This paper proposed a new method to determine the minimum slope safety factor which is the determination of slope safety factor with analytical solution and searching critical slip surface with Genetic-Traversal Random Method. The analytical solution is more accurate than Fellenius’ slices method. The Genetic-Traversal Random Method uses random pick to utilize mutation. A computer automatic search program is developed for the Genetic-Traversal Random Method. After comparison with other methods like slope/w software, results indicate that the Genetic-Traversal Random Search Method can give very low safety factor which is about half of the other methods. However the obtained minimum safety factor with Genetic-Traversal Random Search Method is very close to the lower bound solutions of slope safety factor given by the Ansys software.","author":[{"dropping-particle":"","family":"Niu","given":"Wen-jie","non-dropping-particle":"","parse-names":false,"suffix":""}],"container-title":"The Scientific World Journal","id":"ITEM-1","issued":{"date-parts":[["2014"]]},"page":"1-13","title":"Determination of Slope Safety Factor with Analytical Solution and Searching Critical Slip Surface with Genetic-Traversal Random Method","type":"article-journal","volume":"2014"},"uris":["http://www.mendeley.com/documents/?uuid=cd7022b1-1b51-49e6-9b0c-035d890c98e7","http://www.mendeley.com/documents/?uuid=fc65d272-e75b-40d6-ad4a-fb0f39ea6d89"]}],"mendeley":{"formattedCitation":"[293]","plainTextFormattedCitation":"[293]","previouslyFormattedCitation":"[293]"},"properties":{"noteIndex":0},"schema":"https://github.com/citation-style-language/schema/raw/master/csl-citation.json"}</w:instrText>
      </w:r>
      <w:r w:rsidRPr="00051297">
        <w:rPr>
          <w:lang w:val="en-US"/>
        </w:rPr>
        <w:fldChar w:fldCharType="separate"/>
      </w:r>
      <w:r w:rsidR="00FA5896" w:rsidRPr="00FA5896">
        <w:rPr>
          <w:noProof/>
          <w:lang w:val="en-US"/>
        </w:rPr>
        <w:t>[293]</w:t>
      </w:r>
      <w:r w:rsidRPr="00051297">
        <w:rPr>
          <w:lang w:val="en-US"/>
        </w:rPr>
        <w:fldChar w:fldCharType="end"/>
      </w:r>
      <w:r w:rsidRPr="00051297">
        <w:rPr>
          <w:lang w:val="en-US"/>
        </w:rPr>
        <w:t xml:space="preserve"> that worked on the analytical solution for slope safety factor determination, a similar phenomenon was observed; whereby the minimum safety factor for the example slope using the Ordinary approach was 1.328. The lowest safety factor for the example slope using the Bishop approach was 1.390. The minimum safety factor for the example slope using the Janbu approach was 1.316. The minimum safety factor for the example slope using the Morgenstern-Price approach was 1.389. The lowest safety factor for the example slope using the Spencer technique was 1.389. </w:t>
      </w:r>
      <w:r w:rsidRPr="006568FB">
        <w:rPr>
          <w:spacing w:val="-4"/>
          <w:lang w:val="en-US"/>
        </w:rPr>
        <w:t>The variation in terms of factor of safety values recovered from different slope stability analysis methodologies was relatively minimal, according to the findings.</w:t>
      </w:r>
      <w:r w:rsidR="006568FB" w:rsidRPr="006568FB">
        <w:rPr>
          <w:spacing w:val="-4"/>
          <w:lang w:val="en-US"/>
        </w:rPr>
        <w:t xml:space="preserve"> </w:t>
      </w:r>
      <w:r w:rsidRPr="006568FB">
        <w:rPr>
          <w:spacing w:val="-4"/>
          <w:lang w:val="en-US"/>
        </w:rPr>
        <w:t>The lowest safety factor for the example slope using the GLE approach was 1.389. After solving and evaluating the problem with the Janbu generalized technique using the SLOPE/W program, a safety factor of 1.389 was retrieved.</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11DE1226" w14:textId="77777777" w:rsidTr="00D20B01">
        <w:tc>
          <w:tcPr>
            <w:tcW w:w="9344" w:type="dxa"/>
          </w:tcPr>
          <w:p w14:paraId="6B5DF6C9" w14:textId="5E8921A0" w:rsidR="00051297" w:rsidRPr="00051297" w:rsidRDefault="00AA269D" w:rsidP="006568FB">
            <w:pPr>
              <w:spacing w:line="240" w:lineRule="auto"/>
              <w:ind w:firstLine="0"/>
              <w:rPr>
                <w:rFonts w:eastAsia="Calibri" w:cs="Times New Roman"/>
                <w:szCs w:val="24"/>
                <w:lang w:val="en-US"/>
              </w:rPr>
            </w:pPr>
            <w:r>
              <w:rPr>
                <w:noProof/>
              </w:rPr>
              <w:drawing>
                <wp:inline distT="0" distB="0" distL="0" distR="0" wp14:anchorId="18B746A7" wp14:editId="7DDF2971">
                  <wp:extent cx="5648488" cy="216000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648488" cy="2160000"/>
                          </a:xfrm>
                          <a:prstGeom prst="rect">
                            <a:avLst/>
                          </a:prstGeom>
                          <a:noFill/>
                          <a:ln>
                            <a:noFill/>
                          </a:ln>
                        </pic:spPr>
                      </pic:pic>
                    </a:graphicData>
                  </a:graphic>
                </wp:inline>
              </w:drawing>
            </w:r>
          </w:p>
          <w:p w14:paraId="0ED16360" w14:textId="77777777" w:rsidR="00051297" w:rsidRPr="00051297" w:rsidRDefault="00051297" w:rsidP="006568FB">
            <w:pPr>
              <w:spacing w:line="240" w:lineRule="auto"/>
              <w:ind w:firstLine="0"/>
              <w:jc w:val="center"/>
              <w:rPr>
                <w:rFonts w:eastAsia="Calibri" w:cs="Times New Roman"/>
                <w:szCs w:val="24"/>
                <w:lang w:val="en-US"/>
              </w:rPr>
            </w:pPr>
            <w:r w:rsidRPr="00051297">
              <w:rPr>
                <w:rFonts w:eastAsia="Calibri" w:cs="Times New Roman"/>
                <w:szCs w:val="24"/>
                <w:lang w:val="en-US"/>
              </w:rPr>
              <w:t>(a)</w:t>
            </w:r>
          </w:p>
        </w:tc>
      </w:tr>
      <w:tr w:rsidR="00051297" w:rsidRPr="00051297" w14:paraId="3633DB56" w14:textId="77777777" w:rsidTr="00D20B01">
        <w:tc>
          <w:tcPr>
            <w:tcW w:w="9344" w:type="dxa"/>
          </w:tcPr>
          <w:p w14:paraId="0F6AFF18" w14:textId="40D22F52" w:rsidR="00051297" w:rsidRPr="00051297" w:rsidRDefault="00AA269D" w:rsidP="006568FB">
            <w:pPr>
              <w:spacing w:line="240" w:lineRule="auto"/>
              <w:ind w:firstLine="0"/>
              <w:jc w:val="center"/>
              <w:rPr>
                <w:rFonts w:eastAsia="Calibri" w:cs="Times New Roman"/>
                <w:szCs w:val="24"/>
                <w:lang w:val="en-US"/>
              </w:rPr>
            </w:pPr>
            <w:r>
              <w:rPr>
                <w:noProof/>
              </w:rPr>
              <w:drawing>
                <wp:inline distT="0" distB="0" distL="0" distR="0" wp14:anchorId="24009109" wp14:editId="28B3A2C6">
                  <wp:extent cx="5613959" cy="2160000"/>
                  <wp:effectExtent l="0" t="0" r="635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613959" cy="2160000"/>
                          </a:xfrm>
                          <a:prstGeom prst="rect">
                            <a:avLst/>
                          </a:prstGeom>
                          <a:noFill/>
                          <a:ln>
                            <a:noFill/>
                          </a:ln>
                        </pic:spPr>
                      </pic:pic>
                    </a:graphicData>
                  </a:graphic>
                </wp:inline>
              </w:drawing>
            </w:r>
          </w:p>
          <w:p w14:paraId="16C8F38B" w14:textId="77777777" w:rsidR="00051297" w:rsidRPr="00051297" w:rsidRDefault="00051297" w:rsidP="006568FB">
            <w:pPr>
              <w:spacing w:line="240" w:lineRule="auto"/>
              <w:ind w:firstLine="0"/>
              <w:jc w:val="center"/>
              <w:rPr>
                <w:rFonts w:eastAsia="Calibri" w:cs="Times New Roman"/>
                <w:szCs w:val="24"/>
                <w:lang w:val="en-US"/>
              </w:rPr>
            </w:pPr>
            <w:r w:rsidRPr="00051297">
              <w:rPr>
                <w:rFonts w:eastAsia="Calibri" w:cs="Times New Roman"/>
                <w:szCs w:val="24"/>
                <w:lang w:val="en-US"/>
              </w:rPr>
              <w:t>(b)</w:t>
            </w:r>
          </w:p>
        </w:tc>
      </w:tr>
      <w:tr w:rsidR="00051297" w:rsidRPr="00051297" w14:paraId="424D8012" w14:textId="77777777" w:rsidTr="00D20B01">
        <w:tc>
          <w:tcPr>
            <w:tcW w:w="9344" w:type="dxa"/>
          </w:tcPr>
          <w:p w14:paraId="7E7242C9" w14:textId="563BD334" w:rsidR="00051297" w:rsidRPr="00051297" w:rsidRDefault="00820445" w:rsidP="006568FB">
            <w:pPr>
              <w:spacing w:line="240" w:lineRule="auto"/>
              <w:ind w:firstLine="0"/>
              <w:jc w:val="center"/>
              <w:rPr>
                <w:rFonts w:eastAsia="Calibri" w:cs="Times New Roman"/>
                <w:szCs w:val="24"/>
                <w:lang w:val="en-US"/>
              </w:rPr>
            </w:pPr>
            <w:r>
              <w:rPr>
                <w:noProof/>
              </w:rPr>
              <w:lastRenderedPageBreak/>
              <w:drawing>
                <wp:inline distT="0" distB="0" distL="0" distR="0" wp14:anchorId="7408F09D" wp14:editId="58CE8803">
                  <wp:extent cx="5939790" cy="2279650"/>
                  <wp:effectExtent l="0" t="0" r="3810"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39790" cy="2279650"/>
                          </a:xfrm>
                          <a:prstGeom prst="rect">
                            <a:avLst/>
                          </a:prstGeom>
                          <a:noFill/>
                          <a:ln>
                            <a:noFill/>
                          </a:ln>
                        </pic:spPr>
                      </pic:pic>
                    </a:graphicData>
                  </a:graphic>
                </wp:inline>
              </w:drawing>
            </w:r>
          </w:p>
          <w:p w14:paraId="00792357" w14:textId="77777777" w:rsidR="00051297" w:rsidRPr="00051297" w:rsidRDefault="00051297" w:rsidP="006568FB">
            <w:pPr>
              <w:spacing w:line="240" w:lineRule="auto"/>
              <w:ind w:firstLine="0"/>
              <w:jc w:val="center"/>
              <w:rPr>
                <w:rFonts w:eastAsia="Calibri" w:cs="Times New Roman"/>
                <w:szCs w:val="24"/>
                <w:lang w:val="en-US"/>
              </w:rPr>
            </w:pPr>
            <w:r w:rsidRPr="00051297">
              <w:rPr>
                <w:rFonts w:eastAsia="Calibri" w:cs="Times New Roman"/>
                <w:szCs w:val="24"/>
                <w:lang w:val="en-US"/>
              </w:rPr>
              <w:t>(c)</w:t>
            </w:r>
          </w:p>
        </w:tc>
      </w:tr>
      <w:tr w:rsidR="00051297" w:rsidRPr="00051297" w14:paraId="5F19D4AA" w14:textId="77777777" w:rsidTr="00D20B01">
        <w:tc>
          <w:tcPr>
            <w:tcW w:w="9344" w:type="dxa"/>
          </w:tcPr>
          <w:p w14:paraId="3237069C" w14:textId="54798D78" w:rsidR="00051297" w:rsidRPr="00051297" w:rsidRDefault="004E6937" w:rsidP="006568FB">
            <w:pPr>
              <w:spacing w:line="240" w:lineRule="auto"/>
              <w:ind w:firstLine="0"/>
              <w:jc w:val="center"/>
              <w:rPr>
                <w:rFonts w:eastAsia="Calibri" w:cs="Times New Roman"/>
                <w:szCs w:val="24"/>
                <w:lang w:val="en-US"/>
              </w:rPr>
            </w:pPr>
            <w:r>
              <w:rPr>
                <w:noProof/>
              </w:rPr>
              <w:drawing>
                <wp:inline distT="0" distB="0" distL="0" distR="0" wp14:anchorId="6789FBE8" wp14:editId="0644BC47">
                  <wp:extent cx="5939790" cy="2292985"/>
                  <wp:effectExtent l="0" t="0" r="381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39790" cy="2292985"/>
                          </a:xfrm>
                          <a:prstGeom prst="rect">
                            <a:avLst/>
                          </a:prstGeom>
                          <a:noFill/>
                          <a:ln>
                            <a:noFill/>
                          </a:ln>
                        </pic:spPr>
                      </pic:pic>
                    </a:graphicData>
                  </a:graphic>
                </wp:inline>
              </w:drawing>
            </w:r>
          </w:p>
          <w:p w14:paraId="04056C56" w14:textId="77777777" w:rsidR="00051297" w:rsidRPr="00051297" w:rsidRDefault="00051297" w:rsidP="006568FB">
            <w:pPr>
              <w:keepNext/>
              <w:spacing w:line="240" w:lineRule="auto"/>
              <w:ind w:firstLine="0"/>
              <w:jc w:val="center"/>
              <w:rPr>
                <w:rFonts w:eastAsia="Calibri" w:cs="Times New Roman"/>
                <w:szCs w:val="24"/>
                <w:lang w:val="en-US"/>
              </w:rPr>
            </w:pPr>
            <w:r w:rsidRPr="00051297">
              <w:rPr>
                <w:rFonts w:eastAsia="Calibri" w:cs="Times New Roman"/>
                <w:szCs w:val="24"/>
                <w:lang w:val="en-US"/>
              </w:rPr>
              <w:t>(d)</w:t>
            </w:r>
          </w:p>
        </w:tc>
      </w:tr>
    </w:tbl>
    <w:p w14:paraId="7D006B26" w14:textId="3CC38350" w:rsidR="00051297" w:rsidRPr="00051297" w:rsidRDefault="00051297" w:rsidP="00051297">
      <w:pPr>
        <w:ind w:firstLine="0"/>
        <w:jc w:val="center"/>
        <w:rPr>
          <w:lang w:val="en-US"/>
        </w:rPr>
      </w:pPr>
      <w:bookmarkStart w:id="1366" w:name="_Ref98107965"/>
      <w:bookmarkStart w:id="1367" w:name="_Toc98085980"/>
      <w:bookmarkStart w:id="1368" w:name="_Toc103544175"/>
      <w:bookmarkStart w:id="1369" w:name="_Toc104985501"/>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42</w:t>
      </w:r>
      <w:r w:rsidR="00527861">
        <w:rPr>
          <w:lang w:val="en-US"/>
        </w:rPr>
        <w:fldChar w:fldCharType="end"/>
      </w:r>
      <w:bookmarkEnd w:id="1366"/>
      <w:r w:rsidRPr="00051297">
        <w:rPr>
          <w:lang w:val="en-US"/>
        </w:rPr>
        <w:t xml:space="preserve"> – Results from different slope stability analysis methods under steady-state conditions: a) Bishop method; b) Janbu; c) Morgenstern-Price; d) Sarma</w:t>
      </w:r>
      <w:bookmarkEnd w:id="1367"/>
      <w:bookmarkEnd w:id="1368"/>
      <w:bookmarkEnd w:id="1369"/>
    </w:p>
    <w:p w14:paraId="141B9881" w14:textId="3223A58F" w:rsidR="00051297" w:rsidRPr="00051297" w:rsidRDefault="00051297" w:rsidP="00141AA5">
      <w:pPr>
        <w:pStyle w:val="3"/>
        <w:rPr>
          <w:rFonts w:eastAsia="Times New Roman"/>
          <w:lang w:val="en-GB" w:eastAsia="pl-PL"/>
        </w:rPr>
      </w:pPr>
      <w:bookmarkStart w:id="1370" w:name="_Toc103544014"/>
      <w:bookmarkStart w:id="1371" w:name="_Toc104985339"/>
      <w:r w:rsidRPr="00051297">
        <w:rPr>
          <w:rFonts w:eastAsia="Times New Roman"/>
          <w:lang w:val="en-GB" w:eastAsia="pl-PL"/>
        </w:rPr>
        <w:t>Summary of the sub-section</w:t>
      </w:r>
      <w:bookmarkEnd w:id="1370"/>
      <w:bookmarkEnd w:id="1371"/>
    </w:p>
    <w:p w14:paraId="01B63E8B" w14:textId="77777777" w:rsidR="00051297" w:rsidRPr="00051297" w:rsidRDefault="00051297" w:rsidP="00051297">
      <w:pPr>
        <w:spacing w:after="240"/>
        <w:rPr>
          <w:rFonts w:eastAsia="Calibri" w:cs="Times New Roman"/>
          <w:szCs w:val="24"/>
          <w:lang w:val="en-US"/>
        </w:rPr>
      </w:pPr>
      <w:bookmarkStart w:id="1372" w:name="_Hlk98028744"/>
      <w:r w:rsidRPr="00051297">
        <w:rPr>
          <w:rFonts w:eastAsia="Calibri" w:cs="Times New Roman"/>
          <w:szCs w:val="24"/>
          <w:lang w:val="en-US"/>
        </w:rPr>
        <w:t xml:space="preserve">The potential influence of material characteristics on the slope stability of an embankment dam under rapid drawdown conditions has been investigated. The influence of material characteristics on slope stability was investigated mainly based on the different hydraulic conductivity values assigned to zone 1 of the embankment. The investigation was achieved using the finite element method for the case of the Lugoda dam in the Ndembera catchment in Tanzania. Because impermeability affects pore-water pressure dissipation, pore-water pressures in the embankment remain rather high after the drawdown, according to the conclusions of the investigation. </w:t>
      </w:r>
      <w:bookmarkStart w:id="1373" w:name="_Hlk75789557"/>
      <w:r w:rsidRPr="00051297">
        <w:rPr>
          <w:rFonts w:eastAsia="Calibri" w:cs="Times New Roman"/>
          <w:szCs w:val="24"/>
          <w:lang w:val="en-US"/>
        </w:rPr>
        <w:t>Also, the lowest minimum factor of safety value is obtained when the hydraulic conductivity value drops to 10</w:t>
      </w:r>
      <w:r w:rsidRPr="00051297">
        <w:rPr>
          <w:rFonts w:eastAsia="Calibri" w:cs="Times New Roman"/>
          <w:szCs w:val="24"/>
          <w:vertAlign w:val="superscript"/>
          <w:lang w:val="en-US"/>
        </w:rPr>
        <w:t xml:space="preserve">-7 </w:t>
      </w:r>
      <w:r w:rsidRPr="00051297">
        <w:rPr>
          <w:rFonts w:eastAsia="Calibri" w:cs="Times New Roman"/>
          <w:szCs w:val="24"/>
          <w:lang w:val="en-US"/>
        </w:rPr>
        <w:t>m/s, with a value of 0.901 which is below 1. The phenomenon indicates that, at a drawdown rate of 1m per day to a half of the maximum water level, there will be a potential failure of the embankment if the hydraulic conductivity value is below 10</w:t>
      </w:r>
      <w:r w:rsidRPr="00051297">
        <w:rPr>
          <w:rFonts w:eastAsia="Calibri" w:cs="Times New Roman"/>
          <w:szCs w:val="24"/>
          <w:vertAlign w:val="superscript"/>
          <w:lang w:val="en-US"/>
        </w:rPr>
        <w:t xml:space="preserve">-6 </w:t>
      </w:r>
      <w:r w:rsidRPr="00051297">
        <w:rPr>
          <w:rFonts w:eastAsia="Calibri" w:cs="Times New Roman"/>
          <w:szCs w:val="24"/>
          <w:lang w:val="en-US"/>
        </w:rPr>
        <w:t>m/s. Alternatively, if the hydraulic conductivity value has to be below 10</w:t>
      </w:r>
      <w:r w:rsidRPr="00051297">
        <w:rPr>
          <w:rFonts w:eastAsia="Calibri" w:cs="Times New Roman"/>
          <w:szCs w:val="24"/>
          <w:vertAlign w:val="superscript"/>
          <w:lang w:val="en-US"/>
        </w:rPr>
        <w:t xml:space="preserve">-6 </w:t>
      </w:r>
      <w:r w:rsidRPr="00051297">
        <w:rPr>
          <w:rFonts w:eastAsia="Calibri" w:cs="Times New Roman"/>
          <w:szCs w:val="24"/>
          <w:lang w:val="en-US"/>
        </w:rPr>
        <w:t>m/s, then a lower drawdown rate has to be applied to eliminate the potential failure.</w:t>
      </w:r>
      <w:bookmarkEnd w:id="1373"/>
      <w:r w:rsidRPr="00051297">
        <w:rPr>
          <w:rFonts w:eastAsia="Calibri" w:cs="Times New Roman"/>
          <w:szCs w:val="24"/>
          <w:lang w:val="en-US"/>
        </w:rPr>
        <w:t xml:space="preserve"> The results in this study revealed further </w:t>
      </w:r>
      <w:r w:rsidRPr="00051297">
        <w:rPr>
          <w:rFonts w:eastAsia="Calibri" w:cs="Times New Roman"/>
          <w:szCs w:val="24"/>
          <w:lang w:val="en-US"/>
        </w:rPr>
        <w:lastRenderedPageBreak/>
        <w:t>that there is a significant relationship between slope stability and the combination of a drawdown rate and embankment material properties. Therefore, the phenomenon has to be carefully investigated and considered during the design phase of an embankment dam. When the embankment was investigated under a reduced reservoir level, a minimum factor of safety of 0.868 was retrieved from 5 days drawdown rate, but with the same drawdown rate under an increased water level, a minimum factor of safety value of 0.206 was obtained. The most interesting part is that, at a reduced reservoir operating level, the steady-state factor of safety value was lower than that obtained from an increased operating reservoir level.</w:t>
      </w:r>
    </w:p>
    <w:p w14:paraId="478A1E62" w14:textId="41D2610A" w:rsidR="00051297" w:rsidRPr="00051297" w:rsidRDefault="00051297" w:rsidP="00141AA5">
      <w:pPr>
        <w:pStyle w:val="2"/>
      </w:pPr>
      <w:bookmarkStart w:id="1374" w:name="_Toc97504878"/>
      <w:bookmarkStart w:id="1375" w:name="_Toc103544015"/>
      <w:bookmarkStart w:id="1376" w:name="_Toc104985340"/>
      <w:bookmarkEnd w:id="1372"/>
      <w:r w:rsidRPr="00051297">
        <w:t>Aktobe dam in Kazakhstan</w:t>
      </w:r>
      <w:bookmarkEnd w:id="1374"/>
      <w:bookmarkEnd w:id="1375"/>
      <w:bookmarkEnd w:id="1376"/>
    </w:p>
    <w:p w14:paraId="18BC5ED0" w14:textId="570A81CA" w:rsidR="00051297" w:rsidRPr="00051297" w:rsidRDefault="00051297" w:rsidP="00141AA5">
      <w:pPr>
        <w:pStyle w:val="3"/>
      </w:pPr>
      <w:bookmarkStart w:id="1377" w:name="_Toc97504879"/>
      <w:bookmarkStart w:id="1378" w:name="_Toc103544016"/>
      <w:bookmarkStart w:id="1379" w:name="_Toc104985341"/>
      <w:r w:rsidRPr="00051297">
        <w:t>Materials and methods</w:t>
      </w:r>
      <w:bookmarkEnd w:id="1377"/>
      <w:bookmarkEnd w:id="1378"/>
      <w:bookmarkEnd w:id="1379"/>
    </w:p>
    <w:p w14:paraId="0D8E0770" w14:textId="607EE89F" w:rsidR="00051297" w:rsidRPr="00051297" w:rsidRDefault="00051297" w:rsidP="00141AA5">
      <w:pPr>
        <w:pStyle w:val="4"/>
        <w:rPr>
          <w:rFonts w:eastAsia="Calibri"/>
        </w:rPr>
      </w:pPr>
      <w:bookmarkStart w:id="1380" w:name="_Toc97504880"/>
      <w:bookmarkStart w:id="1381" w:name="_Toc103544017"/>
      <w:bookmarkStart w:id="1382" w:name="_Toc104985342"/>
      <w:r w:rsidRPr="00051297">
        <w:rPr>
          <w:rFonts w:eastAsia="Calibri"/>
        </w:rPr>
        <w:t>Case study description</w:t>
      </w:r>
      <w:bookmarkEnd w:id="1380"/>
      <w:bookmarkEnd w:id="1381"/>
      <w:bookmarkEnd w:id="1382"/>
    </w:p>
    <w:p w14:paraId="1CC01E2B" w14:textId="77777777" w:rsidR="00051297" w:rsidRPr="00051297" w:rsidRDefault="00051297" w:rsidP="00051297">
      <w:pPr>
        <w:rPr>
          <w:lang w:val="en-US"/>
        </w:rPr>
      </w:pPr>
      <w:r w:rsidRPr="00051297">
        <w:rPr>
          <w:lang w:val="en-US"/>
        </w:rPr>
        <w:t>The Aktobe dam is located approximately 10 km from the Aktobe City center in Western Kazakhstan; latitude: 50°12'23.26"N and longitude: 57°18'36.18"E. The reservoir with a volume of approximately 245 million m</w:t>
      </w:r>
      <w:r w:rsidRPr="00051297">
        <w:rPr>
          <w:vertAlign w:val="superscript"/>
          <w:lang w:val="en-US"/>
        </w:rPr>
        <w:t>3</w:t>
      </w:r>
      <w:r w:rsidRPr="00051297">
        <w:rPr>
          <w:lang w:val="en-US"/>
        </w:rPr>
        <w:t xml:space="preserve"> was put into operation in 1988. The Aktobe region is known to be among the largest regions in terms of area coverage in Kazakhstan, with an approximate area of 300,629 km</w:t>
      </w:r>
      <w:r w:rsidRPr="00051297">
        <w:rPr>
          <w:vertAlign w:val="superscript"/>
          <w:lang w:val="en-US"/>
        </w:rPr>
        <w:t>2</w:t>
      </w:r>
      <w:r w:rsidRPr="00051297">
        <w:rPr>
          <w:lang w:val="en-US"/>
        </w:rPr>
        <w:t xml:space="preserve"> occupying approximately 11 % of the entire country.</w:t>
      </w:r>
    </w:p>
    <w:p w14:paraId="1152203B" w14:textId="77777777" w:rsidR="00051297" w:rsidRPr="00051297" w:rsidRDefault="00051297" w:rsidP="00051297">
      <w:pPr>
        <w:rPr>
          <w:lang w:val="en-US"/>
        </w:rPr>
      </w:pPr>
      <w:r w:rsidRPr="00051297">
        <w:rPr>
          <w:lang w:val="en-US"/>
        </w:rPr>
        <w:t>Several rivers are decorating the Aktobe region, including the Kargaly river, which discharges its water into another river (Ilek River). One of the tributaries of the Ilek (left tributary) passes through the center of the Aktobe region. Sazdy River is another important river that passes within the city, whereby large entertainment centers, shopping malls, and other social buildings are located along the river banks.</w:t>
      </w:r>
    </w:p>
    <w:p w14:paraId="16AB2B49" w14:textId="77777777" w:rsidR="00051297" w:rsidRPr="00051297" w:rsidRDefault="00051297" w:rsidP="00051297">
      <w:pPr>
        <w:rPr>
          <w:lang w:val="en-US"/>
        </w:rPr>
      </w:pPr>
      <w:r w:rsidRPr="00051297">
        <w:rPr>
          <w:lang w:val="en-US"/>
        </w:rPr>
        <w:t>In terms of climatic conditions, the Aktobe region is characterized by a humid continental climate with significantly high seasonal variation levels in terms of temperature. The region is also characterized by strong winters like many other parts of the country, with temperatures dropping as low as -48 °C, whereas the daily average minimum temperature is −16 °C. Also, the Aktobe region s characterized by strong summers with the temperature reaching 43 °C, whereas the average maximum temperature is 30 °C. However, it is also worth pointing out that the levels of weather changes are extremely high in the region in spring and autumn, especially during the windiest days of March. Moreover, the rainy seasons are generally during early spring and a bit of late autumn (the period when winter starts), characterized by heavy snows during the winter. On average, the annual precipitation in the Aktobe region is approximately 330 mm.</w:t>
      </w:r>
    </w:p>
    <w:p w14:paraId="3FA85DAC" w14:textId="2FBFD278" w:rsidR="00051297" w:rsidRPr="00051297" w:rsidRDefault="00051297" w:rsidP="00051297">
      <w:r w:rsidRPr="00051297">
        <w:rPr>
          <w:lang w:val="en-US"/>
        </w:rPr>
        <w:t xml:space="preserve">Like many other parts of Kazakhstan, the geological condition in the Aktobe region is characterized by significantly extensive basement rocks resulting from the Precambrian and relatively high widespread Paleozoic rocks. Based on some studies, it has been observed that the </w:t>
      </w:r>
      <w:r w:rsidRPr="00051297">
        <w:rPr>
          <w:lang w:val="en-US"/>
        </w:rPr>
        <w:lastRenderedPageBreak/>
        <w:t xml:space="preserve">groundwater of some parts of the region is characterized by high concentration levels of petroleum products </w:t>
      </w:r>
      <w:r w:rsidRPr="00051297">
        <w:fldChar w:fldCharType="begin" w:fldLock="1"/>
      </w:r>
      <w:r w:rsidR="0044426E">
        <w:rPr>
          <w:lang w:val="en-US"/>
        </w:rPr>
        <w:instrText>ADDIN CSL_CITATION {"citationItems":[{"id":"ITEM-1","itemData":{"ISSN":"09751459","abstract":"The paper provides the monitoring researches of hydrochemical and toxicological indicators of 16 springs in the Aktobe region located within the boundaries of Western Kazakhstan. The characteristic of the content of cations and anions, heavy metals, oil products and phenols in hydrogeochemical samples of spring water is presented. A comparative analysis of hydrochemical and toxicological indicators with sanitary norms and hygienic requirements for water quality was carried out. The water of the 6 springs was distinguished by considerable hardness and strong mineralization. The increased content of manganese was noted in the Karauylkeldy spring, iron - in the Islambulak, Bulak ayili, Akshat, Karawilkeldy springs, and chromium - in the (upper) Marjanbulak, Sargansay springs. The water of the (lower) Marzhanbulak, Akshat, Kosestek, Rodnikovka of the Aktobe region contained high concentration of petroleum products. The content of lead and copper was not found, the level of zinc in the springs investigated did not exceed the established standards. The Suik bulak-2, Moldirbulak, Zhosa-2 springs were recognized as the most suitable for drinking use.","author":[{"dropping-particle":"","family":"Idrissova","given":"Guldana Zeinullaevna","non-dropping-particle":"","parse-names":false,"suffix":""},{"dropping-particle":"","family":"Akhmedenov","given":"Kazhmurat Maksutovich","non-dropping-particle":"","parse-names":false,"suffix":""},{"dropping-particle":"","family":"Sergeeva","given":"Irina Vyacheslavovna","non-dropping-particle":"","parse-names":false,"suffix":""},{"dropping-particle":"","family":"Ponomareva","given":"Albina Leonidovna","non-dropping-particle":"","parse-names":false,"suffix":""},{"dropping-particle":"","family":"Sergeeva","given":"Evgenia Sergeevna","non-dropping-particle":"","parse-names":false,"suffix":""}],"container-title":"Journal of Pharmaceutical Sciences and Research","id":"ITEM-1","issue":"7","issued":{"date-parts":[["2017"]]},"page":"1122-1127","title":"Monitoring studies of the ecological state of springs in the aktobe region in Western Kazakhstan","type":"article-journal","volume":"9"},"uris":["http://www.mendeley.com/documents/?uuid=bffc6825-e994-4a27-bc10-4a37df6632b4","http://www.mendeley.com/documents/?uuid=ef47c3dd-1bca-48fd-8e71-01d5b64f9148"]}],"mendeley":{"formattedCitation":"[294]","plainTextFormattedCitation":"[294]","previouslyFormattedCitation":"[294]"},"properties":{"noteIndex":0},"schema":"https://github.com/citation-style-language/schema/raw/master/csl-citation.json"}</w:instrText>
      </w:r>
      <w:r w:rsidRPr="00051297">
        <w:fldChar w:fldCharType="separate"/>
      </w:r>
      <w:r w:rsidR="00FA5896" w:rsidRPr="00FA5896">
        <w:rPr>
          <w:noProof/>
        </w:rPr>
        <w:t>[294]</w:t>
      </w:r>
      <w:r w:rsidRPr="00051297">
        <w:fldChar w:fldCharType="end"/>
      </w:r>
      <w:r w:rsidRPr="00051297">
        <w:t>.</w:t>
      </w:r>
    </w:p>
    <w:p w14:paraId="391E5445" w14:textId="06C4DD1B" w:rsidR="00051297" w:rsidRPr="00051297" w:rsidRDefault="00051297" w:rsidP="00141AA5">
      <w:pPr>
        <w:pStyle w:val="4"/>
        <w:rPr>
          <w:rFonts w:eastAsia="Calibri"/>
          <w:lang w:val="en-US"/>
        </w:rPr>
      </w:pPr>
      <w:bookmarkStart w:id="1383" w:name="_Toc97504881"/>
      <w:bookmarkStart w:id="1384" w:name="_Toc103544018"/>
      <w:bookmarkStart w:id="1385" w:name="_Toc104985343"/>
      <w:r w:rsidRPr="00051297">
        <w:rPr>
          <w:rFonts w:eastAsia="Calibri"/>
          <w:lang w:val="en-US"/>
        </w:rPr>
        <w:t>Embankment geometry and modeling process</w:t>
      </w:r>
      <w:bookmarkEnd w:id="1383"/>
      <w:bookmarkEnd w:id="1384"/>
      <w:bookmarkEnd w:id="1385"/>
    </w:p>
    <w:p w14:paraId="5B93AB2A" w14:textId="4917298E" w:rsidR="00051297" w:rsidRPr="00051297" w:rsidRDefault="00051297" w:rsidP="00051297">
      <w:pPr>
        <w:rPr>
          <w:lang w:val="en-US"/>
        </w:rPr>
      </w:pPr>
      <w:r w:rsidRPr="00051297">
        <w:rPr>
          <w:lang w:val="en-US"/>
        </w:rPr>
        <w:t xml:space="preserve">In this study, finite element method analyses were used to evaluate the potential influence of rapid drawdown loading conditions on slope stability of an earth-fill dam for the case of the Aktobe dam. The general modeling process is characterized by two main types of analyses, namely, seepage analysis and slope stability analysis. The seepage analysis was executed using the SEEP/W unit of the GeoStudio, while the slope stability was executed using the SLOPE/W of the GeoStudio 2018 R2 (version 9.1.1.14749). Mainly, five different drawdown cases were used, namely; steady-state, instantaneous drawdown, 5-days drawdown, 10-days drawdown, and 1m per day drawdown rate. It is also worth noting that </w:t>
      </w:r>
      <w:bookmarkStart w:id="1386" w:name="_Hlk90636820"/>
      <w:r w:rsidRPr="00051297">
        <w:rPr>
          <w:lang w:val="en-US"/>
        </w:rPr>
        <w:t>the seepage analyses were carried out concurrently with slope stability analyses.</w:t>
      </w:r>
      <w:bookmarkEnd w:id="1386"/>
      <w:r w:rsidRPr="00051297">
        <w:rPr>
          <w:lang w:val="en-US"/>
        </w:rPr>
        <w:t xml:space="preserve">  The Aktobe dam embankment is characterized by a maximum water depth of 18.5 m, with an embankment height of 22.7 m (</w:t>
      </w:r>
      <w:r w:rsidRPr="00051297">
        <w:rPr>
          <w:lang w:val="en-US"/>
        </w:rPr>
        <w:fldChar w:fldCharType="begin"/>
      </w:r>
      <w:r w:rsidRPr="00051297">
        <w:rPr>
          <w:lang w:val="en-US"/>
        </w:rPr>
        <w:instrText xml:space="preserve"> REF _Ref98108043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43</w:t>
      </w:r>
      <w:r w:rsidRPr="00051297">
        <w:rPr>
          <w:lang w:val="en-US"/>
        </w:rPr>
        <w:fldChar w:fldCharType="end"/>
      </w:r>
      <w:r w:rsidRPr="00051297">
        <w:rPr>
          <w:lang w:val="en-US"/>
        </w:rPr>
        <w:t xml:space="preserve">). The embankment is mainly divided into five different zones based on material properties (discussed in the materials properties section). </w:t>
      </w:r>
    </w:p>
    <w:p w14:paraId="4B1A4AC4" w14:textId="77777777" w:rsidR="00051297" w:rsidRPr="00051297" w:rsidRDefault="00051297" w:rsidP="00051297">
      <w:pPr>
        <w:ind w:firstLine="562"/>
        <w:rPr>
          <w:rFonts w:eastAsia="Calibri" w:cs="Times New Roman"/>
          <w:color w:val="FF0000"/>
          <w:szCs w:val="24"/>
          <w:lang w:val="en-US"/>
        </w:rPr>
      </w:pPr>
    </w:p>
    <w:p w14:paraId="4AB3193E" w14:textId="76FDB063" w:rsidR="00051297" w:rsidRPr="00051297" w:rsidRDefault="009F3493" w:rsidP="00051297">
      <w:pPr>
        <w:keepNext/>
        <w:ind w:firstLine="0"/>
        <w:rPr>
          <w:rFonts w:cs="Times New Roman"/>
          <w:szCs w:val="24"/>
        </w:rPr>
      </w:pPr>
      <w:r>
        <w:rPr>
          <w:noProof/>
        </w:rPr>
        <w:drawing>
          <wp:inline distT="0" distB="0" distL="0" distR="0" wp14:anchorId="55F49414" wp14:editId="15F79376">
            <wp:extent cx="5939790" cy="1637030"/>
            <wp:effectExtent l="0" t="0" r="3810" b="127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39790" cy="1637030"/>
                    </a:xfrm>
                    <a:prstGeom prst="rect">
                      <a:avLst/>
                    </a:prstGeom>
                    <a:noFill/>
                    <a:ln>
                      <a:noFill/>
                    </a:ln>
                  </pic:spPr>
                </pic:pic>
              </a:graphicData>
            </a:graphic>
          </wp:inline>
        </w:drawing>
      </w:r>
    </w:p>
    <w:p w14:paraId="53DC49C5" w14:textId="28729616" w:rsidR="00051297" w:rsidRPr="00051297" w:rsidRDefault="00051297" w:rsidP="00051297">
      <w:pPr>
        <w:ind w:firstLine="0"/>
        <w:jc w:val="center"/>
        <w:rPr>
          <w:lang w:val="en-US"/>
        </w:rPr>
      </w:pPr>
      <w:bookmarkStart w:id="1387" w:name="_Ref98108043"/>
      <w:bookmarkStart w:id="1388" w:name="_Toc97428305"/>
      <w:bookmarkStart w:id="1389" w:name="_Toc98085981"/>
      <w:bookmarkStart w:id="1390" w:name="_Toc103544176"/>
      <w:bookmarkStart w:id="1391" w:name="_Toc104985502"/>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43</w:t>
      </w:r>
      <w:r w:rsidR="00527861">
        <w:rPr>
          <w:lang w:val="en-US"/>
        </w:rPr>
        <w:fldChar w:fldCharType="end"/>
      </w:r>
      <w:bookmarkEnd w:id="1387"/>
      <w:r w:rsidRPr="00051297">
        <w:t xml:space="preserve"> </w:t>
      </w:r>
      <w:r w:rsidRPr="00051297">
        <w:rPr>
          <w:lang w:val="en-US"/>
        </w:rPr>
        <w:t>– Embankment geometry</w:t>
      </w:r>
      <w:bookmarkEnd w:id="1388"/>
      <w:bookmarkEnd w:id="1389"/>
      <w:bookmarkEnd w:id="1390"/>
      <w:bookmarkEnd w:id="1391"/>
    </w:p>
    <w:p w14:paraId="4506FA22" w14:textId="15392012" w:rsidR="00051297" w:rsidRPr="00051297" w:rsidRDefault="00051297" w:rsidP="00141AA5">
      <w:pPr>
        <w:pStyle w:val="4"/>
        <w:rPr>
          <w:rFonts w:eastAsia="Calibri"/>
        </w:rPr>
      </w:pPr>
      <w:bookmarkStart w:id="1392" w:name="_Toc97504882"/>
      <w:bookmarkStart w:id="1393" w:name="_Toc103544019"/>
      <w:bookmarkStart w:id="1394" w:name="_Toc104985344"/>
      <w:r w:rsidRPr="00051297">
        <w:rPr>
          <w:rFonts w:eastAsia="Calibri"/>
        </w:rPr>
        <w:t>Seepage analysis</w:t>
      </w:r>
      <w:bookmarkEnd w:id="1392"/>
      <w:bookmarkEnd w:id="1393"/>
      <w:bookmarkEnd w:id="1394"/>
    </w:p>
    <w:p w14:paraId="37B6D5F3" w14:textId="77777777" w:rsidR="00051297" w:rsidRPr="00051297" w:rsidRDefault="00051297" w:rsidP="00051297">
      <w:pPr>
        <w:rPr>
          <w:lang w:val="en-US"/>
        </w:rPr>
      </w:pPr>
      <w:r w:rsidRPr="00051297">
        <w:rPr>
          <w:lang w:val="en-US"/>
        </w:rPr>
        <w:t xml:space="preserve">In the seepage analysis, it was important to establish a long-term steady-state using the Steady-state type of analysis before subjecting the embankment to the transient analysis. In that matter, the developed long-term steady conditions were used to feed pore-water pressures to the transient seepage analyses through the “parent” approach. This was a crucial stage or procedure because, as a result of the lengthy storage of any embankment dam, the water penetrating through the embankment will form a steady-state condition of seepage, which must be taken into account during numerical modeling </w:t>
      </w:r>
      <w:r w:rsidRPr="00051297">
        <w:fldChar w:fldCharType="begin" w:fldLock="1"/>
      </w:r>
      <w:r w:rsidRPr="00051297">
        <w:rPr>
          <w:lang w:val="en-US"/>
        </w:rPr>
        <w:instrText>ADDIN CSL_CITATION {"citationItems":[{"id":"ITEM-1","itemData":{"DOI":"10.1680/geot.1973.23.3.423","ISSN":"0016-8505","abstract":"A simple but accurate method of stability analysis of embankments and slopes is developed to determine the critical earthquake acceleration that is required to bring a mass of soil, bounded by a slip line of any shape and the free surface, to a state of limiting equilibrium. At the same time, the usual factor of safety can be determined. It is based on the principle of limiting equilibrium and the method of slices. Effective stress strength parameters are used. A distribution of internal body forces is found based on a simple assumption. This depends on the geometry of the dam and the sliding surface as well as on the strength of the material. Though a computer is used for the calculations presented in the Paper, it is not essential. As in any solution, the physical acceptability of the complete solution must be checked before accepting the result. It is suggested to use the critical acceleration as a measure of the factors of safety.","author":[{"dropping-particle":"","family":"Sarma","given":"S. K.","non-dropping-particle":"","parse-names":false,"suffix":""}],"container-title":"Géotechnique","id":"ITEM-1","issue":"3","issued":{"date-parts":[["1973","9"]]},"page":"423-433","title":"Stability analysis of embankments and slopes","type":"article-journal","volume":"23"},"uris":["http://www.mendeley.com/documents/?uuid=e8660726-0e8b-4528-a231-68f143a8b165","http://www.mendeley.com/documents/?uuid=be419de3-e583-4933-a061-fb06c55618d2","http://www.mendeley.com/documents/?uuid=459c5069-56ee-4fd1-8ff3-6bddbe7d8cbb"]}],"mendeley":{"formattedCitation":"[167]","plainTextFormattedCitation":"[167]","previouslyFormattedCitation":"[167]"},"properties":{"noteIndex":0},"schema":"https://github.com/citation-style-language/schema/raw/master/csl-citation.json"}</w:instrText>
      </w:r>
      <w:r w:rsidRPr="00051297">
        <w:fldChar w:fldCharType="separate"/>
      </w:r>
      <w:r w:rsidRPr="00051297">
        <w:rPr>
          <w:noProof/>
          <w:lang w:val="en-US"/>
        </w:rPr>
        <w:t>[167]</w:t>
      </w:r>
      <w:r w:rsidRPr="00051297">
        <w:fldChar w:fldCharType="end"/>
      </w:r>
      <w:r w:rsidRPr="00051297">
        <w:rPr>
          <w:lang w:val="en-US"/>
        </w:rPr>
        <w:t>.</w:t>
      </w:r>
    </w:p>
    <w:p w14:paraId="7C3A9ED2" w14:textId="66F3A767" w:rsidR="00051297" w:rsidRPr="00051297" w:rsidRDefault="00051297" w:rsidP="00051297">
      <w:pPr>
        <w:rPr>
          <w:lang w:val="en-US"/>
        </w:rPr>
      </w:pPr>
      <w:r w:rsidRPr="00051297">
        <w:rPr>
          <w:lang w:val="en-US"/>
        </w:rPr>
        <w:t xml:space="preserve">However, as previously mentioned, the numerical modeling process consisted of several drawdown rates (instantaneous, 5 days drawdown, 10 days drawdown, and 1 m per day drawdown rate) and isotropic hydraulic conductivity values. To model the transient flow through varying </w:t>
      </w:r>
      <w:r w:rsidRPr="00051297">
        <w:rPr>
          <w:lang w:val="en-US"/>
        </w:rPr>
        <w:lastRenderedPageBreak/>
        <w:t xml:space="preserve">water levels as the reservoir was being drained, linear functions were specified as a boundary condition on the upstream face of the embankment. It is also worth highlighting that the transient flow analyses received pore-water pressures from seepage analyses. </w:t>
      </w:r>
      <w:r w:rsidRPr="00051297">
        <w:rPr>
          <w:lang w:val="en-US"/>
        </w:rPr>
        <w:fldChar w:fldCharType="begin"/>
      </w:r>
      <w:r w:rsidRPr="00051297">
        <w:rPr>
          <w:lang w:val="en-US"/>
        </w:rPr>
        <w:instrText xml:space="preserve"> REF _Ref98108063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44</w:t>
      </w:r>
      <w:r w:rsidRPr="00051297">
        <w:rPr>
          <w:lang w:val="en-US"/>
        </w:rPr>
        <w:fldChar w:fldCharType="end"/>
      </w:r>
      <w:r w:rsidRPr="00051297">
        <w:rPr>
          <w:lang w:val="en-US"/>
        </w:rPr>
        <w:t xml:space="preserve"> presents the summary of the drawdown boundary conditions for the 5 days drawdown, 10 days drawdown, and 1 m per-day drawdown rates.</w:t>
      </w:r>
    </w:p>
    <w:tbl>
      <w:tblPr>
        <w:tblStyle w:val="TableGrid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8"/>
        <w:gridCol w:w="4416"/>
      </w:tblGrid>
      <w:tr w:rsidR="006568FB" w:rsidRPr="00051297" w14:paraId="7F0753F7" w14:textId="1D397E79" w:rsidTr="006568FB">
        <w:trPr>
          <w:jc w:val="center"/>
        </w:trPr>
        <w:tc>
          <w:tcPr>
            <w:tcW w:w="6020" w:type="dxa"/>
          </w:tcPr>
          <w:p w14:paraId="440E98C3" w14:textId="6892D5D9" w:rsidR="006568FB" w:rsidRPr="00051297" w:rsidRDefault="006568FB" w:rsidP="006568FB">
            <w:pPr>
              <w:ind w:firstLine="0"/>
              <w:jc w:val="center"/>
              <w:rPr>
                <w:rFonts w:cs="Times New Roman"/>
                <w:szCs w:val="24"/>
                <w:lang w:val="en-US"/>
              </w:rPr>
            </w:pPr>
            <w:r w:rsidRPr="00E35048">
              <w:rPr>
                <w:rFonts w:cs="Times New Roman"/>
                <w:noProof/>
                <w:szCs w:val="24"/>
                <w:lang w:val="en-US"/>
              </w:rPr>
              <w:drawing>
                <wp:inline distT="0" distB="0" distL="0" distR="0" wp14:anchorId="74FC927E" wp14:editId="73F66ACC">
                  <wp:extent cx="2663716" cy="2880000"/>
                  <wp:effectExtent l="0" t="0" r="381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663716" cy="2880000"/>
                          </a:xfrm>
                          <a:prstGeom prst="rect">
                            <a:avLst/>
                          </a:prstGeom>
                          <a:noFill/>
                          <a:ln>
                            <a:noFill/>
                          </a:ln>
                        </pic:spPr>
                      </pic:pic>
                    </a:graphicData>
                  </a:graphic>
                </wp:inline>
              </w:drawing>
            </w:r>
          </w:p>
        </w:tc>
        <w:tc>
          <w:tcPr>
            <w:tcW w:w="3239" w:type="dxa"/>
          </w:tcPr>
          <w:p w14:paraId="41B5B283" w14:textId="082CFB21" w:rsidR="006568FB" w:rsidRPr="00E35048" w:rsidRDefault="006568FB" w:rsidP="006568FB">
            <w:pPr>
              <w:ind w:firstLine="0"/>
              <w:jc w:val="center"/>
              <w:rPr>
                <w:rFonts w:cs="Times New Roman"/>
                <w:noProof/>
                <w:szCs w:val="24"/>
                <w:lang w:val="en-US"/>
              </w:rPr>
            </w:pPr>
            <w:r w:rsidRPr="00E35048">
              <w:rPr>
                <w:rFonts w:cs="Times New Roman"/>
                <w:noProof/>
                <w:szCs w:val="24"/>
                <w:lang w:val="en-US"/>
              </w:rPr>
              <w:drawing>
                <wp:inline distT="0" distB="0" distL="0" distR="0" wp14:anchorId="40AAD331" wp14:editId="7474CD19">
                  <wp:extent cx="2663715" cy="2880000"/>
                  <wp:effectExtent l="0" t="0" r="381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663715" cy="2880000"/>
                          </a:xfrm>
                          <a:prstGeom prst="rect">
                            <a:avLst/>
                          </a:prstGeom>
                          <a:noFill/>
                          <a:ln>
                            <a:noFill/>
                          </a:ln>
                        </pic:spPr>
                      </pic:pic>
                    </a:graphicData>
                  </a:graphic>
                </wp:inline>
              </w:drawing>
            </w:r>
          </w:p>
        </w:tc>
      </w:tr>
      <w:tr w:rsidR="006568FB" w:rsidRPr="00051297" w14:paraId="521039E2" w14:textId="728E1B29" w:rsidTr="006568FB">
        <w:trPr>
          <w:jc w:val="center"/>
        </w:trPr>
        <w:tc>
          <w:tcPr>
            <w:tcW w:w="6020" w:type="dxa"/>
          </w:tcPr>
          <w:p w14:paraId="7C9DF014" w14:textId="6422D7B9" w:rsidR="006568FB" w:rsidRPr="00051297" w:rsidRDefault="006568FB" w:rsidP="006568FB">
            <w:pPr>
              <w:keepNext/>
              <w:ind w:firstLine="0"/>
              <w:jc w:val="center"/>
              <w:rPr>
                <w:rFonts w:cs="Times New Roman"/>
                <w:szCs w:val="24"/>
                <w:lang w:val="en-US"/>
              </w:rPr>
            </w:pPr>
            <w:r w:rsidRPr="00051297">
              <w:rPr>
                <w:rFonts w:cs="Times New Roman"/>
                <w:szCs w:val="24"/>
                <w:lang w:val="en-US"/>
              </w:rPr>
              <w:t>(a)</w:t>
            </w:r>
          </w:p>
        </w:tc>
        <w:tc>
          <w:tcPr>
            <w:tcW w:w="3239" w:type="dxa"/>
          </w:tcPr>
          <w:p w14:paraId="50B4F05A" w14:textId="0EE98063" w:rsidR="006568FB" w:rsidRPr="00E35048" w:rsidRDefault="006568FB" w:rsidP="006568FB">
            <w:pPr>
              <w:keepNext/>
              <w:ind w:firstLine="0"/>
              <w:jc w:val="center"/>
              <w:rPr>
                <w:rFonts w:cs="Times New Roman"/>
                <w:noProof/>
                <w:szCs w:val="24"/>
                <w:lang w:val="en-US"/>
              </w:rPr>
            </w:pPr>
            <w:r w:rsidRPr="00051297">
              <w:rPr>
                <w:rFonts w:cs="Times New Roman"/>
                <w:szCs w:val="24"/>
                <w:lang w:val="en-US"/>
              </w:rPr>
              <w:t>(b)</w:t>
            </w:r>
          </w:p>
        </w:tc>
      </w:tr>
    </w:tbl>
    <w:p w14:paraId="53896E70" w14:textId="48506A03" w:rsidR="00051297" w:rsidRPr="00051297" w:rsidRDefault="00051297" w:rsidP="00051297">
      <w:pPr>
        <w:ind w:firstLine="0"/>
        <w:jc w:val="center"/>
        <w:rPr>
          <w:lang w:val="en-US"/>
        </w:rPr>
      </w:pPr>
      <w:bookmarkStart w:id="1395" w:name="_Ref98108063"/>
      <w:bookmarkStart w:id="1396" w:name="_Toc97428306"/>
      <w:bookmarkStart w:id="1397" w:name="_Toc98085982"/>
      <w:bookmarkStart w:id="1398" w:name="_Toc103544177"/>
      <w:bookmarkStart w:id="1399" w:name="_Toc104985503"/>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44</w:t>
      </w:r>
      <w:r w:rsidR="00527861">
        <w:rPr>
          <w:lang w:val="en-US"/>
        </w:rPr>
        <w:fldChar w:fldCharType="end"/>
      </w:r>
      <w:bookmarkEnd w:id="1395"/>
      <w:r w:rsidRPr="0079595C">
        <w:rPr>
          <w:lang w:val="en-US"/>
        </w:rPr>
        <w:t xml:space="preserve"> </w:t>
      </w:r>
      <w:r w:rsidRPr="00051297">
        <w:rPr>
          <w:lang w:val="en-US"/>
        </w:rPr>
        <w:t>– Boundary conditions</w:t>
      </w:r>
      <w:bookmarkEnd w:id="1396"/>
      <w:bookmarkEnd w:id="1397"/>
      <w:r w:rsidR="006568FB">
        <w:rPr>
          <w:lang w:val="en-US"/>
        </w:rPr>
        <w:t>:</w:t>
      </w:r>
      <w:r w:rsidRPr="00051297">
        <w:rPr>
          <w:lang w:val="en-US"/>
        </w:rPr>
        <w:t xml:space="preserve"> a) 10 days drawdown rate; b) 1 m per day drawdown rate</w:t>
      </w:r>
      <w:bookmarkEnd w:id="1398"/>
      <w:bookmarkEnd w:id="1399"/>
    </w:p>
    <w:p w14:paraId="5A5EA8A3" w14:textId="2A09843E" w:rsidR="00051297" w:rsidRPr="00051297" w:rsidRDefault="00051297" w:rsidP="00141AA5">
      <w:pPr>
        <w:pStyle w:val="4"/>
        <w:rPr>
          <w:rFonts w:eastAsia="Calibri"/>
        </w:rPr>
      </w:pPr>
      <w:bookmarkStart w:id="1400" w:name="_Toc97504883"/>
      <w:bookmarkStart w:id="1401" w:name="_Toc103544020"/>
      <w:bookmarkStart w:id="1402" w:name="_Toc104985345"/>
      <w:r w:rsidRPr="00051297">
        <w:rPr>
          <w:rFonts w:eastAsia="Calibri"/>
        </w:rPr>
        <w:t>Slope stability analysis</w:t>
      </w:r>
      <w:bookmarkEnd w:id="1400"/>
      <w:bookmarkEnd w:id="1401"/>
      <w:bookmarkEnd w:id="1402"/>
    </w:p>
    <w:p w14:paraId="7C7848E8" w14:textId="6DA85152" w:rsidR="00051297" w:rsidRPr="00051297" w:rsidRDefault="00051297" w:rsidP="00051297">
      <w:pPr>
        <w:rPr>
          <w:lang w:val="en-US"/>
        </w:rPr>
      </w:pPr>
      <w:r w:rsidRPr="00051297">
        <w:rPr>
          <w:lang w:val="en-US"/>
        </w:rPr>
        <w:t xml:space="preserve">As previously mentioned, the slope stability models received their pore-water pressures from the seepage analysis models. The slope stability modeling is generally based on the Morgenstern–Price approach, which is a general method of slices established based on the limit equilibrium. Its application requires the fulfillment of equilibrium of forces and moments acting on individual blocks.  To generate the blocks, the soil above the slip surface has to be divided by dividing planes </w:t>
      </w:r>
      <w:r w:rsidRPr="00051297">
        <w:fldChar w:fldCharType="begin" w:fldLock="1"/>
      </w:r>
      <w:r w:rsidR="00FA5896">
        <w:rPr>
          <w:lang w:val="en-US"/>
        </w:rPr>
        <w:instrText>ADDIN CSL_CITATION {"citationItems":[{"id":"ITEM-1","itemData":{"DOI":"10.1007/978-3-319-07167-1_20","author":[{"dropping-particle":"","family":"Atashband","given":"Shaham","non-dropping-particle":"","parse-names":false,"suffix":""}],"container-title":"Numerical Methods for Reliability and Safety Assessment","id":"ITEM-1","issued":{"date-parts":[["2015"]]},"title":"Evaluate Reliability of Morgenstern–Price Method in Vertical Excavations","type":"chapter"},"uris":["http://www.mendeley.com/documents/?uuid=8c6d588f-6adc-4e67-99ff-d3122baed7d1"]}],"mendeley":{"formattedCitation":"[279]","plainTextFormattedCitation":"[279]","previouslyFormattedCitation":"[279]"},"properties":{"noteIndex":0},"schema":"https://github.com/citation-style-language/schema/raw/master/csl-citation.json"}</w:instrText>
      </w:r>
      <w:r w:rsidRPr="00051297">
        <w:fldChar w:fldCharType="separate"/>
      </w:r>
      <w:r w:rsidR="0032684D" w:rsidRPr="0032684D">
        <w:rPr>
          <w:noProof/>
          <w:lang w:val="en-US"/>
        </w:rPr>
        <w:t>[279]</w:t>
      </w:r>
      <w:r w:rsidRPr="00051297">
        <w:fldChar w:fldCharType="end"/>
      </w:r>
      <w:r w:rsidRPr="00051297">
        <w:rPr>
          <w:lang w:val="en-US"/>
        </w:rPr>
        <w:t xml:space="preserve">. Generally, the method is a limit equilibrium approach used to assess the factor of safety value of the potential failure mass based on satisfaction of both force and moment equilibrium </w:t>
      </w:r>
      <w:r w:rsidRPr="00051297">
        <w:fldChar w:fldCharType="begin" w:fldLock="1"/>
      </w:r>
      <w:r w:rsidRPr="00051297">
        <w:rPr>
          <w:lang w:val="en-US"/>
        </w:rPr>
        <w:instrText>ADDIN CSL_CITATION {"citationItems":[{"id":"ITEM-1","itemData":{"DOI":"10.1139/t04-072","ISSN":"0008-3674","abstract":"A concise algorithm is proposed in this paper for the calculation of the factor of safety of a slope using the Morgenstern–Price method. Based on force and moment equilibrium considerations, two expressions are derived for the factor of safety F s and the scaling factor λ, respectively, both in relatively simple forms. With this algorithm and assumed initial values of F s and λ, the solutions for F s and λ are found to converge within a few iterations. Compared to other procedures, the present algorithm possesses the advantages of simplicity and high efficiency in application. It is rather straightforward to implement this algorithm into a computer program.Key words: slope, stability, factor of safety, limit equilibrium method.","author":[{"dropping-particle":"","family":"Zhu","given":"D. Y.","non-dropping-particle":"","parse-names":false,"suffix":""},{"dropping-particle":"","family":"Lee","given":"C. F.","non-dropping-particle":"","parse-names":false,"suffix":""},{"dropping-particle":"","family":"Qian","given":"Q. H.","non-dropping-particle":"","parse-names":false,"suffix":""},{"dropping-particle":"","family":"Chen","given":"G. R.","non-dropping-particle":"","parse-names":false,"suffix":""}],"container-title":"Canadian Geotechnical Journal","id":"ITEM-1","issue":"1","issued":{"date-parts":[["2005","2"]]},"page":"272-278","title":"A concise algorithm for computing the factor of safety using the Morgenstern&amp;#150;Price method","type":"article-journal","volume":"42"},"uris":["http://www.mendeley.com/documents/?uuid=4c44d2ce-b66d-44c2-8c87-19f0b93dab82","http://www.mendeley.com/documents/?uuid=d648caa3-add9-4421-8416-651a2ea39032","http://www.mendeley.com/documents/?uuid=52ab2855-a761-4faf-8047-8848c7c03357"]}],"mendeley":{"formattedCitation":"[160]","plainTextFormattedCitation":"[160]","previouslyFormattedCitation":"[160]"},"properties":{"noteIndex":0},"schema":"https://github.com/citation-style-language/schema/raw/master/csl-citation.json"}</w:instrText>
      </w:r>
      <w:r w:rsidRPr="00051297">
        <w:fldChar w:fldCharType="separate"/>
      </w:r>
      <w:r w:rsidRPr="00051297">
        <w:rPr>
          <w:noProof/>
          <w:lang w:val="en-US"/>
        </w:rPr>
        <w:t>[160]</w:t>
      </w:r>
      <w:r w:rsidRPr="00051297">
        <w:fldChar w:fldCharType="end"/>
      </w:r>
      <w:r w:rsidRPr="00051297">
        <w:rPr>
          <w:lang w:val="en-US"/>
        </w:rPr>
        <w:t>.</w:t>
      </w:r>
    </w:p>
    <w:p w14:paraId="2D91E85D" w14:textId="77777777" w:rsidR="00051297" w:rsidRPr="00051297" w:rsidRDefault="00051297" w:rsidP="00051297">
      <w:pPr>
        <w:rPr>
          <w:lang w:val="en-US"/>
        </w:rPr>
      </w:pPr>
      <w:r w:rsidRPr="00051297">
        <w:rPr>
          <w:lang w:val="en-US"/>
        </w:rPr>
        <w:t xml:space="preserve">In this study, the Morgenstern–Price approach was selected due to the fact that it is capable of satisfying the equilibrium conditions and involves the least numerical difficulty </w:t>
      </w:r>
      <w:r w:rsidRPr="00051297">
        <w:rPr>
          <w:rFonts w:eastAsia="Times New Roman"/>
        </w:rPr>
        <w:fldChar w:fldCharType="begin" w:fldLock="1"/>
      </w:r>
      <w:r w:rsidRPr="00051297">
        <w:rPr>
          <w:rFonts w:eastAsia="Times New Roman"/>
          <w:lang w:val="en-US"/>
        </w:rPr>
        <w:instrText>ADDIN CSL_CITATION {"citationItems":[{"id":"ITEM-1","itemData":{"DOI":"10.1680/geot.1968.18.3.393","ISSN":"0016-8505","author":[{"dropping-particle":"","family":"Price","given":"V. E.","non-dropping-particle":"","parse-names":false,"suffix":""},{"dropping-particle":"","family":"Morgenstern","given":"N. R.","non-dropping-particle":"","parse-names":false,"suffix":""}],"container-title":"Géotechnique","id":"ITEM-1","issue":"3","issued":{"date-parts":[["1968","9"]]},"page":"393-394","title":"The Analysis of The Stability of General Slip Surfaces","type":"article-journal","volume":"18"},"uris":["http://www.mendeley.com/documents/?uuid=d0b31e75-62e1-4387-8073-fc2905c9cd2b","http://www.mendeley.com/documents/?uuid=19fb8d01-b742-42d0-93f0-4c305e068c11","http://www.mendeley.com/documents/?uuid=42be2362-ebd5-4210-91f9-afd267bc7b69"]}],"mendeley":{"formattedCitation":"[158]","plainTextFormattedCitation":"[158]","previouslyFormattedCitation":"[158]"},"properties":{"noteIndex":0},"schema":"https://github.com/citation-style-language/schema/raw/master/csl-citation.json"}</w:instrText>
      </w:r>
      <w:r w:rsidRPr="00051297">
        <w:rPr>
          <w:rFonts w:eastAsia="Times New Roman"/>
        </w:rPr>
        <w:fldChar w:fldCharType="separate"/>
      </w:r>
      <w:r w:rsidRPr="00051297">
        <w:rPr>
          <w:rFonts w:eastAsia="Times New Roman"/>
          <w:noProof/>
          <w:lang w:val="en-US"/>
        </w:rPr>
        <w:t>[158]</w:t>
      </w:r>
      <w:r w:rsidRPr="00051297">
        <w:rPr>
          <w:rFonts w:eastAsia="Times New Roman"/>
        </w:rPr>
        <w:fldChar w:fldCharType="end"/>
      </w:r>
      <w:r w:rsidRPr="00051297">
        <w:rPr>
          <w:lang w:val="en-US"/>
        </w:rPr>
        <w:t xml:space="preserve">. Furthermore, the Morgenstern–Price technique assumes that the ratio of normal to shear interslice forces through the sliding mass is described by an interslice force function that is the product of a given function f (x) and an unknown scaling factor </w:t>
      </w:r>
      <w:r w:rsidRPr="00051297">
        <w:t>λ</w:t>
      </w:r>
      <w:r w:rsidRPr="00051297">
        <w:rPr>
          <w:lang w:val="en-US"/>
        </w:rPr>
        <w:t>.</w:t>
      </w:r>
    </w:p>
    <w:p w14:paraId="518C09D5" w14:textId="12A48EF8" w:rsidR="00051297" w:rsidRPr="00051297" w:rsidRDefault="00051297" w:rsidP="00051297">
      <w:pPr>
        <w:tabs>
          <w:tab w:val="left" w:pos="993"/>
        </w:tabs>
        <w:rPr>
          <w:lang w:val="en-US"/>
        </w:rPr>
      </w:pPr>
      <w:r w:rsidRPr="00051297">
        <w:rPr>
          <w:lang w:val="en-US"/>
        </w:rPr>
        <w:t xml:space="preserve">Several assumptions were incorporated in the formulation of the Morgenstern-Price method to compute the limit equilibrium of forces and moment on individual blocks </w:t>
      </w:r>
      <w:bookmarkStart w:id="1403" w:name="_Hlk90550303"/>
      <w:r w:rsidRPr="00051297">
        <w:fldChar w:fldCharType="begin" w:fldLock="1"/>
      </w:r>
      <w:r w:rsidRPr="00051297">
        <w:rPr>
          <w:lang w:val="en-US"/>
        </w:rPr>
        <w:instrText>ADDIN CSL_CITATION {"citationItems":[{"id":"ITEM-1","itemData":{"DOI":"10.1680/geot.1968.18.3.393","ISSN":"0016-8505","author":[{"dropping-particle":"","family":"Price","given":"V. E.","non-dropping-particle":"","parse-names":false,"suffix":""},{"dropping-particle":"","family":"Morgenstern","given":"N. R.","non-dropping-particle":"","parse-names":false,"suffix":""}],"container-title":"Géotechnique","id":"ITEM-1","issue":"3","issued":{"date-parts":[["1968","9"]]},"page":"393-394","title":"The Analysis of The Stability of General Slip Surfaces","type":"article-journal","volume":"18"},"uris":["http://www.mendeley.com/documents/?uuid=d0b31e75-62e1-4387-8073-fc2905c9cd2b","http://www.mendeley.com/documents/?uuid=19fb8d01-b742-42d0-93f0-4c305e068c11","http://www.mendeley.com/documents/?uuid=42be2362-ebd5-4210-91f9-afd267bc7b69"]}],"mendeley":{"formattedCitation":"[158]","plainTextFormattedCitation":"[158]","previouslyFormattedCitation":"[158]"},"properties":{"noteIndex":0},"schema":"https://github.com/citation-style-language/schema/raw/master/csl-citation.json"}</w:instrText>
      </w:r>
      <w:r w:rsidRPr="00051297">
        <w:fldChar w:fldCharType="separate"/>
      </w:r>
      <w:r w:rsidRPr="00051297">
        <w:rPr>
          <w:noProof/>
          <w:lang w:val="en-US"/>
        </w:rPr>
        <w:t>[158]</w:t>
      </w:r>
      <w:r w:rsidRPr="00051297">
        <w:fldChar w:fldCharType="end"/>
      </w:r>
      <w:bookmarkEnd w:id="1403"/>
      <w:r w:rsidRPr="00051297">
        <w:rPr>
          <w:lang w:val="en-US"/>
        </w:rPr>
        <w:t>:</w:t>
      </w:r>
    </w:p>
    <w:p w14:paraId="04620640" w14:textId="77777777" w:rsidR="00051297" w:rsidRPr="00051297" w:rsidRDefault="00051297" w:rsidP="00051297">
      <w:pPr>
        <w:numPr>
          <w:ilvl w:val="0"/>
          <w:numId w:val="4"/>
        </w:numPr>
        <w:shd w:val="clear" w:color="auto" w:fill="FFFFFF"/>
        <w:tabs>
          <w:tab w:val="left" w:pos="993"/>
        </w:tabs>
        <w:ind w:left="0" w:firstLine="709"/>
        <w:rPr>
          <w:rFonts w:eastAsia="Times New Roman" w:cs="Times New Roman"/>
          <w:szCs w:val="24"/>
          <w:lang w:val="en-US"/>
        </w:rPr>
      </w:pPr>
      <w:r w:rsidRPr="00051297">
        <w:rPr>
          <w:rFonts w:eastAsia="Times New Roman" w:cs="Times New Roman"/>
          <w:szCs w:val="24"/>
          <w:lang w:val="en-US"/>
        </w:rPr>
        <w:lastRenderedPageBreak/>
        <w:t>The planes that divide one block and another are always vertical.</w:t>
      </w:r>
    </w:p>
    <w:p w14:paraId="3F967EDF" w14:textId="77777777" w:rsidR="00051297" w:rsidRPr="00051297" w:rsidRDefault="00051297" w:rsidP="00051297">
      <w:pPr>
        <w:numPr>
          <w:ilvl w:val="0"/>
          <w:numId w:val="4"/>
        </w:numPr>
        <w:shd w:val="clear" w:color="auto" w:fill="FFFFFF"/>
        <w:tabs>
          <w:tab w:val="left" w:pos="993"/>
        </w:tabs>
        <w:ind w:left="0" w:firstLine="709"/>
        <w:rPr>
          <w:rFonts w:eastAsia="Times New Roman" w:cs="Times New Roman"/>
          <w:szCs w:val="24"/>
          <w:lang w:val="en-US"/>
        </w:rPr>
      </w:pPr>
      <w:r w:rsidRPr="00051297">
        <w:rPr>
          <w:rFonts w:eastAsia="Times New Roman" w:cs="Times New Roman"/>
          <w:szCs w:val="24"/>
          <w:lang w:val="en-US"/>
        </w:rPr>
        <w:t>The action line of the weight of the block passes through the center of the particular segment of slip surface represented by a point.</w:t>
      </w:r>
    </w:p>
    <w:p w14:paraId="0B8DFEA4" w14:textId="77777777" w:rsidR="00051297" w:rsidRPr="00051297" w:rsidRDefault="00051297" w:rsidP="00051297">
      <w:pPr>
        <w:numPr>
          <w:ilvl w:val="0"/>
          <w:numId w:val="4"/>
        </w:numPr>
        <w:shd w:val="clear" w:color="auto" w:fill="FFFFFF"/>
        <w:tabs>
          <w:tab w:val="left" w:pos="993"/>
        </w:tabs>
        <w:ind w:left="0" w:firstLine="709"/>
        <w:rPr>
          <w:rFonts w:eastAsia="Times New Roman" w:cs="Times New Roman"/>
          <w:szCs w:val="24"/>
          <w:lang w:val="en-US"/>
        </w:rPr>
      </w:pPr>
      <w:r w:rsidRPr="00051297">
        <w:rPr>
          <w:rFonts w:eastAsia="Times New Roman" w:cs="Times New Roman"/>
          <w:szCs w:val="24"/>
          <w:lang w:val="en-US"/>
        </w:rPr>
        <w:t>The normal force is acting in the center of the particular segment of the slip surface at a point.</w:t>
      </w:r>
    </w:p>
    <w:p w14:paraId="616E93F2" w14:textId="77777777" w:rsidR="00051297" w:rsidRPr="00051297" w:rsidRDefault="00051297" w:rsidP="00051297">
      <w:pPr>
        <w:numPr>
          <w:ilvl w:val="0"/>
          <w:numId w:val="4"/>
        </w:numPr>
        <w:shd w:val="clear" w:color="auto" w:fill="FFFFFF"/>
        <w:tabs>
          <w:tab w:val="left" w:pos="993"/>
        </w:tabs>
        <w:ind w:left="0" w:firstLine="709"/>
        <w:rPr>
          <w:rFonts w:eastAsia="Times New Roman" w:cs="Times New Roman"/>
          <w:szCs w:val="24"/>
          <w:lang w:val="en-US"/>
        </w:rPr>
      </w:pPr>
      <w:r w:rsidRPr="00051297">
        <w:rPr>
          <w:rFonts w:eastAsia="Times New Roman" w:cs="Times New Roman"/>
          <w:szCs w:val="24"/>
          <w:lang w:val="en-US"/>
        </w:rPr>
        <w:t>The inclination of forces acting between blocks is different on each block at slip surface endpoints.</w:t>
      </w:r>
    </w:p>
    <w:p w14:paraId="6A2E97DC" w14:textId="10EDB4DE" w:rsidR="00051297" w:rsidRPr="00051297" w:rsidRDefault="00051297" w:rsidP="00141AA5">
      <w:pPr>
        <w:pStyle w:val="4"/>
        <w:rPr>
          <w:rFonts w:eastAsia="Calibri"/>
        </w:rPr>
      </w:pPr>
      <w:bookmarkStart w:id="1404" w:name="_Toc97504884"/>
      <w:bookmarkStart w:id="1405" w:name="_Toc103544021"/>
      <w:bookmarkStart w:id="1406" w:name="_Toc104985346"/>
      <w:r w:rsidRPr="00051297">
        <w:rPr>
          <w:rFonts w:eastAsia="Calibri"/>
        </w:rPr>
        <w:t>Material characteristics</w:t>
      </w:r>
      <w:bookmarkEnd w:id="1404"/>
      <w:bookmarkEnd w:id="1405"/>
      <w:bookmarkEnd w:id="1406"/>
    </w:p>
    <w:p w14:paraId="1884B0CF" w14:textId="5B5E2E4B" w:rsidR="00051297" w:rsidRPr="00051297" w:rsidRDefault="00051297" w:rsidP="00051297">
      <w:pPr>
        <w:rPr>
          <w:lang w:val="en-US"/>
        </w:rPr>
      </w:pPr>
      <w:r w:rsidRPr="00051297">
        <w:rPr>
          <w:lang w:val="en-US"/>
        </w:rPr>
        <w:t xml:space="preserve">The embankment was divided into different zones, and each zone was assigned a specific type of material based on the heterogeneity of the Aktobe dam. Zone 1 was composed of more non-cohesive materials (coarse materials) mixed with some fine materials with fixed hydraulic conductivity based on the dam material characteristics. Zones 2 (a) and (b) were also characterized by non-cohesive soil (filter materials) with more sand and gravel. On the other hand, Zone 3 was mainly composed of relatively high cohesive soil material, including fine-grained materials (clay). Moreover, Zone 4 was mainly composed of coarse material with relatively very little content of fines materials. In general, the liquid from all the zones ranged from 18% to 52%.  From </w:t>
      </w:r>
      <w:r w:rsidRPr="00051297">
        <w:rPr>
          <w:lang w:val="en-US"/>
        </w:rPr>
        <w:fldChar w:fldCharType="begin"/>
      </w:r>
      <w:r w:rsidRPr="00051297">
        <w:rPr>
          <w:lang w:val="en-US"/>
        </w:rPr>
        <w:instrText xml:space="preserve"> REF _Ref98108118 \h </w:instrText>
      </w:r>
      <w:r w:rsidRPr="00051297">
        <w:rPr>
          <w:lang w:val="en-US"/>
        </w:rPr>
      </w:r>
      <w:r w:rsidRPr="00051297">
        <w:rPr>
          <w:lang w:val="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12</w:t>
      </w:r>
      <w:r w:rsidRPr="00051297">
        <w:rPr>
          <w:lang w:val="en-US"/>
        </w:rPr>
        <w:fldChar w:fldCharType="end"/>
      </w:r>
      <w:r w:rsidRPr="00051297">
        <w:rPr>
          <w:lang w:val="en-US"/>
        </w:rPr>
        <w:t xml:space="preserve">, it can be observed that some other parameters such as diameter at passing 10%, diameter at passing 60%, internal angle of friction (degree), as well as unit weight were specified in the model. </w:t>
      </w:r>
      <w:r w:rsidRPr="00051297">
        <w:rPr>
          <w:lang w:val="en-US"/>
        </w:rPr>
        <w:fldChar w:fldCharType="begin"/>
      </w:r>
      <w:r w:rsidRPr="00051297">
        <w:rPr>
          <w:lang w:val="en-US"/>
        </w:rPr>
        <w:instrText xml:space="preserve"> REF _Ref98108082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45</w:t>
      </w:r>
      <w:r w:rsidRPr="00051297">
        <w:rPr>
          <w:lang w:val="en-US"/>
        </w:rPr>
        <w:fldChar w:fldCharType="end"/>
      </w:r>
      <w:r w:rsidRPr="00051297">
        <w:rPr>
          <w:lang w:val="en-US"/>
        </w:rPr>
        <w:t xml:space="preserve"> presents the summary of the volumetric water content and hydraulic conductivity functions assigned to the model from Zone 1 and 2.</w:t>
      </w:r>
    </w:p>
    <w:p w14:paraId="357FBF87" w14:textId="77777777" w:rsidR="00051297" w:rsidRPr="00051297" w:rsidRDefault="00051297" w:rsidP="00051297">
      <w:pPr>
        <w:ind w:firstLine="562"/>
        <w:rPr>
          <w:rFonts w:eastAsia="Calibri" w:cs="Times New Roman"/>
          <w:color w:val="FF0000"/>
          <w:szCs w:val="24"/>
          <w:lang w:val="en-US"/>
        </w:rPr>
      </w:pPr>
    </w:p>
    <w:tbl>
      <w:tblPr>
        <w:tblStyle w:val="TableGrid3"/>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7"/>
        <w:gridCol w:w="4593"/>
      </w:tblGrid>
      <w:tr w:rsidR="00051297" w:rsidRPr="00051297" w14:paraId="7A8F1BC6" w14:textId="77777777" w:rsidTr="00D20B01">
        <w:tc>
          <w:tcPr>
            <w:tcW w:w="4587" w:type="dxa"/>
          </w:tcPr>
          <w:p w14:paraId="00E37F14" w14:textId="588593E7" w:rsidR="00051297" w:rsidRPr="00051297" w:rsidRDefault="00F57871" w:rsidP="00051297">
            <w:pPr>
              <w:ind w:firstLine="0"/>
              <w:jc w:val="center"/>
              <w:rPr>
                <w:rFonts w:cs="Times New Roman"/>
                <w:szCs w:val="24"/>
                <w:lang w:val="en-US"/>
              </w:rPr>
            </w:pPr>
            <w:r w:rsidRPr="00F57871">
              <w:rPr>
                <w:rFonts w:cs="Times New Roman"/>
                <w:noProof/>
                <w:szCs w:val="24"/>
                <w:lang w:val="en-US"/>
              </w:rPr>
              <w:drawing>
                <wp:inline distT="0" distB="0" distL="0" distR="0" wp14:anchorId="00EE5F8D" wp14:editId="518A392A">
                  <wp:extent cx="2705100" cy="2924745"/>
                  <wp:effectExtent l="0" t="0" r="0" b="952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25671" cy="2946986"/>
                          </a:xfrm>
                          <a:prstGeom prst="rect">
                            <a:avLst/>
                          </a:prstGeom>
                          <a:noFill/>
                          <a:ln>
                            <a:noFill/>
                          </a:ln>
                        </pic:spPr>
                      </pic:pic>
                    </a:graphicData>
                  </a:graphic>
                </wp:inline>
              </w:drawing>
            </w:r>
          </w:p>
          <w:p w14:paraId="328EDE5C" w14:textId="77777777" w:rsidR="00051297" w:rsidRPr="00051297" w:rsidRDefault="00051297" w:rsidP="00051297">
            <w:pPr>
              <w:ind w:firstLine="562"/>
              <w:jc w:val="center"/>
              <w:rPr>
                <w:rFonts w:cs="Times New Roman"/>
                <w:szCs w:val="24"/>
                <w:lang w:val="en-US"/>
              </w:rPr>
            </w:pPr>
            <w:r w:rsidRPr="00051297">
              <w:rPr>
                <w:rFonts w:cs="Times New Roman"/>
                <w:szCs w:val="24"/>
                <w:lang w:val="en-US"/>
              </w:rPr>
              <w:t>(a)</w:t>
            </w:r>
          </w:p>
        </w:tc>
        <w:tc>
          <w:tcPr>
            <w:tcW w:w="4593" w:type="dxa"/>
          </w:tcPr>
          <w:p w14:paraId="2DF53CD3" w14:textId="341A6B64" w:rsidR="00051297" w:rsidRPr="00051297" w:rsidRDefault="00F57871" w:rsidP="00051297">
            <w:pPr>
              <w:ind w:firstLine="0"/>
              <w:jc w:val="center"/>
              <w:rPr>
                <w:rFonts w:cs="Times New Roman"/>
                <w:szCs w:val="24"/>
                <w:lang w:val="en-US"/>
              </w:rPr>
            </w:pPr>
            <w:r w:rsidRPr="00F57871">
              <w:rPr>
                <w:rFonts w:cs="Times New Roman"/>
                <w:noProof/>
                <w:szCs w:val="24"/>
                <w:lang w:val="en-US"/>
              </w:rPr>
              <w:drawing>
                <wp:inline distT="0" distB="0" distL="0" distR="0" wp14:anchorId="1CDADF16" wp14:editId="3EBFDA2C">
                  <wp:extent cx="2704573" cy="2924175"/>
                  <wp:effectExtent l="0" t="0" r="635"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714757" cy="2935186"/>
                          </a:xfrm>
                          <a:prstGeom prst="rect">
                            <a:avLst/>
                          </a:prstGeom>
                          <a:noFill/>
                          <a:ln>
                            <a:noFill/>
                          </a:ln>
                        </pic:spPr>
                      </pic:pic>
                    </a:graphicData>
                  </a:graphic>
                </wp:inline>
              </w:drawing>
            </w:r>
          </w:p>
          <w:p w14:paraId="342B41FB" w14:textId="77777777" w:rsidR="00051297" w:rsidRPr="00051297" w:rsidRDefault="00051297" w:rsidP="00051297">
            <w:pPr>
              <w:ind w:firstLine="562"/>
              <w:jc w:val="center"/>
              <w:rPr>
                <w:rFonts w:cs="Times New Roman"/>
                <w:szCs w:val="24"/>
                <w:lang w:val="en-US"/>
              </w:rPr>
            </w:pPr>
            <w:r w:rsidRPr="00051297">
              <w:rPr>
                <w:rFonts w:cs="Times New Roman"/>
                <w:szCs w:val="24"/>
                <w:lang w:val="en-US"/>
              </w:rPr>
              <w:t>(b)</w:t>
            </w:r>
          </w:p>
        </w:tc>
      </w:tr>
      <w:tr w:rsidR="00051297" w:rsidRPr="00051297" w14:paraId="0F981B7B" w14:textId="77777777" w:rsidTr="00D20B01">
        <w:tc>
          <w:tcPr>
            <w:tcW w:w="4587" w:type="dxa"/>
          </w:tcPr>
          <w:p w14:paraId="5F297E77" w14:textId="428C245C" w:rsidR="00051297" w:rsidRPr="00051297" w:rsidRDefault="00F57871" w:rsidP="00051297">
            <w:pPr>
              <w:ind w:firstLine="0"/>
              <w:jc w:val="center"/>
              <w:rPr>
                <w:rFonts w:cs="Times New Roman"/>
                <w:szCs w:val="24"/>
                <w:lang w:val="en-US"/>
              </w:rPr>
            </w:pPr>
            <w:r w:rsidRPr="00F57871">
              <w:rPr>
                <w:rFonts w:cs="Times New Roman"/>
                <w:noProof/>
                <w:szCs w:val="24"/>
                <w:lang w:val="en-US"/>
              </w:rPr>
              <w:lastRenderedPageBreak/>
              <w:drawing>
                <wp:inline distT="0" distB="0" distL="0" distR="0" wp14:anchorId="2993A816" wp14:editId="6121A29F">
                  <wp:extent cx="2714625" cy="2935043"/>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721821" cy="2942823"/>
                          </a:xfrm>
                          <a:prstGeom prst="rect">
                            <a:avLst/>
                          </a:prstGeom>
                          <a:noFill/>
                          <a:ln>
                            <a:noFill/>
                          </a:ln>
                        </pic:spPr>
                      </pic:pic>
                    </a:graphicData>
                  </a:graphic>
                </wp:inline>
              </w:drawing>
            </w:r>
          </w:p>
          <w:p w14:paraId="55E5834E" w14:textId="77777777" w:rsidR="00051297" w:rsidRPr="00051297" w:rsidRDefault="00051297" w:rsidP="00051297">
            <w:pPr>
              <w:ind w:firstLine="562"/>
              <w:jc w:val="center"/>
              <w:rPr>
                <w:rFonts w:cs="Times New Roman"/>
                <w:szCs w:val="24"/>
                <w:lang w:val="en-US"/>
              </w:rPr>
            </w:pPr>
            <w:r w:rsidRPr="00051297">
              <w:rPr>
                <w:rFonts w:cs="Times New Roman"/>
                <w:szCs w:val="24"/>
                <w:lang w:val="en-US"/>
              </w:rPr>
              <w:t>(c)</w:t>
            </w:r>
          </w:p>
        </w:tc>
        <w:tc>
          <w:tcPr>
            <w:tcW w:w="4593" w:type="dxa"/>
          </w:tcPr>
          <w:p w14:paraId="60EB2CA3" w14:textId="46B53E4F" w:rsidR="00051297" w:rsidRPr="00051297" w:rsidRDefault="00F57871" w:rsidP="00051297">
            <w:pPr>
              <w:ind w:firstLine="0"/>
              <w:jc w:val="center"/>
              <w:rPr>
                <w:rFonts w:cs="Times New Roman"/>
                <w:szCs w:val="24"/>
                <w:lang w:val="en-US"/>
              </w:rPr>
            </w:pPr>
            <w:r w:rsidRPr="00F57871">
              <w:rPr>
                <w:rFonts w:cs="Times New Roman"/>
                <w:noProof/>
                <w:szCs w:val="24"/>
                <w:lang w:val="en-US"/>
              </w:rPr>
              <w:drawing>
                <wp:inline distT="0" distB="0" distL="0" distR="0" wp14:anchorId="105897D7" wp14:editId="6268A964">
                  <wp:extent cx="2714557" cy="2934970"/>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749196" cy="2972422"/>
                          </a:xfrm>
                          <a:prstGeom prst="rect">
                            <a:avLst/>
                          </a:prstGeom>
                          <a:noFill/>
                          <a:ln>
                            <a:noFill/>
                          </a:ln>
                        </pic:spPr>
                      </pic:pic>
                    </a:graphicData>
                  </a:graphic>
                </wp:inline>
              </w:drawing>
            </w:r>
          </w:p>
          <w:p w14:paraId="391C593C" w14:textId="77777777" w:rsidR="00051297" w:rsidRPr="00051297" w:rsidRDefault="00051297" w:rsidP="00051297">
            <w:pPr>
              <w:keepNext/>
              <w:ind w:firstLine="562"/>
              <w:jc w:val="center"/>
              <w:rPr>
                <w:rFonts w:cs="Times New Roman"/>
                <w:szCs w:val="24"/>
                <w:lang w:val="en-US"/>
              </w:rPr>
            </w:pPr>
            <w:r w:rsidRPr="00051297">
              <w:rPr>
                <w:rFonts w:cs="Times New Roman"/>
                <w:szCs w:val="24"/>
                <w:lang w:val="en-US"/>
              </w:rPr>
              <w:t>(d)</w:t>
            </w:r>
          </w:p>
        </w:tc>
      </w:tr>
    </w:tbl>
    <w:p w14:paraId="5962F880" w14:textId="02E1BBDF" w:rsidR="00051297" w:rsidRPr="00051297" w:rsidRDefault="00051297" w:rsidP="00051297">
      <w:pPr>
        <w:ind w:firstLine="0"/>
        <w:jc w:val="center"/>
        <w:rPr>
          <w:lang w:val="en-US"/>
        </w:rPr>
      </w:pPr>
      <w:bookmarkStart w:id="1407" w:name="_Ref98108082"/>
      <w:bookmarkStart w:id="1408" w:name="_Toc97428307"/>
      <w:bookmarkStart w:id="1409" w:name="_Toc98085983"/>
      <w:bookmarkStart w:id="1410" w:name="_Toc103544178"/>
      <w:bookmarkStart w:id="1411" w:name="_Toc104985504"/>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45</w:t>
      </w:r>
      <w:r w:rsidR="00527861">
        <w:rPr>
          <w:lang w:val="en-US"/>
        </w:rPr>
        <w:fldChar w:fldCharType="end"/>
      </w:r>
      <w:bookmarkEnd w:id="1407"/>
      <w:r w:rsidRPr="00051297">
        <w:rPr>
          <w:lang w:val="en-US"/>
        </w:rPr>
        <w:t xml:space="preserve"> – Volumetric water content and hydraulic conductivity functions for different zones</w:t>
      </w:r>
      <w:bookmarkEnd w:id="1408"/>
      <w:bookmarkEnd w:id="1409"/>
      <w:bookmarkEnd w:id="1410"/>
      <w:bookmarkEnd w:id="1411"/>
    </w:p>
    <w:p w14:paraId="44E436E4" w14:textId="79ED5A54" w:rsidR="00051297" w:rsidRPr="00051297" w:rsidRDefault="00051297" w:rsidP="00051297">
      <w:pPr>
        <w:rPr>
          <w:lang w:val="en-US"/>
        </w:rPr>
      </w:pPr>
      <w:bookmarkStart w:id="1412" w:name="_Ref98108118"/>
      <w:bookmarkStart w:id="1413" w:name="_Toc97077210"/>
      <w:bookmarkStart w:id="1414" w:name="_Toc103544267"/>
      <w:bookmarkStart w:id="1415" w:name="_Toc104985593"/>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12</w:t>
      </w:r>
      <w:r w:rsidRPr="00051297">
        <w:rPr>
          <w:lang w:val="en-US"/>
        </w:rPr>
        <w:fldChar w:fldCharType="end"/>
      </w:r>
      <w:bookmarkEnd w:id="1412"/>
      <w:r w:rsidRPr="00051297">
        <w:t xml:space="preserve"> </w:t>
      </w:r>
      <w:r w:rsidRPr="00051297">
        <w:rPr>
          <w:lang w:val="en-US"/>
        </w:rPr>
        <w:t>– Material properties</w:t>
      </w:r>
      <w:bookmarkEnd w:id="1413"/>
      <w:bookmarkEnd w:id="1414"/>
      <w:bookmarkEnd w:id="1415"/>
      <w:r w:rsidRPr="00051297">
        <w:rPr>
          <w:lang w:val="en-US"/>
        </w:rPr>
        <w:t xml:space="preserve"> </w:t>
      </w:r>
    </w:p>
    <w:tbl>
      <w:tblPr>
        <w:tblStyle w:val="TableGrid12"/>
        <w:tblW w:w="0" w:type="auto"/>
        <w:tblLook w:val="04A0" w:firstRow="1" w:lastRow="0" w:firstColumn="1" w:lastColumn="0" w:noHBand="0" w:noVBand="1"/>
      </w:tblPr>
      <w:tblGrid>
        <w:gridCol w:w="3517"/>
        <w:gridCol w:w="1644"/>
        <w:gridCol w:w="1330"/>
        <w:gridCol w:w="1310"/>
        <w:gridCol w:w="1543"/>
      </w:tblGrid>
      <w:tr w:rsidR="00051297" w:rsidRPr="00051297" w14:paraId="04552257" w14:textId="77777777" w:rsidTr="00D20B01">
        <w:trPr>
          <w:trHeight w:val="300"/>
        </w:trPr>
        <w:tc>
          <w:tcPr>
            <w:tcW w:w="3517" w:type="dxa"/>
            <w:noWrap/>
            <w:hideMark/>
          </w:tcPr>
          <w:p w14:paraId="021AB45B" w14:textId="77777777" w:rsidR="00051297" w:rsidRPr="00051297" w:rsidRDefault="00051297" w:rsidP="00141AA5">
            <w:pPr>
              <w:ind w:firstLine="0"/>
              <w:jc w:val="center"/>
              <w:rPr>
                <w:lang w:val="en-US"/>
              </w:rPr>
            </w:pPr>
            <w:r w:rsidRPr="00051297">
              <w:rPr>
                <w:lang w:val="en-US"/>
              </w:rPr>
              <w:t>Parameter</w:t>
            </w:r>
          </w:p>
        </w:tc>
        <w:tc>
          <w:tcPr>
            <w:tcW w:w="5827" w:type="dxa"/>
            <w:gridSpan w:val="4"/>
            <w:noWrap/>
            <w:hideMark/>
          </w:tcPr>
          <w:p w14:paraId="5585AD45" w14:textId="77777777" w:rsidR="00051297" w:rsidRPr="00051297" w:rsidRDefault="00051297" w:rsidP="00141AA5">
            <w:pPr>
              <w:ind w:firstLine="0"/>
              <w:jc w:val="center"/>
              <w:rPr>
                <w:lang w:val="en-US"/>
              </w:rPr>
            </w:pPr>
            <w:r w:rsidRPr="00051297">
              <w:rPr>
                <w:lang w:val="en-US"/>
              </w:rPr>
              <w:t>Zone</w:t>
            </w:r>
          </w:p>
        </w:tc>
      </w:tr>
      <w:tr w:rsidR="00051297" w:rsidRPr="00051297" w14:paraId="44C46E88" w14:textId="77777777" w:rsidTr="00D20B01">
        <w:trPr>
          <w:trHeight w:val="315"/>
        </w:trPr>
        <w:tc>
          <w:tcPr>
            <w:tcW w:w="3517" w:type="dxa"/>
            <w:noWrap/>
            <w:hideMark/>
          </w:tcPr>
          <w:p w14:paraId="511307CC" w14:textId="77777777" w:rsidR="00051297" w:rsidRPr="00051297" w:rsidRDefault="00051297" w:rsidP="00141AA5">
            <w:pPr>
              <w:ind w:firstLine="0"/>
              <w:jc w:val="center"/>
              <w:rPr>
                <w:lang w:val="en-US"/>
              </w:rPr>
            </w:pPr>
          </w:p>
        </w:tc>
        <w:tc>
          <w:tcPr>
            <w:tcW w:w="1644" w:type="dxa"/>
            <w:noWrap/>
            <w:hideMark/>
          </w:tcPr>
          <w:p w14:paraId="621EECAE" w14:textId="77777777" w:rsidR="00051297" w:rsidRPr="00051297" w:rsidRDefault="00051297" w:rsidP="00141AA5">
            <w:pPr>
              <w:ind w:firstLine="0"/>
              <w:jc w:val="center"/>
              <w:rPr>
                <w:lang w:val="en-US"/>
              </w:rPr>
            </w:pPr>
            <w:r w:rsidRPr="00051297">
              <w:rPr>
                <w:lang w:val="en-US"/>
              </w:rPr>
              <w:t>Zone 1</w:t>
            </w:r>
          </w:p>
        </w:tc>
        <w:tc>
          <w:tcPr>
            <w:tcW w:w="1330" w:type="dxa"/>
            <w:noWrap/>
            <w:hideMark/>
          </w:tcPr>
          <w:p w14:paraId="576ACBAA" w14:textId="77777777" w:rsidR="00051297" w:rsidRPr="00051297" w:rsidRDefault="00051297" w:rsidP="00141AA5">
            <w:pPr>
              <w:ind w:firstLine="0"/>
              <w:jc w:val="center"/>
              <w:rPr>
                <w:lang w:val="en-US"/>
              </w:rPr>
            </w:pPr>
            <w:r w:rsidRPr="00051297">
              <w:rPr>
                <w:lang w:val="en-US"/>
              </w:rPr>
              <w:t>Zone 2</w:t>
            </w:r>
          </w:p>
        </w:tc>
        <w:tc>
          <w:tcPr>
            <w:tcW w:w="1310" w:type="dxa"/>
            <w:noWrap/>
            <w:hideMark/>
          </w:tcPr>
          <w:p w14:paraId="37142DA6" w14:textId="77777777" w:rsidR="00051297" w:rsidRPr="00051297" w:rsidRDefault="00051297" w:rsidP="00141AA5">
            <w:pPr>
              <w:ind w:firstLine="0"/>
              <w:jc w:val="center"/>
              <w:rPr>
                <w:lang w:val="en-US"/>
              </w:rPr>
            </w:pPr>
            <w:r w:rsidRPr="00051297">
              <w:rPr>
                <w:lang w:val="en-US"/>
              </w:rPr>
              <w:t>Zone 3a, b</w:t>
            </w:r>
          </w:p>
        </w:tc>
        <w:tc>
          <w:tcPr>
            <w:tcW w:w="1543" w:type="dxa"/>
            <w:noWrap/>
            <w:hideMark/>
          </w:tcPr>
          <w:p w14:paraId="1C27FA92" w14:textId="77777777" w:rsidR="00051297" w:rsidRPr="00051297" w:rsidRDefault="00051297" w:rsidP="00141AA5">
            <w:pPr>
              <w:ind w:firstLine="0"/>
              <w:jc w:val="center"/>
              <w:rPr>
                <w:lang w:val="en-US"/>
              </w:rPr>
            </w:pPr>
            <w:r w:rsidRPr="00051297">
              <w:rPr>
                <w:lang w:val="en-US"/>
              </w:rPr>
              <w:t>Zone 4</w:t>
            </w:r>
          </w:p>
        </w:tc>
      </w:tr>
      <w:tr w:rsidR="00051297" w:rsidRPr="00051297" w14:paraId="48D3058E" w14:textId="77777777" w:rsidTr="00D20B01">
        <w:trPr>
          <w:trHeight w:val="420"/>
        </w:trPr>
        <w:tc>
          <w:tcPr>
            <w:tcW w:w="3517" w:type="dxa"/>
            <w:noWrap/>
            <w:hideMark/>
          </w:tcPr>
          <w:p w14:paraId="3ED139CA" w14:textId="77777777" w:rsidR="00051297" w:rsidRPr="00051297" w:rsidRDefault="00051297" w:rsidP="00141AA5">
            <w:pPr>
              <w:ind w:firstLine="0"/>
              <w:jc w:val="center"/>
              <w:rPr>
                <w:lang w:val="en-US"/>
              </w:rPr>
            </w:pPr>
            <w:r w:rsidRPr="00051297">
              <w:rPr>
                <w:lang w:val="en-US"/>
              </w:rPr>
              <w:t>Saturated hydraulic conductivity (k</w:t>
            </w:r>
            <w:r w:rsidRPr="00051297">
              <w:rPr>
                <w:vertAlign w:val="subscript"/>
                <w:lang w:val="en-US"/>
              </w:rPr>
              <w:t>sat</w:t>
            </w:r>
            <w:r w:rsidRPr="00051297">
              <w:rPr>
                <w:lang w:val="en-US"/>
              </w:rPr>
              <w:t>), m/s</w:t>
            </w:r>
          </w:p>
        </w:tc>
        <w:tc>
          <w:tcPr>
            <w:tcW w:w="1644" w:type="dxa"/>
            <w:hideMark/>
          </w:tcPr>
          <w:p w14:paraId="7BA2C0D0" w14:textId="77777777" w:rsidR="00051297" w:rsidRPr="00051297" w:rsidRDefault="00051297" w:rsidP="00141AA5">
            <w:pPr>
              <w:ind w:firstLine="0"/>
              <w:jc w:val="center"/>
              <w:rPr>
                <w:lang w:val="en-US"/>
              </w:rPr>
            </w:pPr>
            <w:r w:rsidRPr="00051297">
              <w:rPr>
                <w:lang w:val="en-US"/>
              </w:rPr>
              <w:t>1.2 ∙ 10</w:t>
            </w:r>
            <w:r w:rsidRPr="00051297">
              <w:rPr>
                <w:vertAlign w:val="superscript"/>
                <w:lang w:val="en-US"/>
              </w:rPr>
              <w:t>-5</w:t>
            </w:r>
          </w:p>
        </w:tc>
        <w:tc>
          <w:tcPr>
            <w:tcW w:w="1330" w:type="dxa"/>
            <w:noWrap/>
            <w:hideMark/>
          </w:tcPr>
          <w:p w14:paraId="2DCBE1E0" w14:textId="77777777" w:rsidR="00051297" w:rsidRPr="00051297" w:rsidRDefault="00051297" w:rsidP="00141AA5">
            <w:pPr>
              <w:ind w:firstLine="0"/>
              <w:jc w:val="center"/>
              <w:rPr>
                <w:lang w:val="en-US"/>
              </w:rPr>
            </w:pPr>
            <w:r w:rsidRPr="00051297">
              <w:rPr>
                <w:lang w:val="en-US"/>
              </w:rPr>
              <w:t>1.42 x 10</w:t>
            </w:r>
            <w:r w:rsidRPr="00051297">
              <w:rPr>
                <w:vertAlign w:val="superscript"/>
                <w:lang w:val="en-US"/>
              </w:rPr>
              <w:t>-8</w:t>
            </w:r>
          </w:p>
        </w:tc>
        <w:tc>
          <w:tcPr>
            <w:tcW w:w="1310" w:type="dxa"/>
            <w:noWrap/>
            <w:hideMark/>
          </w:tcPr>
          <w:p w14:paraId="01A52106" w14:textId="77777777" w:rsidR="00051297" w:rsidRPr="00051297" w:rsidRDefault="00051297" w:rsidP="00141AA5">
            <w:pPr>
              <w:ind w:firstLine="0"/>
              <w:jc w:val="center"/>
              <w:rPr>
                <w:lang w:val="en-US"/>
              </w:rPr>
            </w:pPr>
            <w:r w:rsidRPr="00051297">
              <w:rPr>
                <w:lang w:val="en-US"/>
              </w:rPr>
              <w:t>1.1 x 10</w:t>
            </w:r>
            <w:r w:rsidRPr="00051297">
              <w:rPr>
                <w:vertAlign w:val="superscript"/>
                <w:lang w:val="en-US"/>
              </w:rPr>
              <w:t>-4</w:t>
            </w:r>
          </w:p>
        </w:tc>
        <w:tc>
          <w:tcPr>
            <w:tcW w:w="1543" w:type="dxa"/>
            <w:noWrap/>
            <w:hideMark/>
          </w:tcPr>
          <w:p w14:paraId="36F0A412" w14:textId="77777777" w:rsidR="00051297" w:rsidRPr="00051297" w:rsidRDefault="00051297" w:rsidP="00141AA5">
            <w:pPr>
              <w:ind w:firstLine="0"/>
              <w:jc w:val="center"/>
              <w:rPr>
                <w:lang w:val="en-US"/>
              </w:rPr>
            </w:pPr>
            <w:r w:rsidRPr="00051297">
              <w:rPr>
                <w:lang w:val="en-US"/>
              </w:rPr>
              <w:t>5.2 x10</w:t>
            </w:r>
            <w:r w:rsidRPr="00051297">
              <w:rPr>
                <w:vertAlign w:val="superscript"/>
                <w:lang w:val="en-US"/>
              </w:rPr>
              <w:t>-5</w:t>
            </w:r>
          </w:p>
        </w:tc>
      </w:tr>
      <w:tr w:rsidR="00051297" w:rsidRPr="00051297" w14:paraId="173E471C" w14:textId="77777777" w:rsidTr="00D20B01">
        <w:trPr>
          <w:trHeight w:val="330"/>
        </w:trPr>
        <w:tc>
          <w:tcPr>
            <w:tcW w:w="3517" w:type="dxa"/>
            <w:noWrap/>
            <w:hideMark/>
          </w:tcPr>
          <w:p w14:paraId="6288F4AC" w14:textId="77777777" w:rsidR="00051297" w:rsidRPr="00051297" w:rsidRDefault="00051297" w:rsidP="00141AA5">
            <w:pPr>
              <w:ind w:firstLine="0"/>
              <w:jc w:val="center"/>
              <w:rPr>
                <w:lang w:val="en-US"/>
              </w:rPr>
            </w:pPr>
            <w:r w:rsidRPr="00051297">
              <w:rPr>
                <w:lang w:val="en-US"/>
              </w:rPr>
              <w:t>Diameter at passing 10% (mm)</w:t>
            </w:r>
          </w:p>
        </w:tc>
        <w:tc>
          <w:tcPr>
            <w:tcW w:w="1644" w:type="dxa"/>
            <w:hideMark/>
          </w:tcPr>
          <w:p w14:paraId="3B1F4D64" w14:textId="77777777" w:rsidR="00051297" w:rsidRPr="00051297" w:rsidRDefault="00051297" w:rsidP="00141AA5">
            <w:pPr>
              <w:ind w:firstLine="0"/>
              <w:jc w:val="center"/>
              <w:rPr>
                <w:lang w:val="en-US"/>
              </w:rPr>
            </w:pPr>
            <w:r w:rsidRPr="00051297">
              <w:rPr>
                <w:lang w:val="en-US"/>
              </w:rPr>
              <w:t>0.1</w:t>
            </w:r>
          </w:p>
        </w:tc>
        <w:tc>
          <w:tcPr>
            <w:tcW w:w="1330" w:type="dxa"/>
            <w:noWrap/>
            <w:hideMark/>
          </w:tcPr>
          <w:p w14:paraId="3AE8C62D" w14:textId="77777777" w:rsidR="00051297" w:rsidRPr="00051297" w:rsidRDefault="00051297" w:rsidP="00141AA5">
            <w:pPr>
              <w:ind w:firstLine="0"/>
              <w:jc w:val="center"/>
              <w:rPr>
                <w:lang w:val="en-US"/>
              </w:rPr>
            </w:pPr>
            <w:r w:rsidRPr="00051297">
              <w:rPr>
                <w:lang w:val="en-US"/>
              </w:rPr>
              <w:t>0.002</w:t>
            </w:r>
          </w:p>
        </w:tc>
        <w:tc>
          <w:tcPr>
            <w:tcW w:w="1310" w:type="dxa"/>
            <w:noWrap/>
            <w:hideMark/>
          </w:tcPr>
          <w:p w14:paraId="0F0785D1" w14:textId="77777777" w:rsidR="00051297" w:rsidRPr="00051297" w:rsidRDefault="00051297" w:rsidP="00141AA5">
            <w:pPr>
              <w:ind w:firstLine="0"/>
              <w:jc w:val="center"/>
              <w:rPr>
                <w:lang w:val="en-US"/>
              </w:rPr>
            </w:pPr>
            <w:r w:rsidRPr="00051297">
              <w:rPr>
                <w:lang w:val="en-US"/>
              </w:rPr>
              <w:t>0.2</w:t>
            </w:r>
          </w:p>
        </w:tc>
        <w:tc>
          <w:tcPr>
            <w:tcW w:w="1543" w:type="dxa"/>
            <w:noWrap/>
            <w:hideMark/>
          </w:tcPr>
          <w:p w14:paraId="2EA551C2" w14:textId="77777777" w:rsidR="00051297" w:rsidRPr="00051297" w:rsidRDefault="00051297" w:rsidP="00141AA5">
            <w:pPr>
              <w:ind w:firstLine="0"/>
              <w:jc w:val="center"/>
              <w:rPr>
                <w:lang w:val="en-US"/>
              </w:rPr>
            </w:pPr>
            <w:r w:rsidRPr="00051297">
              <w:rPr>
                <w:lang w:val="en-US"/>
              </w:rPr>
              <w:t>0.1</w:t>
            </w:r>
          </w:p>
        </w:tc>
      </w:tr>
      <w:tr w:rsidR="00051297" w:rsidRPr="00051297" w14:paraId="37DE2BA0" w14:textId="77777777" w:rsidTr="00D20B01">
        <w:trPr>
          <w:trHeight w:val="330"/>
        </w:trPr>
        <w:tc>
          <w:tcPr>
            <w:tcW w:w="3517" w:type="dxa"/>
            <w:noWrap/>
            <w:hideMark/>
          </w:tcPr>
          <w:p w14:paraId="4B3AC986" w14:textId="77777777" w:rsidR="00051297" w:rsidRPr="00051297" w:rsidRDefault="00051297" w:rsidP="00141AA5">
            <w:pPr>
              <w:ind w:firstLine="0"/>
              <w:jc w:val="center"/>
              <w:rPr>
                <w:lang w:val="en-US"/>
              </w:rPr>
            </w:pPr>
            <w:r w:rsidRPr="00051297">
              <w:rPr>
                <w:lang w:val="en-US"/>
              </w:rPr>
              <w:t>Diameter at passing 60% (mm)</w:t>
            </w:r>
          </w:p>
        </w:tc>
        <w:tc>
          <w:tcPr>
            <w:tcW w:w="1644" w:type="dxa"/>
            <w:hideMark/>
          </w:tcPr>
          <w:p w14:paraId="2951F70B" w14:textId="77777777" w:rsidR="00051297" w:rsidRPr="00051297" w:rsidRDefault="00051297" w:rsidP="00141AA5">
            <w:pPr>
              <w:ind w:firstLine="0"/>
              <w:jc w:val="center"/>
              <w:rPr>
                <w:lang w:val="en-US"/>
              </w:rPr>
            </w:pPr>
            <w:r w:rsidRPr="00051297">
              <w:rPr>
                <w:lang w:val="en-US"/>
              </w:rPr>
              <w:t>40</w:t>
            </w:r>
          </w:p>
        </w:tc>
        <w:tc>
          <w:tcPr>
            <w:tcW w:w="1330" w:type="dxa"/>
            <w:noWrap/>
            <w:hideMark/>
          </w:tcPr>
          <w:p w14:paraId="487F20E9" w14:textId="77777777" w:rsidR="00051297" w:rsidRPr="00051297" w:rsidRDefault="00051297" w:rsidP="00141AA5">
            <w:pPr>
              <w:ind w:firstLine="0"/>
              <w:jc w:val="center"/>
              <w:rPr>
                <w:lang w:val="en-US"/>
              </w:rPr>
            </w:pPr>
            <w:r w:rsidRPr="00051297">
              <w:rPr>
                <w:lang w:val="en-US"/>
              </w:rPr>
              <w:t>0.05</w:t>
            </w:r>
          </w:p>
        </w:tc>
        <w:tc>
          <w:tcPr>
            <w:tcW w:w="1310" w:type="dxa"/>
            <w:noWrap/>
            <w:hideMark/>
          </w:tcPr>
          <w:p w14:paraId="501E6229" w14:textId="77777777" w:rsidR="00051297" w:rsidRPr="00051297" w:rsidRDefault="00051297" w:rsidP="00141AA5">
            <w:pPr>
              <w:ind w:firstLine="0"/>
              <w:jc w:val="center"/>
              <w:rPr>
                <w:lang w:val="en-US"/>
              </w:rPr>
            </w:pPr>
            <w:r w:rsidRPr="00051297">
              <w:rPr>
                <w:lang w:val="en-US"/>
              </w:rPr>
              <w:t>0.8</w:t>
            </w:r>
          </w:p>
        </w:tc>
        <w:tc>
          <w:tcPr>
            <w:tcW w:w="1543" w:type="dxa"/>
            <w:noWrap/>
            <w:hideMark/>
          </w:tcPr>
          <w:p w14:paraId="38A89EBB" w14:textId="77777777" w:rsidR="00051297" w:rsidRPr="00051297" w:rsidRDefault="00051297" w:rsidP="00141AA5">
            <w:pPr>
              <w:ind w:firstLine="0"/>
              <w:jc w:val="center"/>
              <w:rPr>
                <w:lang w:val="en-US"/>
              </w:rPr>
            </w:pPr>
            <w:r w:rsidRPr="00051297">
              <w:rPr>
                <w:lang w:val="en-US"/>
              </w:rPr>
              <w:t>40</w:t>
            </w:r>
          </w:p>
        </w:tc>
      </w:tr>
      <w:tr w:rsidR="00051297" w:rsidRPr="00051297" w14:paraId="75CCC2AC" w14:textId="77777777" w:rsidTr="00D20B01">
        <w:trPr>
          <w:trHeight w:val="315"/>
        </w:trPr>
        <w:tc>
          <w:tcPr>
            <w:tcW w:w="3517" w:type="dxa"/>
            <w:noWrap/>
            <w:hideMark/>
          </w:tcPr>
          <w:p w14:paraId="613C5BBC" w14:textId="77777777" w:rsidR="00051297" w:rsidRPr="00051297" w:rsidRDefault="00051297" w:rsidP="00141AA5">
            <w:pPr>
              <w:ind w:firstLine="0"/>
              <w:jc w:val="center"/>
              <w:rPr>
                <w:lang w:val="en-US"/>
              </w:rPr>
            </w:pPr>
            <w:r w:rsidRPr="00051297">
              <w:rPr>
                <w:lang w:val="en-US"/>
              </w:rPr>
              <w:t>Liquid limit (%)</w:t>
            </w:r>
          </w:p>
        </w:tc>
        <w:tc>
          <w:tcPr>
            <w:tcW w:w="1644" w:type="dxa"/>
            <w:noWrap/>
            <w:hideMark/>
          </w:tcPr>
          <w:p w14:paraId="6398277E" w14:textId="77777777" w:rsidR="00051297" w:rsidRPr="00051297" w:rsidRDefault="00051297" w:rsidP="00141AA5">
            <w:pPr>
              <w:ind w:firstLine="0"/>
              <w:jc w:val="center"/>
              <w:rPr>
                <w:lang w:val="en-US"/>
              </w:rPr>
            </w:pPr>
            <w:r w:rsidRPr="00051297">
              <w:rPr>
                <w:lang w:val="en-US"/>
              </w:rPr>
              <w:t>25 to 45</w:t>
            </w:r>
          </w:p>
        </w:tc>
        <w:tc>
          <w:tcPr>
            <w:tcW w:w="1330" w:type="dxa"/>
            <w:noWrap/>
            <w:hideMark/>
          </w:tcPr>
          <w:p w14:paraId="5F2FF1B3" w14:textId="77777777" w:rsidR="00051297" w:rsidRPr="00051297" w:rsidRDefault="00051297" w:rsidP="00141AA5">
            <w:pPr>
              <w:ind w:firstLine="0"/>
              <w:jc w:val="center"/>
              <w:rPr>
                <w:lang w:val="en-US"/>
              </w:rPr>
            </w:pPr>
            <w:r w:rsidRPr="00051297">
              <w:rPr>
                <w:lang w:val="en-US"/>
              </w:rPr>
              <w:t>50</w:t>
            </w:r>
          </w:p>
        </w:tc>
        <w:tc>
          <w:tcPr>
            <w:tcW w:w="1310" w:type="dxa"/>
            <w:noWrap/>
            <w:hideMark/>
          </w:tcPr>
          <w:p w14:paraId="4D585391" w14:textId="77777777" w:rsidR="00051297" w:rsidRPr="00051297" w:rsidRDefault="00051297" w:rsidP="00141AA5">
            <w:pPr>
              <w:ind w:firstLine="0"/>
              <w:jc w:val="center"/>
              <w:rPr>
                <w:lang w:val="en-US"/>
              </w:rPr>
            </w:pPr>
          </w:p>
        </w:tc>
        <w:tc>
          <w:tcPr>
            <w:tcW w:w="1543" w:type="dxa"/>
            <w:noWrap/>
            <w:hideMark/>
          </w:tcPr>
          <w:p w14:paraId="508ABEF6" w14:textId="77777777" w:rsidR="00051297" w:rsidRPr="00051297" w:rsidRDefault="00051297" w:rsidP="00141AA5">
            <w:pPr>
              <w:ind w:firstLine="0"/>
              <w:jc w:val="center"/>
              <w:rPr>
                <w:lang w:val="en-US"/>
              </w:rPr>
            </w:pPr>
          </w:p>
        </w:tc>
      </w:tr>
      <w:tr w:rsidR="00051297" w:rsidRPr="00051297" w14:paraId="2EA414F0" w14:textId="77777777" w:rsidTr="00D20B01">
        <w:trPr>
          <w:trHeight w:val="315"/>
        </w:trPr>
        <w:tc>
          <w:tcPr>
            <w:tcW w:w="3517" w:type="dxa"/>
            <w:noWrap/>
            <w:hideMark/>
          </w:tcPr>
          <w:p w14:paraId="4B55427C" w14:textId="77777777" w:rsidR="00051297" w:rsidRPr="00051297" w:rsidRDefault="00051297" w:rsidP="00141AA5">
            <w:pPr>
              <w:ind w:firstLine="0"/>
              <w:jc w:val="center"/>
              <w:rPr>
                <w:lang w:val="en-US"/>
              </w:rPr>
            </w:pPr>
            <w:r w:rsidRPr="00051297">
              <w:rPr>
                <w:lang w:val="en-US"/>
              </w:rPr>
              <w:t>Unit weight (kN/m</w:t>
            </w:r>
            <w:r w:rsidRPr="00051297">
              <w:rPr>
                <w:vertAlign w:val="superscript"/>
                <w:lang w:val="en-US"/>
              </w:rPr>
              <w:t>3</w:t>
            </w:r>
            <w:r w:rsidRPr="00051297">
              <w:rPr>
                <w:lang w:val="en-US"/>
              </w:rPr>
              <w:t>)</w:t>
            </w:r>
          </w:p>
        </w:tc>
        <w:tc>
          <w:tcPr>
            <w:tcW w:w="1644" w:type="dxa"/>
            <w:noWrap/>
            <w:hideMark/>
          </w:tcPr>
          <w:p w14:paraId="20E46E95" w14:textId="77777777" w:rsidR="00051297" w:rsidRPr="00051297" w:rsidRDefault="00051297" w:rsidP="00141AA5">
            <w:pPr>
              <w:ind w:firstLine="0"/>
              <w:jc w:val="center"/>
              <w:rPr>
                <w:lang w:val="en-US"/>
              </w:rPr>
            </w:pPr>
            <w:r w:rsidRPr="00051297">
              <w:rPr>
                <w:lang w:val="en-US"/>
              </w:rPr>
              <w:t>20.5</w:t>
            </w:r>
          </w:p>
        </w:tc>
        <w:tc>
          <w:tcPr>
            <w:tcW w:w="1330" w:type="dxa"/>
            <w:noWrap/>
            <w:hideMark/>
          </w:tcPr>
          <w:p w14:paraId="7673144E" w14:textId="77777777" w:rsidR="00051297" w:rsidRPr="00051297" w:rsidRDefault="00051297" w:rsidP="00141AA5">
            <w:pPr>
              <w:ind w:firstLine="0"/>
              <w:jc w:val="center"/>
              <w:rPr>
                <w:lang w:val="en-US"/>
              </w:rPr>
            </w:pPr>
            <w:r w:rsidRPr="00051297">
              <w:rPr>
                <w:lang w:val="en-US"/>
              </w:rPr>
              <w:t>20</w:t>
            </w:r>
          </w:p>
        </w:tc>
        <w:tc>
          <w:tcPr>
            <w:tcW w:w="1310" w:type="dxa"/>
            <w:noWrap/>
            <w:hideMark/>
          </w:tcPr>
          <w:p w14:paraId="37DEEDCC" w14:textId="77777777" w:rsidR="00051297" w:rsidRPr="00051297" w:rsidRDefault="00051297" w:rsidP="00141AA5">
            <w:pPr>
              <w:ind w:firstLine="0"/>
              <w:jc w:val="center"/>
              <w:rPr>
                <w:lang w:val="en-US"/>
              </w:rPr>
            </w:pPr>
            <w:r w:rsidRPr="00051297">
              <w:rPr>
                <w:lang w:val="en-US"/>
              </w:rPr>
              <w:t>18.5</w:t>
            </w:r>
          </w:p>
        </w:tc>
        <w:tc>
          <w:tcPr>
            <w:tcW w:w="1543" w:type="dxa"/>
            <w:noWrap/>
            <w:hideMark/>
          </w:tcPr>
          <w:p w14:paraId="7E556F84" w14:textId="77777777" w:rsidR="00051297" w:rsidRPr="00051297" w:rsidRDefault="00051297" w:rsidP="00141AA5">
            <w:pPr>
              <w:ind w:firstLine="0"/>
              <w:jc w:val="center"/>
              <w:rPr>
                <w:lang w:val="en-US"/>
              </w:rPr>
            </w:pPr>
            <w:r w:rsidRPr="00051297">
              <w:rPr>
                <w:lang w:val="en-US"/>
              </w:rPr>
              <w:t>20.5</w:t>
            </w:r>
          </w:p>
        </w:tc>
      </w:tr>
      <w:tr w:rsidR="00051297" w:rsidRPr="00051297" w14:paraId="23F7E255" w14:textId="77777777" w:rsidTr="00D20B01">
        <w:trPr>
          <w:trHeight w:val="315"/>
        </w:trPr>
        <w:tc>
          <w:tcPr>
            <w:tcW w:w="3517" w:type="dxa"/>
            <w:noWrap/>
            <w:hideMark/>
          </w:tcPr>
          <w:p w14:paraId="67C409EF" w14:textId="77777777" w:rsidR="00051297" w:rsidRPr="00051297" w:rsidRDefault="00051297" w:rsidP="00141AA5">
            <w:pPr>
              <w:ind w:firstLine="0"/>
              <w:jc w:val="center"/>
              <w:rPr>
                <w:lang w:val="en-US"/>
              </w:rPr>
            </w:pPr>
            <w:r w:rsidRPr="00051297">
              <w:rPr>
                <w:lang w:val="en-US"/>
              </w:rPr>
              <w:t>Saturated water content (%)</w:t>
            </w:r>
          </w:p>
        </w:tc>
        <w:tc>
          <w:tcPr>
            <w:tcW w:w="1644" w:type="dxa"/>
            <w:noWrap/>
            <w:hideMark/>
          </w:tcPr>
          <w:p w14:paraId="66BE125A" w14:textId="77777777" w:rsidR="00051297" w:rsidRPr="00051297" w:rsidRDefault="00051297" w:rsidP="00141AA5">
            <w:pPr>
              <w:ind w:firstLine="0"/>
              <w:jc w:val="center"/>
              <w:rPr>
                <w:lang w:val="en-US"/>
              </w:rPr>
            </w:pPr>
            <w:r w:rsidRPr="00051297">
              <w:rPr>
                <w:lang w:val="en-US"/>
              </w:rPr>
              <w:t>29.6</w:t>
            </w:r>
          </w:p>
        </w:tc>
        <w:tc>
          <w:tcPr>
            <w:tcW w:w="1330" w:type="dxa"/>
            <w:noWrap/>
            <w:hideMark/>
          </w:tcPr>
          <w:p w14:paraId="24D3028E" w14:textId="77777777" w:rsidR="00051297" w:rsidRPr="00051297" w:rsidRDefault="00051297" w:rsidP="00141AA5">
            <w:pPr>
              <w:ind w:firstLine="0"/>
              <w:jc w:val="center"/>
              <w:rPr>
                <w:lang w:val="en-US"/>
              </w:rPr>
            </w:pPr>
            <w:r w:rsidRPr="00051297">
              <w:rPr>
                <w:lang w:val="en-US"/>
              </w:rPr>
              <w:t>36.8</w:t>
            </w:r>
          </w:p>
        </w:tc>
        <w:tc>
          <w:tcPr>
            <w:tcW w:w="1310" w:type="dxa"/>
            <w:noWrap/>
            <w:hideMark/>
          </w:tcPr>
          <w:p w14:paraId="4E15BEBA" w14:textId="77777777" w:rsidR="00051297" w:rsidRPr="00051297" w:rsidRDefault="00051297" w:rsidP="00141AA5">
            <w:pPr>
              <w:ind w:firstLine="0"/>
              <w:jc w:val="center"/>
              <w:rPr>
                <w:lang w:val="en-US"/>
              </w:rPr>
            </w:pPr>
            <w:r w:rsidRPr="00051297">
              <w:rPr>
                <w:lang w:val="en-US"/>
              </w:rPr>
              <w:t>40.1</w:t>
            </w:r>
          </w:p>
        </w:tc>
        <w:tc>
          <w:tcPr>
            <w:tcW w:w="1543" w:type="dxa"/>
            <w:noWrap/>
            <w:hideMark/>
          </w:tcPr>
          <w:p w14:paraId="3342C7CD" w14:textId="77777777" w:rsidR="00051297" w:rsidRPr="00051297" w:rsidRDefault="00051297" w:rsidP="00141AA5">
            <w:pPr>
              <w:ind w:firstLine="0"/>
              <w:jc w:val="center"/>
              <w:rPr>
                <w:lang w:val="en-US"/>
              </w:rPr>
            </w:pPr>
            <w:r w:rsidRPr="00051297">
              <w:rPr>
                <w:lang w:val="en-US"/>
              </w:rPr>
              <w:t>29.6</w:t>
            </w:r>
          </w:p>
        </w:tc>
      </w:tr>
      <w:tr w:rsidR="00051297" w:rsidRPr="00051297" w14:paraId="03D6EF69" w14:textId="77777777" w:rsidTr="00D20B01">
        <w:trPr>
          <w:trHeight w:val="315"/>
        </w:trPr>
        <w:tc>
          <w:tcPr>
            <w:tcW w:w="3517" w:type="dxa"/>
            <w:noWrap/>
            <w:hideMark/>
          </w:tcPr>
          <w:p w14:paraId="77B2AF11" w14:textId="77777777" w:rsidR="00051297" w:rsidRPr="00051297" w:rsidRDefault="00051297" w:rsidP="00141AA5">
            <w:pPr>
              <w:ind w:firstLine="0"/>
              <w:jc w:val="center"/>
              <w:rPr>
                <w:lang w:val="en-US"/>
              </w:rPr>
            </w:pPr>
            <w:r w:rsidRPr="00051297">
              <w:rPr>
                <w:lang w:val="en-US"/>
              </w:rPr>
              <w:t>Internal angle of friction (degree)</w:t>
            </w:r>
          </w:p>
        </w:tc>
        <w:tc>
          <w:tcPr>
            <w:tcW w:w="1644" w:type="dxa"/>
            <w:noWrap/>
            <w:hideMark/>
          </w:tcPr>
          <w:p w14:paraId="1CF3175D" w14:textId="77777777" w:rsidR="00051297" w:rsidRPr="00051297" w:rsidRDefault="00051297" w:rsidP="00141AA5">
            <w:pPr>
              <w:ind w:firstLine="0"/>
              <w:jc w:val="center"/>
              <w:rPr>
                <w:lang w:val="en-US"/>
              </w:rPr>
            </w:pPr>
            <w:r w:rsidRPr="00051297">
              <w:rPr>
                <w:lang w:val="en-US"/>
              </w:rPr>
              <w:t>40</w:t>
            </w:r>
          </w:p>
        </w:tc>
        <w:tc>
          <w:tcPr>
            <w:tcW w:w="1330" w:type="dxa"/>
            <w:noWrap/>
            <w:hideMark/>
          </w:tcPr>
          <w:p w14:paraId="34D40BC0" w14:textId="77777777" w:rsidR="00051297" w:rsidRPr="00051297" w:rsidRDefault="00051297" w:rsidP="00141AA5">
            <w:pPr>
              <w:ind w:firstLine="0"/>
              <w:jc w:val="center"/>
              <w:rPr>
                <w:lang w:val="en-US"/>
              </w:rPr>
            </w:pPr>
            <w:r w:rsidRPr="00051297">
              <w:rPr>
                <w:lang w:val="en-US"/>
              </w:rPr>
              <w:t>28</w:t>
            </w:r>
          </w:p>
        </w:tc>
        <w:tc>
          <w:tcPr>
            <w:tcW w:w="1310" w:type="dxa"/>
            <w:noWrap/>
            <w:hideMark/>
          </w:tcPr>
          <w:p w14:paraId="45D38ABC" w14:textId="77777777" w:rsidR="00051297" w:rsidRPr="00051297" w:rsidRDefault="00051297" w:rsidP="00141AA5">
            <w:pPr>
              <w:ind w:firstLine="0"/>
              <w:jc w:val="center"/>
              <w:rPr>
                <w:lang w:val="en-US"/>
              </w:rPr>
            </w:pPr>
            <w:r w:rsidRPr="00051297">
              <w:rPr>
                <w:lang w:val="en-US"/>
              </w:rPr>
              <w:t>38</w:t>
            </w:r>
          </w:p>
        </w:tc>
        <w:tc>
          <w:tcPr>
            <w:tcW w:w="1543" w:type="dxa"/>
            <w:noWrap/>
            <w:hideMark/>
          </w:tcPr>
          <w:p w14:paraId="5F7E1ACC" w14:textId="77777777" w:rsidR="00051297" w:rsidRPr="00051297" w:rsidRDefault="00051297" w:rsidP="00141AA5">
            <w:pPr>
              <w:ind w:firstLine="0"/>
              <w:jc w:val="center"/>
              <w:rPr>
                <w:lang w:val="en-US"/>
              </w:rPr>
            </w:pPr>
            <w:r w:rsidRPr="00051297">
              <w:rPr>
                <w:lang w:val="en-US"/>
              </w:rPr>
              <w:t>40</w:t>
            </w:r>
          </w:p>
        </w:tc>
      </w:tr>
      <w:tr w:rsidR="00051297" w:rsidRPr="00051297" w14:paraId="194608F8" w14:textId="77777777" w:rsidTr="00D20B01">
        <w:trPr>
          <w:trHeight w:val="315"/>
        </w:trPr>
        <w:tc>
          <w:tcPr>
            <w:tcW w:w="3517" w:type="dxa"/>
            <w:noWrap/>
            <w:hideMark/>
          </w:tcPr>
          <w:p w14:paraId="67AB46D0" w14:textId="77777777" w:rsidR="00051297" w:rsidRPr="00051297" w:rsidRDefault="00051297" w:rsidP="00141AA5">
            <w:pPr>
              <w:ind w:firstLine="0"/>
              <w:jc w:val="center"/>
              <w:rPr>
                <w:lang w:val="en-US"/>
              </w:rPr>
            </w:pPr>
            <w:r w:rsidRPr="00051297">
              <w:rPr>
                <w:lang w:val="en-US"/>
              </w:rPr>
              <w:t>Cohesion (kPa)</w:t>
            </w:r>
          </w:p>
        </w:tc>
        <w:tc>
          <w:tcPr>
            <w:tcW w:w="1644" w:type="dxa"/>
            <w:noWrap/>
            <w:hideMark/>
          </w:tcPr>
          <w:p w14:paraId="30C89831" w14:textId="77777777" w:rsidR="00051297" w:rsidRPr="00051297" w:rsidRDefault="00051297" w:rsidP="00141AA5">
            <w:pPr>
              <w:ind w:firstLine="0"/>
              <w:jc w:val="center"/>
              <w:rPr>
                <w:lang w:val="en-US"/>
              </w:rPr>
            </w:pPr>
            <w:r w:rsidRPr="00051297">
              <w:rPr>
                <w:lang w:val="en-US"/>
              </w:rPr>
              <w:t>-</w:t>
            </w:r>
          </w:p>
        </w:tc>
        <w:tc>
          <w:tcPr>
            <w:tcW w:w="1330" w:type="dxa"/>
            <w:noWrap/>
            <w:hideMark/>
          </w:tcPr>
          <w:p w14:paraId="1A836898" w14:textId="77777777" w:rsidR="00051297" w:rsidRPr="00051297" w:rsidRDefault="00051297" w:rsidP="00141AA5">
            <w:pPr>
              <w:ind w:firstLine="0"/>
              <w:jc w:val="center"/>
              <w:rPr>
                <w:lang w:val="en-US"/>
              </w:rPr>
            </w:pPr>
            <w:r w:rsidRPr="00051297">
              <w:rPr>
                <w:lang w:val="en-US"/>
              </w:rPr>
              <w:t>15</w:t>
            </w:r>
          </w:p>
        </w:tc>
        <w:tc>
          <w:tcPr>
            <w:tcW w:w="1310" w:type="dxa"/>
            <w:noWrap/>
            <w:hideMark/>
          </w:tcPr>
          <w:p w14:paraId="3E504C10" w14:textId="77777777" w:rsidR="00051297" w:rsidRPr="00051297" w:rsidRDefault="00051297" w:rsidP="00141AA5">
            <w:pPr>
              <w:ind w:firstLine="0"/>
              <w:jc w:val="center"/>
              <w:rPr>
                <w:lang w:val="en-US"/>
              </w:rPr>
            </w:pPr>
            <w:r w:rsidRPr="00051297">
              <w:rPr>
                <w:lang w:val="en-US"/>
              </w:rPr>
              <w:t>-</w:t>
            </w:r>
          </w:p>
        </w:tc>
        <w:tc>
          <w:tcPr>
            <w:tcW w:w="1543" w:type="dxa"/>
            <w:noWrap/>
            <w:hideMark/>
          </w:tcPr>
          <w:p w14:paraId="2982C82C" w14:textId="77777777" w:rsidR="00051297" w:rsidRPr="00051297" w:rsidRDefault="00051297" w:rsidP="00141AA5">
            <w:pPr>
              <w:ind w:firstLine="0"/>
              <w:jc w:val="center"/>
              <w:rPr>
                <w:lang w:val="en-US"/>
              </w:rPr>
            </w:pPr>
            <w:r w:rsidRPr="00051297">
              <w:rPr>
                <w:lang w:val="en-US"/>
              </w:rPr>
              <w:t>-</w:t>
            </w:r>
          </w:p>
        </w:tc>
      </w:tr>
    </w:tbl>
    <w:p w14:paraId="23691E0F" w14:textId="77777777" w:rsidR="006568FB" w:rsidRDefault="006568FB" w:rsidP="006568FB">
      <w:bookmarkStart w:id="1416" w:name="_Toc97504885"/>
      <w:bookmarkStart w:id="1417" w:name="_Toc103544022"/>
    </w:p>
    <w:p w14:paraId="66798924" w14:textId="202AC235" w:rsidR="00051297" w:rsidRPr="00051297" w:rsidRDefault="00051297" w:rsidP="00141AA5">
      <w:pPr>
        <w:pStyle w:val="3"/>
        <w:rPr>
          <w:rFonts w:eastAsia="Calibri"/>
        </w:rPr>
      </w:pPr>
      <w:bookmarkStart w:id="1418" w:name="_Toc104985347"/>
      <w:r w:rsidRPr="00051297">
        <w:rPr>
          <w:rFonts w:eastAsia="Calibri"/>
        </w:rPr>
        <w:t>Results and discussion</w:t>
      </w:r>
      <w:bookmarkEnd w:id="1416"/>
      <w:bookmarkEnd w:id="1417"/>
      <w:bookmarkEnd w:id="1418"/>
    </w:p>
    <w:p w14:paraId="5F8F1719" w14:textId="77777777" w:rsidR="00051297" w:rsidRPr="00051297" w:rsidRDefault="00051297" w:rsidP="00051297">
      <w:pPr>
        <w:rPr>
          <w:lang w:val="en-US"/>
        </w:rPr>
      </w:pPr>
      <w:r w:rsidRPr="00051297">
        <w:rPr>
          <w:lang w:val="en-US"/>
        </w:rPr>
        <w:t>Both seepage and slope stability analyses were successfully executed. As previously mentioned, the investigation process is based on the different drawdown rates to investigate their influence on the stability of a heterogeneous embankment. Each investigated case started with seepage analysis followed by slope stability, whereby the seepage model acted as a parent to the slope stability model. Also, both steady-state and transient flow conditions were taken into consideration.</w:t>
      </w:r>
    </w:p>
    <w:p w14:paraId="0F75FEF0" w14:textId="1166E857" w:rsidR="00051297" w:rsidRPr="00051297" w:rsidRDefault="00051297" w:rsidP="00141AA5">
      <w:pPr>
        <w:pStyle w:val="4"/>
        <w:rPr>
          <w:rFonts w:eastAsia="Calibri"/>
        </w:rPr>
      </w:pPr>
      <w:bookmarkStart w:id="1419" w:name="_Toc97504886"/>
      <w:bookmarkStart w:id="1420" w:name="_Toc103544023"/>
      <w:bookmarkStart w:id="1421" w:name="_Toc104985348"/>
      <w:r w:rsidRPr="00051297">
        <w:rPr>
          <w:rFonts w:eastAsia="Calibri"/>
        </w:rPr>
        <w:lastRenderedPageBreak/>
        <w:t>Seepage analysis</w:t>
      </w:r>
      <w:bookmarkEnd w:id="1419"/>
      <w:bookmarkEnd w:id="1420"/>
      <w:bookmarkEnd w:id="1421"/>
    </w:p>
    <w:p w14:paraId="3CC20365" w14:textId="77777777" w:rsidR="00051297" w:rsidRPr="00051297" w:rsidRDefault="00051297" w:rsidP="00051297">
      <w:pPr>
        <w:rPr>
          <w:lang w:val="en-US"/>
        </w:rPr>
      </w:pPr>
      <w:r w:rsidRPr="00051297">
        <w:rPr>
          <w:lang w:val="en-US"/>
        </w:rPr>
        <w:t xml:space="preserve">Generally, seepage flow within an embankment is the movement of water from the upstream side of the dam (where the reservoir is located) to the downstream side, crossing the dam body, preferably below the foundation. Due to the potential stability issues that can be associated, it is of significant importance to control seepage in earth-fill dams, especially during the design and construction phases of the dam. </w:t>
      </w:r>
    </w:p>
    <w:p w14:paraId="7A091B18" w14:textId="1BB8C430" w:rsidR="00051297" w:rsidRPr="00051297" w:rsidRDefault="00051297" w:rsidP="00051297">
      <w:pPr>
        <w:rPr>
          <w:lang w:val="en-US"/>
        </w:rPr>
      </w:pPr>
      <w:r w:rsidRPr="00051297">
        <w:rPr>
          <w:lang w:val="en-US"/>
        </w:rPr>
        <w:t xml:space="preserve">From </w:t>
      </w:r>
      <w:r w:rsidRPr="00051297">
        <w:rPr>
          <w:lang w:val="en-US"/>
        </w:rPr>
        <w:fldChar w:fldCharType="begin"/>
      </w:r>
      <w:r w:rsidRPr="00051297">
        <w:rPr>
          <w:lang w:val="en-US"/>
        </w:rPr>
        <w:instrText xml:space="preserve"> REF _Ref98108170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46</w:t>
      </w:r>
      <w:r w:rsidRPr="00051297">
        <w:rPr>
          <w:lang w:val="en-US"/>
        </w:rPr>
        <w:fldChar w:fldCharType="end"/>
      </w:r>
      <w:r w:rsidRPr="00051297">
        <w:rPr>
          <w:lang w:val="en-US"/>
        </w:rPr>
        <w:t xml:space="preserve">, it can be observed that, based on the material arrangements from the Aktobe dam, the modeling revealed that under long-term steady-state conditions, the seepage within the embankment is safely carried without crossing the downstream face of the embankment. Seepage flow via earth-fill embankments has been identified as the primary cause of failure due to causes such as eroding, scouring, and piping, according to the literature </w:t>
      </w:r>
      <w:r w:rsidRPr="00051297">
        <w:fldChar w:fldCharType="begin" w:fldLock="1"/>
      </w:r>
      <w:r w:rsidR="0044426E">
        <w:rPr>
          <w:lang w:val="en-US"/>
        </w:rPr>
        <w:instrText>ADDIN CSL_CITATION {"citationItems":[{"id":"ITEM-1","itemData":{"DOI":"10.17577/IJERTV8IS080168","ISSN":"2278-0181","abstract":"Seepage flow through earth embankments is the primary cause that leads to failure due to eroding, scouring, and piping. Flow of water through soil can lead to movement of the soil grains. Continued movement causes erosion. Many factors can affect the movement of the soil grains including hydraulic gradient, soil plasticity, particle size, capillary tension, and others. In this research, seepage passing through the body of earth dam with/without internal core has been studied experimentally and numerically. Different models have been studied using GEOSTUDIO (2012) program in term of SEEP/W and SLOPE/W. SEEP/W was used to compute seepage, while SLOPE/W was used for the analysis of slope stability. Numerical results have been verified using experimental data from seepage and permeability model. The effect of core permeability, core width, core base thickness, and core penetration on seepage, pressure head, exit gradient, upstream and downstream slope stabilities have been studied. It's concluded that by Increasing of side slopes (H:V), a noticeable drop of seepage line is observed with increasing of downstream slope stability, by decreasing core permeability, increasing core thickness, base core thickness, and core penetration, the quantity of seepage and exit gradient decreased upstream slope stability decreased and downstream slope stability increased.","author":[{"dropping-particle":"","family":"Mohamed N. Salem","given":"","non-dropping-particle":"","parse-names":false,"suffix":""}],"container-title":"International Journal of Engineering Research and","id":"ITEM-1","issue":"08","issued":{"date-parts":[["2019","10"]]},"title":"Analysis of Seepage through Earth Dams with Internal Core","type":"article-journal","volume":"V8"},"uris":["http://www.mendeley.com/documents/?uuid=2d08696a-4be0-45ce-8ba7-fbc8baf9be36","http://www.mendeley.com/documents/?uuid=90260023-22e1-4931-82e6-c4de6cd8bad5"]}],"mendeley":{"formattedCitation":"[295]","plainTextFormattedCitation":"[295]","previouslyFormattedCitation":"[295]"},"properties":{"noteIndex":0},"schema":"https://github.com/citation-style-language/schema/raw/master/csl-citation.json"}</w:instrText>
      </w:r>
      <w:r w:rsidRPr="00051297">
        <w:fldChar w:fldCharType="separate"/>
      </w:r>
      <w:r w:rsidR="00FA5896" w:rsidRPr="00FA5896">
        <w:rPr>
          <w:noProof/>
          <w:lang w:val="en-US"/>
        </w:rPr>
        <w:t>[295]</w:t>
      </w:r>
      <w:r w:rsidRPr="00051297">
        <w:fldChar w:fldCharType="end"/>
      </w:r>
      <w:r w:rsidRPr="00051297">
        <w:rPr>
          <w:lang w:val="en-US"/>
        </w:rPr>
        <w:t xml:space="preserve">. </w:t>
      </w:r>
    </w:p>
    <w:p w14:paraId="4A616D04" w14:textId="0C09EA0E" w:rsidR="00051297" w:rsidRPr="00051297" w:rsidRDefault="00051297" w:rsidP="00051297">
      <w:pPr>
        <w:rPr>
          <w:lang w:val="en-US"/>
        </w:rPr>
      </w:pPr>
      <w:r w:rsidRPr="00051297">
        <w:rPr>
          <w:lang w:val="en-US"/>
        </w:rPr>
        <w:t>Moreover, it is also important to investigate the long-term steady-state seepage because when the reservoir is filled, immediately water starts seeping through the body of the embankment. Whereby, after a certain time, the seepages reach steady conditions, and a distinct phreatic line is generated; that means the embankment soil under the distinct phreatic line is relatively saturated and is under seepage pressure.</w:t>
      </w:r>
      <w:r w:rsidRPr="0079595C">
        <w:rPr>
          <w:lang w:val="en-US"/>
        </w:rPr>
        <w:t xml:space="preserve"> </w:t>
      </w:r>
      <w:r w:rsidRPr="00051297">
        <w:rPr>
          <w:lang w:val="en-US"/>
        </w:rPr>
        <w:t xml:space="preserve">According to Perri </w:t>
      </w:r>
      <w:r w:rsidRPr="00051297">
        <w:rPr>
          <w:i/>
          <w:iCs/>
          <w:lang w:val="en-US"/>
        </w:rPr>
        <w:t>et al.,</w:t>
      </w:r>
      <w:r w:rsidRPr="00051297">
        <w:rPr>
          <w:lang w:val="en-US"/>
        </w:rPr>
        <w:t xml:space="preserve"> </w:t>
      </w:r>
      <w:r w:rsidRPr="00051297">
        <w:fldChar w:fldCharType="begin" w:fldLock="1"/>
      </w:r>
      <w:r w:rsidR="0044426E">
        <w:rPr>
          <w:lang w:val="en-US"/>
        </w:rPr>
        <w:instrText>ADDIN CSL_CITATION {"citationItems":[{"id":"ITEM-1","itemData":{"DOI":"10.1061/9780784412121.063","ISBN":"9780784412121","ISSN":"0895-0563","author":[{"dropping-particle":"","family":"Perri","given":"J. F.","non-dropping-particle":"","parse-names":false,"suffix":""},{"dropping-particle":"","family":"Shewbridge","given":"S. E.","non-dropping-particle":"","parse-names":false,"suffix":""},{"dropping-particle":"","family":"Cobos-Roa","given":"D. A.","non-dropping-particle":"","parse-names":false,"suffix":""},{"dropping-particle":"","family":"Green","given":"R. K.","non-dropping-particle":"","parse-names":false,"suffix":""}],"container-title":"GeoCongress 2012","id":"ITEM-1","issued":{"date-parts":[["2012","3"]]},"page":"604-613","publisher":"American Society of Civil Engineers","publisher-place":"Reston, VA","title":"Steady State Seepage Pore Water Pressures' Influence in the Slope Stability Analysis of Levees","type":"paper-conference"},"uris":["http://www.mendeley.com/documents/?uuid=797bfebf-3a59-4c09-8f82-5a1898edd112","http://www.mendeley.com/documents/?uuid=ffdb4f59-0117-4ca7-941b-69ffef4acf70","http://www.mendeley.com/documents/?uuid=397d8153-df28-448e-a507-73325cecd646"]}],"mendeley":{"formattedCitation":"[296]","plainTextFormattedCitation":"[296]","previouslyFormattedCitation":"[296]"},"properties":{"noteIndex":0},"schema":"https://github.com/citation-style-language/schema/raw/master/csl-citation.json"}</w:instrText>
      </w:r>
      <w:r w:rsidRPr="00051297">
        <w:fldChar w:fldCharType="separate"/>
      </w:r>
      <w:r w:rsidR="00FA5896" w:rsidRPr="00FA5896">
        <w:rPr>
          <w:noProof/>
          <w:lang w:val="en-US"/>
        </w:rPr>
        <w:t>[296]</w:t>
      </w:r>
      <w:r w:rsidRPr="00051297">
        <w:fldChar w:fldCharType="end"/>
      </w:r>
      <w:r w:rsidRPr="00051297">
        <w:rPr>
          <w:lang w:val="en-US"/>
        </w:rPr>
        <w:t xml:space="preserve"> an increase in embankment pore water pressures, which is linked to the development of the long-term steady-state seepage condition, can also result in a decrease in effective stress in the soil, which leads to a reduction in the available effective strength of the soil.</w:t>
      </w:r>
    </w:p>
    <w:p w14:paraId="16A011B1" w14:textId="77777777" w:rsidR="00051297" w:rsidRPr="00051297" w:rsidRDefault="00051297" w:rsidP="00051297">
      <w:pPr>
        <w:ind w:firstLine="562"/>
        <w:rPr>
          <w:rFonts w:eastAsia="Calibri" w:cs="Times New Roman"/>
          <w:szCs w:val="24"/>
          <w:lang w:val="en-US"/>
        </w:rPr>
      </w:pPr>
    </w:p>
    <w:p w14:paraId="15D3619C" w14:textId="3B653EC4" w:rsidR="00051297" w:rsidRPr="00051297" w:rsidRDefault="00AE3A41" w:rsidP="00051297">
      <w:pPr>
        <w:keepNext/>
        <w:ind w:firstLine="0"/>
        <w:rPr>
          <w:rFonts w:cs="Times New Roman"/>
          <w:szCs w:val="24"/>
        </w:rPr>
      </w:pPr>
      <w:r>
        <w:rPr>
          <w:noProof/>
        </w:rPr>
        <w:drawing>
          <wp:inline distT="0" distB="0" distL="0" distR="0" wp14:anchorId="4A9EDD62" wp14:editId="6437564A">
            <wp:extent cx="5939790" cy="1651000"/>
            <wp:effectExtent l="0" t="0" r="3810" b="635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39790" cy="1651000"/>
                    </a:xfrm>
                    <a:prstGeom prst="rect">
                      <a:avLst/>
                    </a:prstGeom>
                    <a:noFill/>
                    <a:ln>
                      <a:noFill/>
                    </a:ln>
                  </pic:spPr>
                </pic:pic>
              </a:graphicData>
            </a:graphic>
          </wp:inline>
        </w:drawing>
      </w:r>
    </w:p>
    <w:p w14:paraId="69545AE3" w14:textId="1E96D2CE" w:rsidR="00051297" w:rsidRPr="00051297" w:rsidRDefault="00051297" w:rsidP="00051297">
      <w:pPr>
        <w:ind w:firstLine="0"/>
        <w:jc w:val="center"/>
        <w:rPr>
          <w:lang w:val="en-US"/>
        </w:rPr>
      </w:pPr>
      <w:bookmarkStart w:id="1422" w:name="_Ref98108170"/>
      <w:bookmarkStart w:id="1423" w:name="_Toc97428308"/>
      <w:bookmarkStart w:id="1424" w:name="_Toc98085984"/>
      <w:bookmarkStart w:id="1425" w:name="_Toc103544179"/>
      <w:bookmarkStart w:id="1426" w:name="_Toc104985505"/>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46</w:t>
      </w:r>
      <w:r w:rsidR="00527861">
        <w:rPr>
          <w:lang w:val="en-US"/>
        </w:rPr>
        <w:fldChar w:fldCharType="end"/>
      </w:r>
      <w:bookmarkEnd w:id="1422"/>
      <w:r w:rsidRPr="00051297">
        <w:rPr>
          <w:lang w:val="en-US"/>
        </w:rPr>
        <w:t xml:space="preserve"> – Steady-state seepage</w:t>
      </w:r>
      <w:bookmarkEnd w:id="1423"/>
      <w:bookmarkEnd w:id="1424"/>
      <w:bookmarkEnd w:id="1425"/>
      <w:bookmarkEnd w:id="1426"/>
    </w:p>
    <w:p w14:paraId="642F9FAA" w14:textId="5483FE94" w:rsidR="00051297" w:rsidRPr="00051297" w:rsidRDefault="00051297" w:rsidP="00051297">
      <w:pPr>
        <w:rPr>
          <w:lang w:val="en-US"/>
        </w:rPr>
      </w:pPr>
      <w:r w:rsidRPr="00051297">
        <w:rPr>
          <w:lang w:val="en-US"/>
        </w:rPr>
        <w:t xml:space="preserve">From </w:t>
      </w:r>
      <w:r w:rsidRPr="00051297">
        <w:rPr>
          <w:lang w:val="en-US"/>
        </w:rPr>
        <w:fldChar w:fldCharType="begin"/>
      </w:r>
      <w:r w:rsidRPr="00051297">
        <w:rPr>
          <w:lang w:val="en-US"/>
        </w:rPr>
        <w:instrText xml:space="preserve"> REF _Ref98108217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47</w:t>
      </w:r>
      <w:r w:rsidRPr="00051297">
        <w:rPr>
          <w:lang w:val="en-US"/>
        </w:rPr>
        <w:fldChar w:fldCharType="end"/>
      </w:r>
      <w:r w:rsidRPr="00051297">
        <w:rPr>
          <w:lang w:val="en-US"/>
        </w:rPr>
        <w:t xml:space="preserve">, it can be observed that the seepage line heights keep on decreasing with the decrease in water levels in the reservoir. It is also important to be noted that the first seepage line indicates the initial water level in the reservoir. Then when the reservoir drawdown was simulated by instantaneously removing all the water, the water level was relatively sustained at the level of the toe of the slope, making more of the seepage lines to be concentrated at the embankment toe </w:t>
      </w:r>
      <w:r w:rsidRPr="00051297">
        <w:fldChar w:fldCharType="begin" w:fldLock="1"/>
      </w:r>
      <w:r w:rsidR="0044426E">
        <w:rPr>
          <w:lang w:val="en-US"/>
        </w:rPr>
        <w:instrText>ADDIN CSL_CITATION {"citationItems":[{"id":"ITEM-1","itemData":{"DOI":"10.1029/2007WR006525","ISSN":"00431397","author":[{"dropping-particle":"","family":"Pinyol","given":"Núria M.","non-dropping-particle":"","parse-names":false,"suffix":""},{"dropping-particle":"","family":"Alonso","given":"Eduardo E.","non-dropping-particle":"","parse-names":false,"suffix":""},{"dropping-particle":"","family":"Olivella","given":"Sebastià","non-dropping-particle":"","parse-names":false,"suffix":""}],"container-title":"Water Resources Research","id":"ITEM-1","issue":"5","issued":{"date-parts":[["2008","5"]]},"title":"Rapid drawdown in slopes and embankments","type":"article-journal","volume":"44"},"uris":["http://www.mendeley.com/documents/?uuid=902fb44a-6e5a-470b-b906-9a6dfd444b1e","http://www.mendeley.com/documents/?uuid=f4b6303a-85b3-4470-9ab6-486aaf7434da"]}],"mendeley":{"formattedCitation":"[297]","plainTextFormattedCitation":"[297]","previouslyFormattedCitation":"[297]"},"properties":{"noteIndex":0},"schema":"https://github.com/citation-style-language/schema/raw/master/csl-citation.json"}</w:instrText>
      </w:r>
      <w:r w:rsidRPr="00051297">
        <w:fldChar w:fldCharType="separate"/>
      </w:r>
      <w:r w:rsidR="00FA5896" w:rsidRPr="00FA5896">
        <w:rPr>
          <w:noProof/>
          <w:lang w:val="en-US"/>
        </w:rPr>
        <w:t>[297]</w:t>
      </w:r>
      <w:r w:rsidRPr="00051297">
        <w:fldChar w:fldCharType="end"/>
      </w:r>
      <w:r w:rsidRPr="00051297">
        <w:rPr>
          <w:lang w:val="en-US"/>
        </w:rPr>
        <w:t>.</w:t>
      </w:r>
    </w:p>
    <w:p w14:paraId="120D1780" w14:textId="77777777" w:rsidR="00051297" w:rsidRPr="00051297" w:rsidRDefault="00051297" w:rsidP="00051297">
      <w:pPr>
        <w:ind w:firstLine="562"/>
        <w:rPr>
          <w:rFonts w:eastAsia="Calibri" w:cs="Times New Roman"/>
          <w:szCs w:val="24"/>
          <w:lang w:val="en-US"/>
        </w:rPr>
      </w:pPr>
    </w:p>
    <w:p w14:paraId="1B4B3BB4" w14:textId="0712FAEF" w:rsidR="00051297" w:rsidRPr="00051297" w:rsidRDefault="00AE3A41" w:rsidP="00051297">
      <w:pPr>
        <w:keepNext/>
        <w:ind w:firstLine="0"/>
        <w:jc w:val="center"/>
        <w:rPr>
          <w:rFonts w:cs="Times New Roman"/>
          <w:szCs w:val="24"/>
        </w:rPr>
      </w:pPr>
      <w:r>
        <w:rPr>
          <w:noProof/>
        </w:rPr>
        <w:lastRenderedPageBreak/>
        <w:drawing>
          <wp:inline distT="0" distB="0" distL="0" distR="0" wp14:anchorId="751BA407" wp14:editId="39F6437A">
            <wp:extent cx="5939790" cy="1652905"/>
            <wp:effectExtent l="0" t="0" r="3810" b="444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9790" cy="1652905"/>
                    </a:xfrm>
                    <a:prstGeom prst="rect">
                      <a:avLst/>
                    </a:prstGeom>
                    <a:noFill/>
                    <a:ln>
                      <a:noFill/>
                    </a:ln>
                  </pic:spPr>
                </pic:pic>
              </a:graphicData>
            </a:graphic>
          </wp:inline>
        </w:drawing>
      </w:r>
    </w:p>
    <w:p w14:paraId="303E36B1" w14:textId="1B66B92C" w:rsidR="00051297" w:rsidRPr="00051297" w:rsidRDefault="00051297" w:rsidP="00051297">
      <w:pPr>
        <w:ind w:firstLine="0"/>
        <w:jc w:val="center"/>
        <w:rPr>
          <w:lang w:val="en-US"/>
        </w:rPr>
      </w:pPr>
      <w:bookmarkStart w:id="1427" w:name="_Ref98108217"/>
      <w:bookmarkStart w:id="1428" w:name="_Toc97428309"/>
      <w:bookmarkStart w:id="1429" w:name="_Toc98085985"/>
      <w:bookmarkStart w:id="1430" w:name="_Toc103544180"/>
      <w:bookmarkStart w:id="1431" w:name="_Toc104985506"/>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47</w:t>
      </w:r>
      <w:r w:rsidR="00527861">
        <w:rPr>
          <w:lang w:val="en-US"/>
        </w:rPr>
        <w:fldChar w:fldCharType="end"/>
      </w:r>
      <w:bookmarkEnd w:id="1427"/>
      <w:r w:rsidRPr="00051297">
        <w:t xml:space="preserve"> </w:t>
      </w:r>
      <w:r w:rsidRPr="00051297">
        <w:rPr>
          <w:lang w:val="en-US"/>
        </w:rPr>
        <w:t>– Instantaneous seepage</w:t>
      </w:r>
      <w:bookmarkEnd w:id="1428"/>
      <w:bookmarkEnd w:id="1429"/>
      <w:bookmarkEnd w:id="1430"/>
      <w:bookmarkEnd w:id="1431"/>
    </w:p>
    <w:p w14:paraId="5DC4F705" w14:textId="16A63EB6" w:rsidR="00051297" w:rsidRPr="00051297" w:rsidRDefault="00051297" w:rsidP="00141AA5">
      <w:pPr>
        <w:pStyle w:val="4"/>
        <w:rPr>
          <w:rFonts w:eastAsia="Calibri"/>
        </w:rPr>
      </w:pPr>
      <w:bookmarkStart w:id="1432" w:name="_Toc97504887"/>
      <w:bookmarkStart w:id="1433" w:name="_Toc103544024"/>
      <w:bookmarkStart w:id="1434" w:name="_Toc104985349"/>
      <w:r w:rsidRPr="00051297">
        <w:rPr>
          <w:rFonts w:eastAsia="Calibri"/>
        </w:rPr>
        <w:t>Slope stability analysis</w:t>
      </w:r>
      <w:bookmarkEnd w:id="1432"/>
      <w:bookmarkEnd w:id="1433"/>
      <w:bookmarkEnd w:id="1434"/>
    </w:p>
    <w:p w14:paraId="68456909" w14:textId="77777777" w:rsidR="00051297" w:rsidRPr="00051297" w:rsidRDefault="00051297" w:rsidP="00051297">
      <w:pPr>
        <w:numPr>
          <w:ilvl w:val="0"/>
          <w:numId w:val="45"/>
        </w:numPr>
        <w:contextualSpacing/>
        <w:rPr>
          <w:lang w:val="en-US"/>
        </w:rPr>
      </w:pPr>
      <w:r w:rsidRPr="00051297">
        <w:rPr>
          <w:lang w:val="en-US"/>
        </w:rPr>
        <w:t>Normal operating water level</w:t>
      </w:r>
    </w:p>
    <w:p w14:paraId="49DB5F87" w14:textId="08007C02" w:rsidR="00051297" w:rsidRPr="00051297" w:rsidRDefault="00051297" w:rsidP="00051297">
      <w:pPr>
        <w:rPr>
          <w:lang w:val="en-US"/>
        </w:rPr>
      </w:pPr>
      <w:r w:rsidRPr="00051297">
        <w:rPr>
          <w:lang w:val="en-US"/>
        </w:rPr>
        <w:t xml:space="preserve">The evaluation of slope stability is mainly based on the factor of safety values. From </w:t>
      </w:r>
      <w:r w:rsidRPr="00051297">
        <w:rPr>
          <w:lang w:val="en-US"/>
        </w:rPr>
        <w:fldChar w:fldCharType="begin"/>
      </w:r>
      <w:r w:rsidRPr="00051297">
        <w:rPr>
          <w:lang w:val="en-US"/>
        </w:rPr>
        <w:instrText xml:space="preserve"> REF _Ref98108240 \h  \* MERGEFORMAT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5.48</w:t>
      </w:r>
      <w:r w:rsidRPr="00051297">
        <w:rPr>
          <w:lang w:val="en-US"/>
        </w:rPr>
        <w:fldChar w:fldCharType="end"/>
      </w:r>
      <w:r w:rsidRPr="00051297">
        <w:rPr>
          <w:lang w:val="en-US"/>
        </w:rPr>
        <w:t>, it can be seen that the long-term steady-state factor of safety value is 1.784, which is highly acceptable in terms of slope stability.</w:t>
      </w:r>
    </w:p>
    <w:p w14:paraId="7FEC8F09" w14:textId="4A3B7B42" w:rsidR="00051297" w:rsidRPr="00051297" w:rsidRDefault="00051297" w:rsidP="00051297">
      <w:pPr>
        <w:rPr>
          <w:rFonts w:eastAsia="Calibri" w:cs="Times New Roman"/>
          <w:szCs w:val="24"/>
          <w:lang w:val="en-US"/>
        </w:rPr>
      </w:pPr>
      <w:r w:rsidRPr="00051297">
        <w:rPr>
          <w:lang w:val="en-US"/>
        </w:rPr>
        <w:t xml:space="preserve">According to the Geotechnical Design Manual of the Washington State Department of Transportation </w:t>
      </w:r>
      <w:r w:rsidRPr="00051297">
        <w:fldChar w:fldCharType="begin" w:fldLock="1"/>
      </w:r>
      <w:r w:rsidR="0044426E">
        <w:rPr>
          <w:lang w:val="en-US"/>
        </w:rPr>
        <w:instrText>ADDIN CSL_CITATION {"citationItems":[{"id":"ITEM-1","itemData":{"author":[{"dropping-particle":"","family":"Washington State Department of Transportation","given":"","non-dropping-particle":"","parse-names":false,"suffix":""}],"id":"ITEM-1","issue":"October","issued":{"date-parts":[["1996"]]},"page":"103-110","title":"Geotechnical Design Manual M46-03.08","type":"article-journal"},"uris":["http://www.mendeley.com/documents/?uuid=5485848c-64b6-4e80-bf94-1d4cb3183800","http://www.mendeley.com/documents/?uuid=79b6cf0c-6719-4c0a-903d-3b53ee1b6f06"]}],"mendeley":{"formattedCitation":"[298]","plainTextFormattedCitation":"[298]","previouslyFormattedCitation":"[298]"},"properties":{"noteIndex":0},"schema":"https://github.com/citation-style-language/schema/raw/master/csl-citation.json"}</w:instrText>
      </w:r>
      <w:r w:rsidRPr="00051297">
        <w:fldChar w:fldCharType="separate"/>
      </w:r>
      <w:r w:rsidR="00FA5896" w:rsidRPr="00FA5896">
        <w:rPr>
          <w:noProof/>
          <w:lang w:val="en-US"/>
        </w:rPr>
        <w:t>[298]</w:t>
      </w:r>
      <w:r w:rsidRPr="00051297">
        <w:fldChar w:fldCharType="end"/>
      </w:r>
      <w:r w:rsidRPr="00051297">
        <w:rPr>
          <w:lang w:val="en-US"/>
        </w:rPr>
        <w:t xml:space="preserve">, it is recommended that for slope stability analysis of permanent cuts, fills, and landslide repairs, 1.25 is adopted as the minimum safety factor value. Furthermore, it is recommended that larger safety factors must be adopted in a case when there is a potential uncertainty in the analysis input parameters. Also, according to Jiri H. </w:t>
      </w:r>
      <w:r w:rsidRPr="00051297">
        <w:rPr>
          <w:i/>
          <w:iCs/>
          <w:lang w:val="en-US"/>
        </w:rPr>
        <w:t>et al.</w:t>
      </w:r>
      <w:r w:rsidRPr="00051297">
        <w:rPr>
          <w:lang w:val="en-US"/>
        </w:rPr>
        <w:t xml:space="preserve"> </w:t>
      </w:r>
      <w:r w:rsidRPr="00051297">
        <w:fldChar w:fldCharType="begin" w:fldLock="1"/>
      </w:r>
      <w:r w:rsidR="0044426E">
        <w:rPr>
          <w:lang w:val="en-US"/>
        </w:rPr>
        <w:instrText>ADDIN CSL_CITATION {"citationItems":[{"id":"ITEM-1","itemData":{"abstract":"The principle of minimum acceptable factors of safety has been used to assess the stability of embankment dams for decades. The commonly applied minimum acceptable factors of safety remain very similar to those recommended in the early 1970's, despite the development of new design tools and better understanding of material behaviour. The purpose of factors of safety is to ensure reliability of the dam design and to account for uncertainties and variability of dam and foundation material parameters, uncertainties of design loads and limitations of the analysis method used. The impact of uncertainties and reliability of input values into stability analyses was recognised many decades ago, and the factor of safety was recommended depending on the loading conditions and the consequences of failure or unacceptable performance. Interestingly, the minimum recommended factors of safety used today do not take into account the potential consequences of dam failure or the uncertainties in input values, and are based on the loading conditions only. Yet, several authors have demonstrated that a higher factor of safety does not necessarily result in a lower probability of failure, as the analysis also depends on the quality of investigations, testing, design and construction. This paper summarises the history of the factor of safety principle in dam engineering, discusses the calculation of the factor of safety using commonly used analytical tools, demonstrates the impact of uncertainties using a case study and provides recommendations for potential improvements.","author":[{"dropping-particle":"","family":"Herza","given":"Jiri","non-dropping-particle":"","parse-names":false,"suffix":""},{"dropping-particle":"","family":"Ashley","given":"Michael","non-dropping-particle":"","parse-names":false,"suffix":""},{"dropping-particle":"","family":"Thorp","given":"James","non-dropping-particle":"","parse-names":false,"suffix":""}],"container-title":"Proceedings Australian National Congress on Large Dams, Hobart","id":"ITEM-1","issued":{"date-parts":[["2018"]]},"title":"Factor of Safety? Do we use it correctly?","type":"article-journal"},"uris":["http://www.mendeley.com/documents/?uuid=1f89d9ba-6c70-48b3-81cb-97429fee8b47","http://www.mendeley.com/documents/?uuid=300d0da2-b406-4009-9828-6ea24cb730a4","http://www.mendeley.com/documents/?uuid=8065ca20-91ca-4b5f-833c-31ba1d34dfe3"]}],"mendeley":{"formattedCitation":"[289]","plainTextFormattedCitation":"[289]","previouslyFormattedCitation":"[289]"},"properties":{"noteIndex":0},"schema":"https://github.com/citation-style-language/schema/raw/master/csl-citation.json"}</w:instrText>
      </w:r>
      <w:r w:rsidRPr="00051297">
        <w:fldChar w:fldCharType="separate"/>
      </w:r>
      <w:r w:rsidR="00FA5896" w:rsidRPr="00FA5896">
        <w:rPr>
          <w:noProof/>
          <w:lang w:val="en-US"/>
        </w:rPr>
        <w:t>[289]</w:t>
      </w:r>
      <w:r w:rsidRPr="00051297">
        <w:fldChar w:fldCharType="end"/>
      </w:r>
      <w:r w:rsidRPr="00051297">
        <w:rPr>
          <w:lang w:val="en-US"/>
        </w:rPr>
        <w:t>, some other authorities recommend a minimum factor of safety of 1.5 for slope stability analysis of embankments.</w:t>
      </w:r>
    </w:p>
    <w:p w14:paraId="31385A09" w14:textId="0E453C08" w:rsidR="00051297" w:rsidRPr="00051297" w:rsidRDefault="0061555C" w:rsidP="00051297">
      <w:pPr>
        <w:ind w:firstLine="0"/>
        <w:jc w:val="center"/>
      </w:pPr>
      <w:r>
        <w:rPr>
          <w:noProof/>
        </w:rPr>
        <w:drawing>
          <wp:inline distT="0" distB="0" distL="0" distR="0" wp14:anchorId="776A6336" wp14:editId="37877D0E">
            <wp:extent cx="5939790" cy="1914525"/>
            <wp:effectExtent l="0" t="0" r="3810" b="952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9790" cy="1914525"/>
                    </a:xfrm>
                    <a:prstGeom prst="rect">
                      <a:avLst/>
                    </a:prstGeom>
                    <a:noFill/>
                    <a:ln>
                      <a:noFill/>
                    </a:ln>
                  </pic:spPr>
                </pic:pic>
              </a:graphicData>
            </a:graphic>
          </wp:inline>
        </w:drawing>
      </w:r>
    </w:p>
    <w:p w14:paraId="59E2D838" w14:textId="70203A09" w:rsidR="00051297" w:rsidRPr="00051297" w:rsidRDefault="00051297" w:rsidP="00051297">
      <w:pPr>
        <w:ind w:firstLine="0"/>
        <w:jc w:val="center"/>
        <w:rPr>
          <w:lang w:val="en-US"/>
        </w:rPr>
      </w:pPr>
      <w:bookmarkStart w:id="1435" w:name="_Ref98108240"/>
      <w:bookmarkStart w:id="1436" w:name="_Toc97428310"/>
      <w:bookmarkStart w:id="1437" w:name="_Toc98085986"/>
      <w:bookmarkStart w:id="1438" w:name="_Toc103544181"/>
      <w:bookmarkStart w:id="1439" w:name="_Toc104985507"/>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48</w:t>
      </w:r>
      <w:r w:rsidR="00527861">
        <w:rPr>
          <w:lang w:val="en-US"/>
        </w:rPr>
        <w:fldChar w:fldCharType="end"/>
      </w:r>
      <w:bookmarkEnd w:id="1435"/>
      <w:r w:rsidRPr="00051297">
        <w:rPr>
          <w:lang w:val="en-US"/>
        </w:rPr>
        <w:t xml:space="preserve"> – Steady-state slope stability</w:t>
      </w:r>
      <w:bookmarkEnd w:id="1436"/>
      <w:bookmarkEnd w:id="1437"/>
      <w:bookmarkEnd w:id="1438"/>
      <w:bookmarkEnd w:id="1439"/>
    </w:p>
    <w:p w14:paraId="6E8DCB16" w14:textId="33FAF82E" w:rsidR="00051297" w:rsidRPr="00051297" w:rsidRDefault="00051297" w:rsidP="00051297">
      <w:pPr>
        <w:rPr>
          <w:lang w:val="en-US"/>
        </w:rPr>
      </w:pPr>
      <w:r w:rsidRPr="00051297">
        <w:rPr>
          <w:lang w:val="en-US"/>
        </w:rPr>
        <w:t xml:space="preserve">When the embankment was subjected to the instantaneous, a minimum factor of safety of 1.164 was retrieved, whereby, based on the recommendation of some authorities, the obtained factor of safety is an indication of a potential failure. Also, from </w:t>
      </w:r>
      <w:r w:rsidRPr="00051297">
        <w:rPr>
          <w:lang w:val="en-US"/>
        </w:rPr>
        <w:fldChar w:fldCharType="begin"/>
      </w:r>
      <w:r w:rsidRPr="00051297">
        <w:rPr>
          <w:lang w:val="en-US"/>
        </w:rPr>
        <w:instrText xml:space="preserve"> REF _Ref98108416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49</w:t>
      </w:r>
      <w:r w:rsidRPr="00051297">
        <w:rPr>
          <w:lang w:val="en-US"/>
        </w:rPr>
        <w:fldChar w:fldCharType="end"/>
      </w:r>
      <w:r w:rsidRPr="00051297">
        <w:rPr>
          <w:lang w:val="en-US"/>
        </w:rPr>
        <w:t>(b) it can be observed that the lowest factor of safety value was obtained within the first day of the instantaneous drawdown; that means the potential failure is of immediate effect when the embankment is subjected to an instantaneous drawdown.</w:t>
      </w:r>
    </w:p>
    <w:p w14:paraId="50B4F6AA" w14:textId="77777777" w:rsidR="00051297" w:rsidRPr="00051297" w:rsidRDefault="00051297" w:rsidP="00051297">
      <w:pPr>
        <w:ind w:firstLine="562"/>
        <w:rPr>
          <w:rFonts w:eastAsia="Calibri" w:cs="Times New Roman"/>
          <w:szCs w:val="24"/>
          <w:lang w:val="en-US"/>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534415E9" w14:textId="77777777" w:rsidTr="00D20B01">
        <w:tc>
          <w:tcPr>
            <w:tcW w:w="9344" w:type="dxa"/>
          </w:tcPr>
          <w:p w14:paraId="4967B259" w14:textId="77BFA2B1" w:rsidR="00051297" w:rsidRPr="00051297" w:rsidRDefault="0061555C" w:rsidP="00051297">
            <w:pPr>
              <w:ind w:firstLine="0"/>
              <w:rPr>
                <w:rFonts w:cs="Times New Roman"/>
                <w:szCs w:val="24"/>
                <w:lang w:val="en-US"/>
              </w:rPr>
            </w:pPr>
            <w:r>
              <w:rPr>
                <w:noProof/>
              </w:rPr>
              <w:drawing>
                <wp:inline distT="0" distB="0" distL="0" distR="0" wp14:anchorId="6048177D" wp14:editId="63D564D7">
                  <wp:extent cx="5810250" cy="1916873"/>
                  <wp:effectExtent l="0" t="0" r="0" b="762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16177" cy="1918828"/>
                          </a:xfrm>
                          <a:prstGeom prst="rect">
                            <a:avLst/>
                          </a:prstGeom>
                          <a:noFill/>
                          <a:ln>
                            <a:noFill/>
                          </a:ln>
                        </pic:spPr>
                      </pic:pic>
                    </a:graphicData>
                  </a:graphic>
                </wp:inline>
              </w:drawing>
            </w:r>
          </w:p>
          <w:p w14:paraId="2A31CAF6" w14:textId="77777777" w:rsidR="00051297" w:rsidRPr="00051297" w:rsidRDefault="00051297" w:rsidP="00051297">
            <w:pPr>
              <w:ind w:firstLine="562"/>
              <w:jc w:val="center"/>
              <w:rPr>
                <w:rFonts w:cs="Times New Roman"/>
                <w:szCs w:val="24"/>
                <w:lang w:val="en-US"/>
              </w:rPr>
            </w:pPr>
            <w:r w:rsidRPr="00051297">
              <w:rPr>
                <w:rFonts w:cs="Times New Roman"/>
                <w:szCs w:val="24"/>
                <w:lang w:val="en-US"/>
              </w:rPr>
              <w:t>(a)</w:t>
            </w:r>
          </w:p>
        </w:tc>
      </w:tr>
      <w:tr w:rsidR="00051297" w:rsidRPr="00051297" w14:paraId="5BC458CA" w14:textId="77777777" w:rsidTr="00D20B01">
        <w:tc>
          <w:tcPr>
            <w:tcW w:w="9344" w:type="dxa"/>
          </w:tcPr>
          <w:p w14:paraId="76095D9D" w14:textId="5A8A7266" w:rsidR="00051297" w:rsidRPr="00051297" w:rsidRDefault="0061555C" w:rsidP="00051297">
            <w:pPr>
              <w:ind w:firstLine="0"/>
              <w:jc w:val="center"/>
              <w:rPr>
                <w:rFonts w:cs="Times New Roman"/>
                <w:szCs w:val="24"/>
                <w:lang w:val="en-US"/>
              </w:rPr>
            </w:pPr>
            <w:r w:rsidRPr="0061555C">
              <w:rPr>
                <w:rFonts w:cs="Times New Roman"/>
                <w:noProof/>
                <w:szCs w:val="24"/>
                <w:lang w:val="en-US"/>
              </w:rPr>
              <w:drawing>
                <wp:inline distT="0" distB="0" distL="0" distR="0" wp14:anchorId="61AE2FA0" wp14:editId="31F32D13">
                  <wp:extent cx="2748643" cy="3848100"/>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753770" cy="3855277"/>
                          </a:xfrm>
                          <a:prstGeom prst="rect">
                            <a:avLst/>
                          </a:prstGeom>
                          <a:noFill/>
                          <a:ln>
                            <a:noFill/>
                          </a:ln>
                        </pic:spPr>
                      </pic:pic>
                    </a:graphicData>
                  </a:graphic>
                </wp:inline>
              </w:drawing>
            </w:r>
          </w:p>
          <w:p w14:paraId="6059454C" w14:textId="77777777" w:rsidR="00051297" w:rsidRPr="00051297" w:rsidRDefault="00051297" w:rsidP="00051297">
            <w:pPr>
              <w:keepNext/>
              <w:ind w:firstLine="562"/>
              <w:jc w:val="center"/>
              <w:rPr>
                <w:rFonts w:cs="Times New Roman"/>
                <w:szCs w:val="24"/>
                <w:lang w:val="en-US"/>
              </w:rPr>
            </w:pPr>
            <w:r w:rsidRPr="00051297">
              <w:rPr>
                <w:rFonts w:cs="Times New Roman"/>
                <w:szCs w:val="24"/>
                <w:lang w:val="en-US"/>
              </w:rPr>
              <w:t>(b)</w:t>
            </w:r>
          </w:p>
        </w:tc>
      </w:tr>
    </w:tbl>
    <w:p w14:paraId="168F119B" w14:textId="056D9341" w:rsidR="00051297" w:rsidRPr="00051297" w:rsidRDefault="00051297" w:rsidP="00051297">
      <w:pPr>
        <w:ind w:firstLine="0"/>
        <w:jc w:val="center"/>
        <w:rPr>
          <w:lang w:val="en-US"/>
        </w:rPr>
      </w:pPr>
      <w:bookmarkStart w:id="1440" w:name="_Ref98108416"/>
      <w:bookmarkStart w:id="1441" w:name="_Toc97428311"/>
      <w:bookmarkStart w:id="1442" w:name="_Toc98085987"/>
      <w:bookmarkStart w:id="1443" w:name="_Toc103544182"/>
      <w:bookmarkStart w:id="1444" w:name="_Toc104985508"/>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49</w:t>
      </w:r>
      <w:r w:rsidR="00527861">
        <w:rPr>
          <w:lang w:val="en-US"/>
        </w:rPr>
        <w:fldChar w:fldCharType="end"/>
      </w:r>
      <w:bookmarkEnd w:id="1440"/>
      <w:r w:rsidRPr="0061555C">
        <w:rPr>
          <w:lang w:val="en-US"/>
        </w:rPr>
        <w:t xml:space="preserve"> </w:t>
      </w:r>
      <w:r w:rsidRPr="00051297">
        <w:rPr>
          <w:lang w:val="en-US"/>
        </w:rPr>
        <w:t>– Instantaneous slope stability</w:t>
      </w:r>
      <w:bookmarkEnd w:id="1441"/>
      <w:bookmarkEnd w:id="1442"/>
      <w:bookmarkEnd w:id="1443"/>
      <w:r w:rsidR="0061555C">
        <w:rPr>
          <w:lang w:val="en-US"/>
        </w:rPr>
        <w:t>: a) embankment with slip surface; b) factor of safety values graph</w:t>
      </w:r>
      <w:bookmarkEnd w:id="1444"/>
    </w:p>
    <w:p w14:paraId="09A32115" w14:textId="72541610" w:rsidR="00051297" w:rsidRPr="00051297" w:rsidRDefault="00051297" w:rsidP="00051297">
      <w:pPr>
        <w:rPr>
          <w:lang w:val="en-US"/>
        </w:rPr>
      </w:pPr>
      <w:r w:rsidRPr="00051297">
        <w:rPr>
          <w:lang w:val="en-US"/>
        </w:rPr>
        <w:t xml:space="preserve">Also, when the embankment was subjected to 5 days drawdown rate, a factor of safety of 1.372 was achieved, which is a bit higher than the instantaneous drawdown (equivalent to a 17.9% increase). However, with the fact that some other authorities recommend a minimum factor of safety of 1.5 to consider an embankment safe during loading, the 1.372 factor of safety value may also signify a potential failure. From </w:t>
      </w:r>
      <w:r w:rsidRPr="00051297">
        <w:rPr>
          <w:lang w:val="en-US"/>
        </w:rPr>
        <w:fldChar w:fldCharType="begin"/>
      </w:r>
      <w:r w:rsidRPr="00051297">
        <w:rPr>
          <w:lang w:val="en-US"/>
        </w:rPr>
        <w:instrText xml:space="preserve"> REF _Ref98108481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50</w:t>
      </w:r>
      <w:r w:rsidRPr="00051297">
        <w:rPr>
          <w:lang w:val="en-US"/>
        </w:rPr>
        <w:fldChar w:fldCharType="end"/>
      </w:r>
      <w:r w:rsidRPr="00051297">
        <w:rPr>
          <w:lang w:val="en-US"/>
        </w:rPr>
        <w:t>, it can be observed that the minimum factor of safety value is obtained within the fourth and fifth day of the drawdown.</w:t>
      </w:r>
    </w:p>
    <w:p w14:paraId="5238D7D4" w14:textId="77777777" w:rsidR="00051297" w:rsidRPr="00051297" w:rsidRDefault="00051297" w:rsidP="00051297">
      <w:pPr>
        <w:ind w:firstLine="562"/>
        <w:rPr>
          <w:rFonts w:eastAsia="Calibri" w:cs="Times New Roman"/>
          <w:szCs w:val="24"/>
          <w:lang w:val="en-US"/>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1033513B" w14:textId="77777777" w:rsidTr="00D20B01">
        <w:tc>
          <w:tcPr>
            <w:tcW w:w="9344" w:type="dxa"/>
          </w:tcPr>
          <w:p w14:paraId="69BCB881" w14:textId="140E33E4" w:rsidR="00051297" w:rsidRPr="00051297" w:rsidRDefault="002E41AF" w:rsidP="006568FB">
            <w:pPr>
              <w:spacing w:line="240" w:lineRule="auto"/>
              <w:ind w:firstLine="0"/>
              <w:rPr>
                <w:rFonts w:cs="Times New Roman"/>
                <w:szCs w:val="24"/>
                <w:lang w:val="en-US"/>
              </w:rPr>
            </w:pPr>
            <w:r>
              <w:rPr>
                <w:noProof/>
              </w:rPr>
              <w:lastRenderedPageBreak/>
              <w:drawing>
                <wp:inline distT="0" distB="0" distL="0" distR="0" wp14:anchorId="6E104B5E" wp14:editId="36C5EBF2">
                  <wp:extent cx="5829300" cy="1908825"/>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41042" cy="1912670"/>
                          </a:xfrm>
                          <a:prstGeom prst="rect">
                            <a:avLst/>
                          </a:prstGeom>
                          <a:noFill/>
                          <a:ln>
                            <a:noFill/>
                          </a:ln>
                        </pic:spPr>
                      </pic:pic>
                    </a:graphicData>
                  </a:graphic>
                </wp:inline>
              </w:drawing>
            </w:r>
          </w:p>
          <w:p w14:paraId="60AAB6CA" w14:textId="58DA3072" w:rsidR="00051297" w:rsidRPr="00051297" w:rsidRDefault="00051297" w:rsidP="006568FB">
            <w:pPr>
              <w:spacing w:line="240" w:lineRule="auto"/>
              <w:ind w:firstLine="562"/>
              <w:jc w:val="center"/>
              <w:rPr>
                <w:rFonts w:cs="Times New Roman"/>
                <w:szCs w:val="24"/>
                <w:lang w:val="en-US"/>
              </w:rPr>
            </w:pPr>
            <w:r w:rsidRPr="00051297">
              <w:rPr>
                <w:rFonts w:cs="Times New Roman"/>
                <w:szCs w:val="24"/>
                <w:lang w:val="en-US"/>
              </w:rPr>
              <w:t>(a)</w:t>
            </w:r>
          </w:p>
        </w:tc>
      </w:tr>
      <w:tr w:rsidR="00051297" w:rsidRPr="00051297" w14:paraId="41949BDA" w14:textId="77777777" w:rsidTr="00D20B01">
        <w:tc>
          <w:tcPr>
            <w:tcW w:w="9344" w:type="dxa"/>
          </w:tcPr>
          <w:p w14:paraId="1BC002DA" w14:textId="36C0BC4C" w:rsidR="00051297" w:rsidRPr="00051297" w:rsidRDefault="0061555C" w:rsidP="006568FB">
            <w:pPr>
              <w:spacing w:line="240" w:lineRule="auto"/>
              <w:ind w:firstLine="0"/>
              <w:jc w:val="center"/>
              <w:rPr>
                <w:rFonts w:cs="Times New Roman"/>
                <w:szCs w:val="24"/>
                <w:lang w:val="en-US"/>
              </w:rPr>
            </w:pPr>
            <w:r w:rsidRPr="0061555C">
              <w:rPr>
                <w:rFonts w:cs="Times New Roman"/>
                <w:noProof/>
                <w:szCs w:val="24"/>
                <w:lang w:val="en-US"/>
              </w:rPr>
              <w:drawing>
                <wp:inline distT="0" distB="0" distL="0" distR="0" wp14:anchorId="5B44D6B9" wp14:editId="1D5FF8AB">
                  <wp:extent cx="2392680" cy="3029529"/>
                  <wp:effectExtent l="0" t="0" r="762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rotWithShape="1">
                          <a:blip r:embed="rId211">
                            <a:extLst>
                              <a:ext uri="{28A0092B-C50C-407E-A947-70E740481C1C}">
                                <a14:useLocalDpi xmlns:a14="http://schemas.microsoft.com/office/drawing/2010/main" val="0"/>
                              </a:ext>
                            </a:extLst>
                          </a:blip>
                          <a:srcRect t="5801" b="3759"/>
                          <a:stretch/>
                        </pic:blipFill>
                        <pic:spPr bwMode="auto">
                          <a:xfrm>
                            <a:off x="0" y="0"/>
                            <a:ext cx="2395740" cy="3033404"/>
                          </a:xfrm>
                          <a:prstGeom prst="rect">
                            <a:avLst/>
                          </a:prstGeom>
                          <a:noFill/>
                          <a:ln>
                            <a:noFill/>
                          </a:ln>
                          <a:extLst>
                            <a:ext uri="{53640926-AAD7-44D8-BBD7-CCE9431645EC}">
                              <a14:shadowObscured xmlns:a14="http://schemas.microsoft.com/office/drawing/2010/main"/>
                            </a:ext>
                          </a:extLst>
                        </pic:spPr>
                      </pic:pic>
                    </a:graphicData>
                  </a:graphic>
                </wp:inline>
              </w:drawing>
            </w:r>
          </w:p>
          <w:p w14:paraId="303A2470" w14:textId="77777777" w:rsidR="00051297" w:rsidRPr="00051297" w:rsidRDefault="00051297" w:rsidP="006568FB">
            <w:pPr>
              <w:keepNext/>
              <w:spacing w:line="240" w:lineRule="auto"/>
              <w:ind w:firstLine="562"/>
              <w:jc w:val="center"/>
              <w:rPr>
                <w:rFonts w:cs="Times New Roman"/>
                <w:szCs w:val="24"/>
                <w:lang w:val="en-US"/>
              </w:rPr>
            </w:pPr>
            <w:r w:rsidRPr="00051297">
              <w:rPr>
                <w:rFonts w:cs="Times New Roman"/>
                <w:szCs w:val="24"/>
                <w:lang w:val="en-US"/>
              </w:rPr>
              <w:t>(b)</w:t>
            </w:r>
          </w:p>
        </w:tc>
      </w:tr>
    </w:tbl>
    <w:p w14:paraId="7D2BD8C0" w14:textId="31CE1420" w:rsidR="00051297" w:rsidRPr="00051297" w:rsidRDefault="00051297" w:rsidP="00051297">
      <w:pPr>
        <w:ind w:firstLine="0"/>
        <w:jc w:val="center"/>
        <w:rPr>
          <w:lang w:val="en-US"/>
        </w:rPr>
      </w:pPr>
      <w:bookmarkStart w:id="1445" w:name="_Ref98108481"/>
      <w:bookmarkStart w:id="1446" w:name="_Toc97428312"/>
      <w:bookmarkStart w:id="1447" w:name="_Toc98085988"/>
      <w:bookmarkStart w:id="1448" w:name="_Toc103544183"/>
      <w:bookmarkStart w:id="1449" w:name="_Toc104985509"/>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50</w:t>
      </w:r>
      <w:r w:rsidR="00527861">
        <w:rPr>
          <w:lang w:val="en-US"/>
        </w:rPr>
        <w:fldChar w:fldCharType="end"/>
      </w:r>
      <w:bookmarkEnd w:id="1445"/>
      <w:r w:rsidRPr="00051297">
        <w:t xml:space="preserve"> </w:t>
      </w:r>
      <w:r w:rsidRPr="00051297">
        <w:rPr>
          <w:lang w:val="en-US"/>
        </w:rPr>
        <w:t>– Drawdown 5 days</w:t>
      </w:r>
      <w:bookmarkEnd w:id="1446"/>
      <w:bookmarkEnd w:id="1447"/>
      <w:bookmarkEnd w:id="1448"/>
      <w:bookmarkEnd w:id="1449"/>
    </w:p>
    <w:p w14:paraId="7BD3BC20" w14:textId="0FB978E3" w:rsidR="00051297" w:rsidRPr="00051297" w:rsidRDefault="00051297" w:rsidP="006568FB">
      <w:pPr>
        <w:rPr>
          <w:rFonts w:eastAsia="Calibri" w:cs="Times New Roman"/>
          <w:szCs w:val="24"/>
          <w:lang w:val="en-US"/>
        </w:rPr>
      </w:pPr>
      <w:r w:rsidRPr="00051297">
        <w:rPr>
          <w:lang w:val="en-US"/>
        </w:rPr>
        <w:t xml:space="preserve">Moreover, when the embankment body was subjected to 10 days drawdown rate, a minimum factor of safety of 1.433 was achieved, equivalent to a 4.4% increase from the 5 days drawdown rate and 23.1% from the instantaneous drawdown rate. From </w:t>
      </w:r>
      <w:r w:rsidRPr="00051297">
        <w:rPr>
          <w:lang w:val="en-US"/>
        </w:rPr>
        <w:fldChar w:fldCharType="begin"/>
      </w:r>
      <w:r w:rsidRPr="00051297">
        <w:rPr>
          <w:lang w:val="en-US"/>
        </w:rPr>
        <w:instrText xml:space="preserve"> REF _Ref98108521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51</w:t>
      </w:r>
      <w:r w:rsidRPr="00051297">
        <w:rPr>
          <w:lang w:val="en-US"/>
        </w:rPr>
        <w:fldChar w:fldCharType="end"/>
      </w:r>
      <w:r w:rsidRPr="00051297">
        <w:rPr>
          <w:lang w:val="en-US"/>
        </w:rPr>
        <w:t>, it can be observed that the minimum factor of safety value is obtained within the 9</w:t>
      </w:r>
      <w:r w:rsidRPr="00051297">
        <w:rPr>
          <w:vertAlign w:val="superscript"/>
          <w:lang w:val="en-US"/>
        </w:rPr>
        <w:t>th</w:t>
      </w:r>
      <w:r w:rsidRPr="00051297">
        <w:rPr>
          <w:lang w:val="en-US"/>
        </w:rPr>
        <w:t xml:space="preserve"> day of the reservoir draining.</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2A3AA4A6" w14:textId="77777777" w:rsidTr="00D20B01">
        <w:tc>
          <w:tcPr>
            <w:tcW w:w="9344" w:type="dxa"/>
          </w:tcPr>
          <w:p w14:paraId="04E5046D" w14:textId="3C439D9F" w:rsidR="00051297" w:rsidRPr="00051297" w:rsidRDefault="002E41AF" w:rsidP="006568FB">
            <w:pPr>
              <w:spacing w:line="240" w:lineRule="auto"/>
              <w:ind w:firstLine="0"/>
              <w:jc w:val="center"/>
              <w:rPr>
                <w:rFonts w:cs="Times New Roman"/>
                <w:szCs w:val="24"/>
                <w:lang w:val="en-US"/>
              </w:rPr>
            </w:pPr>
            <w:r>
              <w:rPr>
                <w:noProof/>
              </w:rPr>
              <w:drawing>
                <wp:inline distT="0" distB="0" distL="0" distR="0" wp14:anchorId="1D4016DC" wp14:editId="3A64D319">
                  <wp:extent cx="5819775" cy="1901350"/>
                  <wp:effectExtent l="0" t="0" r="0" b="381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820562" cy="1901607"/>
                          </a:xfrm>
                          <a:prstGeom prst="rect">
                            <a:avLst/>
                          </a:prstGeom>
                          <a:noFill/>
                          <a:ln>
                            <a:noFill/>
                          </a:ln>
                        </pic:spPr>
                      </pic:pic>
                    </a:graphicData>
                  </a:graphic>
                </wp:inline>
              </w:drawing>
            </w:r>
          </w:p>
          <w:p w14:paraId="60E7732E" w14:textId="77777777" w:rsidR="00051297" w:rsidRPr="00051297" w:rsidRDefault="00051297" w:rsidP="006568FB">
            <w:pPr>
              <w:spacing w:line="240" w:lineRule="auto"/>
              <w:ind w:firstLine="562"/>
              <w:jc w:val="center"/>
              <w:rPr>
                <w:rFonts w:cs="Times New Roman"/>
                <w:szCs w:val="24"/>
                <w:lang w:val="en-US"/>
              </w:rPr>
            </w:pPr>
            <w:r w:rsidRPr="00051297">
              <w:rPr>
                <w:rFonts w:cs="Times New Roman"/>
                <w:szCs w:val="24"/>
                <w:lang w:val="en-US"/>
              </w:rPr>
              <w:t>(a)</w:t>
            </w:r>
          </w:p>
        </w:tc>
      </w:tr>
      <w:tr w:rsidR="00051297" w:rsidRPr="00051297" w14:paraId="69950380" w14:textId="77777777" w:rsidTr="00D20B01">
        <w:tc>
          <w:tcPr>
            <w:tcW w:w="9344" w:type="dxa"/>
          </w:tcPr>
          <w:p w14:paraId="26CB2E3A" w14:textId="066CA900" w:rsidR="00051297" w:rsidRPr="00051297" w:rsidRDefault="002E41AF" w:rsidP="006568FB">
            <w:pPr>
              <w:spacing w:line="240" w:lineRule="auto"/>
              <w:ind w:firstLine="0"/>
              <w:jc w:val="center"/>
              <w:rPr>
                <w:rFonts w:cs="Times New Roman"/>
                <w:szCs w:val="24"/>
                <w:lang w:val="en-US"/>
              </w:rPr>
            </w:pPr>
            <w:r w:rsidRPr="002E41AF">
              <w:rPr>
                <w:rFonts w:cs="Times New Roman"/>
                <w:noProof/>
                <w:szCs w:val="24"/>
                <w:lang w:val="en-US"/>
              </w:rPr>
              <w:lastRenderedPageBreak/>
              <w:drawing>
                <wp:inline distT="0" distB="0" distL="0" distR="0" wp14:anchorId="64986BD8" wp14:editId="44AC7EF3">
                  <wp:extent cx="2628900" cy="3489960"/>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rotWithShape="1">
                          <a:blip r:embed="rId213">
                            <a:extLst>
                              <a:ext uri="{28A0092B-C50C-407E-A947-70E740481C1C}">
                                <a14:useLocalDpi xmlns:a14="http://schemas.microsoft.com/office/drawing/2010/main" val="0"/>
                              </a:ext>
                            </a:extLst>
                          </a:blip>
                          <a:srcRect t="5176"/>
                          <a:stretch/>
                        </pic:blipFill>
                        <pic:spPr bwMode="auto">
                          <a:xfrm>
                            <a:off x="0" y="0"/>
                            <a:ext cx="2628900" cy="3489960"/>
                          </a:xfrm>
                          <a:prstGeom prst="rect">
                            <a:avLst/>
                          </a:prstGeom>
                          <a:noFill/>
                          <a:ln>
                            <a:noFill/>
                          </a:ln>
                          <a:extLst>
                            <a:ext uri="{53640926-AAD7-44D8-BBD7-CCE9431645EC}">
                              <a14:shadowObscured xmlns:a14="http://schemas.microsoft.com/office/drawing/2010/main"/>
                            </a:ext>
                          </a:extLst>
                        </pic:spPr>
                      </pic:pic>
                    </a:graphicData>
                  </a:graphic>
                </wp:inline>
              </w:drawing>
            </w:r>
          </w:p>
          <w:p w14:paraId="5BB92A34" w14:textId="77777777" w:rsidR="00051297" w:rsidRPr="00051297" w:rsidRDefault="00051297" w:rsidP="006568FB">
            <w:pPr>
              <w:keepNext/>
              <w:spacing w:line="240" w:lineRule="auto"/>
              <w:ind w:firstLine="562"/>
              <w:jc w:val="center"/>
              <w:rPr>
                <w:rFonts w:cs="Times New Roman"/>
                <w:szCs w:val="24"/>
                <w:lang w:val="en-US"/>
              </w:rPr>
            </w:pPr>
            <w:r w:rsidRPr="00051297">
              <w:rPr>
                <w:rFonts w:cs="Times New Roman"/>
                <w:szCs w:val="24"/>
                <w:lang w:val="en-US"/>
              </w:rPr>
              <w:t>(b)</w:t>
            </w:r>
          </w:p>
        </w:tc>
      </w:tr>
    </w:tbl>
    <w:p w14:paraId="14B433F3" w14:textId="650B3414" w:rsidR="00051297" w:rsidRPr="00051297" w:rsidRDefault="00051297" w:rsidP="00051297">
      <w:pPr>
        <w:ind w:firstLine="0"/>
        <w:jc w:val="center"/>
        <w:rPr>
          <w:lang w:val="en-US"/>
        </w:rPr>
      </w:pPr>
      <w:bookmarkStart w:id="1450" w:name="_Ref98108521"/>
      <w:bookmarkStart w:id="1451" w:name="_Toc97428313"/>
      <w:bookmarkStart w:id="1452" w:name="_Toc98085989"/>
      <w:bookmarkStart w:id="1453" w:name="_Toc103544184"/>
      <w:bookmarkStart w:id="1454" w:name="_Toc104985510"/>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51</w:t>
      </w:r>
      <w:r w:rsidR="00527861">
        <w:rPr>
          <w:lang w:val="en-US"/>
        </w:rPr>
        <w:fldChar w:fldCharType="end"/>
      </w:r>
      <w:bookmarkEnd w:id="1450"/>
      <w:r w:rsidRPr="00051297">
        <w:t xml:space="preserve"> </w:t>
      </w:r>
      <w:r w:rsidRPr="00051297">
        <w:rPr>
          <w:lang w:val="en-US"/>
        </w:rPr>
        <w:t>– Drawdown 10 days</w:t>
      </w:r>
      <w:bookmarkEnd w:id="1451"/>
      <w:bookmarkEnd w:id="1452"/>
      <w:bookmarkEnd w:id="1453"/>
      <w:bookmarkEnd w:id="1454"/>
    </w:p>
    <w:p w14:paraId="60399AB6" w14:textId="5BDEDC7D" w:rsidR="00051297" w:rsidRPr="00051297" w:rsidRDefault="00051297" w:rsidP="00051297">
      <w:pPr>
        <w:rPr>
          <w:lang w:val="en-US"/>
        </w:rPr>
      </w:pPr>
      <w:r w:rsidRPr="00051297">
        <w:rPr>
          <w:lang w:val="en-US"/>
        </w:rPr>
        <w:t>Another case that was taken into account in this study is the 1 m per day drawdown rate (</w:t>
      </w:r>
      <w:r w:rsidRPr="00051297">
        <w:rPr>
          <w:lang w:val="en-US"/>
        </w:rPr>
        <w:fldChar w:fldCharType="begin"/>
      </w:r>
      <w:r w:rsidRPr="00051297">
        <w:rPr>
          <w:lang w:val="en-US"/>
        </w:rPr>
        <w:instrText xml:space="preserve"> REF _Ref98108548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52</w:t>
      </w:r>
      <w:r w:rsidRPr="00051297">
        <w:rPr>
          <w:lang w:val="en-US"/>
        </w:rPr>
        <w:fldChar w:fldCharType="end"/>
      </w:r>
      <w:r w:rsidRPr="00051297">
        <w:rPr>
          <w:lang w:val="en-US"/>
        </w:rPr>
        <w:t>); whereby, when the embankment was subjected to the 1 m per day drawdown rate, a minimum factor of safety value of 1.486 was retrieved from computations. The factor of safety value is equivalent to a 3.7% increase from the 10 days drawdown rate and 8.3% from the 5 days drawdown rate, and 48.6% from the instantaneous drawdown.</w:t>
      </w:r>
    </w:p>
    <w:p w14:paraId="1CF1231E" w14:textId="09E36526" w:rsidR="00051297" w:rsidRPr="00051297" w:rsidRDefault="00051297" w:rsidP="00051297">
      <w:pPr>
        <w:rPr>
          <w:color w:val="FF0000"/>
          <w:lang w:val="en-US"/>
        </w:rPr>
      </w:pPr>
      <w:r w:rsidRPr="00051297">
        <w:rPr>
          <w:lang w:val="en-US"/>
        </w:rPr>
        <w:t xml:space="preserve">Furthermore, in the literature, rapid reservoir draining has been noted to be among the critical factors in the stability of embankment slopes that were initially submerged from the upstream face. Therefore, the reduction process of water level leads to two main consequences; firstly, a decrease in terms of the external stabilizing hydrostatic pressure due to the unloading effect of removing water, and secondly, alteration of the internal pore water pressure </w:t>
      </w:r>
      <w:r w:rsidRPr="00051297">
        <w:fldChar w:fldCharType="begin" w:fldLock="1"/>
      </w:r>
      <w:r w:rsidR="00FA5896">
        <w:rPr>
          <w:lang w:val="en-US"/>
        </w:rPr>
        <w:instrText>ADDIN CSL_CITATION {"citationItems":[{"id":"ITEM-1","itemData":{"DOI":"10.1016/j.wse.2016.11.003","ISSN":"16742370","author":[{"dropping-particle":"","family":"Alonso","given":"Eduardo E.","non-dropping-particle":"","parse-names":false,"suffix":""},{"dropping-particle":"","family":"Pinyol","given":"Núria M.","non-dropping-particle":"","parse-names":false,"suffix":""}],"container-title":"Water Science and Engineering","id":"ITEM-1","issue":"3","issued":{"date-parts":[["2016","7"]]},"page":"175-182","title":"Numerical analysis of rapid drawdown: Applications in real cases","type":"article-journal","volume":"9"},"uris":["http://www.mendeley.com/documents/?uuid=b53b2054-a9f1-4df4-a453-c0acf3855b36"]}],"mendeley":{"formattedCitation":"[270]","plainTextFormattedCitation":"[270]","previouslyFormattedCitation":"[270]"},"properties":{"noteIndex":0},"schema":"https://github.com/citation-style-language/schema/raw/master/csl-citation.json"}</w:instrText>
      </w:r>
      <w:r w:rsidRPr="00051297">
        <w:fldChar w:fldCharType="separate"/>
      </w:r>
      <w:r w:rsidR="0032684D" w:rsidRPr="0032684D">
        <w:rPr>
          <w:noProof/>
          <w:lang w:val="en-US"/>
        </w:rPr>
        <w:t>[270]</w:t>
      </w:r>
      <w:r w:rsidRPr="00051297">
        <w:fldChar w:fldCharType="end"/>
      </w:r>
      <w:r w:rsidRPr="00051297">
        <w:rPr>
          <w:lang w:val="en-US"/>
        </w:rPr>
        <w:t>.</w:t>
      </w:r>
    </w:p>
    <w:p w14:paraId="69DCF80F" w14:textId="77777777" w:rsidR="00051297" w:rsidRPr="00051297" w:rsidRDefault="00051297" w:rsidP="00051297">
      <w:pPr>
        <w:ind w:firstLine="562"/>
        <w:jc w:val="center"/>
        <w:rPr>
          <w:rFonts w:eastAsia="Calibri" w:cs="Times New Roman"/>
          <w:szCs w:val="24"/>
          <w:lang w:val="en-US"/>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5E5E3237" w14:textId="77777777" w:rsidTr="00D20B01">
        <w:tc>
          <w:tcPr>
            <w:tcW w:w="9344" w:type="dxa"/>
          </w:tcPr>
          <w:p w14:paraId="5D254033" w14:textId="3FB51D50" w:rsidR="00051297" w:rsidRPr="00051297" w:rsidRDefault="00373911" w:rsidP="00051297">
            <w:pPr>
              <w:ind w:firstLine="0"/>
              <w:jc w:val="center"/>
              <w:rPr>
                <w:rFonts w:cs="Times New Roman"/>
                <w:szCs w:val="24"/>
                <w:lang w:val="en-US"/>
              </w:rPr>
            </w:pPr>
            <w:r>
              <w:rPr>
                <w:noProof/>
              </w:rPr>
              <w:drawing>
                <wp:inline distT="0" distB="0" distL="0" distR="0" wp14:anchorId="1213E265" wp14:editId="1B1FE4C6">
                  <wp:extent cx="5867400" cy="1925691"/>
                  <wp:effectExtent l="0" t="0" r="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71179" cy="1926931"/>
                          </a:xfrm>
                          <a:prstGeom prst="rect">
                            <a:avLst/>
                          </a:prstGeom>
                          <a:noFill/>
                          <a:ln>
                            <a:noFill/>
                          </a:ln>
                        </pic:spPr>
                      </pic:pic>
                    </a:graphicData>
                  </a:graphic>
                </wp:inline>
              </w:drawing>
            </w:r>
          </w:p>
          <w:p w14:paraId="791CBBD1" w14:textId="77777777" w:rsidR="00051297" w:rsidRPr="00051297" w:rsidRDefault="00051297" w:rsidP="006568FB">
            <w:pPr>
              <w:ind w:firstLine="0"/>
              <w:jc w:val="center"/>
              <w:rPr>
                <w:rFonts w:cs="Times New Roman"/>
                <w:szCs w:val="24"/>
                <w:lang w:val="en-US"/>
              </w:rPr>
            </w:pPr>
            <w:r w:rsidRPr="00051297">
              <w:rPr>
                <w:rFonts w:cs="Times New Roman"/>
                <w:szCs w:val="24"/>
                <w:lang w:val="en-US"/>
              </w:rPr>
              <w:t>(a)</w:t>
            </w:r>
          </w:p>
        </w:tc>
      </w:tr>
      <w:tr w:rsidR="00051297" w:rsidRPr="00051297" w14:paraId="7AC6F0E4" w14:textId="77777777" w:rsidTr="00D20B01">
        <w:tc>
          <w:tcPr>
            <w:tcW w:w="9344" w:type="dxa"/>
          </w:tcPr>
          <w:p w14:paraId="5EB95A65" w14:textId="320E4194" w:rsidR="00051297" w:rsidRPr="00051297" w:rsidRDefault="00373911" w:rsidP="00051297">
            <w:pPr>
              <w:ind w:firstLine="0"/>
              <w:jc w:val="center"/>
              <w:rPr>
                <w:rFonts w:cs="Times New Roman"/>
                <w:szCs w:val="24"/>
                <w:lang w:val="en-US"/>
              </w:rPr>
            </w:pPr>
            <w:r w:rsidRPr="00373911">
              <w:rPr>
                <w:rFonts w:cs="Times New Roman"/>
                <w:noProof/>
                <w:szCs w:val="24"/>
                <w:lang w:val="en-US"/>
              </w:rPr>
              <w:lastRenderedPageBreak/>
              <w:drawing>
                <wp:inline distT="0" distB="0" distL="0" distR="0" wp14:anchorId="0D85BE4E" wp14:editId="31983CB3">
                  <wp:extent cx="2838450" cy="3973830"/>
                  <wp:effectExtent l="0" t="0" r="0" b="762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838450" cy="3973830"/>
                          </a:xfrm>
                          <a:prstGeom prst="rect">
                            <a:avLst/>
                          </a:prstGeom>
                          <a:noFill/>
                          <a:ln>
                            <a:noFill/>
                          </a:ln>
                        </pic:spPr>
                      </pic:pic>
                    </a:graphicData>
                  </a:graphic>
                </wp:inline>
              </w:drawing>
            </w:r>
          </w:p>
          <w:p w14:paraId="07CDBC8C" w14:textId="77777777" w:rsidR="00051297" w:rsidRPr="00051297" w:rsidRDefault="00051297" w:rsidP="006568FB">
            <w:pPr>
              <w:keepNext/>
              <w:ind w:firstLine="0"/>
              <w:jc w:val="center"/>
              <w:rPr>
                <w:rFonts w:cs="Times New Roman"/>
                <w:szCs w:val="24"/>
                <w:lang w:val="en-US"/>
              </w:rPr>
            </w:pPr>
            <w:r w:rsidRPr="00051297">
              <w:rPr>
                <w:rFonts w:cs="Times New Roman"/>
                <w:szCs w:val="24"/>
                <w:lang w:val="en-US"/>
              </w:rPr>
              <w:t>(b)</w:t>
            </w:r>
          </w:p>
        </w:tc>
      </w:tr>
    </w:tbl>
    <w:p w14:paraId="3D145736" w14:textId="6C43329E" w:rsidR="00051297" w:rsidRPr="00051297" w:rsidRDefault="00051297" w:rsidP="00051297">
      <w:pPr>
        <w:ind w:firstLine="0"/>
        <w:jc w:val="center"/>
        <w:rPr>
          <w:lang w:val="en-US"/>
        </w:rPr>
      </w:pPr>
      <w:bookmarkStart w:id="1455" w:name="_Ref98108548"/>
      <w:bookmarkStart w:id="1456" w:name="_Toc97428314"/>
      <w:bookmarkStart w:id="1457" w:name="_Toc98085990"/>
      <w:bookmarkStart w:id="1458" w:name="_Toc103544185"/>
      <w:bookmarkStart w:id="1459" w:name="_Toc104985511"/>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52</w:t>
      </w:r>
      <w:r w:rsidR="00527861">
        <w:rPr>
          <w:lang w:val="en-US"/>
        </w:rPr>
        <w:fldChar w:fldCharType="end"/>
      </w:r>
      <w:bookmarkEnd w:id="1455"/>
      <w:r w:rsidRPr="00051297">
        <w:t xml:space="preserve"> </w:t>
      </w:r>
      <w:r w:rsidRPr="00051297">
        <w:rPr>
          <w:lang w:val="en-US"/>
        </w:rPr>
        <w:t>– Drawdown 1m per day</w:t>
      </w:r>
      <w:bookmarkEnd w:id="1456"/>
      <w:bookmarkEnd w:id="1457"/>
      <w:bookmarkEnd w:id="1458"/>
      <w:bookmarkEnd w:id="1459"/>
    </w:p>
    <w:p w14:paraId="50627A2C" w14:textId="0DAB9364" w:rsidR="00051297" w:rsidRPr="00051297" w:rsidRDefault="00051297" w:rsidP="00051297">
      <w:pPr>
        <w:rPr>
          <w:lang w:val="en-US"/>
        </w:rPr>
      </w:pPr>
      <w:r w:rsidRPr="00051297">
        <w:rPr>
          <w:lang w:val="en-US"/>
        </w:rPr>
        <w:t xml:space="preserve">From </w:t>
      </w:r>
      <w:r w:rsidRPr="00051297">
        <w:rPr>
          <w:lang w:val="en-US"/>
        </w:rPr>
        <w:fldChar w:fldCharType="begin"/>
      </w:r>
      <w:r w:rsidRPr="00051297">
        <w:rPr>
          <w:lang w:val="en-US"/>
        </w:rPr>
        <w:instrText xml:space="preserve"> REF _Ref98108586 \h </w:instrText>
      </w:r>
      <w:r w:rsidRPr="00051297">
        <w:rPr>
          <w:lang w:val="en-US"/>
        </w:rPr>
      </w:r>
      <w:r w:rsidRPr="00051297">
        <w:rPr>
          <w:lang w:val="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13</w:t>
      </w:r>
      <w:r w:rsidRPr="00051297">
        <w:rPr>
          <w:lang w:val="en-US"/>
        </w:rPr>
        <w:fldChar w:fldCharType="end"/>
      </w:r>
      <w:r w:rsidRPr="00051297">
        <w:rPr>
          <w:lang w:val="en-US"/>
        </w:rPr>
        <w:t>, it can be observed that the minimum (min) factor of safety values were increasing with the decrease in drawdown rates. A similar phenomenon can be observed from the median, arithmetic mean (mean), and standard deviation (STD). However, the maximum (max) factor of safety values remained constant as they are determined by the long-term steady state.</w:t>
      </w:r>
    </w:p>
    <w:p w14:paraId="6CF5D5BB" w14:textId="77777777" w:rsidR="00051297" w:rsidRPr="00051297" w:rsidRDefault="00051297" w:rsidP="00051297">
      <w:pPr>
        <w:rPr>
          <w:lang w:val="en-US"/>
        </w:rPr>
      </w:pPr>
      <w:r w:rsidRPr="00051297">
        <w:rPr>
          <w:lang w:val="en-US"/>
        </w:rPr>
        <w:t>As previously mentioned, the minimum factor of safety when the embankment was subjected to the instantaneous drawdown case was 1.164, while the same embankment was subjected to the 1 m per day drawdown rate, the minimum factor of safety was 1.49; which is equivalent to 48.6% % increase.</w:t>
      </w:r>
    </w:p>
    <w:p w14:paraId="2E15486B" w14:textId="6676E49D" w:rsidR="00051297" w:rsidRPr="00051297" w:rsidRDefault="00051297" w:rsidP="00051297">
      <w:pPr>
        <w:rPr>
          <w:color w:val="FF0000"/>
          <w:lang w:val="en-US"/>
        </w:rPr>
      </w:pPr>
      <w:r w:rsidRPr="00051297">
        <w:rPr>
          <w:lang w:val="en-US"/>
        </w:rPr>
        <w:t xml:space="preserve">The minimum factor of safety is of interest in most cases because, in geotechnical engineering, for example, a factor of safety provides an overall picture of how much stronger a structure is than it needs to be for a specific type of loading; it is also expressed as the ratio of the structure's capacity to the appropriate demand </w:t>
      </w:r>
      <w:r w:rsidRPr="00051297">
        <w:fldChar w:fldCharType="begin" w:fldLock="1"/>
      </w:r>
      <w:r w:rsidR="0044426E">
        <w:rPr>
          <w:lang w:val="en-US"/>
        </w:rPr>
        <w:instrText>ADDIN CSL_CITATION {"citationItems":[{"id":"ITEM-1","itemData":{"DOI":"10.1016/j.compgeo.2013.09.024","ISSN":"0266352X","abstract":"In many geotechnical engineering cases, the factor of safety may be defined as the ratio of the capacity, of the geotechnical structure or its support elements, to the pertinent demand. By representing the capacity and the demand as independent piecewise linear random variables, an analytic solution is obtained for the probability density and cumulative distribution functions of the factor of safety. Thus, solutions for the calculation of the mean value, the standard deviation and the minimum and maximum values of the factor of safety, are provided. Application of the developed analytical solutions, to the probabilistic analysis of a published case of rock spalling in a deposition tunnel complex, follows. The methodology allows for the parametric evaluation of the effect of specific design variables to the distribution of the safety factor and to the probability of failure. The closed form solution may be programmed as a computer code that may run easily on a tablet or netbook or even on a smartphone. It proves useful for the probabilistic design of a variety of geotechnical applications, such as foundations, tunneling, mining, underground roof reinforcement, and earth retaining structures, and permits decisions to be taken in terms of risk and reliability. © 2013 Elsevier Ltd.","author":[{"dropping-particle":"","family":"Sofianos","given":"A.I.","non-dropping-particle":"","parse-names":false,"suffix":""},{"dropping-particle":"","family":"Nomikos","given":"P.P.","non-dropping-particle":"","parse-names":false,"suffix":""},{"dropping-particle":"","family":"Papantonopoulos","given":"G.","non-dropping-particle":"","parse-names":false,"suffix":""}],"container-title":"Computers and Geotechnics","id":"ITEM-1","issued":{"date-parts":[["2014","1"]]},"page":"440-447","title":"Distribution of the factor of safety, in geotechnical engineering, for independent piecewise linear capacity and demand density functions","type":"article-journal","volume":"55"},"uris":["http://www.mendeley.com/documents/?uuid=ab71f288-84ac-46dd-a865-489465d46fa9","http://www.mendeley.com/documents/?uuid=2c202f71-93a3-4132-b294-dc57d3c2de49","http://www.mendeley.com/documents/?uuid=f963442b-5e6d-409f-9eda-afac4837832d"]},{"id":"ITEM-2","itemData":{"DOI":"10.1061/(ASCE)1090-0241(2001)127:8(700)","ISSN":"1090-0241","abstract":"Simple reliability analyses, involving neither complex theory nor unfamiliar terms, can be used in routine geotechnical engineering practice. These simple reliability analyses require little effort beyond that involved in conventional geotechnical analyses. They provide a means of evaluating the combined effects of uncertainties in the parameters involved in the calculations, and they offer a useful supplement to conventional analyses. The additional parameters needed for the reliability analyses—standard deviations of the parameters —can be evaluated using the same amount of data and types of correlations that are widely used in geotechnical engineering practice. Example applications to stability and settlement problems illustrate the simplicity and practical usefulness of the method.","author":[{"dropping-particle":"","family":"Cherubini","given":"Claudio","non-dropping-particle":"","parse-names":false,"suffix":""},{"dropping-particle":"","family":"Christian","given":"John T.","non-dropping-particle":"","parse-names":false,"suffix":""},{"dropping-particle":"","family":"Baecher","given":"Gregory B.","non-dropping-particle":"","parse-names":false,"suffix":""},{"dropping-particle":"","family":"Failmezger","given":"Roger A.","non-dropping-particle":"","parse-names":false,"suffix":""},{"dropping-particle":"","family":"Focht","given":"John A.","non-dropping-particle":"","parse-names":false,"suffix":""},{"dropping-particle":"","family":"Focht","given":"John A.","non-dropping-particle":"","parse-names":false,"suffix":""},{"dropping-particle":"","family":"Koutsoftas","given":"Demetrious C.","non-dropping-particle":"","parse-names":false,"suffix":""},{"dropping-particle":"","family":"Ladd","given":"Charles C.","non-dropping-particle":"","parse-names":false,"suffix":""},{"dropping-particle":"Da","family":"Re","given":"Gregory","non-dropping-particle":"","parse-names":false,"suffix":""},{"dropping-particle":"","family":"Li","given":"K. S.","non-dropping-particle":"","parse-names":false,"suffix":""},{"dropping-particle":"","family":"Lam","given":"Joley","non-dropping-particle":"","parse-names":false,"suffix":""},{"dropping-particle":"","family":"Moriwaki","given":"Yoshi","non-dropping-particle":"","parse-names":false,"suffix":""},{"dropping-particle":"","family":"Barneich","given":"John A.","non-dropping-particle":"","parse-names":false,"suffix":""},{"dropping-particle":"","family":"Schmertmann","given":"John H.","non-dropping-particle":"","parse-names":false,"suffix":""},{"dropping-particle":"","family":"Duncan","given":"J. M.","non-dropping-particle":"","parse-names":false,"suffix":""}],"container-title":"Journal of Geotechnical and Geoenvironmental Engineering","id":"ITEM-2","issue":"8","issued":{"date-parts":[["2001","8"]]},"page":"700-721","title":"Factor of Safety and Reliability in Geotechnical Engineering","type":"article-journal","volume":"127"},"uris":["http://www.mendeley.com/documents/?uuid=abaad4ce-acc5-4167-96db-7d36adb0bf7c","http://www.mendeley.com/documents/?uuid=f82fe789-3ab5-4f6f-a15a-3d379fcd19b6","http://www.mendeley.com/documents/?uuid=7b333f1c-dd02-4801-9b9c-96edfeba36d3"]}],"mendeley":{"formattedCitation":"[299,300]","plainTextFormattedCitation":"[299,300]","previouslyFormattedCitation":"[299,300]"},"properties":{"noteIndex":0},"schema":"https://github.com/citation-style-language/schema/raw/master/csl-citation.json"}</w:instrText>
      </w:r>
      <w:r w:rsidRPr="00051297">
        <w:fldChar w:fldCharType="separate"/>
      </w:r>
      <w:r w:rsidR="00FA5896" w:rsidRPr="00FA5896">
        <w:rPr>
          <w:noProof/>
          <w:lang w:val="en-US"/>
        </w:rPr>
        <w:t>[299,300]</w:t>
      </w:r>
      <w:r w:rsidRPr="00051297">
        <w:fldChar w:fldCharType="end"/>
      </w:r>
      <w:r w:rsidRPr="00051297">
        <w:rPr>
          <w:lang w:val="en-US"/>
        </w:rPr>
        <w:t xml:space="preserve">. Another key aspect to note is that these values are normally computed using detailed analysis due to the fact that comprehensive testing can be associated with feasibility issues on many engineering projects. However, the structure's ability to sustain potential loading conditions should be well checked in principle to resolute to a sensible accurateness. Moreover, well-designed with a sufficient value of factor of safety has the </w:t>
      </w:r>
      <w:r w:rsidRPr="00051297">
        <w:rPr>
          <w:lang w:val="en-US"/>
        </w:rPr>
        <w:lastRenderedPageBreak/>
        <w:t xml:space="preserve">potential to increase the safety of people that in turn reduces the risk of failure of the particular structure </w:t>
      </w:r>
      <w:r w:rsidRPr="00051297">
        <w:fldChar w:fldCharType="begin" w:fldLock="1"/>
      </w:r>
      <w:r w:rsidR="0044426E">
        <w:rPr>
          <w:lang w:val="en-US"/>
        </w:rPr>
        <w:instrText>ADDIN CSL_CITATION {"citationItems":[{"id":"ITEM-1","itemData":{"DOI":"10.1155/2020/8862243","ISSN":"1687-8094","abstract":"In order to study the failure mechanism and assess the stability of the inlet slope of the outlet structure of Lianghekou Hydropower station, the strength reduction method considering the ubiquitous joint model is proposed. Firstly, two-dimension numerical models are built to investigate the influence of the dilation angle of ubiquitous joints, mesh discretization, and solution domain size on the slope stability. It is found that the factor of safety is insensitive to the dilation angle of ubiquitous joints and the solution domain size but sensitive to the mesh discretization when the number of elements less than a certain threshold. Then, a complex three-dimension numerical model is built to assess the stability of the inlet slope of the outlet structure of Lianghekou Hydropower station. During the strength reduction procedure, the progressive failure process and the final failure surface of the slope are obtained. Furthermore, the comparison of factors of safety obtained from strength reduction method and analytical solutions indicates that the effect of vertical side boundaries plays an important role in the stability of jointed rock slope, and the cohesive force is the main contribution to the resistant force of vertical side boundaries.","author":[{"dropping-particle":"","family":"Lu","given":"Ruili","non-dropping-particle":"","parse-names":false,"suffix":""},{"dropping-particle":"","family":"Wei","given":"Wei","non-dropping-particle":"","parse-names":false,"suffix":""},{"dropping-particle":"","family":"Shang","given":"Kaiwei","non-dropping-particle":"","parse-names":false,"suffix":""},{"dropping-particle":"","family":"Jing","given":"Xiangyang","non-dropping-particle":"","parse-names":false,"suffix":""}],"container-title":"Advances in Civil Engineering","editor":[{"dropping-particle":"","family":"Tang","given":"Zhi Cheng","non-dropping-particle":"","parse-names":false,"suffix":""}],"id":"ITEM-1","issued":{"date-parts":[["2020","11"]]},"page":"1-13","title":"Stability Analysis of Jointed Rock Slope by Strength Reduction Technique considering Ubiquitous Joint Model","type":"article-journal","volume":"2020"},"uris":["http://www.mendeley.com/documents/?uuid=c140b743-3072-43b5-b2d0-d582f716b9db","http://www.mendeley.com/documents/?uuid=5dcd6db8-3dcd-4d1e-ac91-7088deec0e32","http://www.mendeley.com/documents/?uuid=ed92b816-da34-4699-8c34-5894779cb649"]},{"id":"ITEM-2","itemData":{"DOI":"10.28991/cej-2020-03091461","ISSN":"2476-3055","abstract":"The overloads of structures or embankments built on clayey soft ground are generally applied gradually, respecting a specific phasing. This phasing on construction allows the undrained shear strength of clay increasing over consolidation in order to avoid the risk of collapse during loading. In this work, the undrained shear strength of clay over the consolidation was estimated following SHANSEP method of which parameters proposed by eight researchers have been employed, as well as the slope stability analysis of embankments on soft soils during staged construction. Assessment of factor of safety for slope stability was conducted basing on the Bishop method. Additionally, the variations of undrained shear strength and factor of safety were presented. In order to validate the methods discussed in this study, slope stability analysis of five embankments constructed on clayey soft soils improved by the vertical drain technique in a high-speed railway construction project in Morocco was performed. For these embankments, field measurements about lateral displacement are presented. It was found that some of the adopted methods is in a good agreement with field measurements. Hence, generalization of these methods to many soft ground cases can be proposed.","author":[{"dropping-particle":"","family":"Kassou","given":"F.","non-dropping-particle":"","parse-names":false,"suffix":""},{"dropping-particle":"Ben","family":"Bouziyane","given":"J.","non-dropping-particle":"","parse-names":false,"suffix":""},{"dropping-particle":"","family":"Ghafiri","given":"A.","non-dropping-particle":"","parse-names":false,"suffix":""},{"dropping-particle":"","family":"Sabihi","given":"A.","non-dropping-particle":"","parse-names":false,"suffix":""}],"container-title":"Civil Engineering Journal","id":"ITEM-2","issue":"1","issued":{"date-parts":[["2020","1"]]},"page":"164-173","title":"Slope Stability of Embankments on Soft Soil Improved with Vertical Drains","type":"article-journal","volume":"6"},"uris":["http://www.mendeley.com/documents/?uuid=7f8cb6e3-e5f2-48be-b6a4-550656f4b81f","http://www.mendeley.com/documents/?uuid=1a5841ce-e60f-4041-b110-a7901e880d27"]},{"id":"ITEM-3","itemData":{"DOI":"10.1155/2017/3043571","ISSN":"1024-123X","abstract":"This paper focuses on the evaluation standards of factor of safety for foundation stability analysis. The problem of foundation stability is analyzed via the methods of risk analysis of engineering structures and reliability-based design, and the factor of safety for foundation stability is determined by using bearing capacity safety-factor method (BSFM) and strength safety-factor method (SSFM). Based on a typical example, the admissible factors of safety were calibrated with a target reliability index specified in relevant standards. Two safety criteria and their standards of bearing capacity of foundation for these two methods (BSFM and SSFM) were established. The universality of the safety criteria and their standards for foundation reliability was verified based on the concept of the ratio of safety margin (RSM).","author":[{"dropping-particle":"","family":"Li","given":"Yanlong","non-dropping-particle":"","parse-names":false,"suffix":""},{"dropping-particle":"","family":"Fan","given":"Wangtao","non-dropping-particle":"","parse-names":false,"suffix":""},{"dropping-particle":"","family":"Chen","given":"Xuguang","non-dropping-particle":"","parse-names":false,"suffix":""},{"dropping-particle":"","family":"Liu","given":"Yunhe","non-dropping-particle":"","parse-names":false,"suffix":""},{"dropping-particle":"","family":"Chen","given":"Bo","non-dropping-particle":"","parse-names":false,"suffix":""}],"container-title":"Mathematical Problems in Engineering","id":"ITEM-3","issued":{"date-parts":[["2017"]]},"page":"1-8","title":"Safety Criteria and Standards for Bearing Capacity of Foundation","type":"article-journal","volume":"2017"},"uris":["http://www.mendeley.com/documents/?uuid=3a972bfd-451f-48d5-a64b-a2081661bfb1","http://www.mendeley.com/documents/?uuid=a864c648-23ed-490d-88ee-b7c162a32326","http://www.mendeley.com/documents/?uuid=913f2708-a439-4c33-8c52-2cd55a936903"]}],"mendeley":{"formattedCitation":"[301–303]","plainTextFormattedCitation":"[301–303]","previouslyFormattedCitation":"[301–303]"},"properties":{"noteIndex":0},"schema":"https://github.com/citation-style-language/schema/raw/master/csl-citation.json"}</w:instrText>
      </w:r>
      <w:r w:rsidRPr="00051297">
        <w:fldChar w:fldCharType="separate"/>
      </w:r>
      <w:r w:rsidR="00FA5896" w:rsidRPr="00FA5896">
        <w:rPr>
          <w:noProof/>
          <w:lang w:val="en-US"/>
        </w:rPr>
        <w:t>[301–303]</w:t>
      </w:r>
      <w:r w:rsidRPr="00051297">
        <w:fldChar w:fldCharType="end"/>
      </w:r>
      <w:r w:rsidRPr="00051297">
        <w:rPr>
          <w:lang w:val="en-US"/>
        </w:rPr>
        <w:t>.</w:t>
      </w:r>
    </w:p>
    <w:p w14:paraId="0187F07D" w14:textId="2AE15C52" w:rsidR="00051297" w:rsidRPr="00051297" w:rsidRDefault="00051297" w:rsidP="00051297">
      <w:pPr>
        <w:rPr>
          <w:lang w:val="en-US"/>
        </w:rPr>
      </w:pPr>
      <w:bookmarkStart w:id="1460" w:name="_Ref98108586"/>
      <w:bookmarkStart w:id="1461" w:name="_Toc97077211"/>
      <w:bookmarkStart w:id="1462" w:name="_Toc103544268"/>
      <w:bookmarkStart w:id="1463" w:name="_Toc104985594"/>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13</w:t>
      </w:r>
      <w:r w:rsidRPr="00051297">
        <w:rPr>
          <w:lang w:val="en-US"/>
        </w:rPr>
        <w:fldChar w:fldCharType="end"/>
      </w:r>
      <w:bookmarkEnd w:id="1460"/>
      <w:r w:rsidRPr="00051297">
        <w:rPr>
          <w:lang w:val="en-US"/>
        </w:rPr>
        <w:t xml:space="preserve"> – Summary of the factor of safety values from the investigated drawdown rates</w:t>
      </w:r>
      <w:bookmarkEnd w:id="1461"/>
      <w:bookmarkEnd w:id="1462"/>
      <w:bookmarkEnd w:id="1463"/>
    </w:p>
    <w:tbl>
      <w:tblPr>
        <w:tblStyle w:val="TableGrid3"/>
        <w:tblW w:w="0" w:type="auto"/>
        <w:jc w:val="center"/>
        <w:tblLook w:val="04A0" w:firstRow="1" w:lastRow="0" w:firstColumn="1" w:lastColumn="0" w:noHBand="0" w:noVBand="1"/>
      </w:tblPr>
      <w:tblGrid>
        <w:gridCol w:w="3863"/>
        <w:gridCol w:w="1622"/>
        <w:gridCol w:w="3510"/>
      </w:tblGrid>
      <w:tr w:rsidR="00051297" w:rsidRPr="00B167E1" w14:paraId="5045A059" w14:textId="77777777" w:rsidTr="00D20B01">
        <w:trPr>
          <w:trHeight w:val="300"/>
          <w:jc w:val="center"/>
        </w:trPr>
        <w:tc>
          <w:tcPr>
            <w:tcW w:w="3863" w:type="dxa"/>
            <w:noWrap/>
            <w:hideMark/>
          </w:tcPr>
          <w:p w14:paraId="5721A70D" w14:textId="77777777" w:rsidR="00051297" w:rsidRPr="00051297" w:rsidRDefault="00051297" w:rsidP="00051297">
            <w:pPr>
              <w:spacing w:line="240" w:lineRule="auto"/>
              <w:ind w:firstLine="0"/>
              <w:jc w:val="center"/>
              <w:rPr>
                <w:lang w:val="en-US"/>
              </w:rPr>
            </w:pPr>
            <w:r w:rsidRPr="00051297">
              <w:rPr>
                <w:lang w:val="en-US"/>
              </w:rPr>
              <w:t>Drawdown type</w:t>
            </w:r>
          </w:p>
        </w:tc>
        <w:tc>
          <w:tcPr>
            <w:tcW w:w="1622" w:type="dxa"/>
          </w:tcPr>
          <w:p w14:paraId="41128E0B" w14:textId="77777777" w:rsidR="00051297" w:rsidRPr="00051297" w:rsidRDefault="00051297" w:rsidP="00051297">
            <w:pPr>
              <w:spacing w:line="240" w:lineRule="auto"/>
              <w:ind w:firstLine="0"/>
              <w:jc w:val="center"/>
              <w:rPr>
                <w:lang w:val="en-US"/>
              </w:rPr>
            </w:pPr>
            <w:r w:rsidRPr="00051297">
              <w:rPr>
                <w:lang w:val="en-US"/>
              </w:rPr>
              <w:t>Steady-state</w:t>
            </w:r>
          </w:p>
        </w:tc>
        <w:tc>
          <w:tcPr>
            <w:tcW w:w="3510" w:type="dxa"/>
            <w:noWrap/>
            <w:hideMark/>
          </w:tcPr>
          <w:p w14:paraId="7FE005A6" w14:textId="77777777" w:rsidR="00051297" w:rsidRPr="00051297" w:rsidRDefault="00051297" w:rsidP="00051297">
            <w:pPr>
              <w:spacing w:line="240" w:lineRule="auto"/>
              <w:ind w:firstLine="0"/>
              <w:jc w:val="center"/>
              <w:rPr>
                <w:lang w:val="en-US"/>
              </w:rPr>
            </w:pPr>
            <w:r w:rsidRPr="00051297">
              <w:rPr>
                <w:lang w:val="en-US"/>
              </w:rPr>
              <w:t>The factor of safety value (minimum)</w:t>
            </w:r>
          </w:p>
        </w:tc>
      </w:tr>
      <w:tr w:rsidR="00051297" w:rsidRPr="00051297" w14:paraId="6D9D80BC" w14:textId="77777777" w:rsidTr="00D20B01">
        <w:trPr>
          <w:trHeight w:val="300"/>
          <w:jc w:val="center"/>
        </w:trPr>
        <w:tc>
          <w:tcPr>
            <w:tcW w:w="3863" w:type="dxa"/>
            <w:noWrap/>
            <w:hideMark/>
          </w:tcPr>
          <w:p w14:paraId="1A2557AB" w14:textId="77777777" w:rsidR="00051297" w:rsidRPr="00051297" w:rsidRDefault="00051297" w:rsidP="00051297">
            <w:pPr>
              <w:spacing w:line="240" w:lineRule="auto"/>
              <w:ind w:firstLine="0"/>
              <w:jc w:val="center"/>
              <w:rPr>
                <w:lang w:val="en-US"/>
              </w:rPr>
            </w:pPr>
            <w:r w:rsidRPr="00051297">
              <w:rPr>
                <w:lang w:val="en-US"/>
              </w:rPr>
              <w:t>Instantaneous</w:t>
            </w:r>
          </w:p>
        </w:tc>
        <w:tc>
          <w:tcPr>
            <w:tcW w:w="1622" w:type="dxa"/>
          </w:tcPr>
          <w:p w14:paraId="25A0ECBA" w14:textId="77777777" w:rsidR="00051297" w:rsidRPr="00051297" w:rsidRDefault="00051297" w:rsidP="00051297">
            <w:pPr>
              <w:spacing w:line="240" w:lineRule="auto"/>
              <w:ind w:firstLine="0"/>
              <w:jc w:val="center"/>
              <w:rPr>
                <w:lang w:val="en-US"/>
              </w:rPr>
            </w:pPr>
            <w:r w:rsidRPr="00051297">
              <w:rPr>
                <w:lang w:val="en-US"/>
              </w:rPr>
              <w:t>1.781</w:t>
            </w:r>
          </w:p>
        </w:tc>
        <w:tc>
          <w:tcPr>
            <w:tcW w:w="3510" w:type="dxa"/>
            <w:noWrap/>
            <w:hideMark/>
          </w:tcPr>
          <w:p w14:paraId="29A6587D" w14:textId="77777777" w:rsidR="00051297" w:rsidRPr="00051297" w:rsidRDefault="00051297" w:rsidP="00051297">
            <w:pPr>
              <w:spacing w:line="240" w:lineRule="auto"/>
              <w:ind w:firstLine="0"/>
              <w:jc w:val="center"/>
              <w:rPr>
                <w:lang w:val="en-US"/>
              </w:rPr>
            </w:pPr>
            <w:r w:rsidRPr="00051297">
              <w:rPr>
                <w:lang w:val="en-US"/>
              </w:rPr>
              <w:t>1.164</w:t>
            </w:r>
          </w:p>
        </w:tc>
      </w:tr>
      <w:tr w:rsidR="00051297" w:rsidRPr="00051297" w14:paraId="65234B37" w14:textId="77777777" w:rsidTr="00D20B01">
        <w:trPr>
          <w:trHeight w:val="300"/>
          <w:jc w:val="center"/>
        </w:trPr>
        <w:tc>
          <w:tcPr>
            <w:tcW w:w="3863" w:type="dxa"/>
            <w:noWrap/>
            <w:hideMark/>
          </w:tcPr>
          <w:p w14:paraId="4E609785" w14:textId="77777777" w:rsidR="00051297" w:rsidRPr="00051297" w:rsidRDefault="00051297" w:rsidP="00051297">
            <w:pPr>
              <w:spacing w:line="240" w:lineRule="auto"/>
              <w:ind w:firstLine="0"/>
              <w:jc w:val="center"/>
              <w:rPr>
                <w:lang w:val="en-US"/>
              </w:rPr>
            </w:pPr>
            <w:r w:rsidRPr="00051297">
              <w:rPr>
                <w:lang w:val="en-US"/>
              </w:rPr>
              <w:t>Drawdown-5 days</w:t>
            </w:r>
          </w:p>
        </w:tc>
        <w:tc>
          <w:tcPr>
            <w:tcW w:w="1622" w:type="dxa"/>
          </w:tcPr>
          <w:p w14:paraId="6AA1A075" w14:textId="77777777" w:rsidR="00051297" w:rsidRPr="00051297" w:rsidRDefault="00051297" w:rsidP="00051297">
            <w:pPr>
              <w:spacing w:line="240" w:lineRule="auto"/>
              <w:ind w:firstLine="0"/>
              <w:jc w:val="center"/>
              <w:rPr>
                <w:lang w:val="en-US"/>
              </w:rPr>
            </w:pPr>
            <w:r w:rsidRPr="00051297">
              <w:rPr>
                <w:lang w:val="en-US"/>
              </w:rPr>
              <w:t>1.781</w:t>
            </w:r>
          </w:p>
        </w:tc>
        <w:tc>
          <w:tcPr>
            <w:tcW w:w="3510" w:type="dxa"/>
            <w:noWrap/>
            <w:hideMark/>
          </w:tcPr>
          <w:p w14:paraId="55958BDC" w14:textId="77777777" w:rsidR="00051297" w:rsidRPr="00051297" w:rsidRDefault="00051297" w:rsidP="00051297">
            <w:pPr>
              <w:spacing w:line="240" w:lineRule="auto"/>
              <w:ind w:firstLine="0"/>
              <w:jc w:val="center"/>
              <w:rPr>
                <w:lang w:val="en-US"/>
              </w:rPr>
            </w:pPr>
            <w:r w:rsidRPr="00051297">
              <w:rPr>
                <w:lang w:val="en-US"/>
              </w:rPr>
              <w:t>1.372</w:t>
            </w:r>
          </w:p>
        </w:tc>
      </w:tr>
      <w:tr w:rsidR="00051297" w:rsidRPr="00051297" w14:paraId="3F097198" w14:textId="77777777" w:rsidTr="00D20B01">
        <w:trPr>
          <w:trHeight w:val="300"/>
          <w:jc w:val="center"/>
        </w:trPr>
        <w:tc>
          <w:tcPr>
            <w:tcW w:w="3863" w:type="dxa"/>
            <w:noWrap/>
            <w:hideMark/>
          </w:tcPr>
          <w:p w14:paraId="16096416" w14:textId="77777777" w:rsidR="00051297" w:rsidRPr="00051297" w:rsidRDefault="00051297" w:rsidP="00051297">
            <w:pPr>
              <w:spacing w:line="240" w:lineRule="auto"/>
              <w:ind w:firstLine="0"/>
              <w:jc w:val="center"/>
              <w:rPr>
                <w:lang w:val="en-US"/>
              </w:rPr>
            </w:pPr>
            <w:r w:rsidRPr="00051297">
              <w:rPr>
                <w:lang w:val="en-US"/>
              </w:rPr>
              <w:t>Drawdown-10 days</w:t>
            </w:r>
          </w:p>
        </w:tc>
        <w:tc>
          <w:tcPr>
            <w:tcW w:w="1622" w:type="dxa"/>
          </w:tcPr>
          <w:p w14:paraId="01515113" w14:textId="77777777" w:rsidR="00051297" w:rsidRPr="00051297" w:rsidRDefault="00051297" w:rsidP="00051297">
            <w:pPr>
              <w:spacing w:line="240" w:lineRule="auto"/>
              <w:ind w:firstLine="0"/>
              <w:jc w:val="center"/>
              <w:rPr>
                <w:lang w:val="en-US"/>
              </w:rPr>
            </w:pPr>
            <w:r w:rsidRPr="00051297">
              <w:rPr>
                <w:lang w:val="en-US"/>
              </w:rPr>
              <w:t>1.781</w:t>
            </w:r>
          </w:p>
        </w:tc>
        <w:tc>
          <w:tcPr>
            <w:tcW w:w="3510" w:type="dxa"/>
            <w:noWrap/>
            <w:hideMark/>
          </w:tcPr>
          <w:p w14:paraId="279FF868" w14:textId="77777777" w:rsidR="00051297" w:rsidRPr="00051297" w:rsidRDefault="00051297" w:rsidP="00051297">
            <w:pPr>
              <w:spacing w:line="240" w:lineRule="auto"/>
              <w:ind w:firstLine="0"/>
              <w:jc w:val="center"/>
              <w:rPr>
                <w:lang w:val="en-US"/>
              </w:rPr>
            </w:pPr>
            <w:r w:rsidRPr="00051297">
              <w:rPr>
                <w:lang w:val="en-US"/>
              </w:rPr>
              <w:t>1.433</w:t>
            </w:r>
          </w:p>
        </w:tc>
      </w:tr>
      <w:tr w:rsidR="00051297" w:rsidRPr="00051297" w14:paraId="7E748C33" w14:textId="77777777" w:rsidTr="00D20B01">
        <w:trPr>
          <w:trHeight w:val="300"/>
          <w:jc w:val="center"/>
        </w:trPr>
        <w:tc>
          <w:tcPr>
            <w:tcW w:w="3863" w:type="dxa"/>
            <w:noWrap/>
            <w:hideMark/>
          </w:tcPr>
          <w:p w14:paraId="6857A1F4" w14:textId="77777777" w:rsidR="00051297" w:rsidRPr="00051297" w:rsidRDefault="00051297" w:rsidP="00051297">
            <w:pPr>
              <w:spacing w:line="240" w:lineRule="auto"/>
              <w:ind w:firstLine="0"/>
              <w:jc w:val="center"/>
              <w:rPr>
                <w:lang w:val="en-US"/>
              </w:rPr>
            </w:pPr>
            <w:r w:rsidRPr="00051297">
              <w:rPr>
                <w:lang w:val="en-US"/>
              </w:rPr>
              <w:t>Drawdown-1 m per day</w:t>
            </w:r>
          </w:p>
        </w:tc>
        <w:tc>
          <w:tcPr>
            <w:tcW w:w="1622" w:type="dxa"/>
          </w:tcPr>
          <w:p w14:paraId="04ED0BF9" w14:textId="77777777" w:rsidR="00051297" w:rsidRPr="00051297" w:rsidRDefault="00051297" w:rsidP="00051297">
            <w:pPr>
              <w:spacing w:line="240" w:lineRule="auto"/>
              <w:ind w:firstLine="0"/>
              <w:jc w:val="center"/>
              <w:rPr>
                <w:lang w:val="en-US"/>
              </w:rPr>
            </w:pPr>
            <w:r w:rsidRPr="00051297">
              <w:rPr>
                <w:lang w:val="en-US"/>
              </w:rPr>
              <w:t>1.781</w:t>
            </w:r>
          </w:p>
        </w:tc>
        <w:tc>
          <w:tcPr>
            <w:tcW w:w="3510" w:type="dxa"/>
            <w:noWrap/>
            <w:hideMark/>
          </w:tcPr>
          <w:p w14:paraId="14F10C60" w14:textId="77777777" w:rsidR="00051297" w:rsidRPr="00051297" w:rsidRDefault="00051297" w:rsidP="00051297">
            <w:pPr>
              <w:spacing w:line="240" w:lineRule="auto"/>
              <w:ind w:firstLine="0"/>
              <w:jc w:val="center"/>
              <w:rPr>
                <w:lang w:val="en-US"/>
              </w:rPr>
            </w:pPr>
            <w:r w:rsidRPr="00051297">
              <w:rPr>
                <w:lang w:val="en-US"/>
              </w:rPr>
              <w:t>1.486</w:t>
            </w:r>
          </w:p>
        </w:tc>
      </w:tr>
    </w:tbl>
    <w:p w14:paraId="58336BC0" w14:textId="77777777" w:rsidR="00051297" w:rsidRPr="00051297" w:rsidRDefault="00051297" w:rsidP="00051297">
      <w:pPr>
        <w:ind w:firstLine="562"/>
        <w:rPr>
          <w:rFonts w:eastAsia="Calibri" w:cs="Times New Roman"/>
          <w:szCs w:val="24"/>
        </w:rPr>
      </w:pPr>
    </w:p>
    <w:p w14:paraId="47B97BE4" w14:textId="59CC7A91" w:rsidR="00051297" w:rsidRPr="00051297" w:rsidRDefault="00051297" w:rsidP="00051297">
      <w:pPr>
        <w:rPr>
          <w:lang w:val="en-US"/>
        </w:rPr>
      </w:pPr>
      <w:r w:rsidRPr="00051297">
        <w:rPr>
          <w:lang w:val="en-US"/>
        </w:rPr>
        <w:t xml:space="preserve">In summary, the observed effects of the rapid drawdown loading conditions can be again linked to the fact that when the water in the reservoir is removed relatively fast, the sustaining water load from the embankment's upstream face, combined with changes in pore water pressure, causes an undrained unloading condition in which total stresses fall, causing shear stresses to rise within the embankment </w:t>
      </w:r>
      <w:r w:rsidRPr="00051297">
        <w:fldChar w:fldCharType="begin" w:fldLock="1"/>
      </w:r>
      <w:r w:rsidR="0044426E">
        <w:rPr>
          <w:lang w:val="en-US"/>
        </w:rPr>
        <w:instrText>ADDIN CSL_CITATION {"citationItems":[{"id":"ITEM-1","itemData":{"abstract":"The undrained shear strength during rapid drawdown is controlled by the properties of the embankment fill material and the consolidation stresses prior to drawdown. Current design methods use limit equilibrium analyses to evaluate both the consolidation stresses and the stability of the slope after drawdown. The method described in this paper uses the finite element method to calculate the consolidation stresses throughout the slope during steady state seepage before drawdown. Undrained shear strengths are calculated for all nodes in the model based on the major principal effective consolidation stresses and the results of ICU triaxial tests. The undrained strength of each element in the model is determined by interpolation from the strengths at the surrounding nodes. Using these strengths and an elastic-plastic constitutive model, the stability of the slope is evaluated by the strength reduction method. Back analysis of rapid drawdown failures suggests that undrained strengths from ICU tests should be reduced by 30% for the rapid drawdown condition.","author":[{"dropping-particle":"","family":"Berge","given":"D. R.","non-dropping-particle":"Van Den","parse-names":false,"suffix":""},{"dropping-particle":"","family":"Duncan","given":"J. M.","non-dropping-particle":"","parse-names":false,"suffix":""},{"dropping-particle":"","family":"Brandon","given":"T. L.","non-dropping-particle":"","parse-names":false,"suffix":""}],"container-title":"18th International Conference on Soil Mechanics and Geotechnical Engineering: Challenges and Innovations in Geotechnics, ICSMGE 2013","id":"ITEM-1","issued":{"date-parts":[["2013"]]},"title":"Rapid drawdown analysis using strength reduction","type":"paper-conference"},"uris":["http://www.mendeley.com/documents/?uuid=c3461045-5499-46db-a8d2-c6c12b2f48d8","http://www.mendeley.com/documents/?uuid=d75df589-5171-496c-be16-66e322f6809e","http://www.mendeley.com/documents/?uuid=a96e08ad-9c60-4f3d-842e-7138d1cc7219"]}],"mendeley":{"formattedCitation":"[304]","plainTextFormattedCitation":"[304]","previouslyFormattedCitation":"[304]"},"properties":{"noteIndex":0},"schema":"https://github.com/citation-style-language/schema/raw/master/csl-citation.json"}</w:instrText>
      </w:r>
      <w:r w:rsidRPr="00051297">
        <w:fldChar w:fldCharType="separate"/>
      </w:r>
      <w:r w:rsidR="00FA5896" w:rsidRPr="00FA5896">
        <w:rPr>
          <w:noProof/>
          <w:lang w:val="en-US"/>
        </w:rPr>
        <w:t>[304]</w:t>
      </w:r>
      <w:r w:rsidRPr="00051297">
        <w:fldChar w:fldCharType="end"/>
      </w:r>
      <w:r w:rsidRPr="00051297">
        <w:rPr>
          <w:lang w:val="en-US"/>
        </w:rPr>
        <w:t>.</w:t>
      </w:r>
    </w:p>
    <w:p w14:paraId="31D2BD2F" w14:textId="77777777" w:rsidR="00051297" w:rsidRPr="00051297" w:rsidRDefault="00051297" w:rsidP="00051297">
      <w:pPr>
        <w:numPr>
          <w:ilvl w:val="0"/>
          <w:numId w:val="45"/>
        </w:numPr>
        <w:contextualSpacing/>
        <w:rPr>
          <w:lang w:val="en-US"/>
        </w:rPr>
      </w:pPr>
      <w:r w:rsidRPr="00051297">
        <w:rPr>
          <w:lang w:val="en-US"/>
        </w:rPr>
        <w:t>Reduced operating water level</w:t>
      </w:r>
    </w:p>
    <w:p w14:paraId="7CB0885D" w14:textId="3E27E33C" w:rsidR="00051297" w:rsidRDefault="00051297" w:rsidP="00051297">
      <w:pPr>
        <w:rPr>
          <w:lang w:val="en-US"/>
        </w:rPr>
      </w:pPr>
      <w:r w:rsidRPr="00051297">
        <w:rPr>
          <w:lang w:val="en-US"/>
        </w:rPr>
        <w:fldChar w:fldCharType="begin"/>
      </w:r>
      <w:r w:rsidRPr="00051297">
        <w:rPr>
          <w:lang w:val="en-US"/>
        </w:rPr>
        <w:instrText xml:space="preserve"> REF _Ref102336798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53</w:t>
      </w:r>
      <w:r w:rsidRPr="00051297">
        <w:rPr>
          <w:lang w:val="en-US"/>
        </w:rPr>
        <w:fldChar w:fldCharType="end"/>
      </w:r>
      <w:r w:rsidRPr="00051297">
        <w:rPr>
          <w:lang w:val="en-US"/>
        </w:rPr>
        <w:t xml:space="preserve"> presents the results from the long-term steady state conditions</w:t>
      </w:r>
      <w:r w:rsidR="00B52312">
        <w:rPr>
          <w:lang w:val="en-US"/>
        </w:rPr>
        <w:t xml:space="preserve"> and rapid drawdowns</w:t>
      </w:r>
      <w:r w:rsidRPr="00051297">
        <w:rPr>
          <w:lang w:val="en-US"/>
        </w:rPr>
        <w:t xml:space="preserve"> under reduced operating reservoir level. From the </w:t>
      </w:r>
      <w:r w:rsidRPr="00051297">
        <w:rPr>
          <w:lang w:val="en-US"/>
        </w:rPr>
        <w:fldChar w:fldCharType="begin"/>
      </w:r>
      <w:r w:rsidRPr="00051297">
        <w:rPr>
          <w:lang w:val="en-US"/>
        </w:rPr>
        <w:instrText xml:space="preserve"> REF _Ref102336798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53</w:t>
      </w:r>
      <w:r w:rsidRPr="00051297">
        <w:rPr>
          <w:lang w:val="en-US"/>
        </w:rPr>
        <w:fldChar w:fldCharType="end"/>
      </w:r>
      <w:r w:rsidRPr="00051297">
        <w:rPr>
          <w:lang w:val="en-US"/>
        </w:rPr>
        <w:t>, it can be observed that, a factor of safety value of 1.734 was retrieved from the long-term steady state conditions when the operating water level was reduced to almost half of the embankment. The retrieved factor of safety value is approximately 2.8% less than that was retrieved from the normal operating reservoir level.</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52312" w14:paraId="01D61EA5" w14:textId="77777777" w:rsidTr="006E6D5D">
        <w:tc>
          <w:tcPr>
            <w:tcW w:w="9344" w:type="dxa"/>
          </w:tcPr>
          <w:p w14:paraId="50DFB860" w14:textId="4B9FE668" w:rsidR="00B52312" w:rsidRDefault="00B52312" w:rsidP="006568FB">
            <w:pPr>
              <w:spacing w:line="240" w:lineRule="auto"/>
              <w:ind w:firstLine="0"/>
              <w:jc w:val="center"/>
              <w:rPr>
                <w:lang w:val="en-US"/>
              </w:rPr>
            </w:pPr>
            <w:r>
              <w:rPr>
                <w:noProof/>
              </w:rPr>
              <w:drawing>
                <wp:inline distT="0" distB="0" distL="0" distR="0" wp14:anchorId="5056F96C" wp14:editId="0147965D">
                  <wp:extent cx="5590040" cy="1800000"/>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590040" cy="1800000"/>
                          </a:xfrm>
                          <a:prstGeom prst="rect">
                            <a:avLst/>
                          </a:prstGeom>
                          <a:noFill/>
                          <a:ln>
                            <a:noFill/>
                          </a:ln>
                        </pic:spPr>
                      </pic:pic>
                    </a:graphicData>
                  </a:graphic>
                </wp:inline>
              </w:drawing>
            </w:r>
          </w:p>
          <w:p w14:paraId="278058A9" w14:textId="26F625AA" w:rsidR="00B52312" w:rsidRDefault="00B52312" w:rsidP="006568FB">
            <w:pPr>
              <w:spacing w:line="240" w:lineRule="auto"/>
              <w:ind w:firstLine="0"/>
              <w:jc w:val="center"/>
              <w:rPr>
                <w:lang w:val="en-US"/>
              </w:rPr>
            </w:pPr>
            <w:r>
              <w:rPr>
                <w:lang w:val="en-US"/>
              </w:rPr>
              <w:t>(a)</w:t>
            </w:r>
          </w:p>
        </w:tc>
      </w:tr>
      <w:tr w:rsidR="00B52312" w14:paraId="6C04AE9B" w14:textId="77777777" w:rsidTr="006E6D5D">
        <w:tc>
          <w:tcPr>
            <w:tcW w:w="9344" w:type="dxa"/>
          </w:tcPr>
          <w:p w14:paraId="05715043" w14:textId="2372FC29" w:rsidR="00B52312" w:rsidRDefault="00B52312" w:rsidP="006568FB">
            <w:pPr>
              <w:spacing w:line="240" w:lineRule="auto"/>
              <w:ind w:firstLine="0"/>
              <w:jc w:val="center"/>
              <w:rPr>
                <w:lang w:val="en-US"/>
              </w:rPr>
            </w:pPr>
            <w:r>
              <w:rPr>
                <w:noProof/>
              </w:rPr>
              <w:drawing>
                <wp:inline distT="0" distB="0" distL="0" distR="0" wp14:anchorId="00D8FA19" wp14:editId="2D4D747D">
                  <wp:extent cx="5603062" cy="1800000"/>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603062" cy="1800000"/>
                          </a:xfrm>
                          <a:prstGeom prst="rect">
                            <a:avLst/>
                          </a:prstGeom>
                          <a:noFill/>
                          <a:ln>
                            <a:noFill/>
                          </a:ln>
                        </pic:spPr>
                      </pic:pic>
                    </a:graphicData>
                  </a:graphic>
                </wp:inline>
              </w:drawing>
            </w:r>
          </w:p>
          <w:p w14:paraId="0E624BDA" w14:textId="640E8EF6" w:rsidR="00B52312" w:rsidRDefault="00B52312" w:rsidP="006568FB">
            <w:pPr>
              <w:spacing w:line="240" w:lineRule="auto"/>
              <w:ind w:firstLine="0"/>
              <w:jc w:val="center"/>
              <w:rPr>
                <w:lang w:val="en-US"/>
              </w:rPr>
            </w:pPr>
            <w:r>
              <w:rPr>
                <w:lang w:val="en-US"/>
              </w:rPr>
              <w:t>(b)</w:t>
            </w:r>
          </w:p>
        </w:tc>
      </w:tr>
      <w:tr w:rsidR="00B52312" w14:paraId="6ACC4895" w14:textId="77777777" w:rsidTr="006E6D5D">
        <w:tc>
          <w:tcPr>
            <w:tcW w:w="9344" w:type="dxa"/>
          </w:tcPr>
          <w:p w14:paraId="1EB6EEBD" w14:textId="2AC8318F" w:rsidR="00B52312" w:rsidRDefault="006E6D5D" w:rsidP="006568FB">
            <w:pPr>
              <w:spacing w:line="240" w:lineRule="auto"/>
              <w:ind w:firstLine="0"/>
              <w:jc w:val="center"/>
              <w:rPr>
                <w:lang w:val="en-US"/>
              </w:rPr>
            </w:pPr>
            <w:r>
              <w:rPr>
                <w:noProof/>
              </w:rPr>
              <w:lastRenderedPageBreak/>
              <w:drawing>
                <wp:inline distT="0" distB="0" distL="0" distR="0" wp14:anchorId="6087E382" wp14:editId="0DFE55C7">
                  <wp:extent cx="5819775" cy="1901350"/>
                  <wp:effectExtent l="0" t="0" r="0" b="381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20755" cy="1901670"/>
                          </a:xfrm>
                          <a:prstGeom prst="rect">
                            <a:avLst/>
                          </a:prstGeom>
                          <a:noFill/>
                          <a:ln>
                            <a:noFill/>
                          </a:ln>
                        </pic:spPr>
                      </pic:pic>
                    </a:graphicData>
                  </a:graphic>
                </wp:inline>
              </w:drawing>
            </w:r>
          </w:p>
          <w:p w14:paraId="0AAB5AEF" w14:textId="479879C1" w:rsidR="00B52312" w:rsidRDefault="00B52312" w:rsidP="006568FB">
            <w:pPr>
              <w:spacing w:line="240" w:lineRule="auto"/>
              <w:ind w:firstLine="0"/>
              <w:jc w:val="center"/>
              <w:rPr>
                <w:lang w:val="en-US"/>
              </w:rPr>
            </w:pPr>
            <w:r>
              <w:rPr>
                <w:lang w:val="en-US"/>
              </w:rPr>
              <w:t>(c)</w:t>
            </w:r>
          </w:p>
        </w:tc>
      </w:tr>
      <w:tr w:rsidR="00B52312" w14:paraId="13D1F5CE" w14:textId="77777777" w:rsidTr="006E6D5D">
        <w:tc>
          <w:tcPr>
            <w:tcW w:w="9344" w:type="dxa"/>
          </w:tcPr>
          <w:p w14:paraId="27557BD8" w14:textId="692D4782" w:rsidR="00B52312" w:rsidRDefault="006E6D5D" w:rsidP="006568FB">
            <w:pPr>
              <w:spacing w:line="240" w:lineRule="auto"/>
              <w:ind w:firstLine="0"/>
              <w:jc w:val="center"/>
              <w:rPr>
                <w:lang w:val="en-US"/>
              </w:rPr>
            </w:pPr>
            <w:r>
              <w:rPr>
                <w:noProof/>
              </w:rPr>
              <w:drawing>
                <wp:inline distT="0" distB="0" distL="0" distR="0" wp14:anchorId="18CA07AD" wp14:editId="712D705B">
                  <wp:extent cx="5800725" cy="1880864"/>
                  <wp:effectExtent l="0" t="0" r="0" b="5715"/>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806565" cy="1882758"/>
                          </a:xfrm>
                          <a:prstGeom prst="rect">
                            <a:avLst/>
                          </a:prstGeom>
                          <a:noFill/>
                          <a:ln>
                            <a:noFill/>
                          </a:ln>
                        </pic:spPr>
                      </pic:pic>
                    </a:graphicData>
                  </a:graphic>
                </wp:inline>
              </w:drawing>
            </w:r>
          </w:p>
          <w:p w14:paraId="3A095A17" w14:textId="28993725" w:rsidR="00B52312" w:rsidRDefault="00B52312" w:rsidP="006568FB">
            <w:pPr>
              <w:spacing w:line="240" w:lineRule="auto"/>
              <w:ind w:firstLine="0"/>
              <w:jc w:val="center"/>
              <w:rPr>
                <w:lang w:val="en-US"/>
              </w:rPr>
            </w:pPr>
            <w:r>
              <w:rPr>
                <w:lang w:val="en-US"/>
              </w:rPr>
              <w:t>(d)</w:t>
            </w:r>
          </w:p>
        </w:tc>
      </w:tr>
      <w:tr w:rsidR="006E6D5D" w14:paraId="3805A7BE" w14:textId="77777777" w:rsidTr="006E6D5D">
        <w:tc>
          <w:tcPr>
            <w:tcW w:w="9344" w:type="dxa"/>
          </w:tcPr>
          <w:p w14:paraId="5B742BD6" w14:textId="53D12303" w:rsidR="006E6D5D" w:rsidRDefault="006E6D5D" w:rsidP="006568FB">
            <w:pPr>
              <w:spacing w:line="240" w:lineRule="auto"/>
              <w:ind w:firstLine="0"/>
              <w:jc w:val="center"/>
              <w:rPr>
                <w:noProof/>
              </w:rPr>
            </w:pPr>
            <w:r>
              <w:rPr>
                <w:noProof/>
              </w:rPr>
              <w:drawing>
                <wp:inline distT="0" distB="0" distL="0" distR="0" wp14:anchorId="123391D2" wp14:editId="773C54AE">
                  <wp:extent cx="5819775" cy="1901350"/>
                  <wp:effectExtent l="0" t="0" r="0" b="381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831542" cy="1905194"/>
                          </a:xfrm>
                          <a:prstGeom prst="rect">
                            <a:avLst/>
                          </a:prstGeom>
                          <a:noFill/>
                          <a:ln>
                            <a:noFill/>
                          </a:ln>
                        </pic:spPr>
                      </pic:pic>
                    </a:graphicData>
                  </a:graphic>
                </wp:inline>
              </w:drawing>
            </w:r>
          </w:p>
          <w:p w14:paraId="4BD4A689" w14:textId="2DACA740" w:rsidR="006E6D5D" w:rsidRPr="006E6D5D" w:rsidRDefault="006E6D5D" w:rsidP="006568FB">
            <w:pPr>
              <w:spacing w:line="240" w:lineRule="auto"/>
              <w:ind w:firstLine="0"/>
              <w:jc w:val="center"/>
              <w:rPr>
                <w:noProof/>
                <w:lang w:val="en-US"/>
              </w:rPr>
            </w:pPr>
            <w:r>
              <w:rPr>
                <w:noProof/>
                <w:lang w:val="en-US"/>
              </w:rPr>
              <w:t>(e)</w:t>
            </w:r>
          </w:p>
        </w:tc>
      </w:tr>
    </w:tbl>
    <w:p w14:paraId="6071D8B5" w14:textId="77777777" w:rsidR="00B52312" w:rsidRPr="00051297" w:rsidRDefault="00B52312" w:rsidP="00B52312">
      <w:pPr>
        <w:ind w:firstLine="0"/>
        <w:rPr>
          <w:lang w:val="en-US"/>
        </w:rPr>
      </w:pPr>
    </w:p>
    <w:p w14:paraId="28751FB1" w14:textId="07E907D8" w:rsidR="00051297" w:rsidRPr="00051297" w:rsidRDefault="00051297" w:rsidP="00051297">
      <w:pPr>
        <w:ind w:firstLine="0"/>
        <w:jc w:val="center"/>
        <w:rPr>
          <w:lang w:val="en-US"/>
        </w:rPr>
      </w:pPr>
      <w:bookmarkStart w:id="1464" w:name="_Ref102336798"/>
      <w:bookmarkStart w:id="1465" w:name="_Toc103544186"/>
      <w:bookmarkStart w:id="1466" w:name="_Toc104985512"/>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53</w:t>
      </w:r>
      <w:r w:rsidR="00527861">
        <w:rPr>
          <w:lang w:val="en-US"/>
        </w:rPr>
        <w:fldChar w:fldCharType="end"/>
      </w:r>
      <w:bookmarkEnd w:id="1464"/>
      <w:r w:rsidRPr="00051297">
        <w:rPr>
          <w:lang w:val="en-US"/>
        </w:rPr>
        <w:t xml:space="preserve"> – </w:t>
      </w:r>
      <w:r w:rsidR="00B52312">
        <w:rPr>
          <w:lang w:val="en-US"/>
        </w:rPr>
        <w:t xml:space="preserve">Analysis </w:t>
      </w:r>
      <w:r w:rsidRPr="00051297">
        <w:rPr>
          <w:lang w:val="en-US"/>
        </w:rPr>
        <w:t>results under reduced operating reservoir level</w:t>
      </w:r>
      <w:bookmarkEnd w:id="1465"/>
      <w:r w:rsidR="00B52312">
        <w:rPr>
          <w:lang w:val="en-US"/>
        </w:rPr>
        <w:t>: a) steady-state</w:t>
      </w:r>
      <w:r w:rsidR="00D2398A">
        <w:rPr>
          <w:lang w:val="en-US"/>
        </w:rPr>
        <w:t>; b) instantaneous; c) 5 days; d) 10 days; e) 1 m per day</w:t>
      </w:r>
      <w:bookmarkEnd w:id="1466"/>
    </w:p>
    <w:p w14:paraId="304DA22B" w14:textId="77777777" w:rsidR="00051297" w:rsidRPr="00051297" w:rsidRDefault="00051297" w:rsidP="00051297">
      <w:pPr>
        <w:ind w:firstLine="0"/>
        <w:jc w:val="center"/>
        <w:rPr>
          <w:lang w:val="en-US"/>
        </w:rPr>
      </w:pPr>
    </w:p>
    <w:p w14:paraId="2D530F6F" w14:textId="0682900A" w:rsidR="00051297" w:rsidRPr="00051297" w:rsidRDefault="00051297" w:rsidP="00051297">
      <w:pPr>
        <w:rPr>
          <w:lang w:val="en-US"/>
        </w:rPr>
      </w:pPr>
      <w:r w:rsidRPr="00051297">
        <w:rPr>
          <w:lang w:val="en-US"/>
        </w:rPr>
        <w:fldChar w:fldCharType="begin"/>
      </w:r>
      <w:r w:rsidRPr="00051297">
        <w:rPr>
          <w:lang w:val="en-US"/>
        </w:rPr>
        <w:instrText xml:space="preserve"> REF _Ref102337456 \h  \* MERGEFORMAT </w:instrText>
      </w:r>
      <w:r w:rsidRPr="00051297">
        <w:rPr>
          <w:lang w:val="en-US"/>
        </w:rPr>
      </w:r>
      <w:r w:rsidRPr="00051297">
        <w:rPr>
          <w:lang w:val="en-US"/>
        </w:rPr>
        <w:fldChar w:fldCharType="separate"/>
      </w:r>
      <w:r w:rsidR="004870F1" w:rsidRPr="00051297">
        <w:rPr>
          <w:lang w:val="en-US"/>
        </w:rPr>
        <w:t xml:space="preserve">Figure </w:t>
      </w:r>
      <w:r w:rsidR="004870F1">
        <w:rPr>
          <w:lang w:val="en-US"/>
        </w:rPr>
        <w:t>5.54</w:t>
      </w:r>
      <w:r w:rsidRPr="00051297">
        <w:rPr>
          <w:lang w:val="en-US"/>
        </w:rPr>
        <w:fldChar w:fldCharType="end"/>
      </w:r>
      <w:r w:rsidRPr="00051297">
        <w:rPr>
          <w:lang w:val="en-US"/>
        </w:rPr>
        <w:t xml:space="preserve"> presents the results from different drawdown rates under reduced operating reservoir level. Generally, from the </w:t>
      </w:r>
      <w:r w:rsidRPr="00051297">
        <w:rPr>
          <w:lang w:val="en-US"/>
        </w:rPr>
        <w:fldChar w:fldCharType="begin"/>
      </w:r>
      <w:r w:rsidRPr="00051297">
        <w:rPr>
          <w:lang w:val="en-US"/>
        </w:rPr>
        <w:instrText xml:space="preserve"> REF _Ref102337456 \h  \* MERGEFORMAT </w:instrText>
      </w:r>
      <w:r w:rsidRPr="00051297">
        <w:rPr>
          <w:lang w:val="en-US"/>
        </w:rPr>
      </w:r>
      <w:r w:rsidRPr="00051297">
        <w:rPr>
          <w:lang w:val="en-US"/>
        </w:rPr>
        <w:fldChar w:fldCharType="separate"/>
      </w:r>
      <w:r w:rsidR="004870F1" w:rsidRPr="00051297">
        <w:rPr>
          <w:lang w:val="en-US"/>
        </w:rPr>
        <w:t xml:space="preserve">Figure </w:t>
      </w:r>
      <w:r w:rsidR="004870F1">
        <w:rPr>
          <w:lang w:val="en-US"/>
        </w:rPr>
        <w:t>5.54</w:t>
      </w:r>
      <w:r w:rsidRPr="00051297">
        <w:rPr>
          <w:lang w:val="en-US"/>
        </w:rPr>
        <w:fldChar w:fldCharType="end"/>
      </w:r>
      <w:r w:rsidRPr="00051297">
        <w:rPr>
          <w:lang w:val="en-US"/>
        </w:rPr>
        <w:t xml:space="preserve"> it can be seen that, the minimum factor of safety values are increasing with the decrease in the drawdown rate. For instance, a minimum factor of safety value of 1.298 was retrieved, 1.378 from the 5 days drawdown rate, 1.407 from 10 days drawdown rate, and 1.418 from 1 m per day.</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051297" w:rsidRPr="00051297" w14:paraId="29A1347F" w14:textId="77777777" w:rsidTr="00D20B01">
        <w:tc>
          <w:tcPr>
            <w:tcW w:w="4672" w:type="dxa"/>
          </w:tcPr>
          <w:p w14:paraId="6683D78F" w14:textId="228CB7D5" w:rsidR="00051297" w:rsidRPr="00051297" w:rsidRDefault="00576400" w:rsidP="00051297">
            <w:pPr>
              <w:ind w:firstLine="0"/>
              <w:jc w:val="center"/>
              <w:rPr>
                <w:lang w:val="en-US"/>
              </w:rPr>
            </w:pPr>
            <w:r w:rsidRPr="00576400">
              <w:rPr>
                <w:noProof/>
                <w:lang w:val="en-US"/>
              </w:rPr>
              <w:lastRenderedPageBreak/>
              <w:drawing>
                <wp:inline distT="0" distB="0" distL="0" distR="0" wp14:anchorId="2040231F" wp14:editId="6089A0B4">
                  <wp:extent cx="2333625" cy="3267075"/>
                  <wp:effectExtent l="0" t="0" r="9525" b="952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333749" cy="3267249"/>
                          </a:xfrm>
                          <a:prstGeom prst="rect">
                            <a:avLst/>
                          </a:prstGeom>
                          <a:noFill/>
                          <a:ln>
                            <a:noFill/>
                          </a:ln>
                        </pic:spPr>
                      </pic:pic>
                    </a:graphicData>
                  </a:graphic>
                </wp:inline>
              </w:drawing>
            </w:r>
          </w:p>
          <w:p w14:paraId="6AF178AA" w14:textId="77777777" w:rsidR="00051297" w:rsidRPr="00051297" w:rsidRDefault="00051297" w:rsidP="00051297">
            <w:pPr>
              <w:ind w:firstLine="0"/>
              <w:jc w:val="center"/>
              <w:rPr>
                <w:lang w:val="en-US"/>
              </w:rPr>
            </w:pPr>
            <w:r w:rsidRPr="00051297">
              <w:rPr>
                <w:lang w:val="en-US"/>
              </w:rPr>
              <w:t>(a)</w:t>
            </w:r>
          </w:p>
        </w:tc>
        <w:tc>
          <w:tcPr>
            <w:tcW w:w="4672" w:type="dxa"/>
          </w:tcPr>
          <w:p w14:paraId="4CAF0B4B" w14:textId="69E89BAC" w:rsidR="00051297" w:rsidRPr="00051297" w:rsidRDefault="00A50D72" w:rsidP="00051297">
            <w:pPr>
              <w:ind w:firstLine="0"/>
              <w:jc w:val="center"/>
              <w:rPr>
                <w:lang w:val="en-US"/>
              </w:rPr>
            </w:pPr>
            <w:r w:rsidRPr="00A50D72">
              <w:rPr>
                <w:noProof/>
                <w:lang w:val="en-US"/>
              </w:rPr>
              <w:drawing>
                <wp:inline distT="0" distB="0" distL="0" distR="0" wp14:anchorId="79748586" wp14:editId="1AE6FF39">
                  <wp:extent cx="2390775" cy="3347085"/>
                  <wp:effectExtent l="0" t="0" r="9525" b="571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392842" cy="3349979"/>
                          </a:xfrm>
                          <a:prstGeom prst="rect">
                            <a:avLst/>
                          </a:prstGeom>
                          <a:noFill/>
                          <a:ln>
                            <a:noFill/>
                          </a:ln>
                        </pic:spPr>
                      </pic:pic>
                    </a:graphicData>
                  </a:graphic>
                </wp:inline>
              </w:drawing>
            </w:r>
          </w:p>
          <w:p w14:paraId="725107B2" w14:textId="77777777" w:rsidR="00051297" w:rsidRPr="00051297" w:rsidRDefault="00051297" w:rsidP="00051297">
            <w:pPr>
              <w:ind w:firstLine="0"/>
              <w:jc w:val="center"/>
              <w:rPr>
                <w:lang w:val="en-US"/>
              </w:rPr>
            </w:pPr>
            <w:r w:rsidRPr="00051297">
              <w:rPr>
                <w:lang w:val="en-US"/>
              </w:rPr>
              <w:t>(b)</w:t>
            </w:r>
          </w:p>
        </w:tc>
      </w:tr>
      <w:tr w:rsidR="00051297" w:rsidRPr="00051297" w14:paraId="76CFA179" w14:textId="77777777" w:rsidTr="00D20B01">
        <w:tc>
          <w:tcPr>
            <w:tcW w:w="4672" w:type="dxa"/>
          </w:tcPr>
          <w:p w14:paraId="2867B74B" w14:textId="59DBD0CD" w:rsidR="00051297" w:rsidRPr="00051297" w:rsidRDefault="00A50D72" w:rsidP="00051297">
            <w:pPr>
              <w:ind w:firstLine="0"/>
              <w:jc w:val="center"/>
              <w:rPr>
                <w:lang w:val="en-US"/>
              </w:rPr>
            </w:pPr>
            <w:r w:rsidRPr="00A50D72">
              <w:rPr>
                <w:noProof/>
                <w:lang w:val="en-US"/>
              </w:rPr>
              <w:drawing>
                <wp:inline distT="0" distB="0" distL="0" distR="0" wp14:anchorId="54479C5F" wp14:editId="2AD9DB6A">
                  <wp:extent cx="2352675" cy="3293745"/>
                  <wp:effectExtent l="0" t="0" r="9525" b="190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352675" cy="3293745"/>
                          </a:xfrm>
                          <a:prstGeom prst="rect">
                            <a:avLst/>
                          </a:prstGeom>
                          <a:noFill/>
                          <a:ln>
                            <a:noFill/>
                          </a:ln>
                        </pic:spPr>
                      </pic:pic>
                    </a:graphicData>
                  </a:graphic>
                </wp:inline>
              </w:drawing>
            </w:r>
          </w:p>
          <w:p w14:paraId="2DEF72D7" w14:textId="77777777" w:rsidR="00051297" w:rsidRPr="00051297" w:rsidRDefault="00051297" w:rsidP="00051297">
            <w:pPr>
              <w:ind w:firstLine="0"/>
              <w:jc w:val="center"/>
              <w:rPr>
                <w:lang w:val="en-US"/>
              </w:rPr>
            </w:pPr>
            <w:r w:rsidRPr="00051297">
              <w:rPr>
                <w:lang w:val="en-US"/>
              </w:rPr>
              <w:t>(c)</w:t>
            </w:r>
          </w:p>
        </w:tc>
        <w:tc>
          <w:tcPr>
            <w:tcW w:w="4672" w:type="dxa"/>
          </w:tcPr>
          <w:p w14:paraId="56157D98" w14:textId="048E6AFD" w:rsidR="00051297" w:rsidRPr="00051297" w:rsidRDefault="00A50D72" w:rsidP="00051297">
            <w:pPr>
              <w:ind w:firstLine="0"/>
              <w:jc w:val="center"/>
              <w:rPr>
                <w:lang w:val="en-US"/>
              </w:rPr>
            </w:pPr>
            <w:r w:rsidRPr="00A50D72">
              <w:rPr>
                <w:noProof/>
                <w:lang w:val="en-US"/>
              </w:rPr>
              <w:drawing>
                <wp:inline distT="0" distB="0" distL="0" distR="0" wp14:anchorId="0170FA8E" wp14:editId="02C343B5">
                  <wp:extent cx="2343150" cy="3280410"/>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343150" cy="3280410"/>
                          </a:xfrm>
                          <a:prstGeom prst="rect">
                            <a:avLst/>
                          </a:prstGeom>
                          <a:noFill/>
                          <a:ln>
                            <a:noFill/>
                          </a:ln>
                        </pic:spPr>
                      </pic:pic>
                    </a:graphicData>
                  </a:graphic>
                </wp:inline>
              </w:drawing>
            </w:r>
          </w:p>
          <w:p w14:paraId="118001BE" w14:textId="77777777" w:rsidR="00051297" w:rsidRPr="00051297" w:rsidRDefault="00051297" w:rsidP="00051297">
            <w:pPr>
              <w:keepNext/>
              <w:ind w:firstLine="0"/>
              <w:jc w:val="center"/>
              <w:rPr>
                <w:lang w:val="en-US"/>
              </w:rPr>
            </w:pPr>
            <w:r w:rsidRPr="00051297">
              <w:rPr>
                <w:lang w:val="en-US"/>
              </w:rPr>
              <w:t>(d)</w:t>
            </w:r>
          </w:p>
        </w:tc>
      </w:tr>
    </w:tbl>
    <w:p w14:paraId="16729BCA" w14:textId="1853CBED" w:rsidR="00051297" w:rsidRPr="00051297" w:rsidRDefault="00051297" w:rsidP="00051297">
      <w:pPr>
        <w:ind w:firstLine="0"/>
        <w:jc w:val="center"/>
        <w:rPr>
          <w:lang w:val="en-US"/>
        </w:rPr>
      </w:pPr>
      <w:bookmarkStart w:id="1467" w:name="_Ref102337456"/>
      <w:bookmarkStart w:id="1468" w:name="_Toc103544187"/>
      <w:bookmarkStart w:id="1469" w:name="_Toc104985513"/>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54</w:t>
      </w:r>
      <w:r w:rsidR="00527861">
        <w:rPr>
          <w:lang w:val="en-US"/>
        </w:rPr>
        <w:fldChar w:fldCharType="end"/>
      </w:r>
      <w:bookmarkEnd w:id="1467"/>
      <w:r w:rsidRPr="00051297">
        <w:rPr>
          <w:lang w:val="en-US"/>
        </w:rPr>
        <w:t xml:space="preserve"> – Different drawdown rates under reduced operating level</w:t>
      </w:r>
      <w:r w:rsidR="00B52312">
        <w:rPr>
          <w:lang w:val="en-US"/>
        </w:rPr>
        <w:t>:</w:t>
      </w:r>
      <w:r w:rsidRPr="00051297">
        <w:rPr>
          <w:lang w:val="en-US"/>
        </w:rPr>
        <w:t xml:space="preserve"> a) instantaneous; b) 5 days drawdown; c) 10 days drawdown; d) 1 m per day drawdown</w:t>
      </w:r>
      <w:bookmarkEnd w:id="1468"/>
      <w:bookmarkEnd w:id="1469"/>
    </w:p>
    <w:p w14:paraId="45CF5F89" w14:textId="77777777" w:rsidR="00051297" w:rsidRPr="00051297" w:rsidRDefault="00051297" w:rsidP="00051297">
      <w:pPr>
        <w:ind w:firstLine="0"/>
        <w:rPr>
          <w:lang w:val="en-US"/>
        </w:rPr>
      </w:pPr>
    </w:p>
    <w:p w14:paraId="3F90EBBA" w14:textId="77777777" w:rsidR="00051297" w:rsidRPr="00051297" w:rsidRDefault="00051297" w:rsidP="00051297">
      <w:pPr>
        <w:numPr>
          <w:ilvl w:val="0"/>
          <w:numId w:val="45"/>
        </w:numPr>
        <w:contextualSpacing/>
        <w:rPr>
          <w:lang w:val="en-US"/>
        </w:rPr>
      </w:pPr>
      <w:r w:rsidRPr="00051297">
        <w:rPr>
          <w:lang w:val="en-US"/>
        </w:rPr>
        <w:t>Embankment height operating reservoir level</w:t>
      </w:r>
    </w:p>
    <w:p w14:paraId="35B01A0F" w14:textId="2B5362DE" w:rsidR="00051297" w:rsidRDefault="00051297" w:rsidP="00051297">
      <w:pPr>
        <w:rPr>
          <w:lang w:val="en-US"/>
        </w:rPr>
      </w:pPr>
      <w:r w:rsidRPr="00051297">
        <w:rPr>
          <w:lang w:val="en-US"/>
        </w:rPr>
        <w:t xml:space="preserve">The results of the long-term steady-state under embankment height operational reservoir level are shown in </w:t>
      </w:r>
      <w:r w:rsidRPr="00051297">
        <w:rPr>
          <w:lang w:val="en-US"/>
        </w:rPr>
        <w:fldChar w:fldCharType="begin"/>
      </w:r>
      <w:r w:rsidRPr="00051297">
        <w:rPr>
          <w:lang w:val="en-US"/>
        </w:rPr>
        <w:instrText xml:space="preserve"> REF _Ref102338887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55</w:t>
      </w:r>
      <w:r w:rsidRPr="00051297">
        <w:rPr>
          <w:lang w:val="en-US"/>
        </w:rPr>
        <w:fldChar w:fldCharType="end"/>
      </w:r>
      <w:r w:rsidRPr="00051297">
        <w:rPr>
          <w:lang w:val="en-US"/>
        </w:rPr>
        <w:t>. When the operational water level was dropped to approximately half of the embankment, a factor of safety value of 1.984 was obtained from the long-term steady-</w:t>
      </w:r>
      <w:r w:rsidRPr="00051297">
        <w:rPr>
          <w:lang w:val="en-US"/>
        </w:rPr>
        <w:lastRenderedPageBreak/>
        <w:t xml:space="preserve">state conditions, as shown in </w:t>
      </w:r>
      <w:r w:rsidRPr="00051297">
        <w:rPr>
          <w:lang w:val="en-US"/>
        </w:rPr>
        <w:fldChar w:fldCharType="begin"/>
      </w:r>
      <w:r w:rsidRPr="00051297">
        <w:rPr>
          <w:lang w:val="en-US"/>
        </w:rPr>
        <w:instrText xml:space="preserve"> REF _Ref102338887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55</w:t>
      </w:r>
      <w:r w:rsidRPr="00051297">
        <w:rPr>
          <w:lang w:val="en-US"/>
        </w:rPr>
        <w:fldChar w:fldCharType="end"/>
      </w:r>
      <w:r w:rsidRPr="00051297">
        <w:rPr>
          <w:lang w:val="en-US"/>
        </w:rPr>
        <w:t xml:space="preserve">. The retrieved factor of safety value is around 11.21% higher than the one obtained from the normal operational reservoir level.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F00BC" w14:paraId="72D6C505" w14:textId="77777777" w:rsidTr="00043349">
        <w:tc>
          <w:tcPr>
            <w:tcW w:w="9344" w:type="dxa"/>
          </w:tcPr>
          <w:p w14:paraId="7BA8D2AF" w14:textId="07700F06" w:rsidR="00BF00BC" w:rsidRDefault="00BF00BC" w:rsidP="008452A5">
            <w:pPr>
              <w:spacing w:line="240" w:lineRule="auto"/>
              <w:ind w:firstLine="0"/>
              <w:jc w:val="center"/>
              <w:rPr>
                <w:lang w:val="en-US"/>
              </w:rPr>
            </w:pPr>
            <w:r>
              <w:rPr>
                <w:noProof/>
              </w:rPr>
              <w:drawing>
                <wp:inline distT="0" distB="0" distL="0" distR="0" wp14:anchorId="0889A29B" wp14:editId="18093433">
                  <wp:extent cx="5838825" cy="1893217"/>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42119" cy="1894285"/>
                          </a:xfrm>
                          <a:prstGeom prst="rect">
                            <a:avLst/>
                          </a:prstGeom>
                          <a:noFill/>
                          <a:ln>
                            <a:noFill/>
                          </a:ln>
                        </pic:spPr>
                      </pic:pic>
                    </a:graphicData>
                  </a:graphic>
                </wp:inline>
              </w:drawing>
            </w:r>
          </w:p>
          <w:p w14:paraId="226AB60D" w14:textId="52ECF43D" w:rsidR="00BF00BC" w:rsidRDefault="00BF00BC" w:rsidP="008452A5">
            <w:pPr>
              <w:spacing w:line="240" w:lineRule="auto"/>
              <w:ind w:firstLine="0"/>
              <w:jc w:val="center"/>
              <w:rPr>
                <w:lang w:val="en-US"/>
              </w:rPr>
            </w:pPr>
            <w:r>
              <w:rPr>
                <w:lang w:val="en-US"/>
              </w:rPr>
              <w:t>(a)</w:t>
            </w:r>
          </w:p>
        </w:tc>
      </w:tr>
      <w:tr w:rsidR="00BF00BC" w14:paraId="2D61CCCA" w14:textId="77777777" w:rsidTr="00043349">
        <w:tc>
          <w:tcPr>
            <w:tcW w:w="9344" w:type="dxa"/>
          </w:tcPr>
          <w:p w14:paraId="4E9FE3A7" w14:textId="7E7198A2" w:rsidR="00BF00BC" w:rsidRDefault="00BF00BC" w:rsidP="008452A5">
            <w:pPr>
              <w:spacing w:line="240" w:lineRule="auto"/>
              <w:ind w:firstLine="0"/>
              <w:jc w:val="center"/>
              <w:rPr>
                <w:lang w:val="en-US"/>
              </w:rPr>
            </w:pPr>
            <w:r>
              <w:rPr>
                <w:noProof/>
              </w:rPr>
              <w:drawing>
                <wp:inline distT="0" distB="0" distL="0" distR="0" wp14:anchorId="1B4AC59A" wp14:editId="342439E9">
                  <wp:extent cx="5863590" cy="1892471"/>
                  <wp:effectExtent l="0" t="0" r="381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73964" cy="1895819"/>
                          </a:xfrm>
                          <a:prstGeom prst="rect">
                            <a:avLst/>
                          </a:prstGeom>
                          <a:noFill/>
                          <a:ln>
                            <a:noFill/>
                          </a:ln>
                        </pic:spPr>
                      </pic:pic>
                    </a:graphicData>
                  </a:graphic>
                </wp:inline>
              </w:drawing>
            </w:r>
          </w:p>
          <w:p w14:paraId="345148C7" w14:textId="611B63D2" w:rsidR="00BF00BC" w:rsidRDefault="00BF00BC" w:rsidP="008452A5">
            <w:pPr>
              <w:spacing w:line="240" w:lineRule="auto"/>
              <w:ind w:firstLine="0"/>
              <w:jc w:val="center"/>
              <w:rPr>
                <w:lang w:val="en-US"/>
              </w:rPr>
            </w:pPr>
            <w:r>
              <w:rPr>
                <w:lang w:val="en-US"/>
              </w:rPr>
              <w:t>(b)</w:t>
            </w:r>
          </w:p>
        </w:tc>
      </w:tr>
      <w:tr w:rsidR="00BF00BC" w14:paraId="69AAAC48" w14:textId="77777777" w:rsidTr="00043349">
        <w:tc>
          <w:tcPr>
            <w:tcW w:w="9344" w:type="dxa"/>
          </w:tcPr>
          <w:p w14:paraId="64424DE3" w14:textId="33D74D37" w:rsidR="00BF00BC" w:rsidRDefault="00917F9A" w:rsidP="008452A5">
            <w:pPr>
              <w:spacing w:line="240" w:lineRule="auto"/>
              <w:ind w:firstLine="0"/>
              <w:jc w:val="center"/>
              <w:rPr>
                <w:lang w:val="en-US"/>
              </w:rPr>
            </w:pPr>
            <w:r>
              <w:rPr>
                <w:noProof/>
              </w:rPr>
              <w:drawing>
                <wp:inline distT="0" distB="0" distL="0" distR="0" wp14:anchorId="2DBDA0BB" wp14:editId="6CCE5EA8">
                  <wp:extent cx="5810250" cy="1898239"/>
                  <wp:effectExtent l="0" t="0" r="0" b="698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18601" cy="1900967"/>
                          </a:xfrm>
                          <a:prstGeom prst="rect">
                            <a:avLst/>
                          </a:prstGeom>
                          <a:noFill/>
                          <a:ln>
                            <a:noFill/>
                          </a:ln>
                        </pic:spPr>
                      </pic:pic>
                    </a:graphicData>
                  </a:graphic>
                </wp:inline>
              </w:drawing>
            </w:r>
          </w:p>
          <w:p w14:paraId="1BFA3AB3" w14:textId="443B33CF" w:rsidR="00BF00BC" w:rsidRDefault="00BF00BC" w:rsidP="008452A5">
            <w:pPr>
              <w:spacing w:line="240" w:lineRule="auto"/>
              <w:ind w:firstLine="0"/>
              <w:jc w:val="center"/>
              <w:rPr>
                <w:lang w:val="en-US"/>
              </w:rPr>
            </w:pPr>
            <w:r>
              <w:rPr>
                <w:lang w:val="en-US"/>
              </w:rPr>
              <w:t>(c)</w:t>
            </w:r>
          </w:p>
        </w:tc>
      </w:tr>
      <w:tr w:rsidR="00BF00BC" w14:paraId="4539BA4B" w14:textId="77777777" w:rsidTr="00043349">
        <w:tc>
          <w:tcPr>
            <w:tcW w:w="9344" w:type="dxa"/>
          </w:tcPr>
          <w:p w14:paraId="1F921C2B" w14:textId="2AA2E2BF" w:rsidR="00BF00BC" w:rsidRDefault="00917F9A" w:rsidP="008452A5">
            <w:pPr>
              <w:spacing w:line="240" w:lineRule="auto"/>
              <w:ind w:firstLine="0"/>
              <w:jc w:val="center"/>
              <w:rPr>
                <w:lang w:val="en-US"/>
              </w:rPr>
            </w:pPr>
            <w:r>
              <w:rPr>
                <w:noProof/>
              </w:rPr>
              <w:drawing>
                <wp:inline distT="0" distB="0" distL="0" distR="0" wp14:anchorId="351F822E" wp14:editId="44124A04">
                  <wp:extent cx="5810250" cy="1890785"/>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832878" cy="1898149"/>
                          </a:xfrm>
                          <a:prstGeom prst="rect">
                            <a:avLst/>
                          </a:prstGeom>
                          <a:noFill/>
                          <a:ln>
                            <a:noFill/>
                          </a:ln>
                        </pic:spPr>
                      </pic:pic>
                    </a:graphicData>
                  </a:graphic>
                </wp:inline>
              </w:drawing>
            </w:r>
          </w:p>
          <w:p w14:paraId="53A03C64" w14:textId="1B15665A" w:rsidR="00BF00BC" w:rsidRDefault="00BF00BC" w:rsidP="008452A5">
            <w:pPr>
              <w:spacing w:line="240" w:lineRule="auto"/>
              <w:ind w:firstLine="0"/>
              <w:jc w:val="center"/>
              <w:rPr>
                <w:lang w:val="en-US"/>
              </w:rPr>
            </w:pPr>
            <w:r>
              <w:rPr>
                <w:lang w:val="en-US"/>
              </w:rPr>
              <w:t>(d)</w:t>
            </w:r>
          </w:p>
        </w:tc>
      </w:tr>
      <w:tr w:rsidR="00BF00BC" w14:paraId="0A6CDFBC" w14:textId="77777777" w:rsidTr="00043349">
        <w:tc>
          <w:tcPr>
            <w:tcW w:w="9344" w:type="dxa"/>
          </w:tcPr>
          <w:p w14:paraId="01368B22" w14:textId="1D1167FD" w:rsidR="00BF00BC" w:rsidRDefault="00907CDF" w:rsidP="008452A5">
            <w:pPr>
              <w:spacing w:line="240" w:lineRule="auto"/>
              <w:ind w:firstLine="0"/>
              <w:jc w:val="center"/>
              <w:rPr>
                <w:lang w:val="en-US"/>
              </w:rPr>
            </w:pPr>
            <w:r>
              <w:rPr>
                <w:noProof/>
              </w:rPr>
              <w:lastRenderedPageBreak/>
              <w:drawing>
                <wp:inline distT="0" distB="0" distL="0" distR="0" wp14:anchorId="5AAC8B2D" wp14:editId="0CAE6661">
                  <wp:extent cx="5810250" cy="1888300"/>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831640" cy="1895252"/>
                          </a:xfrm>
                          <a:prstGeom prst="rect">
                            <a:avLst/>
                          </a:prstGeom>
                          <a:noFill/>
                          <a:ln>
                            <a:noFill/>
                          </a:ln>
                        </pic:spPr>
                      </pic:pic>
                    </a:graphicData>
                  </a:graphic>
                </wp:inline>
              </w:drawing>
            </w:r>
          </w:p>
          <w:p w14:paraId="4674D06E" w14:textId="0B4C420A" w:rsidR="00BF00BC" w:rsidRDefault="00BF00BC" w:rsidP="008452A5">
            <w:pPr>
              <w:spacing w:line="240" w:lineRule="auto"/>
              <w:ind w:firstLine="0"/>
              <w:jc w:val="center"/>
              <w:rPr>
                <w:lang w:val="en-US"/>
              </w:rPr>
            </w:pPr>
            <w:r>
              <w:rPr>
                <w:lang w:val="en-US"/>
              </w:rPr>
              <w:t>(e)</w:t>
            </w:r>
          </w:p>
        </w:tc>
      </w:tr>
    </w:tbl>
    <w:p w14:paraId="3C8155E9" w14:textId="506B236F" w:rsidR="00051297" w:rsidRPr="00051297" w:rsidRDefault="00051297" w:rsidP="00043349">
      <w:pPr>
        <w:ind w:firstLine="0"/>
        <w:jc w:val="center"/>
        <w:rPr>
          <w:lang w:val="en-US"/>
        </w:rPr>
      </w:pPr>
      <w:bookmarkStart w:id="1470" w:name="_Ref102338887"/>
      <w:bookmarkStart w:id="1471" w:name="_Toc103544188"/>
      <w:bookmarkStart w:id="1472" w:name="_Toc104985514"/>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55</w:t>
      </w:r>
      <w:r w:rsidR="00527861">
        <w:rPr>
          <w:lang w:val="en-US"/>
        </w:rPr>
        <w:fldChar w:fldCharType="end"/>
      </w:r>
      <w:bookmarkEnd w:id="1470"/>
      <w:r w:rsidRPr="00051297">
        <w:rPr>
          <w:lang w:val="en-US"/>
        </w:rPr>
        <w:t xml:space="preserve"> Steady-state results under embankment height operating reservoir level</w:t>
      </w:r>
      <w:bookmarkEnd w:id="1471"/>
      <w:r w:rsidR="00043349">
        <w:rPr>
          <w:lang w:val="en-US"/>
        </w:rPr>
        <w:t>: a) steady-state; b) instantaneous; c) 5 days; d) 10 days; e) 1 m per day</w:t>
      </w:r>
      <w:bookmarkEnd w:id="1472"/>
    </w:p>
    <w:p w14:paraId="48C9A21D" w14:textId="76AA1C69" w:rsidR="00051297" w:rsidRPr="00051297" w:rsidRDefault="00051297" w:rsidP="00051297">
      <w:pPr>
        <w:rPr>
          <w:lang w:val="en-US"/>
        </w:rPr>
      </w:pPr>
      <w:r w:rsidRPr="00051297">
        <w:rPr>
          <w:lang w:val="en-US"/>
        </w:rPr>
        <w:fldChar w:fldCharType="begin"/>
      </w:r>
      <w:r w:rsidRPr="00051297">
        <w:rPr>
          <w:lang w:val="en-US"/>
        </w:rPr>
        <w:instrText xml:space="preserve"> REF _Ref102340096 \h  \* MERGEFORMAT </w:instrText>
      </w:r>
      <w:r w:rsidRPr="00051297">
        <w:rPr>
          <w:lang w:val="en-US"/>
        </w:rPr>
      </w:r>
      <w:r w:rsidRPr="00051297">
        <w:rPr>
          <w:lang w:val="en-US"/>
        </w:rPr>
        <w:fldChar w:fldCharType="separate"/>
      </w:r>
      <w:r w:rsidR="004870F1" w:rsidRPr="00051297">
        <w:rPr>
          <w:lang w:val="en-US"/>
        </w:rPr>
        <w:t xml:space="preserve">Figure </w:t>
      </w:r>
      <w:r w:rsidR="004870F1">
        <w:rPr>
          <w:lang w:val="en-US"/>
        </w:rPr>
        <w:t>5.56</w:t>
      </w:r>
      <w:r w:rsidRPr="00051297">
        <w:rPr>
          <w:lang w:val="en-US"/>
        </w:rPr>
        <w:fldChar w:fldCharType="end"/>
      </w:r>
      <w:r w:rsidRPr="00051297">
        <w:rPr>
          <w:lang w:val="en-US"/>
        </w:rPr>
        <w:t xml:space="preserve"> presents the slope stability analysis results from the different drawdown rates under embankment height reservoir operating level. Similarly, from the results it can be understood that, the minimum factor of safety values were increasing with the decrease in the drawdown rates. Whereby, from the instantaneous drawdown rate, a minimum factor of safety of 0.759 was retrieved which is an indication of a total failure.</w:t>
      </w:r>
      <w:r w:rsidR="00B56508" w:rsidRPr="00B56508">
        <w:rPr>
          <w:rFonts w:eastAsia="Times New Roman"/>
          <w:noProof/>
          <w:szCs w:val="24"/>
          <w:lang w:val="en-US"/>
        </w:rPr>
        <w:t xml:space="preserve"> </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051297" w:rsidRPr="00051297" w14:paraId="44C4EA25" w14:textId="77777777" w:rsidTr="00D20B01">
        <w:trPr>
          <w:jc w:val="center"/>
        </w:trPr>
        <w:tc>
          <w:tcPr>
            <w:tcW w:w="4672" w:type="dxa"/>
          </w:tcPr>
          <w:p w14:paraId="5C776A27" w14:textId="39D0535E" w:rsidR="00051297" w:rsidRPr="00051297" w:rsidRDefault="00AF7550" w:rsidP="00B56508">
            <w:pPr>
              <w:spacing w:line="240" w:lineRule="auto"/>
              <w:ind w:firstLine="0"/>
              <w:jc w:val="left"/>
              <w:rPr>
                <w:lang w:val="en-US"/>
              </w:rPr>
            </w:pPr>
            <w:r w:rsidRPr="00B52473">
              <w:rPr>
                <w:rFonts w:eastAsia="Times New Roman"/>
                <w:noProof/>
                <w:szCs w:val="24"/>
              </w:rPr>
              <mc:AlternateContent>
                <mc:Choice Requires="wps">
                  <w:drawing>
                    <wp:anchor distT="45720" distB="45720" distL="114300" distR="114300" simplePos="0" relativeHeight="251668480" behindDoc="0" locked="0" layoutInCell="1" allowOverlap="1" wp14:anchorId="62B43E74" wp14:editId="199A526F">
                      <wp:simplePos x="0" y="0"/>
                      <wp:positionH relativeFrom="column">
                        <wp:posOffset>2067560</wp:posOffset>
                      </wp:positionH>
                      <wp:positionV relativeFrom="paragraph">
                        <wp:posOffset>1078230</wp:posOffset>
                      </wp:positionV>
                      <wp:extent cx="1066800" cy="141922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419225"/>
                              </a:xfrm>
                              <a:prstGeom prst="rect">
                                <a:avLst/>
                              </a:prstGeom>
                              <a:noFill/>
                              <a:ln w="9525">
                                <a:noFill/>
                                <a:miter lim="800000"/>
                                <a:headEnd/>
                                <a:tailEnd/>
                              </a:ln>
                            </wps:spPr>
                            <wps:txbx>
                              <w:txbxContent>
                                <w:p w14:paraId="3E4F7EF3" w14:textId="76F6F2D5" w:rsidR="00B56508" w:rsidRPr="00AF7550" w:rsidRDefault="00B56508" w:rsidP="00AF7550">
                                  <w:pPr>
                                    <w:ind w:firstLine="0"/>
                                    <w:jc w:val="center"/>
                                    <w:rPr>
                                      <w:szCs w:val="24"/>
                                      <w:lang w:val="en-US"/>
                                    </w:rPr>
                                  </w:pPr>
                                  <w:r w:rsidRPr="00AF7550">
                                    <w:rPr>
                                      <w:szCs w:val="24"/>
                                      <w:lang w:val="en-US"/>
                                    </w:rPr>
                                    <w:t>Hypothetical region after failure: Minimum FS = 0.</w:t>
                                  </w:r>
                                  <w:r w:rsidR="00AF7550">
                                    <w:rPr>
                                      <w:szCs w:val="24"/>
                                      <w:lang w:val="en-US"/>
                                    </w:rPr>
                                    <w:t>76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43E74" id="_x0000_s1040" type="#_x0000_t202" style="position:absolute;margin-left:162.8pt;margin-top:84.9pt;width:84pt;height:111.7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" filled="f" stroked="f">
                      <v:textbox>
                        <w:txbxContent>
                          <w:p w14:paraId="3E4F7EF3" w14:textId="76F6F2D5" w:rsidR="00B56508" w:rsidRPr="00AF7550" w:rsidRDefault="00B56508" w:rsidP="00AF7550">
                            <w:pPr>
                              <w:ind w:firstLine="0"/>
                              <w:jc w:val="center"/>
                              <w:rPr>
                                <w:szCs w:val="24"/>
                                <w:lang w:val="en-US"/>
                              </w:rPr>
                            </w:pPr>
                            <w:r w:rsidRPr="00AF7550">
                              <w:rPr>
                                <w:szCs w:val="24"/>
                                <w:lang w:val="en-US"/>
                              </w:rPr>
                              <w:t>Hypothetical region after failure: Minimum FS = 0.</w:t>
                            </w:r>
                            <w:r w:rsidR="00AF7550">
                              <w:rPr>
                                <w:szCs w:val="24"/>
                                <w:lang w:val="en-US"/>
                              </w:rPr>
                              <w:t>76</w:t>
                            </w:r>
                          </w:p>
                        </w:txbxContent>
                      </v:textbox>
                    </v:shape>
                  </w:pict>
                </mc:Fallback>
              </mc:AlternateContent>
            </w:r>
            <w:r>
              <w:rPr>
                <w:rFonts w:eastAsia="Times New Roman"/>
                <w:noProof/>
                <w:szCs w:val="24"/>
              </w:rPr>
              <mc:AlternateContent>
                <mc:Choice Requires="wps">
                  <w:drawing>
                    <wp:anchor distT="0" distB="0" distL="114300" distR="114300" simplePos="0" relativeHeight="251667456" behindDoc="0" locked="0" layoutInCell="1" allowOverlap="1" wp14:anchorId="3FCBFDCD" wp14:editId="505932D5">
                      <wp:simplePos x="0" y="0"/>
                      <wp:positionH relativeFrom="column">
                        <wp:posOffset>2094865</wp:posOffset>
                      </wp:positionH>
                      <wp:positionV relativeFrom="paragraph">
                        <wp:posOffset>1614805</wp:posOffset>
                      </wp:positionV>
                      <wp:extent cx="118592" cy="0"/>
                      <wp:effectExtent l="38100" t="76200" r="15240" b="95250"/>
                      <wp:wrapNone/>
                      <wp:docPr id="9" name="Straight Arrow Connector 9"/>
                      <wp:cNvGraphicFramePr/>
                      <a:graphic xmlns:a="http://schemas.openxmlformats.org/drawingml/2006/main">
                        <a:graphicData uri="http://schemas.microsoft.com/office/word/2010/wordprocessingShape">
                          <wps:wsp>
                            <wps:cNvCnPr/>
                            <wps:spPr>
                              <a:xfrm flipH="1">
                                <a:off x="0" y="0"/>
                                <a:ext cx="118592"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AFB6A8E" id="Straight Arrow Connector 9" o:spid="_x0000_s1026" type="#_x0000_t32" style="position:absolute;margin-left:164.95pt;margin-top:127.15pt;width:9.35pt;height:0;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" strokecolor="red" strokeweight=".5pt">
                      <v:stroke endarrow="block" joinstyle="miter"/>
                    </v:shape>
                  </w:pict>
                </mc:Fallback>
              </mc:AlternateContent>
            </w:r>
            <w:r>
              <w:rPr>
                <w:rFonts w:eastAsia="Times New Roman"/>
                <w:noProof/>
                <w:szCs w:val="24"/>
              </w:rPr>
              <mc:AlternateContent>
                <mc:Choice Requires="wps">
                  <w:drawing>
                    <wp:anchor distT="0" distB="0" distL="114300" distR="114300" simplePos="0" relativeHeight="251666432" behindDoc="0" locked="0" layoutInCell="1" allowOverlap="1" wp14:anchorId="6BDAC3D2" wp14:editId="08FFEC4D">
                      <wp:simplePos x="0" y="0"/>
                      <wp:positionH relativeFrom="column">
                        <wp:posOffset>610870</wp:posOffset>
                      </wp:positionH>
                      <wp:positionV relativeFrom="paragraph">
                        <wp:posOffset>772160</wp:posOffset>
                      </wp:positionV>
                      <wp:extent cx="1483360" cy="1580515"/>
                      <wp:effectExtent l="0" t="0" r="21590" b="19685"/>
                      <wp:wrapNone/>
                      <wp:docPr id="8" name="Rectangle 8"/>
                      <wp:cNvGraphicFramePr/>
                      <a:graphic xmlns:a="http://schemas.openxmlformats.org/drawingml/2006/main">
                        <a:graphicData uri="http://schemas.microsoft.com/office/word/2010/wordprocessingShape">
                          <wps:wsp>
                            <wps:cNvSpPr/>
                            <wps:spPr>
                              <a:xfrm>
                                <a:off x="0" y="0"/>
                                <a:ext cx="1483360" cy="15805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2F3A9C6" id="Rectangle 8" o:spid="_x0000_s1026" style="position:absolute;margin-left:48.1pt;margin-top:60.8pt;width:116.8pt;height:124.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" filled="f" strokecolor="red" strokeweight="1pt"/>
                  </w:pict>
                </mc:Fallback>
              </mc:AlternateContent>
            </w:r>
            <w:r w:rsidR="00442F3D" w:rsidRPr="00442F3D">
              <w:rPr>
                <w:noProof/>
                <w:lang w:val="en-US"/>
              </w:rPr>
              <w:drawing>
                <wp:inline distT="0" distB="0" distL="0" distR="0" wp14:anchorId="6BFF1AD9" wp14:editId="3FD2A83A">
                  <wp:extent cx="2266950" cy="3173730"/>
                  <wp:effectExtent l="0" t="0" r="0" b="762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266950" cy="3173730"/>
                          </a:xfrm>
                          <a:prstGeom prst="rect">
                            <a:avLst/>
                          </a:prstGeom>
                          <a:noFill/>
                          <a:ln>
                            <a:noFill/>
                          </a:ln>
                        </pic:spPr>
                      </pic:pic>
                    </a:graphicData>
                  </a:graphic>
                </wp:inline>
              </w:drawing>
            </w:r>
          </w:p>
          <w:p w14:paraId="6C303DE5" w14:textId="77777777" w:rsidR="00051297" w:rsidRPr="00051297" w:rsidRDefault="00051297" w:rsidP="00141AA5">
            <w:pPr>
              <w:spacing w:line="240" w:lineRule="auto"/>
              <w:ind w:firstLine="0"/>
              <w:jc w:val="center"/>
              <w:rPr>
                <w:lang w:val="en-US"/>
              </w:rPr>
            </w:pPr>
            <w:r w:rsidRPr="00051297">
              <w:rPr>
                <w:lang w:val="en-US"/>
              </w:rPr>
              <w:t>(a)</w:t>
            </w:r>
          </w:p>
        </w:tc>
        <w:tc>
          <w:tcPr>
            <w:tcW w:w="4672" w:type="dxa"/>
          </w:tcPr>
          <w:p w14:paraId="11C37155" w14:textId="676280F7" w:rsidR="00051297" w:rsidRPr="00051297" w:rsidRDefault="00442F3D" w:rsidP="00B56508">
            <w:pPr>
              <w:spacing w:line="240" w:lineRule="auto"/>
              <w:ind w:firstLine="0"/>
              <w:jc w:val="right"/>
              <w:rPr>
                <w:lang w:val="en-US"/>
              </w:rPr>
            </w:pPr>
            <w:r w:rsidRPr="00442F3D">
              <w:rPr>
                <w:noProof/>
                <w:lang w:val="en-US"/>
              </w:rPr>
              <w:drawing>
                <wp:inline distT="0" distB="0" distL="0" distR="0" wp14:anchorId="1FC704D7" wp14:editId="2071961C">
                  <wp:extent cx="2333625" cy="3267075"/>
                  <wp:effectExtent l="0" t="0" r="9525" b="952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347016" cy="3285823"/>
                          </a:xfrm>
                          <a:prstGeom prst="rect">
                            <a:avLst/>
                          </a:prstGeom>
                          <a:noFill/>
                          <a:ln>
                            <a:noFill/>
                          </a:ln>
                        </pic:spPr>
                      </pic:pic>
                    </a:graphicData>
                  </a:graphic>
                </wp:inline>
              </w:drawing>
            </w:r>
          </w:p>
          <w:p w14:paraId="11DF762A" w14:textId="77777777" w:rsidR="00051297" w:rsidRPr="00051297" w:rsidRDefault="00051297" w:rsidP="00141AA5">
            <w:pPr>
              <w:spacing w:line="240" w:lineRule="auto"/>
              <w:ind w:firstLine="0"/>
              <w:jc w:val="center"/>
              <w:rPr>
                <w:lang w:val="en-US"/>
              </w:rPr>
            </w:pPr>
            <w:r w:rsidRPr="00051297">
              <w:rPr>
                <w:lang w:val="en-US"/>
              </w:rPr>
              <w:t>(b)</w:t>
            </w:r>
          </w:p>
        </w:tc>
      </w:tr>
      <w:tr w:rsidR="00051297" w:rsidRPr="00051297" w14:paraId="7CFF274D" w14:textId="77777777" w:rsidTr="00D20B01">
        <w:trPr>
          <w:jc w:val="center"/>
        </w:trPr>
        <w:tc>
          <w:tcPr>
            <w:tcW w:w="4672" w:type="dxa"/>
          </w:tcPr>
          <w:p w14:paraId="515772D2" w14:textId="14FD804F" w:rsidR="00051297" w:rsidRPr="00051297" w:rsidRDefault="00442F3D" w:rsidP="00141AA5">
            <w:pPr>
              <w:spacing w:line="240" w:lineRule="auto"/>
              <w:ind w:firstLine="0"/>
              <w:jc w:val="center"/>
              <w:rPr>
                <w:lang w:val="en-US"/>
              </w:rPr>
            </w:pPr>
            <w:r w:rsidRPr="00442F3D">
              <w:rPr>
                <w:noProof/>
                <w:lang w:val="en-US"/>
              </w:rPr>
              <w:lastRenderedPageBreak/>
              <w:drawing>
                <wp:inline distT="0" distB="0" distL="0" distR="0" wp14:anchorId="3115131E" wp14:editId="40986FC9">
                  <wp:extent cx="2438400" cy="3413760"/>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438400" cy="3413760"/>
                          </a:xfrm>
                          <a:prstGeom prst="rect">
                            <a:avLst/>
                          </a:prstGeom>
                          <a:noFill/>
                          <a:ln>
                            <a:noFill/>
                          </a:ln>
                        </pic:spPr>
                      </pic:pic>
                    </a:graphicData>
                  </a:graphic>
                </wp:inline>
              </w:drawing>
            </w:r>
          </w:p>
          <w:p w14:paraId="22DCB2EA" w14:textId="77777777" w:rsidR="00051297" w:rsidRPr="00051297" w:rsidRDefault="00051297" w:rsidP="00141AA5">
            <w:pPr>
              <w:spacing w:line="240" w:lineRule="auto"/>
              <w:ind w:firstLine="0"/>
              <w:jc w:val="center"/>
              <w:rPr>
                <w:lang w:val="en-US"/>
              </w:rPr>
            </w:pPr>
            <w:r w:rsidRPr="00051297">
              <w:rPr>
                <w:lang w:val="en-US"/>
              </w:rPr>
              <w:t>(c)</w:t>
            </w:r>
          </w:p>
        </w:tc>
        <w:tc>
          <w:tcPr>
            <w:tcW w:w="4672" w:type="dxa"/>
          </w:tcPr>
          <w:p w14:paraId="07C87F92" w14:textId="223209B8" w:rsidR="00051297" w:rsidRPr="00051297" w:rsidRDefault="00442F3D" w:rsidP="00141AA5">
            <w:pPr>
              <w:spacing w:line="240" w:lineRule="auto"/>
              <w:ind w:firstLine="0"/>
              <w:jc w:val="center"/>
              <w:rPr>
                <w:lang w:val="en-US"/>
              </w:rPr>
            </w:pPr>
            <w:r w:rsidRPr="00442F3D">
              <w:rPr>
                <w:noProof/>
                <w:lang w:val="en-US"/>
              </w:rPr>
              <w:drawing>
                <wp:inline distT="0" distB="0" distL="0" distR="0" wp14:anchorId="5A803E16" wp14:editId="33055407">
                  <wp:extent cx="2438400" cy="3413760"/>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448490" cy="3427886"/>
                          </a:xfrm>
                          <a:prstGeom prst="rect">
                            <a:avLst/>
                          </a:prstGeom>
                          <a:noFill/>
                          <a:ln>
                            <a:noFill/>
                          </a:ln>
                        </pic:spPr>
                      </pic:pic>
                    </a:graphicData>
                  </a:graphic>
                </wp:inline>
              </w:drawing>
            </w:r>
          </w:p>
          <w:p w14:paraId="31D2BF3C" w14:textId="77777777" w:rsidR="00051297" w:rsidRPr="00051297" w:rsidRDefault="00051297" w:rsidP="00141AA5">
            <w:pPr>
              <w:keepNext/>
              <w:spacing w:line="240" w:lineRule="auto"/>
              <w:ind w:firstLine="0"/>
              <w:jc w:val="center"/>
              <w:rPr>
                <w:lang w:val="en-US"/>
              </w:rPr>
            </w:pPr>
            <w:r w:rsidRPr="00051297">
              <w:rPr>
                <w:lang w:val="en-US"/>
              </w:rPr>
              <w:t>(d)</w:t>
            </w:r>
          </w:p>
        </w:tc>
      </w:tr>
    </w:tbl>
    <w:p w14:paraId="6393B240" w14:textId="21207539" w:rsidR="00051297" w:rsidRPr="00051297" w:rsidRDefault="00051297" w:rsidP="00051297">
      <w:pPr>
        <w:ind w:firstLine="0"/>
        <w:jc w:val="center"/>
        <w:rPr>
          <w:lang w:val="en-US"/>
        </w:rPr>
      </w:pPr>
      <w:bookmarkStart w:id="1473" w:name="_Ref102340096"/>
      <w:bookmarkStart w:id="1474" w:name="_Toc103544189"/>
      <w:bookmarkStart w:id="1475" w:name="_Toc104985515"/>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56</w:t>
      </w:r>
      <w:r w:rsidR="00527861">
        <w:rPr>
          <w:lang w:val="en-US"/>
        </w:rPr>
        <w:fldChar w:fldCharType="end"/>
      </w:r>
      <w:bookmarkEnd w:id="1473"/>
      <w:r w:rsidRPr="00051297">
        <w:rPr>
          <w:lang w:val="en-US"/>
        </w:rPr>
        <w:t xml:space="preserve"> Results from different drawdown rates embankment height operating level; a) instantaneous; b) 5 days drawdown; c) 10 days drawdown; d) 1 m per day drawdown</w:t>
      </w:r>
      <w:bookmarkEnd w:id="1474"/>
      <w:bookmarkEnd w:id="1475"/>
    </w:p>
    <w:p w14:paraId="5268E478" w14:textId="59350537" w:rsidR="00051297" w:rsidRPr="00051297" w:rsidRDefault="00051297" w:rsidP="00141AA5">
      <w:pPr>
        <w:pStyle w:val="4"/>
        <w:rPr>
          <w:rFonts w:eastAsia="Calibri"/>
        </w:rPr>
      </w:pPr>
      <w:bookmarkStart w:id="1476" w:name="_Toc103544025"/>
      <w:bookmarkStart w:id="1477" w:name="_Toc104985350"/>
      <w:r w:rsidRPr="00051297">
        <w:rPr>
          <w:rFonts w:eastAsia="Calibri"/>
        </w:rPr>
        <w:t>Analysis of variance (ANOVA)</w:t>
      </w:r>
      <w:bookmarkEnd w:id="1476"/>
      <w:bookmarkEnd w:id="1477"/>
    </w:p>
    <w:p w14:paraId="1D11B593" w14:textId="77777777" w:rsidR="00051297" w:rsidRPr="00051297" w:rsidRDefault="00051297" w:rsidP="00051297">
      <w:pPr>
        <w:rPr>
          <w:lang w:val="en-US"/>
        </w:rPr>
      </w:pPr>
      <w:r w:rsidRPr="00051297">
        <w:rPr>
          <w:lang w:val="en-US"/>
        </w:rPr>
        <w:t>It was also significantly important to investigate the significance levels of the differences in terms of factor of safety values under different operating levels. This was an important aspect for justifying further whether the investigated parameters had significant influence in the retrieved factor of safety values or not.</w:t>
      </w:r>
    </w:p>
    <w:p w14:paraId="4B6F840B" w14:textId="7ABD45B9" w:rsidR="00051297" w:rsidRPr="00051297" w:rsidRDefault="00051297" w:rsidP="00051297">
      <w:pPr>
        <w:rPr>
          <w:lang w:val="en-US"/>
        </w:rPr>
      </w:pPr>
      <w:r w:rsidRPr="00051297">
        <w:rPr>
          <w:lang w:val="en-US"/>
        </w:rPr>
        <w:fldChar w:fldCharType="begin"/>
      </w:r>
      <w:r w:rsidRPr="00051297">
        <w:rPr>
          <w:lang w:val="en-US"/>
        </w:rPr>
        <w:instrText xml:space="preserve"> REF _Ref102341505 \h </w:instrText>
      </w:r>
      <w:r w:rsidRPr="00051297">
        <w:rPr>
          <w:lang w:val="en-US"/>
        </w:rPr>
      </w:r>
      <w:r w:rsidRPr="00051297">
        <w:rPr>
          <w:lang w:val="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14</w:t>
      </w:r>
      <w:r w:rsidRPr="00051297">
        <w:rPr>
          <w:lang w:val="en-US"/>
        </w:rPr>
        <w:fldChar w:fldCharType="end"/>
      </w:r>
      <w:r w:rsidRPr="00051297">
        <w:rPr>
          <w:lang w:val="en-US"/>
        </w:rPr>
        <w:t xml:space="preserve"> presents the ANOVA results when different operating reservoir levels were subjected to the instantaneous drawdown rate. From </w:t>
      </w:r>
      <w:r w:rsidRPr="00051297">
        <w:rPr>
          <w:lang w:val="en-US"/>
        </w:rPr>
        <w:fldChar w:fldCharType="begin"/>
      </w:r>
      <w:r w:rsidRPr="00051297">
        <w:rPr>
          <w:lang w:val="en-US"/>
        </w:rPr>
        <w:instrText xml:space="preserve"> REF _Ref102341505 \h </w:instrText>
      </w:r>
      <w:r w:rsidRPr="00051297">
        <w:rPr>
          <w:lang w:val="en-US"/>
        </w:rPr>
      </w:r>
      <w:r w:rsidRPr="00051297">
        <w:rPr>
          <w:lang w:val="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14</w:t>
      </w:r>
      <w:r w:rsidRPr="00051297">
        <w:rPr>
          <w:lang w:val="en-US"/>
        </w:rPr>
        <w:fldChar w:fldCharType="end"/>
      </w:r>
      <w:r w:rsidRPr="00051297">
        <w:rPr>
          <w:lang w:val="en-US"/>
        </w:rPr>
        <w:t xml:space="preserve"> it can be seen that p-value of 1.36× 10</w:t>
      </w:r>
      <w:r w:rsidRPr="00051297">
        <w:rPr>
          <w:vertAlign w:val="superscript"/>
          <w:lang w:val="en-US"/>
        </w:rPr>
        <w:t xml:space="preserve">−7 </w:t>
      </w:r>
      <w:r w:rsidRPr="00051297">
        <w:rPr>
          <w:lang w:val="en-US"/>
        </w:rPr>
        <w:t>was retrieved which is less than alpha value of 0.05; signifying that the differences in factor of safety values from the investigated operating levels and instantaneous drawdown rate were statistically significant.</w:t>
      </w:r>
    </w:p>
    <w:p w14:paraId="10298A51" w14:textId="487C2EEA" w:rsidR="00051297" w:rsidRPr="00051297" w:rsidRDefault="00051297" w:rsidP="00051297">
      <w:pPr>
        <w:rPr>
          <w:lang w:val="en-US"/>
        </w:rPr>
      </w:pPr>
      <w:bookmarkStart w:id="1478" w:name="_Ref102341505"/>
      <w:bookmarkStart w:id="1479" w:name="_Toc103544269"/>
      <w:bookmarkStart w:id="1480" w:name="_Toc104985595"/>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14</w:t>
      </w:r>
      <w:r w:rsidRPr="00051297">
        <w:rPr>
          <w:lang w:val="en-US"/>
        </w:rPr>
        <w:fldChar w:fldCharType="end"/>
      </w:r>
      <w:bookmarkEnd w:id="1478"/>
      <w:r w:rsidRPr="00051297">
        <w:rPr>
          <w:lang w:val="en-US"/>
        </w:rPr>
        <w:t xml:space="preserve"> ANOVA results from different operating reservoir levels under instantaneous drawdown rate</w:t>
      </w:r>
      <w:bookmarkEnd w:id="1479"/>
      <w:bookmarkEnd w:id="1480"/>
    </w:p>
    <w:tbl>
      <w:tblPr>
        <w:tblStyle w:val="a8"/>
        <w:tblW w:w="0" w:type="auto"/>
        <w:jc w:val="center"/>
        <w:tblLook w:val="04A0" w:firstRow="1" w:lastRow="0" w:firstColumn="1" w:lastColumn="0" w:noHBand="0" w:noVBand="1"/>
      </w:tblPr>
      <w:tblGrid>
        <w:gridCol w:w="1735"/>
        <w:gridCol w:w="1116"/>
        <w:gridCol w:w="1116"/>
        <w:gridCol w:w="1116"/>
        <w:gridCol w:w="1116"/>
        <w:gridCol w:w="1356"/>
        <w:gridCol w:w="1170"/>
      </w:tblGrid>
      <w:tr w:rsidR="00051297" w:rsidRPr="008452A5" w14:paraId="76139518" w14:textId="77777777" w:rsidTr="008452A5">
        <w:trPr>
          <w:trHeight w:val="170"/>
          <w:jc w:val="center"/>
        </w:trPr>
        <w:tc>
          <w:tcPr>
            <w:tcW w:w="8725" w:type="dxa"/>
            <w:gridSpan w:val="7"/>
            <w:noWrap/>
            <w:hideMark/>
          </w:tcPr>
          <w:p w14:paraId="24AC039E"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ANOVA: Single Factor</w:t>
            </w:r>
          </w:p>
        </w:tc>
      </w:tr>
      <w:tr w:rsidR="00051297" w:rsidRPr="008452A5" w14:paraId="3A035D1C" w14:textId="77777777" w:rsidTr="008452A5">
        <w:trPr>
          <w:trHeight w:val="170"/>
          <w:jc w:val="center"/>
        </w:trPr>
        <w:tc>
          <w:tcPr>
            <w:tcW w:w="8725" w:type="dxa"/>
            <w:gridSpan w:val="7"/>
            <w:noWrap/>
            <w:hideMark/>
          </w:tcPr>
          <w:p w14:paraId="684BAB9C"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SUMMARY</w:t>
            </w:r>
          </w:p>
        </w:tc>
      </w:tr>
      <w:tr w:rsidR="00051297" w:rsidRPr="008452A5" w14:paraId="07D43D75" w14:textId="77777777" w:rsidTr="008452A5">
        <w:trPr>
          <w:trHeight w:val="170"/>
          <w:jc w:val="center"/>
        </w:trPr>
        <w:tc>
          <w:tcPr>
            <w:tcW w:w="1735" w:type="dxa"/>
            <w:noWrap/>
            <w:hideMark/>
          </w:tcPr>
          <w:p w14:paraId="2E17C20E"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Groups</w:t>
            </w:r>
          </w:p>
        </w:tc>
        <w:tc>
          <w:tcPr>
            <w:tcW w:w="1116" w:type="dxa"/>
            <w:noWrap/>
            <w:hideMark/>
          </w:tcPr>
          <w:p w14:paraId="607C667B"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Count</w:t>
            </w:r>
          </w:p>
        </w:tc>
        <w:tc>
          <w:tcPr>
            <w:tcW w:w="1116" w:type="dxa"/>
            <w:noWrap/>
            <w:hideMark/>
          </w:tcPr>
          <w:p w14:paraId="1F745CE5"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Sum</w:t>
            </w:r>
          </w:p>
        </w:tc>
        <w:tc>
          <w:tcPr>
            <w:tcW w:w="1116" w:type="dxa"/>
            <w:noWrap/>
            <w:hideMark/>
          </w:tcPr>
          <w:p w14:paraId="4E1C795C"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Average</w:t>
            </w:r>
          </w:p>
        </w:tc>
        <w:tc>
          <w:tcPr>
            <w:tcW w:w="3642" w:type="dxa"/>
            <w:gridSpan w:val="3"/>
            <w:noWrap/>
            <w:hideMark/>
          </w:tcPr>
          <w:p w14:paraId="356892CB"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Variance</w:t>
            </w:r>
          </w:p>
        </w:tc>
      </w:tr>
      <w:tr w:rsidR="00051297" w:rsidRPr="008452A5" w14:paraId="7AD558CA" w14:textId="77777777" w:rsidTr="008452A5">
        <w:trPr>
          <w:trHeight w:val="170"/>
          <w:jc w:val="center"/>
        </w:trPr>
        <w:tc>
          <w:tcPr>
            <w:tcW w:w="1735" w:type="dxa"/>
            <w:noWrap/>
            <w:hideMark/>
          </w:tcPr>
          <w:p w14:paraId="74465E75"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Normal</w:t>
            </w:r>
          </w:p>
        </w:tc>
        <w:tc>
          <w:tcPr>
            <w:tcW w:w="1116" w:type="dxa"/>
            <w:noWrap/>
            <w:hideMark/>
          </w:tcPr>
          <w:p w14:paraId="4AA2AE1B"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31</w:t>
            </w:r>
          </w:p>
        </w:tc>
        <w:tc>
          <w:tcPr>
            <w:tcW w:w="1116" w:type="dxa"/>
            <w:noWrap/>
            <w:hideMark/>
          </w:tcPr>
          <w:p w14:paraId="5DFE2889"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53.4791</w:t>
            </w:r>
          </w:p>
        </w:tc>
        <w:tc>
          <w:tcPr>
            <w:tcW w:w="1116" w:type="dxa"/>
            <w:noWrap/>
            <w:hideMark/>
          </w:tcPr>
          <w:p w14:paraId="7A65EABB"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1.725</w:t>
            </w:r>
          </w:p>
        </w:tc>
        <w:tc>
          <w:tcPr>
            <w:tcW w:w="3642" w:type="dxa"/>
            <w:gridSpan w:val="3"/>
            <w:noWrap/>
            <w:hideMark/>
          </w:tcPr>
          <w:p w14:paraId="32EAF568"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0.041</w:t>
            </w:r>
          </w:p>
        </w:tc>
      </w:tr>
      <w:tr w:rsidR="00051297" w:rsidRPr="008452A5" w14:paraId="6C72FEF3" w14:textId="77777777" w:rsidTr="008452A5">
        <w:trPr>
          <w:trHeight w:val="170"/>
          <w:jc w:val="center"/>
        </w:trPr>
        <w:tc>
          <w:tcPr>
            <w:tcW w:w="1735" w:type="dxa"/>
            <w:noWrap/>
            <w:hideMark/>
          </w:tcPr>
          <w:p w14:paraId="65BC3E8F"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Reduced</w:t>
            </w:r>
          </w:p>
        </w:tc>
        <w:tc>
          <w:tcPr>
            <w:tcW w:w="1116" w:type="dxa"/>
            <w:noWrap/>
            <w:hideMark/>
          </w:tcPr>
          <w:p w14:paraId="01B8D37D"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31</w:t>
            </w:r>
          </w:p>
        </w:tc>
        <w:tc>
          <w:tcPr>
            <w:tcW w:w="1116" w:type="dxa"/>
            <w:noWrap/>
            <w:hideMark/>
          </w:tcPr>
          <w:p w14:paraId="2A96063A"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45.344</w:t>
            </w:r>
          </w:p>
        </w:tc>
        <w:tc>
          <w:tcPr>
            <w:tcW w:w="1116" w:type="dxa"/>
            <w:noWrap/>
            <w:hideMark/>
          </w:tcPr>
          <w:p w14:paraId="5879B22B"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1.463</w:t>
            </w:r>
          </w:p>
        </w:tc>
        <w:tc>
          <w:tcPr>
            <w:tcW w:w="3642" w:type="dxa"/>
            <w:gridSpan w:val="3"/>
            <w:noWrap/>
            <w:hideMark/>
          </w:tcPr>
          <w:p w14:paraId="4FB4F6F5"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0.008</w:t>
            </w:r>
          </w:p>
        </w:tc>
      </w:tr>
      <w:tr w:rsidR="00051297" w:rsidRPr="008452A5" w14:paraId="4062224E" w14:textId="77777777" w:rsidTr="008452A5">
        <w:trPr>
          <w:trHeight w:val="170"/>
          <w:jc w:val="center"/>
        </w:trPr>
        <w:tc>
          <w:tcPr>
            <w:tcW w:w="1735" w:type="dxa"/>
            <w:noWrap/>
            <w:hideMark/>
          </w:tcPr>
          <w:p w14:paraId="12ABAA57"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Embankment</w:t>
            </w:r>
          </w:p>
        </w:tc>
        <w:tc>
          <w:tcPr>
            <w:tcW w:w="1116" w:type="dxa"/>
            <w:noWrap/>
            <w:hideMark/>
          </w:tcPr>
          <w:p w14:paraId="5EB27B09"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31</w:t>
            </w:r>
          </w:p>
        </w:tc>
        <w:tc>
          <w:tcPr>
            <w:tcW w:w="1116" w:type="dxa"/>
            <w:noWrap/>
            <w:hideMark/>
          </w:tcPr>
          <w:p w14:paraId="0026E14A"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46.589</w:t>
            </w:r>
          </w:p>
        </w:tc>
        <w:tc>
          <w:tcPr>
            <w:tcW w:w="1116" w:type="dxa"/>
            <w:noWrap/>
            <w:hideMark/>
          </w:tcPr>
          <w:p w14:paraId="6E9D7F44"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1.503</w:t>
            </w:r>
          </w:p>
        </w:tc>
        <w:tc>
          <w:tcPr>
            <w:tcW w:w="3642" w:type="dxa"/>
            <w:gridSpan w:val="3"/>
            <w:noWrap/>
            <w:hideMark/>
          </w:tcPr>
          <w:p w14:paraId="2B283410"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0.0495</w:t>
            </w:r>
          </w:p>
        </w:tc>
      </w:tr>
      <w:tr w:rsidR="00051297" w:rsidRPr="008452A5" w14:paraId="72DA63F6" w14:textId="77777777" w:rsidTr="008452A5">
        <w:trPr>
          <w:trHeight w:val="170"/>
          <w:jc w:val="center"/>
        </w:trPr>
        <w:tc>
          <w:tcPr>
            <w:tcW w:w="8725" w:type="dxa"/>
            <w:gridSpan w:val="7"/>
            <w:noWrap/>
            <w:hideMark/>
          </w:tcPr>
          <w:p w14:paraId="0FCAD1AC"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ANOVA</w:t>
            </w:r>
          </w:p>
        </w:tc>
      </w:tr>
      <w:tr w:rsidR="00051297" w:rsidRPr="008452A5" w14:paraId="2F2879BF" w14:textId="77777777" w:rsidTr="008452A5">
        <w:trPr>
          <w:trHeight w:val="170"/>
          <w:jc w:val="center"/>
        </w:trPr>
        <w:tc>
          <w:tcPr>
            <w:tcW w:w="1735" w:type="dxa"/>
            <w:noWrap/>
            <w:hideMark/>
          </w:tcPr>
          <w:p w14:paraId="3F39C236"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Source of Variation</w:t>
            </w:r>
          </w:p>
        </w:tc>
        <w:tc>
          <w:tcPr>
            <w:tcW w:w="1116" w:type="dxa"/>
            <w:noWrap/>
            <w:hideMark/>
          </w:tcPr>
          <w:p w14:paraId="25DC768C"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SS</w:t>
            </w:r>
          </w:p>
        </w:tc>
        <w:tc>
          <w:tcPr>
            <w:tcW w:w="1116" w:type="dxa"/>
            <w:noWrap/>
            <w:hideMark/>
          </w:tcPr>
          <w:p w14:paraId="15BCA60A"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df</w:t>
            </w:r>
          </w:p>
        </w:tc>
        <w:tc>
          <w:tcPr>
            <w:tcW w:w="1116" w:type="dxa"/>
            <w:noWrap/>
            <w:hideMark/>
          </w:tcPr>
          <w:p w14:paraId="013A848F"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MS</w:t>
            </w:r>
          </w:p>
        </w:tc>
        <w:tc>
          <w:tcPr>
            <w:tcW w:w="1116" w:type="dxa"/>
            <w:noWrap/>
            <w:hideMark/>
          </w:tcPr>
          <w:p w14:paraId="3CFC1AE5"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F</w:t>
            </w:r>
          </w:p>
        </w:tc>
        <w:tc>
          <w:tcPr>
            <w:tcW w:w="1356" w:type="dxa"/>
            <w:noWrap/>
            <w:hideMark/>
          </w:tcPr>
          <w:p w14:paraId="2EA09ED5"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P-value</w:t>
            </w:r>
          </w:p>
        </w:tc>
        <w:tc>
          <w:tcPr>
            <w:tcW w:w="1170" w:type="dxa"/>
            <w:noWrap/>
            <w:hideMark/>
          </w:tcPr>
          <w:p w14:paraId="62FA15F0"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F crit</w:t>
            </w:r>
          </w:p>
        </w:tc>
      </w:tr>
      <w:tr w:rsidR="00051297" w:rsidRPr="008452A5" w14:paraId="765EE272" w14:textId="77777777" w:rsidTr="008452A5">
        <w:trPr>
          <w:trHeight w:val="170"/>
          <w:jc w:val="center"/>
        </w:trPr>
        <w:tc>
          <w:tcPr>
            <w:tcW w:w="1735" w:type="dxa"/>
            <w:noWrap/>
            <w:hideMark/>
          </w:tcPr>
          <w:p w14:paraId="3ED35AE5"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Between Groups</w:t>
            </w:r>
          </w:p>
        </w:tc>
        <w:tc>
          <w:tcPr>
            <w:tcW w:w="1116" w:type="dxa"/>
            <w:noWrap/>
            <w:hideMark/>
          </w:tcPr>
          <w:p w14:paraId="4D52DA1C"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1.239</w:t>
            </w:r>
          </w:p>
        </w:tc>
        <w:tc>
          <w:tcPr>
            <w:tcW w:w="1116" w:type="dxa"/>
            <w:noWrap/>
            <w:hideMark/>
          </w:tcPr>
          <w:p w14:paraId="7E86329E"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2</w:t>
            </w:r>
          </w:p>
        </w:tc>
        <w:tc>
          <w:tcPr>
            <w:tcW w:w="1116" w:type="dxa"/>
            <w:noWrap/>
            <w:hideMark/>
          </w:tcPr>
          <w:p w14:paraId="7D50DE6A"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0.619</w:t>
            </w:r>
          </w:p>
        </w:tc>
        <w:tc>
          <w:tcPr>
            <w:tcW w:w="1116" w:type="dxa"/>
            <w:noWrap/>
            <w:hideMark/>
          </w:tcPr>
          <w:p w14:paraId="22719500"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18.946</w:t>
            </w:r>
          </w:p>
        </w:tc>
        <w:tc>
          <w:tcPr>
            <w:tcW w:w="1356" w:type="dxa"/>
            <w:noWrap/>
            <w:hideMark/>
          </w:tcPr>
          <w:p w14:paraId="7A6DEAA7"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1.36× 10</w:t>
            </w:r>
            <w:r w:rsidRPr="008452A5">
              <w:rPr>
                <w:sz w:val="20"/>
                <w:szCs w:val="20"/>
                <w:vertAlign w:val="superscript"/>
                <w:lang w:val="en-US"/>
              </w:rPr>
              <w:t>−7</w:t>
            </w:r>
          </w:p>
        </w:tc>
        <w:tc>
          <w:tcPr>
            <w:tcW w:w="1170" w:type="dxa"/>
            <w:noWrap/>
            <w:hideMark/>
          </w:tcPr>
          <w:p w14:paraId="65CFF7B6"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3.098</w:t>
            </w:r>
          </w:p>
        </w:tc>
      </w:tr>
      <w:tr w:rsidR="00051297" w:rsidRPr="008452A5" w14:paraId="305DC4E1" w14:textId="77777777" w:rsidTr="008452A5">
        <w:trPr>
          <w:trHeight w:val="170"/>
          <w:jc w:val="center"/>
        </w:trPr>
        <w:tc>
          <w:tcPr>
            <w:tcW w:w="1735" w:type="dxa"/>
            <w:noWrap/>
            <w:hideMark/>
          </w:tcPr>
          <w:p w14:paraId="31222DBF"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Within Groups</w:t>
            </w:r>
          </w:p>
        </w:tc>
        <w:tc>
          <w:tcPr>
            <w:tcW w:w="1116" w:type="dxa"/>
            <w:noWrap/>
            <w:hideMark/>
          </w:tcPr>
          <w:p w14:paraId="0741B575"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2.942</w:t>
            </w:r>
          </w:p>
        </w:tc>
        <w:tc>
          <w:tcPr>
            <w:tcW w:w="1116" w:type="dxa"/>
            <w:noWrap/>
            <w:hideMark/>
          </w:tcPr>
          <w:p w14:paraId="7EDAFE66"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90</w:t>
            </w:r>
          </w:p>
        </w:tc>
        <w:tc>
          <w:tcPr>
            <w:tcW w:w="1116" w:type="dxa"/>
            <w:noWrap/>
            <w:hideMark/>
          </w:tcPr>
          <w:p w14:paraId="325E9866"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0.033</w:t>
            </w:r>
          </w:p>
        </w:tc>
        <w:tc>
          <w:tcPr>
            <w:tcW w:w="1116" w:type="dxa"/>
            <w:noWrap/>
            <w:hideMark/>
          </w:tcPr>
          <w:p w14:paraId="720958F1" w14:textId="77777777" w:rsidR="00051297" w:rsidRPr="008452A5" w:rsidRDefault="00051297" w:rsidP="00051297">
            <w:pPr>
              <w:spacing w:line="240" w:lineRule="auto"/>
              <w:ind w:firstLine="0"/>
              <w:jc w:val="center"/>
              <w:rPr>
                <w:sz w:val="20"/>
                <w:szCs w:val="20"/>
                <w:lang w:val="en-US"/>
              </w:rPr>
            </w:pPr>
          </w:p>
        </w:tc>
        <w:tc>
          <w:tcPr>
            <w:tcW w:w="1356" w:type="dxa"/>
            <w:noWrap/>
            <w:hideMark/>
          </w:tcPr>
          <w:p w14:paraId="6BA61839" w14:textId="77777777" w:rsidR="00051297" w:rsidRPr="008452A5" w:rsidRDefault="00051297" w:rsidP="00051297">
            <w:pPr>
              <w:spacing w:line="240" w:lineRule="auto"/>
              <w:ind w:firstLine="0"/>
              <w:jc w:val="center"/>
              <w:rPr>
                <w:sz w:val="20"/>
                <w:szCs w:val="20"/>
                <w:lang w:val="en-US"/>
              </w:rPr>
            </w:pPr>
          </w:p>
        </w:tc>
        <w:tc>
          <w:tcPr>
            <w:tcW w:w="1170" w:type="dxa"/>
            <w:noWrap/>
            <w:hideMark/>
          </w:tcPr>
          <w:p w14:paraId="5DFC3A84" w14:textId="77777777" w:rsidR="00051297" w:rsidRPr="008452A5" w:rsidRDefault="00051297" w:rsidP="00051297">
            <w:pPr>
              <w:spacing w:line="240" w:lineRule="auto"/>
              <w:ind w:firstLine="0"/>
              <w:jc w:val="center"/>
              <w:rPr>
                <w:sz w:val="20"/>
                <w:szCs w:val="20"/>
                <w:lang w:val="en-US"/>
              </w:rPr>
            </w:pPr>
          </w:p>
        </w:tc>
      </w:tr>
      <w:tr w:rsidR="00051297" w:rsidRPr="008452A5" w14:paraId="31FBC900" w14:textId="77777777" w:rsidTr="008452A5">
        <w:trPr>
          <w:trHeight w:val="170"/>
          <w:jc w:val="center"/>
        </w:trPr>
        <w:tc>
          <w:tcPr>
            <w:tcW w:w="1735" w:type="dxa"/>
            <w:noWrap/>
            <w:hideMark/>
          </w:tcPr>
          <w:p w14:paraId="1856A6EF"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Total</w:t>
            </w:r>
          </w:p>
        </w:tc>
        <w:tc>
          <w:tcPr>
            <w:tcW w:w="1116" w:type="dxa"/>
            <w:noWrap/>
            <w:hideMark/>
          </w:tcPr>
          <w:p w14:paraId="4F4EE555"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4.181</w:t>
            </w:r>
          </w:p>
        </w:tc>
        <w:tc>
          <w:tcPr>
            <w:tcW w:w="1116" w:type="dxa"/>
            <w:noWrap/>
            <w:hideMark/>
          </w:tcPr>
          <w:p w14:paraId="20C0C4CC"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92</w:t>
            </w:r>
          </w:p>
        </w:tc>
        <w:tc>
          <w:tcPr>
            <w:tcW w:w="1116" w:type="dxa"/>
            <w:noWrap/>
            <w:hideMark/>
          </w:tcPr>
          <w:p w14:paraId="1E4A9490"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 </w:t>
            </w:r>
          </w:p>
        </w:tc>
        <w:tc>
          <w:tcPr>
            <w:tcW w:w="1116" w:type="dxa"/>
            <w:noWrap/>
            <w:hideMark/>
          </w:tcPr>
          <w:p w14:paraId="2E32129C"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 </w:t>
            </w:r>
          </w:p>
        </w:tc>
        <w:tc>
          <w:tcPr>
            <w:tcW w:w="1356" w:type="dxa"/>
            <w:noWrap/>
            <w:hideMark/>
          </w:tcPr>
          <w:p w14:paraId="5200AA49"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 </w:t>
            </w:r>
          </w:p>
        </w:tc>
        <w:tc>
          <w:tcPr>
            <w:tcW w:w="1170" w:type="dxa"/>
            <w:noWrap/>
            <w:hideMark/>
          </w:tcPr>
          <w:p w14:paraId="7E919486" w14:textId="77777777" w:rsidR="00051297" w:rsidRPr="008452A5" w:rsidRDefault="00051297" w:rsidP="00051297">
            <w:pPr>
              <w:spacing w:line="240" w:lineRule="auto"/>
              <w:ind w:firstLine="0"/>
              <w:jc w:val="center"/>
              <w:rPr>
                <w:sz w:val="20"/>
                <w:szCs w:val="20"/>
                <w:lang w:val="en-US"/>
              </w:rPr>
            </w:pPr>
            <w:r w:rsidRPr="008452A5">
              <w:rPr>
                <w:sz w:val="20"/>
                <w:szCs w:val="20"/>
                <w:lang w:val="en-US"/>
              </w:rPr>
              <w:t> </w:t>
            </w:r>
          </w:p>
        </w:tc>
      </w:tr>
    </w:tbl>
    <w:p w14:paraId="6C01DF5E" w14:textId="43B2A859" w:rsidR="00051297" w:rsidRPr="00051297" w:rsidRDefault="00051297" w:rsidP="00051297">
      <w:pPr>
        <w:rPr>
          <w:lang w:val="en-US"/>
        </w:rPr>
      </w:pPr>
      <w:r w:rsidRPr="00051297">
        <w:rPr>
          <w:lang w:val="en-US"/>
        </w:rPr>
        <w:lastRenderedPageBreak/>
        <w:fldChar w:fldCharType="begin"/>
      </w:r>
      <w:r w:rsidRPr="00051297">
        <w:rPr>
          <w:lang w:val="en-US"/>
        </w:rPr>
        <w:instrText xml:space="preserve"> REF _Ref102342043 \h </w:instrText>
      </w:r>
      <w:r w:rsidRPr="00051297">
        <w:rPr>
          <w:lang w:val="en-US"/>
        </w:rPr>
      </w:r>
      <w:r w:rsidRPr="00051297">
        <w:rPr>
          <w:lang w:val="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15</w:t>
      </w:r>
      <w:r w:rsidRPr="00051297">
        <w:rPr>
          <w:lang w:val="en-US"/>
        </w:rPr>
        <w:fldChar w:fldCharType="end"/>
      </w:r>
      <w:r w:rsidRPr="00051297">
        <w:rPr>
          <w:lang w:val="en-US"/>
        </w:rPr>
        <w:t xml:space="preserve"> presents the ANOVA results when different operating reservoir levels were subjected to the 5 days drawdown rate. From the 5 days drawdown rate, it can be observed that a p-value of 0.0127 was retrieved from the combination of 5 days drawdown rate and the different operating water levels. Furthermore, the obtained p-value is less than 0.05, indicating that the differences in factor of safety values between the investigated operating levels and instantaneous drawdown rate were statistically significant.</w:t>
      </w:r>
    </w:p>
    <w:p w14:paraId="1EE306EC" w14:textId="29C3955D" w:rsidR="00051297" w:rsidRPr="00051297" w:rsidRDefault="00051297" w:rsidP="00051297">
      <w:pPr>
        <w:rPr>
          <w:lang w:val="en-US"/>
        </w:rPr>
      </w:pPr>
      <w:bookmarkStart w:id="1481" w:name="_Ref102342043"/>
      <w:bookmarkStart w:id="1482" w:name="_Toc103544270"/>
      <w:bookmarkStart w:id="1483" w:name="_Toc104985596"/>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15</w:t>
      </w:r>
      <w:r w:rsidRPr="00051297">
        <w:rPr>
          <w:lang w:val="en-US"/>
        </w:rPr>
        <w:fldChar w:fldCharType="end"/>
      </w:r>
      <w:bookmarkEnd w:id="1481"/>
      <w:r w:rsidRPr="00051297">
        <w:rPr>
          <w:lang w:val="en-US"/>
        </w:rPr>
        <w:t xml:space="preserve"> ANOVA results from different operating reservoir levels under 5 days drawdown rate</w:t>
      </w:r>
      <w:bookmarkEnd w:id="1482"/>
      <w:bookmarkEnd w:id="1483"/>
    </w:p>
    <w:tbl>
      <w:tblPr>
        <w:tblStyle w:val="a8"/>
        <w:tblW w:w="0" w:type="auto"/>
        <w:jc w:val="center"/>
        <w:tblLook w:val="04A0" w:firstRow="1" w:lastRow="0" w:firstColumn="1" w:lastColumn="0" w:noHBand="0" w:noVBand="1"/>
      </w:tblPr>
      <w:tblGrid>
        <w:gridCol w:w="1757"/>
        <w:gridCol w:w="1130"/>
        <w:gridCol w:w="1130"/>
        <w:gridCol w:w="1130"/>
        <w:gridCol w:w="1130"/>
        <w:gridCol w:w="1008"/>
        <w:gridCol w:w="1133"/>
      </w:tblGrid>
      <w:tr w:rsidR="00051297" w:rsidRPr="008452A5" w14:paraId="745A054D" w14:textId="77777777" w:rsidTr="00B758BD">
        <w:trPr>
          <w:trHeight w:val="280"/>
          <w:jc w:val="center"/>
        </w:trPr>
        <w:tc>
          <w:tcPr>
            <w:tcW w:w="8418" w:type="dxa"/>
            <w:gridSpan w:val="7"/>
            <w:noWrap/>
            <w:hideMark/>
          </w:tcPr>
          <w:p w14:paraId="068D4343" w14:textId="77777777" w:rsidR="00051297" w:rsidRPr="008452A5" w:rsidRDefault="00051297" w:rsidP="00051297">
            <w:pPr>
              <w:spacing w:line="240" w:lineRule="auto"/>
              <w:ind w:firstLine="0"/>
              <w:jc w:val="center"/>
              <w:rPr>
                <w:sz w:val="22"/>
                <w:lang w:val="en-US"/>
              </w:rPr>
            </w:pPr>
            <w:r w:rsidRPr="008452A5">
              <w:rPr>
                <w:sz w:val="22"/>
                <w:lang w:val="en-US"/>
              </w:rPr>
              <w:t>ANOVA: Single Factor</w:t>
            </w:r>
          </w:p>
        </w:tc>
      </w:tr>
      <w:tr w:rsidR="00051297" w:rsidRPr="008452A5" w14:paraId="23EC92AE" w14:textId="77777777" w:rsidTr="00B758BD">
        <w:trPr>
          <w:trHeight w:val="294"/>
          <w:jc w:val="center"/>
        </w:trPr>
        <w:tc>
          <w:tcPr>
            <w:tcW w:w="8418" w:type="dxa"/>
            <w:gridSpan w:val="7"/>
            <w:noWrap/>
            <w:hideMark/>
          </w:tcPr>
          <w:p w14:paraId="3C8A625E" w14:textId="77777777" w:rsidR="00051297" w:rsidRPr="008452A5" w:rsidRDefault="00051297" w:rsidP="00051297">
            <w:pPr>
              <w:spacing w:line="240" w:lineRule="auto"/>
              <w:ind w:firstLine="0"/>
              <w:jc w:val="center"/>
              <w:rPr>
                <w:sz w:val="22"/>
                <w:lang w:val="en-US"/>
              </w:rPr>
            </w:pPr>
            <w:r w:rsidRPr="008452A5">
              <w:rPr>
                <w:sz w:val="22"/>
                <w:lang w:val="en-US"/>
              </w:rPr>
              <w:t>SUMMARY</w:t>
            </w:r>
          </w:p>
        </w:tc>
      </w:tr>
      <w:tr w:rsidR="00051297" w:rsidRPr="008452A5" w14:paraId="6FE503BD" w14:textId="77777777" w:rsidTr="00B758BD">
        <w:trPr>
          <w:trHeight w:val="280"/>
          <w:jc w:val="center"/>
        </w:trPr>
        <w:tc>
          <w:tcPr>
            <w:tcW w:w="1757" w:type="dxa"/>
            <w:noWrap/>
            <w:hideMark/>
          </w:tcPr>
          <w:p w14:paraId="45C3F195" w14:textId="77777777" w:rsidR="00051297" w:rsidRPr="008452A5" w:rsidRDefault="00051297" w:rsidP="00051297">
            <w:pPr>
              <w:spacing w:line="240" w:lineRule="auto"/>
              <w:ind w:firstLine="0"/>
              <w:jc w:val="center"/>
              <w:rPr>
                <w:sz w:val="22"/>
                <w:lang w:val="en-US"/>
              </w:rPr>
            </w:pPr>
            <w:r w:rsidRPr="008452A5">
              <w:rPr>
                <w:sz w:val="22"/>
                <w:lang w:val="en-US"/>
              </w:rPr>
              <w:t>Groups</w:t>
            </w:r>
          </w:p>
        </w:tc>
        <w:tc>
          <w:tcPr>
            <w:tcW w:w="1130" w:type="dxa"/>
            <w:noWrap/>
            <w:hideMark/>
          </w:tcPr>
          <w:p w14:paraId="0917A8D7" w14:textId="77777777" w:rsidR="00051297" w:rsidRPr="008452A5" w:rsidRDefault="00051297" w:rsidP="00051297">
            <w:pPr>
              <w:spacing w:line="240" w:lineRule="auto"/>
              <w:ind w:firstLine="0"/>
              <w:jc w:val="center"/>
              <w:rPr>
                <w:sz w:val="22"/>
                <w:lang w:val="en-US"/>
              </w:rPr>
            </w:pPr>
            <w:r w:rsidRPr="008452A5">
              <w:rPr>
                <w:sz w:val="22"/>
                <w:lang w:val="en-US"/>
              </w:rPr>
              <w:t>Count</w:t>
            </w:r>
          </w:p>
        </w:tc>
        <w:tc>
          <w:tcPr>
            <w:tcW w:w="1130" w:type="dxa"/>
            <w:noWrap/>
            <w:hideMark/>
          </w:tcPr>
          <w:p w14:paraId="6BB4ED0F" w14:textId="77777777" w:rsidR="00051297" w:rsidRPr="008452A5" w:rsidRDefault="00051297" w:rsidP="00051297">
            <w:pPr>
              <w:spacing w:line="240" w:lineRule="auto"/>
              <w:ind w:firstLine="0"/>
              <w:jc w:val="center"/>
              <w:rPr>
                <w:sz w:val="22"/>
                <w:lang w:val="en-US"/>
              </w:rPr>
            </w:pPr>
            <w:r w:rsidRPr="008452A5">
              <w:rPr>
                <w:sz w:val="22"/>
                <w:lang w:val="en-US"/>
              </w:rPr>
              <w:t>Sum</w:t>
            </w:r>
          </w:p>
        </w:tc>
        <w:tc>
          <w:tcPr>
            <w:tcW w:w="1130" w:type="dxa"/>
            <w:noWrap/>
            <w:hideMark/>
          </w:tcPr>
          <w:p w14:paraId="16F7580E" w14:textId="77777777" w:rsidR="00051297" w:rsidRPr="008452A5" w:rsidRDefault="00051297" w:rsidP="00051297">
            <w:pPr>
              <w:spacing w:line="240" w:lineRule="auto"/>
              <w:ind w:firstLine="0"/>
              <w:jc w:val="center"/>
              <w:rPr>
                <w:sz w:val="22"/>
                <w:lang w:val="en-US"/>
              </w:rPr>
            </w:pPr>
            <w:r w:rsidRPr="008452A5">
              <w:rPr>
                <w:sz w:val="22"/>
                <w:lang w:val="en-US"/>
              </w:rPr>
              <w:t>Average</w:t>
            </w:r>
          </w:p>
        </w:tc>
        <w:tc>
          <w:tcPr>
            <w:tcW w:w="3269" w:type="dxa"/>
            <w:gridSpan w:val="3"/>
            <w:noWrap/>
            <w:hideMark/>
          </w:tcPr>
          <w:p w14:paraId="29F9D173" w14:textId="77777777" w:rsidR="00051297" w:rsidRPr="008452A5" w:rsidRDefault="00051297" w:rsidP="00051297">
            <w:pPr>
              <w:spacing w:line="240" w:lineRule="auto"/>
              <w:ind w:firstLine="0"/>
              <w:jc w:val="center"/>
              <w:rPr>
                <w:sz w:val="22"/>
                <w:lang w:val="en-US"/>
              </w:rPr>
            </w:pPr>
            <w:r w:rsidRPr="008452A5">
              <w:rPr>
                <w:sz w:val="22"/>
                <w:lang w:val="en-US"/>
              </w:rPr>
              <w:t>Variance</w:t>
            </w:r>
          </w:p>
        </w:tc>
      </w:tr>
      <w:tr w:rsidR="00051297" w:rsidRPr="008452A5" w14:paraId="2C3EC35D" w14:textId="77777777" w:rsidTr="00B758BD">
        <w:trPr>
          <w:trHeight w:val="280"/>
          <w:jc w:val="center"/>
        </w:trPr>
        <w:tc>
          <w:tcPr>
            <w:tcW w:w="1757" w:type="dxa"/>
            <w:noWrap/>
            <w:hideMark/>
          </w:tcPr>
          <w:p w14:paraId="3FCD5721" w14:textId="77777777" w:rsidR="00051297" w:rsidRPr="008452A5" w:rsidRDefault="00051297" w:rsidP="00051297">
            <w:pPr>
              <w:spacing w:line="240" w:lineRule="auto"/>
              <w:ind w:firstLine="0"/>
              <w:jc w:val="center"/>
              <w:rPr>
                <w:sz w:val="22"/>
                <w:lang w:val="en-US"/>
              </w:rPr>
            </w:pPr>
            <w:r w:rsidRPr="008452A5">
              <w:rPr>
                <w:sz w:val="22"/>
                <w:lang w:val="en-US"/>
              </w:rPr>
              <w:t>Normal</w:t>
            </w:r>
          </w:p>
        </w:tc>
        <w:tc>
          <w:tcPr>
            <w:tcW w:w="1130" w:type="dxa"/>
            <w:noWrap/>
            <w:hideMark/>
          </w:tcPr>
          <w:p w14:paraId="4394755D" w14:textId="77777777" w:rsidR="00051297" w:rsidRPr="008452A5" w:rsidRDefault="00051297" w:rsidP="00051297">
            <w:pPr>
              <w:spacing w:line="240" w:lineRule="auto"/>
              <w:ind w:firstLine="0"/>
              <w:jc w:val="center"/>
              <w:rPr>
                <w:sz w:val="22"/>
                <w:lang w:val="en-US"/>
              </w:rPr>
            </w:pPr>
            <w:r w:rsidRPr="008452A5">
              <w:rPr>
                <w:sz w:val="22"/>
                <w:lang w:val="en-US"/>
              </w:rPr>
              <w:t>31</w:t>
            </w:r>
          </w:p>
        </w:tc>
        <w:tc>
          <w:tcPr>
            <w:tcW w:w="1130" w:type="dxa"/>
            <w:noWrap/>
            <w:hideMark/>
          </w:tcPr>
          <w:p w14:paraId="31674B99" w14:textId="77777777" w:rsidR="00051297" w:rsidRPr="008452A5" w:rsidRDefault="00051297" w:rsidP="00051297">
            <w:pPr>
              <w:spacing w:line="240" w:lineRule="auto"/>
              <w:ind w:firstLine="0"/>
              <w:jc w:val="center"/>
              <w:rPr>
                <w:sz w:val="22"/>
                <w:lang w:val="en-US"/>
              </w:rPr>
            </w:pPr>
            <w:r w:rsidRPr="008452A5">
              <w:rPr>
                <w:sz w:val="22"/>
                <w:lang w:val="en-US"/>
              </w:rPr>
              <w:t>49.97246</w:t>
            </w:r>
          </w:p>
        </w:tc>
        <w:tc>
          <w:tcPr>
            <w:tcW w:w="1130" w:type="dxa"/>
            <w:noWrap/>
            <w:hideMark/>
          </w:tcPr>
          <w:p w14:paraId="62CC0C1D" w14:textId="77777777" w:rsidR="00051297" w:rsidRPr="008452A5" w:rsidRDefault="00051297" w:rsidP="00051297">
            <w:pPr>
              <w:spacing w:line="240" w:lineRule="auto"/>
              <w:ind w:firstLine="0"/>
              <w:jc w:val="center"/>
              <w:rPr>
                <w:sz w:val="22"/>
                <w:lang w:val="en-US"/>
              </w:rPr>
            </w:pPr>
            <w:r w:rsidRPr="008452A5">
              <w:rPr>
                <w:sz w:val="22"/>
                <w:lang w:val="en-US"/>
              </w:rPr>
              <w:t>1.612015</w:t>
            </w:r>
          </w:p>
        </w:tc>
        <w:tc>
          <w:tcPr>
            <w:tcW w:w="3269" w:type="dxa"/>
            <w:gridSpan w:val="3"/>
            <w:noWrap/>
            <w:hideMark/>
          </w:tcPr>
          <w:p w14:paraId="48F9A514" w14:textId="77777777" w:rsidR="00051297" w:rsidRPr="008452A5" w:rsidRDefault="00051297" w:rsidP="00051297">
            <w:pPr>
              <w:spacing w:line="240" w:lineRule="auto"/>
              <w:ind w:firstLine="0"/>
              <w:jc w:val="center"/>
              <w:rPr>
                <w:sz w:val="22"/>
                <w:lang w:val="en-US"/>
              </w:rPr>
            </w:pPr>
            <w:r w:rsidRPr="008452A5">
              <w:rPr>
                <w:sz w:val="22"/>
                <w:lang w:val="en-US"/>
              </w:rPr>
              <w:t>0.041934</w:t>
            </w:r>
          </w:p>
        </w:tc>
      </w:tr>
      <w:tr w:rsidR="00051297" w:rsidRPr="008452A5" w14:paraId="327BC0F2" w14:textId="77777777" w:rsidTr="00B758BD">
        <w:trPr>
          <w:trHeight w:val="280"/>
          <w:jc w:val="center"/>
        </w:trPr>
        <w:tc>
          <w:tcPr>
            <w:tcW w:w="1757" w:type="dxa"/>
            <w:noWrap/>
            <w:hideMark/>
          </w:tcPr>
          <w:p w14:paraId="7ED98B1E" w14:textId="77777777" w:rsidR="00051297" w:rsidRPr="008452A5" w:rsidRDefault="00051297" w:rsidP="00051297">
            <w:pPr>
              <w:spacing w:line="240" w:lineRule="auto"/>
              <w:ind w:firstLine="0"/>
              <w:jc w:val="center"/>
              <w:rPr>
                <w:sz w:val="22"/>
                <w:lang w:val="en-US"/>
              </w:rPr>
            </w:pPr>
            <w:r w:rsidRPr="008452A5">
              <w:rPr>
                <w:sz w:val="22"/>
                <w:lang w:val="en-US"/>
              </w:rPr>
              <w:t>Reduced</w:t>
            </w:r>
          </w:p>
        </w:tc>
        <w:tc>
          <w:tcPr>
            <w:tcW w:w="1130" w:type="dxa"/>
            <w:noWrap/>
            <w:hideMark/>
          </w:tcPr>
          <w:p w14:paraId="7ABAF0E9" w14:textId="77777777" w:rsidR="00051297" w:rsidRPr="008452A5" w:rsidRDefault="00051297" w:rsidP="00051297">
            <w:pPr>
              <w:spacing w:line="240" w:lineRule="auto"/>
              <w:ind w:firstLine="0"/>
              <w:jc w:val="center"/>
              <w:rPr>
                <w:sz w:val="22"/>
                <w:lang w:val="en-US"/>
              </w:rPr>
            </w:pPr>
            <w:r w:rsidRPr="008452A5">
              <w:rPr>
                <w:sz w:val="22"/>
                <w:lang w:val="en-US"/>
              </w:rPr>
              <w:t>31</w:t>
            </w:r>
          </w:p>
        </w:tc>
        <w:tc>
          <w:tcPr>
            <w:tcW w:w="1130" w:type="dxa"/>
            <w:noWrap/>
            <w:hideMark/>
          </w:tcPr>
          <w:p w14:paraId="70B913F3" w14:textId="77777777" w:rsidR="00051297" w:rsidRPr="008452A5" w:rsidRDefault="00051297" w:rsidP="00051297">
            <w:pPr>
              <w:spacing w:line="240" w:lineRule="auto"/>
              <w:ind w:firstLine="0"/>
              <w:jc w:val="center"/>
              <w:rPr>
                <w:sz w:val="22"/>
                <w:lang w:val="en-US"/>
              </w:rPr>
            </w:pPr>
            <w:r w:rsidRPr="008452A5">
              <w:rPr>
                <w:sz w:val="22"/>
                <w:lang w:val="en-US"/>
              </w:rPr>
              <w:t>45.67487</w:t>
            </w:r>
          </w:p>
        </w:tc>
        <w:tc>
          <w:tcPr>
            <w:tcW w:w="1130" w:type="dxa"/>
            <w:noWrap/>
            <w:hideMark/>
          </w:tcPr>
          <w:p w14:paraId="073F547B" w14:textId="77777777" w:rsidR="00051297" w:rsidRPr="008452A5" w:rsidRDefault="00051297" w:rsidP="00051297">
            <w:pPr>
              <w:spacing w:line="240" w:lineRule="auto"/>
              <w:ind w:firstLine="0"/>
              <w:jc w:val="center"/>
              <w:rPr>
                <w:sz w:val="22"/>
                <w:lang w:val="en-US"/>
              </w:rPr>
            </w:pPr>
            <w:r w:rsidRPr="008452A5">
              <w:rPr>
                <w:sz w:val="22"/>
                <w:lang w:val="en-US"/>
              </w:rPr>
              <w:t>1.473383</w:t>
            </w:r>
          </w:p>
        </w:tc>
        <w:tc>
          <w:tcPr>
            <w:tcW w:w="3269" w:type="dxa"/>
            <w:gridSpan w:val="3"/>
            <w:noWrap/>
            <w:hideMark/>
          </w:tcPr>
          <w:p w14:paraId="2398A842" w14:textId="77777777" w:rsidR="00051297" w:rsidRPr="008452A5" w:rsidRDefault="00051297" w:rsidP="00051297">
            <w:pPr>
              <w:spacing w:line="240" w:lineRule="auto"/>
              <w:ind w:firstLine="0"/>
              <w:jc w:val="center"/>
              <w:rPr>
                <w:sz w:val="22"/>
                <w:lang w:val="en-US"/>
              </w:rPr>
            </w:pPr>
            <w:r w:rsidRPr="008452A5">
              <w:rPr>
                <w:sz w:val="22"/>
                <w:lang w:val="en-US"/>
              </w:rPr>
              <w:t>0.007394</w:t>
            </w:r>
          </w:p>
        </w:tc>
      </w:tr>
      <w:tr w:rsidR="00051297" w:rsidRPr="008452A5" w14:paraId="3BF35F9E" w14:textId="77777777" w:rsidTr="00B758BD">
        <w:trPr>
          <w:trHeight w:val="294"/>
          <w:jc w:val="center"/>
        </w:trPr>
        <w:tc>
          <w:tcPr>
            <w:tcW w:w="1757" w:type="dxa"/>
            <w:noWrap/>
            <w:hideMark/>
          </w:tcPr>
          <w:p w14:paraId="50A5DD01" w14:textId="77777777" w:rsidR="00051297" w:rsidRPr="008452A5" w:rsidRDefault="00051297" w:rsidP="00051297">
            <w:pPr>
              <w:spacing w:line="240" w:lineRule="auto"/>
              <w:ind w:firstLine="0"/>
              <w:jc w:val="center"/>
              <w:rPr>
                <w:sz w:val="22"/>
                <w:lang w:val="en-US"/>
              </w:rPr>
            </w:pPr>
            <w:r w:rsidRPr="008452A5">
              <w:rPr>
                <w:sz w:val="22"/>
                <w:lang w:val="en-US"/>
              </w:rPr>
              <w:t>Embankment</w:t>
            </w:r>
          </w:p>
        </w:tc>
        <w:tc>
          <w:tcPr>
            <w:tcW w:w="1130" w:type="dxa"/>
            <w:noWrap/>
            <w:hideMark/>
          </w:tcPr>
          <w:p w14:paraId="061C4815" w14:textId="77777777" w:rsidR="00051297" w:rsidRPr="008452A5" w:rsidRDefault="00051297" w:rsidP="00051297">
            <w:pPr>
              <w:spacing w:line="240" w:lineRule="auto"/>
              <w:ind w:firstLine="0"/>
              <w:jc w:val="center"/>
              <w:rPr>
                <w:sz w:val="22"/>
                <w:lang w:val="en-US"/>
              </w:rPr>
            </w:pPr>
            <w:r w:rsidRPr="008452A5">
              <w:rPr>
                <w:sz w:val="22"/>
                <w:lang w:val="en-US"/>
              </w:rPr>
              <w:t>31</w:t>
            </w:r>
          </w:p>
        </w:tc>
        <w:tc>
          <w:tcPr>
            <w:tcW w:w="1130" w:type="dxa"/>
            <w:noWrap/>
            <w:hideMark/>
          </w:tcPr>
          <w:p w14:paraId="06060382" w14:textId="77777777" w:rsidR="00051297" w:rsidRPr="008452A5" w:rsidRDefault="00051297" w:rsidP="00051297">
            <w:pPr>
              <w:spacing w:line="240" w:lineRule="auto"/>
              <w:ind w:firstLine="0"/>
              <w:jc w:val="center"/>
              <w:rPr>
                <w:sz w:val="22"/>
                <w:lang w:val="en-US"/>
              </w:rPr>
            </w:pPr>
            <w:r w:rsidRPr="008452A5">
              <w:rPr>
                <w:sz w:val="22"/>
                <w:lang w:val="en-US"/>
              </w:rPr>
              <w:t>46.75203</w:t>
            </w:r>
          </w:p>
        </w:tc>
        <w:tc>
          <w:tcPr>
            <w:tcW w:w="1130" w:type="dxa"/>
            <w:noWrap/>
            <w:hideMark/>
          </w:tcPr>
          <w:p w14:paraId="2FC13658" w14:textId="77777777" w:rsidR="00051297" w:rsidRPr="008452A5" w:rsidRDefault="00051297" w:rsidP="00051297">
            <w:pPr>
              <w:spacing w:line="240" w:lineRule="auto"/>
              <w:ind w:firstLine="0"/>
              <w:jc w:val="center"/>
              <w:rPr>
                <w:sz w:val="22"/>
                <w:lang w:val="en-US"/>
              </w:rPr>
            </w:pPr>
            <w:r w:rsidRPr="008452A5">
              <w:rPr>
                <w:sz w:val="22"/>
                <w:lang w:val="en-US"/>
              </w:rPr>
              <w:t>1.50813</w:t>
            </w:r>
          </w:p>
        </w:tc>
        <w:tc>
          <w:tcPr>
            <w:tcW w:w="3269" w:type="dxa"/>
            <w:gridSpan w:val="3"/>
            <w:noWrap/>
            <w:hideMark/>
          </w:tcPr>
          <w:p w14:paraId="224E9694" w14:textId="77777777" w:rsidR="00051297" w:rsidRPr="008452A5" w:rsidRDefault="00051297" w:rsidP="00051297">
            <w:pPr>
              <w:spacing w:line="240" w:lineRule="auto"/>
              <w:ind w:firstLine="0"/>
              <w:jc w:val="center"/>
              <w:rPr>
                <w:sz w:val="22"/>
                <w:lang w:val="en-US"/>
              </w:rPr>
            </w:pPr>
            <w:r w:rsidRPr="008452A5">
              <w:rPr>
                <w:sz w:val="22"/>
                <w:lang w:val="en-US"/>
              </w:rPr>
              <w:t>0.056109</w:t>
            </w:r>
          </w:p>
        </w:tc>
      </w:tr>
      <w:tr w:rsidR="00051297" w:rsidRPr="008452A5" w14:paraId="01DD2C03" w14:textId="77777777" w:rsidTr="00B758BD">
        <w:trPr>
          <w:trHeight w:val="294"/>
          <w:jc w:val="center"/>
        </w:trPr>
        <w:tc>
          <w:tcPr>
            <w:tcW w:w="8418" w:type="dxa"/>
            <w:gridSpan w:val="7"/>
            <w:noWrap/>
            <w:hideMark/>
          </w:tcPr>
          <w:p w14:paraId="02A7FE8D" w14:textId="77777777" w:rsidR="00051297" w:rsidRPr="008452A5" w:rsidRDefault="00051297" w:rsidP="00051297">
            <w:pPr>
              <w:spacing w:line="240" w:lineRule="auto"/>
              <w:ind w:firstLine="0"/>
              <w:jc w:val="center"/>
              <w:rPr>
                <w:sz w:val="22"/>
                <w:lang w:val="en-US"/>
              </w:rPr>
            </w:pPr>
            <w:r w:rsidRPr="008452A5">
              <w:rPr>
                <w:sz w:val="22"/>
                <w:lang w:val="en-US"/>
              </w:rPr>
              <w:t>ANOVA</w:t>
            </w:r>
          </w:p>
        </w:tc>
      </w:tr>
      <w:tr w:rsidR="00051297" w:rsidRPr="008452A5" w14:paraId="1198395E" w14:textId="77777777" w:rsidTr="00B758BD">
        <w:trPr>
          <w:trHeight w:val="280"/>
          <w:jc w:val="center"/>
        </w:trPr>
        <w:tc>
          <w:tcPr>
            <w:tcW w:w="1757" w:type="dxa"/>
            <w:noWrap/>
            <w:hideMark/>
          </w:tcPr>
          <w:p w14:paraId="1CEE18D4" w14:textId="77777777" w:rsidR="00051297" w:rsidRPr="008452A5" w:rsidRDefault="00051297" w:rsidP="00051297">
            <w:pPr>
              <w:spacing w:line="240" w:lineRule="auto"/>
              <w:ind w:firstLine="0"/>
              <w:jc w:val="center"/>
              <w:rPr>
                <w:sz w:val="22"/>
                <w:lang w:val="en-US"/>
              </w:rPr>
            </w:pPr>
            <w:r w:rsidRPr="008452A5">
              <w:rPr>
                <w:sz w:val="22"/>
                <w:lang w:val="en-US"/>
              </w:rPr>
              <w:t>Source of Variation</w:t>
            </w:r>
          </w:p>
        </w:tc>
        <w:tc>
          <w:tcPr>
            <w:tcW w:w="1130" w:type="dxa"/>
            <w:noWrap/>
            <w:hideMark/>
          </w:tcPr>
          <w:p w14:paraId="753B4E28" w14:textId="77777777" w:rsidR="00051297" w:rsidRPr="008452A5" w:rsidRDefault="00051297" w:rsidP="00051297">
            <w:pPr>
              <w:spacing w:line="240" w:lineRule="auto"/>
              <w:ind w:firstLine="0"/>
              <w:jc w:val="center"/>
              <w:rPr>
                <w:sz w:val="22"/>
                <w:lang w:val="en-US"/>
              </w:rPr>
            </w:pPr>
            <w:r w:rsidRPr="008452A5">
              <w:rPr>
                <w:sz w:val="22"/>
                <w:lang w:val="en-US"/>
              </w:rPr>
              <w:t>SS</w:t>
            </w:r>
          </w:p>
        </w:tc>
        <w:tc>
          <w:tcPr>
            <w:tcW w:w="1130" w:type="dxa"/>
            <w:noWrap/>
            <w:hideMark/>
          </w:tcPr>
          <w:p w14:paraId="7F324239" w14:textId="77777777" w:rsidR="00051297" w:rsidRPr="008452A5" w:rsidRDefault="00051297" w:rsidP="00051297">
            <w:pPr>
              <w:spacing w:line="240" w:lineRule="auto"/>
              <w:ind w:firstLine="0"/>
              <w:jc w:val="center"/>
              <w:rPr>
                <w:sz w:val="22"/>
                <w:lang w:val="en-US"/>
              </w:rPr>
            </w:pPr>
            <w:r w:rsidRPr="008452A5">
              <w:rPr>
                <w:sz w:val="22"/>
                <w:lang w:val="en-US"/>
              </w:rPr>
              <w:t>df</w:t>
            </w:r>
          </w:p>
        </w:tc>
        <w:tc>
          <w:tcPr>
            <w:tcW w:w="1130" w:type="dxa"/>
            <w:noWrap/>
            <w:hideMark/>
          </w:tcPr>
          <w:p w14:paraId="462381EA" w14:textId="77777777" w:rsidR="00051297" w:rsidRPr="008452A5" w:rsidRDefault="00051297" w:rsidP="00051297">
            <w:pPr>
              <w:spacing w:line="240" w:lineRule="auto"/>
              <w:ind w:firstLine="0"/>
              <w:jc w:val="center"/>
              <w:rPr>
                <w:sz w:val="22"/>
                <w:lang w:val="en-US"/>
              </w:rPr>
            </w:pPr>
            <w:r w:rsidRPr="008452A5">
              <w:rPr>
                <w:sz w:val="22"/>
                <w:lang w:val="en-US"/>
              </w:rPr>
              <w:t>MS</w:t>
            </w:r>
          </w:p>
        </w:tc>
        <w:tc>
          <w:tcPr>
            <w:tcW w:w="1130" w:type="dxa"/>
            <w:noWrap/>
            <w:hideMark/>
          </w:tcPr>
          <w:p w14:paraId="5B3BB590" w14:textId="77777777" w:rsidR="00051297" w:rsidRPr="008452A5" w:rsidRDefault="00051297" w:rsidP="00051297">
            <w:pPr>
              <w:spacing w:line="240" w:lineRule="auto"/>
              <w:ind w:firstLine="0"/>
              <w:jc w:val="center"/>
              <w:rPr>
                <w:sz w:val="22"/>
                <w:lang w:val="en-US"/>
              </w:rPr>
            </w:pPr>
            <w:r w:rsidRPr="008452A5">
              <w:rPr>
                <w:sz w:val="22"/>
                <w:lang w:val="en-US"/>
              </w:rPr>
              <w:t>F</w:t>
            </w:r>
          </w:p>
        </w:tc>
        <w:tc>
          <w:tcPr>
            <w:tcW w:w="1008" w:type="dxa"/>
            <w:noWrap/>
            <w:hideMark/>
          </w:tcPr>
          <w:p w14:paraId="1CB14110" w14:textId="77777777" w:rsidR="00051297" w:rsidRPr="008452A5" w:rsidRDefault="00051297" w:rsidP="00051297">
            <w:pPr>
              <w:spacing w:line="240" w:lineRule="auto"/>
              <w:ind w:firstLine="0"/>
              <w:jc w:val="center"/>
              <w:rPr>
                <w:sz w:val="22"/>
                <w:lang w:val="en-US"/>
              </w:rPr>
            </w:pPr>
            <w:r w:rsidRPr="008452A5">
              <w:rPr>
                <w:sz w:val="22"/>
                <w:lang w:val="en-US"/>
              </w:rPr>
              <w:t>P-value</w:t>
            </w:r>
          </w:p>
        </w:tc>
        <w:tc>
          <w:tcPr>
            <w:tcW w:w="1130" w:type="dxa"/>
            <w:noWrap/>
            <w:hideMark/>
          </w:tcPr>
          <w:p w14:paraId="5719BDEE" w14:textId="77777777" w:rsidR="00051297" w:rsidRPr="008452A5" w:rsidRDefault="00051297" w:rsidP="00051297">
            <w:pPr>
              <w:spacing w:line="240" w:lineRule="auto"/>
              <w:ind w:firstLine="0"/>
              <w:jc w:val="center"/>
              <w:rPr>
                <w:sz w:val="22"/>
                <w:lang w:val="en-US"/>
              </w:rPr>
            </w:pPr>
            <w:r w:rsidRPr="008452A5">
              <w:rPr>
                <w:sz w:val="22"/>
                <w:lang w:val="en-US"/>
              </w:rPr>
              <w:t>F crit</w:t>
            </w:r>
          </w:p>
        </w:tc>
      </w:tr>
      <w:tr w:rsidR="00051297" w:rsidRPr="008452A5" w14:paraId="38702931" w14:textId="77777777" w:rsidTr="00B758BD">
        <w:trPr>
          <w:trHeight w:val="280"/>
          <w:jc w:val="center"/>
        </w:trPr>
        <w:tc>
          <w:tcPr>
            <w:tcW w:w="1757" w:type="dxa"/>
            <w:noWrap/>
            <w:hideMark/>
          </w:tcPr>
          <w:p w14:paraId="17DD7FD3" w14:textId="77777777" w:rsidR="00051297" w:rsidRPr="008452A5" w:rsidRDefault="00051297" w:rsidP="00051297">
            <w:pPr>
              <w:spacing w:line="240" w:lineRule="auto"/>
              <w:ind w:firstLine="0"/>
              <w:jc w:val="center"/>
              <w:rPr>
                <w:sz w:val="22"/>
                <w:lang w:val="en-US"/>
              </w:rPr>
            </w:pPr>
            <w:r w:rsidRPr="008452A5">
              <w:rPr>
                <w:sz w:val="22"/>
                <w:lang w:val="en-US"/>
              </w:rPr>
              <w:t>Between Groups</w:t>
            </w:r>
          </w:p>
        </w:tc>
        <w:tc>
          <w:tcPr>
            <w:tcW w:w="1130" w:type="dxa"/>
            <w:noWrap/>
            <w:hideMark/>
          </w:tcPr>
          <w:p w14:paraId="277D8FBB" w14:textId="77777777" w:rsidR="00051297" w:rsidRPr="008452A5" w:rsidRDefault="00051297" w:rsidP="00051297">
            <w:pPr>
              <w:spacing w:line="240" w:lineRule="auto"/>
              <w:ind w:firstLine="0"/>
              <w:jc w:val="center"/>
              <w:rPr>
                <w:sz w:val="22"/>
                <w:lang w:val="en-US"/>
              </w:rPr>
            </w:pPr>
            <w:r w:rsidRPr="008452A5">
              <w:rPr>
                <w:sz w:val="22"/>
                <w:lang w:val="en-US"/>
              </w:rPr>
              <w:t>0.322588</w:t>
            </w:r>
          </w:p>
        </w:tc>
        <w:tc>
          <w:tcPr>
            <w:tcW w:w="1130" w:type="dxa"/>
            <w:noWrap/>
            <w:hideMark/>
          </w:tcPr>
          <w:p w14:paraId="16FFB6C1" w14:textId="77777777" w:rsidR="00051297" w:rsidRPr="008452A5" w:rsidRDefault="00051297" w:rsidP="00051297">
            <w:pPr>
              <w:spacing w:line="240" w:lineRule="auto"/>
              <w:ind w:firstLine="0"/>
              <w:jc w:val="center"/>
              <w:rPr>
                <w:sz w:val="22"/>
                <w:lang w:val="en-US"/>
              </w:rPr>
            </w:pPr>
            <w:r w:rsidRPr="008452A5">
              <w:rPr>
                <w:sz w:val="22"/>
                <w:lang w:val="en-US"/>
              </w:rPr>
              <w:t>2</w:t>
            </w:r>
          </w:p>
        </w:tc>
        <w:tc>
          <w:tcPr>
            <w:tcW w:w="1130" w:type="dxa"/>
            <w:noWrap/>
            <w:hideMark/>
          </w:tcPr>
          <w:p w14:paraId="6B12B7F8" w14:textId="77777777" w:rsidR="00051297" w:rsidRPr="008452A5" w:rsidRDefault="00051297" w:rsidP="00051297">
            <w:pPr>
              <w:spacing w:line="240" w:lineRule="auto"/>
              <w:ind w:firstLine="0"/>
              <w:jc w:val="center"/>
              <w:rPr>
                <w:sz w:val="22"/>
                <w:lang w:val="en-US"/>
              </w:rPr>
            </w:pPr>
            <w:r w:rsidRPr="008452A5">
              <w:rPr>
                <w:sz w:val="22"/>
                <w:lang w:val="en-US"/>
              </w:rPr>
              <w:t>0.161294</w:t>
            </w:r>
          </w:p>
        </w:tc>
        <w:tc>
          <w:tcPr>
            <w:tcW w:w="1130" w:type="dxa"/>
            <w:noWrap/>
            <w:hideMark/>
          </w:tcPr>
          <w:p w14:paraId="4828853A" w14:textId="77777777" w:rsidR="00051297" w:rsidRPr="008452A5" w:rsidRDefault="00051297" w:rsidP="00051297">
            <w:pPr>
              <w:spacing w:line="240" w:lineRule="auto"/>
              <w:ind w:firstLine="0"/>
              <w:jc w:val="center"/>
              <w:rPr>
                <w:sz w:val="22"/>
                <w:lang w:val="en-US"/>
              </w:rPr>
            </w:pPr>
            <w:r w:rsidRPr="008452A5">
              <w:rPr>
                <w:sz w:val="22"/>
                <w:lang w:val="en-US"/>
              </w:rPr>
              <w:t>4.589306</w:t>
            </w:r>
          </w:p>
        </w:tc>
        <w:tc>
          <w:tcPr>
            <w:tcW w:w="1008" w:type="dxa"/>
            <w:noWrap/>
            <w:hideMark/>
          </w:tcPr>
          <w:p w14:paraId="558BDDB5" w14:textId="77777777" w:rsidR="00051297" w:rsidRPr="008452A5" w:rsidRDefault="00051297" w:rsidP="00051297">
            <w:pPr>
              <w:spacing w:line="240" w:lineRule="auto"/>
              <w:ind w:firstLine="0"/>
              <w:jc w:val="center"/>
              <w:rPr>
                <w:sz w:val="22"/>
                <w:lang w:val="en-US"/>
              </w:rPr>
            </w:pPr>
            <w:r w:rsidRPr="008452A5">
              <w:rPr>
                <w:sz w:val="22"/>
                <w:lang w:val="en-US"/>
              </w:rPr>
              <w:t>0.0127</w:t>
            </w:r>
          </w:p>
        </w:tc>
        <w:tc>
          <w:tcPr>
            <w:tcW w:w="1130" w:type="dxa"/>
            <w:noWrap/>
            <w:hideMark/>
          </w:tcPr>
          <w:p w14:paraId="71C54836" w14:textId="77777777" w:rsidR="00051297" w:rsidRPr="008452A5" w:rsidRDefault="00051297" w:rsidP="00051297">
            <w:pPr>
              <w:spacing w:line="240" w:lineRule="auto"/>
              <w:ind w:firstLine="0"/>
              <w:jc w:val="center"/>
              <w:rPr>
                <w:sz w:val="22"/>
                <w:lang w:val="en-US"/>
              </w:rPr>
            </w:pPr>
            <w:r w:rsidRPr="008452A5">
              <w:rPr>
                <w:sz w:val="22"/>
                <w:lang w:val="en-US"/>
              </w:rPr>
              <w:t>3.097698</w:t>
            </w:r>
          </w:p>
        </w:tc>
      </w:tr>
      <w:tr w:rsidR="00051297" w:rsidRPr="008452A5" w14:paraId="4DF6AD8C" w14:textId="77777777" w:rsidTr="00B758BD">
        <w:trPr>
          <w:trHeight w:val="280"/>
          <w:jc w:val="center"/>
        </w:trPr>
        <w:tc>
          <w:tcPr>
            <w:tcW w:w="1757" w:type="dxa"/>
            <w:noWrap/>
            <w:hideMark/>
          </w:tcPr>
          <w:p w14:paraId="41E91418" w14:textId="77777777" w:rsidR="00051297" w:rsidRPr="008452A5" w:rsidRDefault="00051297" w:rsidP="00051297">
            <w:pPr>
              <w:spacing w:line="240" w:lineRule="auto"/>
              <w:ind w:firstLine="0"/>
              <w:jc w:val="center"/>
              <w:rPr>
                <w:sz w:val="22"/>
                <w:lang w:val="en-US"/>
              </w:rPr>
            </w:pPr>
            <w:r w:rsidRPr="008452A5">
              <w:rPr>
                <w:sz w:val="22"/>
                <w:lang w:val="en-US"/>
              </w:rPr>
              <w:t>Within Groups</w:t>
            </w:r>
          </w:p>
        </w:tc>
        <w:tc>
          <w:tcPr>
            <w:tcW w:w="1130" w:type="dxa"/>
            <w:noWrap/>
            <w:hideMark/>
          </w:tcPr>
          <w:p w14:paraId="25B4A7A6" w14:textId="77777777" w:rsidR="00051297" w:rsidRPr="008452A5" w:rsidRDefault="00051297" w:rsidP="00051297">
            <w:pPr>
              <w:spacing w:line="240" w:lineRule="auto"/>
              <w:ind w:firstLine="0"/>
              <w:jc w:val="center"/>
              <w:rPr>
                <w:sz w:val="22"/>
                <w:lang w:val="en-US"/>
              </w:rPr>
            </w:pPr>
            <w:r w:rsidRPr="008452A5">
              <w:rPr>
                <w:sz w:val="22"/>
                <w:lang w:val="en-US"/>
              </w:rPr>
              <w:t>3.16311</w:t>
            </w:r>
          </w:p>
        </w:tc>
        <w:tc>
          <w:tcPr>
            <w:tcW w:w="1130" w:type="dxa"/>
            <w:noWrap/>
            <w:hideMark/>
          </w:tcPr>
          <w:p w14:paraId="1E90575C" w14:textId="77777777" w:rsidR="00051297" w:rsidRPr="008452A5" w:rsidRDefault="00051297" w:rsidP="00051297">
            <w:pPr>
              <w:spacing w:line="240" w:lineRule="auto"/>
              <w:ind w:firstLine="0"/>
              <w:jc w:val="center"/>
              <w:rPr>
                <w:sz w:val="22"/>
                <w:lang w:val="en-US"/>
              </w:rPr>
            </w:pPr>
            <w:r w:rsidRPr="008452A5">
              <w:rPr>
                <w:sz w:val="22"/>
                <w:lang w:val="en-US"/>
              </w:rPr>
              <w:t>90</w:t>
            </w:r>
          </w:p>
        </w:tc>
        <w:tc>
          <w:tcPr>
            <w:tcW w:w="1130" w:type="dxa"/>
            <w:noWrap/>
            <w:hideMark/>
          </w:tcPr>
          <w:p w14:paraId="227425E9" w14:textId="77777777" w:rsidR="00051297" w:rsidRPr="008452A5" w:rsidRDefault="00051297" w:rsidP="00051297">
            <w:pPr>
              <w:spacing w:line="240" w:lineRule="auto"/>
              <w:ind w:firstLine="0"/>
              <w:jc w:val="center"/>
              <w:rPr>
                <w:sz w:val="22"/>
                <w:lang w:val="en-US"/>
              </w:rPr>
            </w:pPr>
            <w:r w:rsidRPr="008452A5">
              <w:rPr>
                <w:sz w:val="22"/>
                <w:lang w:val="en-US"/>
              </w:rPr>
              <w:t>0.035146</w:t>
            </w:r>
          </w:p>
        </w:tc>
        <w:tc>
          <w:tcPr>
            <w:tcW w:w="1130" w:type="dxa"/>
            <w:noWrap/>
            <w:hideMark/>
          </w:tcPr>
          <w:p w14:paraId="5CDF2C0B" w14:textId="77777777" w:rsidR="00051297" w:rsidRPr="008452A5" w:rsidRDefault="00051297" w:rsidP="00051297">
            <w:pPr>
              <w:spacing w:line="240" w:lineRule="auto"/>
              <w:ind w:firstLine="0"/>
              <w:jc w:val="center"/>
              <w:rPr>
                <w:sz w:val="22"/>
                <w:lang w:val="en-US"/>
              </w:rPr>
            </w:pPr>
          </w:p>
        </w:tc>
        <w:tc>
          <w:tcPr>
            <w:tcW w:w="1008" w:type="dxa"/>
            <w:noWrap/>
            <w:hideMark/>
          </w:tcPr>
          <w:p w14:paraId="78A97803" w14:textId="77777777" w:rsidR="00051297" w:rsidRPr="008452A5" w:rsidRDefault="00051297" w:rsidP="00051297">
            <w:pPr>
              <w:spacing w:line="240" w:lineRule="auto"/>
              <w:ind w:firstLine="0"/>
              <w:jc w:val="center"/>
              <w:rPr>
                <w:sz w:val="22"/>
                <w:lang w:val="en-US"/>
              </w:rPr>
            </w:pPr>
          </w:p>
        </w:tc>
        <w:tc>
          <w:tcPr>
            <w:tcW w:w="1130" w:type="dxa"/>
            <w:noWrap/>
            <w:hideMark/>
          </w:tcPr>
          <w:p w14:paraId="186DF903" w14:textId="77777777" w:rsidR="00051297" w:rsidRPr="008452A5" w:rsidRDefault="00051297" w:rsidP="00051297">
            <w:pPr>
              <w:spacing w:line="240" w:lineRule="auto"/>
              <w:ind w:firstLine="0"/>
              <w:jc w:val="center"/>
              <w:rPr>
                <w:sz w:val="22"/>
                <w:lang w:val="en-US"/>
              </w:rPr>
            </w:pPr>
          </w:p>
        </w:tc>
      </w:tr>
      <w:tr w:rsidR="00051297" w:rsidRPr="008452A5" w14:paraId="04E56219" w14:textId="77777777" w:rsidTr="00B758BD">
        <w:trPr>
          <w:trHeight w:val="294"/>
          <w:jc w:val="center"/>
        </w:trPr>
        <w:tc>
          <w:tcPr>
            <w:tcW w:w="1757" w:type="dxa"/>
            <w:noWrap/>
            <w:hideMark/>
          </w:tcPr>
          <w:p w14:paraId="0B6CBC50" w14:textId="77777777" w:rsidR="00051297" w:rsidRPr="008452A5" w:rsidRDefault="00051297" w:rsidP="00051297">
            <w:pPr>
              <w:spacing w:line="240" w:lineRule="auto"/>
              <w:ind w:firstLine="0"/>
              <w:jc w:val="center"/>
              <w:rPr>
                <w:sz w:val="22"/>
                <w:lang w:val="en-US"/>
              </w:rPr>
            </w:pPr>
            <w:r w:rsidRPr="008452A5">
              <w:rPr>
                <w:sz w:val="22"/>
                <w:lang w:val="en-US"/>
              </w:rPr>
              <w:t>Total</w:t>
            </w:r>
          </w:p>
        </w:tc>
        <w:tc>
          <w:tcPr>
            <w:tcW w:w="1130" w:type="dxa"/>
            <w:noWrap/>
            <w:hideMark/>
          </w:tcPr>
          <w:p w14:paraId="6581047B" w14:textId="77777777" w:rsidR="00051297" w:rsidRPr="008452A5" w:rsidRDefault="00051297" w:rsidP="00051297">
            <w:pPr>
              <w:spacing w:line="240" w:lineRule="auto"/>
              <w:ind w:firstLine="0"/>
              <w:jc w:val="center"/>
              <w:rPr>
                <w:sz w:val="22"/>
                <w:lang w:val="en-US"/>
              </w:rPr>
            </w:pPr>
            <w:r w:rsidRPr="008452A5">
              <w:rPr>
                <w:sz w:val="22"/>
                <w:lang w:val="en-US"/>
              </w:rPr>
              <w:t>3.485699</w:t>
            </w:r>
          </w:p>
        </w:tc>
        <w:tc>
          <w:tcPr>
            <w:tcW w:w="1130" w:type="dxa"/>
            <w:noWrap/>
            <w:hideMark/>
          </w:tcPr>
          <w:p w14:paraId="2195BE19" w14:textId="77777777" w:rsidR="00051297" w:rsidRPr="008452A5" w:rsidRDefault="00051297" w:rsidP="00051297">
            <w:pPr>
              <w:spacing w:line="240" w:lineRule="auto"/>
              <w:ind w:firstLine="0"/>
              <w:jc w:val="center"/>
              <w:rPr>
                <w:sz w:val="22"/>
                <w:lang w:val="en-US"/>
              </w:rPr>
            </w:pPr>
            <w:r w:rsidRPr="008452A5">
              <w:rPr>
                <w:sz w:val="22"/>
                <w:lang w:val="en-US"/>
              </w:rPr>
              <w:t>92</w:t>
            </w:r>
          </w:p>
        </w:tc>
        <w:tc>
          <w:tcPr>
            <w:tcW w:w="1130" w:type="dxa"/>
            <w:noWrap/>
            <w:hideMark/>
          </w:tcPr>
          <w:p w14:paraId="08AA8FA4" w14:textId="77777777" w:rsidR="00051297" w:rsidRPr="008452A5" w:rsidRDefault="00051297" w:rsidP="00051297">
            <w:pPr>
              <w:spacing w:line="240" w:lineRule="auto"/>
              <w:ind w:firstLine="0"/>
              <w:jc w:val="center"/>
              <w:rPr>
                <w:sz w:val="22"/>
                <w:lang w:val="en-US"/>
              </w:rPr>
            </w:pPr>
            <w:r w:rsidRPr="008452A5">
              <w:rPr>
                <w:sz w:val="22"/>
                <w:lang w:val="en-US"/>
              </w:rPr>
              <w:t> </w:t>
            </w:r>
          </w:p>
        </w:tc>
        <w:tc>
          <w:tcPr>
            <w:tcW w:w="1130" w:type="dxa"/>
            <w:noWrap/>
            <w:hideMark/>
          </w:tcPr>
          <w:p w14:paraId="12552FCB" w14:textId="77777777" w:rsidR="00051297" w:rsidRPr="008452A5" w:rsidRDefault="00051297" w:rsidP="00051297">
            <w:pPr>
              <w:spacing w:line="240" w:lineRule="auto"/>
              <w:ind w:firstLine="0"/>
              <w:jc w:val="center"/>
              <w:rPr>
                <w:sz w:val="22"/>
                <w:lang w:val="en-US"/>
              </w:rPr>
            </w:pPr>
            <w:r w:rsidRPr="008452A5">
              <w:rPr>
                <w:sz w:val="22"/>
                <w:lang w:val="en-US"/>
              </w:rPr>
              <w:t> </w:t>
            </w:r>
          </w:p>
        </w:tc>
        <w:tc>
          <w:tcPr>
            <w:tcW w:w="1008" w:type="dxa"/>
            <w:noWrap/>
            <w:hideMark/>
          </w:tcPr>
          <w:p w14:paraId="69172E79" w14:textId="77777777" w:rsidR="00051297" w:rsidRPr="008452A5" w:rsidRDefault="00051297" w:rsidP="00051297">
            <w:pPr>
              <w:spacing w:line="240" w:lineRule="auto"/>
              <w:ind w:firstLine="0"/>
              <w:jc w:val="center"/>
              <w:rPr>
                <w:sz w:val="22"/>
                <w:lang w:val="en-US"/>
              </w:rPr>
            </w:pPr>
            <w:r w:rsidRPr="008452A5">
              <w:rPr>
                <w:sz w:val="22"/>
                <w:lang w:val="en-US"/>
              </w:rPr>
              <w:t> </w:t>
            </w:r>
          </w:p>
        </w:tc>
        <w:tc>
          <w:tcPr>
            <w:tcW w:w="1130" w:type="dxa"/>
            <w:noWrap/>
            <w:hideMark/>
          </w:tcPr>
          <w:p w14:paraId="395ECCD9" w14:textId="77777777" w:rsidR="00051297" w:rsidRPr="008452A5" w:rsidRDefault="00051297" w:rsidP="00051297">
            <w:pPr>
              <w:spacing w:line="240" w:lineRule="auto"/>
              <w:ind w:firstLine="0"/>
              <w:jc w:val="center"/>
              <w:rPr>
                <w:sz w:val="22"/>
                <w:lang w:val="en-US"/>
              </w:rPr>
            </w:pPr>
            <w:r w:rsidRPr="008452A5">
              <w:rPr>
                <w:sz w:val="22"/>
                <w:lang w:val="en-US"/>
              </w:rPr>
              <w:t> </w:t>
            </w:r>
          </w:p>
        </w:tc>
      </w:tr>
    </w:tbl>
    <w:p w14:paraId="6EF11493" w14:textId="77777777" w:rsidR="00051297" w:rsidRPr="00051297" w:rsidRDefault="00051297" w:rsidP="00051297">
      <w:pPr>
        <w:ind w:firstLine="0"/>
        <w:rPr>
          <w:lang w:val="en-US"/>
        </w:rPr>
      </w:pPr>
    </w:p>
    <w:p w14:paraId="31AF2DC9" w14:textId="2B77C733" w:rsidR="00051297" w:rsidRPr="00051297" w:rsidRDefault="00051297" w:rsidP="00051297">
      <w:pPr>
        <w:rPr>
          <w:lang w:val="en-US"/>
        </w:rPr>
      </w:pPr>
      <w:r w:rsidRPr="00051297">
        <w:rPr>
          <w:lang w:val="en-US"/>
        </w:rPr>
        <w:fldChar w:fldCharType="begin"/>
      </w:r>
      <w:r w:rsidRPr="00051297">
        <w:rPr>
          <w:lang w:val="en-US"/>
        </w:rPr>
        <w:instrText xml:space="preserve"> REF _Ref102342095 \h </w:instrText>
      </w:r>
      <w:r w:rsidRPr="00051297">
        <w:rPr>
          <w:lang w:val="en-US"/>
        </w:rPr>
      </w:r>
      <w:r w:rsidRPr="00051297">
        <w:rPr>
          <w:lang w:val="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16</w:t>
      </w:r>
      <w:r w:rsidRPr="00051297">
        <w:rPr>
          <w:lang w:val="en-US"/>
        </w:rPr>
        <w:fldChar w:fldCharType="end"/>
      </w:r>
      <w:r w:rsidRPr="00051297">
        <w:rPr>
          <w:lang w:val="en-US"/>
        </w:rPr>
        <w:t xml:space="preserve"> presents the ANOVA results when different operating reservoir levels were subjected to the 10 days drawdown rate.</w:t>
      </w:r>
      <w:r w:rsidRPr="0079595C">
        <w:rPr>
          <w:lang w:val="en-US"/>
        </w:rPr>
        <w:t xml:space="preserve"> </w:t>
      </w:r>
      <w:r w:rsidRPr="00051297">
        <w:rPr>
          <w:lang w:val="en-US"/>
        </w:rPr>
        <w:t>From the 10 days drawdown rate, it can be observed that a p-value of 0.0247 was retrieved from the combination of 10 days drawdown rate and the different operating water levels. Still, the obtained p-value is less than 0.05, indicating that the differences in factor of safety values between the investigated operating levels and instantaneous drawdown rate were statistically significant.</w:t>
      </w:r>
    </w:p>
    <w:p w14:paraId="287C3E87" w14:textId="3E013514" w:rsidR="00051297" w:rsidRPr="00051297" w:rsidRDefault="00051297" w:rsidP="00051297">
      <w:pPr>
        <w:rPr>
          <w:lang w:val="en-US"/>
        </w:rPr>
      </w:pPr>
      <w:bookmarkStart w:id="1484" w:name="_Ref102342095"/>
      <w:bookmarkStart w:id="1485" w:name="_Toc103544271"/>
      <w:bookmarkStart w:id="1486" w:name="_Toc104985597"/>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16</w:t>
      </w:r>
      <w:r w:rsidRPr="00051297">
        <w:rPr>
          <w:lang w:val="en-US"/>
        </w:rPr>
        <w:fldChar w:fldCharType="end"/>
      </w:r>
      <w:bookmarkEnd w:id="1484"/>
      <w:r w:rsidRPr="00051297">
        <w:rPr>
          <w:lang w:val="en-US"/>
        </w:rPr>
        <w:t xml:space="preserve"> ANOVA results from different operating reservoir levels under 10 days drawdown rate</w:t>
      </w:r>
      <w:bookmarkEnd w:id="1485"/>
      <w:bookmarkEnd w:id="1486"/>
    </w:p>
    <w:tbl>
      <w:tblPr>
        <w:tblStyle w:val="a8"/>
        <w:tblW w:w="0" w:type="auto"/>
        <w:jc w:val="center"/>
        <w:tblLook w:val="04A0" w:firstRow="1" w:lastRow="0" w:firstColumn="1" w:lastColumn="0" w:noHBand="0" w:noVBand="1"/>
      </w:tblPr>
      <w:tblGrid>
        <w:gridCol w:w="1730"/>
        <w:gridCol w:w="1112"/>
        <w:gridCol w:w="1112"/>
        <w:gridCol w:w="1112"/>
        <w:gridCol w:w="1112"/>
        <w:gridCol w:w="1112"/>
        <w:gridCol w:w="1117"/>
      </w:tblGrid>
      <w:tr w:rsidR="00051297" w:rsidRPr="008452A5" w14:paraId="240D86D2" w14:textId="77777777" w:rsidTr="00B758BD">
        <w:trPr>
          <w:trHeight w:val="268"/>
          <w:jc w:val="center"/>
        </w:trPr>
        <w:tc>
          <w:tcPr>
            <w:tcW w:w="8407" w:type="dxa"/>
            <w:gridSpan w:val="7"/>
            <w:noWrap/>
            <w:hideMark/>
          </w:tcPr>
          <w:p w14:paraId="417797F6" w14:textId="77777777" w:rsidR="00051297" w:rsidRPr="008452A5" w:rsidRDefault="00051297" w:rsidP="00051297">
            <w:pPr>
              <w:spacing w:line="240" w:lineRule="auto"/>
              <w:ind w:firstLine="0"/>
              <w:jc w:val="center"/>
              <w:rPr>
                <w:sz w:val="22"/>
                <w:lang w:val="en-US"/>
              </w:rPr>
            </w:pPr>
            <w:r w:rsidRPr="008452A5">
              <w:rPr>
                <w:sz w:val="22"/>
                <w:lang w:val="en-US"/>
              </w:rPr>
              <w:t>ANOVA: Single Factor</w:t>
            </w:r>
          </w:p>
        </w:tc>
      </w:tr>
      <w:tr w:rsidR="00051297" w:rsidRPr="008452A5" w14:paraId="4E299A1B" w14:textId="77777777" w:rsidTr="00B758BD">
        <w:trPr>
          <w:trHeight w:val="282"/>
          <w:jc w:val="center"/>
        </w:trPr>
        <w:tc>
          <w:tcPr>
            <w:tcW w:w="8407" w:type="dxa"/>
            <w:gridSpan w:val="7"/>
            <w:noWrap/>
            <w:hideMark/>
          </w:tcPr>
          <w:p w14:paraId="35F9E096" w14:textId="77777777" w:rsidR="00051297" w:rsidRPr="008452A5" w:rsidRDefault="00051297" w:rsidP="00051297">
            <w:pPr>
              <w:spacing w:line="240" w:lineRule="auto"/>
              <w:ind w:firstLine="0"/>
              <w:jc w:val="center"/>
              <w:rPr>
                <w:sz w:val="22"/>
                <w:lang w:val="en-US"/>
              </w:rPr>
            </w:pPr>
            <w:r w:rsidRPr="008452A5">
              <w:rPr>
                <w:sz w:val="22"/>
                <w:lang w:val="en-US"/>
              </w:rPr>
              <w:t>SUMMARY</w:t>
            </w:r>
          </w:p>
        </w:tc>
      </w:tr>
      <w:tr w:rsidR="00051297" w:rsidRPr="008452A5" w14:paraId="32C1D245" w14:textId="77777777" w:rsidTr="00B758BD">
        <w:trPr>
          <w:trHeight w:val="268"/>
          <w:jc w:val="center"/>
        </w:trPr>
        <w:tc>
          <w:tcPr>
            <w:tcW w:w="1730" w:type="dxa"/>
            <w:noWrap/>
            <w:hideMark/>
          </w:tcPr>
          <w:p w14:paraId="2D09DFD1" w14:textId="77777777" w:rsidR="00051297" w:rsidRPr="008452A5" w:rsidRDefault="00051297" w:rsidP="00051297">
            <w:pPr>
              <w:spacing w:line="240" w:lineRule="auto"/>
              <w:ind w:firstLine="0"/>
              <w:jc w:val="center"/>
              <w:rPr>
                <w:sz w:val="22"/>
                <w:lang w:val="en-US"/>
              </w:rPr>
            </w:pPr>
            <w:r w:rsidRPr="008452A5">
              <w:rPr>
                <w:sz w:val="22"/>
                <w:lang w:val="en-US"/>
              </w:rPr>
              <w:t>Groups</w:t>
            </w:r>
          </w:p>
        </w:tc>
        <w:tc>
          <w:tcPr>
            <w:tcW w:w="1112" w:type="dxa"/>
            <w:noWrap/>
            <w:hideMark/>
          </w:tcPr>
          <w:p w14:paraId="6EDC1EE1" w14:textId="77777777" w:rsidR="00051297" w:rsidRPr="008452A5" w:rsidRDefault="00051297" w:rsidP="00051297">
            <w:pPr>
              <w:spacing w:line="240" w:lineRule="auto"/>
              <w:ind w:firstLine="0"/>
              <w:jc w:val="center"/>
              <w:rPr>
                <w:sz w:val="22"/>
                <w:lang w:val="en-US"/>
              </w:rPr>
            </w:pPr>
            <w:r w:rsidRPr="008452A5">
              <w:rPr>
                <w:sz w:val="22"/>
                <w:lang w:val="en-US"/>
              </w:rPr>
              <w:t>Count</w:t>
            </w:r>
          </w:p>
        </w:tc>
        <w:tc>
          <w:tcPr>
            <w:tcW w:w="1112" w:type="dxa"/>
            <w:noWrap/>
            <w:hideMark/>
          </w:tcPr>
          <w:p w14:paraId="0D99824C" w14:textId="77777777" w:rsidR="00051297" w:rsidRPr="008452A5" w:rsidRDefault="00051297" w:rsidP="00051297">
            <w:pPr>
              <w:spacing w:line="240" w:lineRule="auto"/>
              <w:ind w:firstLine="0"/>
              <w:jc w:val="center"/>
              <w:rPr>
                <w:sz w:val="22"/>
                <w:lang w:val="en-US"/>
              </w:rPr>
            </w:pPr>
            <w:r w:rsidRPr="008452A5">
              <w:rPr>
                <w:sz w:val="22"/>
                <w:lang w:val="en-US"/>
              </w:rPr>
              <w:t>Sum</w:t>
            </w:r>
          </w:p>
        </w:tc>
        <w:tc>
          <w:tcPr>
            <w:tcW w:w="1112" w:type="dxa"/>
            <w:noWrap/>
            <w:hideMark/>
          </w:tcPr>
          <w:p w14:paraId="55284818" w14:textId="77777777" w:rsidR="00051297" w:rsidRPr="008452A5" w:rsidRDefault="00051297" w:rsidP="00051297">
            <w:pPr>
              <w:spacing w:line="240" w:lineRule="auto"/>
              <w:ind w:firstLine="0"/>
              <w:jc w:val="center"/>
              <w:rPr>
                <w:sz w:val="22"/>
                <w:lang w:val="en-US"/>
              </w:rPr>
            </w:pPr>
            <w:r w:rsidRPr="008452A5">
              <w:rPr>
                <w:sz w:val="22"/>
                <w:lang w:val="en-US"/>
              </w:rPr>
              <w:t>Average</w:t>
            </w:r>
          </w:p>
        </w:tc>
        <w:tc>
          <w:tcPr>
            <w:tcW w:w="3338" w:type="dxa"/>
            <w:gridSpan w:val="3"/>
            <w:noWrap/>
            <w:hideMark/>
          </w:tcPr>
          <w:p w14:paraId="05629A30" w14:textId="77777777" w:rsidR="00051297" w:rsidRPr="008452A5" w:rsidRDefault="00051297" w:rsidP="00051297">
            <w:pPr>
              <w:spacing w:line="240" w:lineRule="auto"/>
              <w:ind w:firstLine="0"/>
              <w:jc w:val="center"/>
              <w:rPr>
                <w:sz w:val="22"/>
                <w:lang w:val="en-US"/>
              </w:rPr>
            </w:pPr>
            <w:r w:rsidRPr="008452A5">
              <w:rPr>
                <w:sz w:val="22"/>
                <w:lang w:val="en-US"/>
              </w:rPr>
              <w:t>Variance</w:t>
            </w:r>
          </w:p>
        </w:tc>
      </w:tr>
      <w:tr w:rsidR="00051297" w:rsidRPr="008452A5" w14:paraId="71A3D7AB" w14:textId="77777777" w:rsidTr="00B758BD">
        <w:trPr>
          <w:trHeight w:val="268"/>
          <w:jc w:val="center"/>
        </w:trPr>
        <w:tc>
          <w:tcPr>
            <w:tcW w:w="1730" w:type="dxa"/>
            <w:noWrap/>
            <w:hideMark/>
          </w:tcPr>
          <w:p w14:paraId="50AC68B2" w14:textId="77777777" w:rsidR="00051297" w:rsidRPr="008452A5" w:rsidRDefault="00051297" w:rsidP="00051297">
            <w:pPr>
              <w:spacing w:line="240" w:lineRule="auto"/>
              <w:ind w:firstLine="0"/>
              <w:jc w:val="center"/>
              <w:rPr>
                <w:sz w:val="22"/>
                <w:lang w:val="en-US"/>
              </w:rPr>
            </w:pPr>
            <w:r w:rsidRPr="008452A5">
              <w:rPr>
                <w:sz w:val="22"/>
                <w:lang w:val="en-US"/>
              </w:rPr>
              <w:t>Normal</w:t>
            </w:r>
          </w:p>
        </w:tc>
        <w:tc>
          <w:tcPr>
            <w:tcW w:w="1112" w:type="dxa"/>
            <w:noWrap/>
            <w:hideMark/>
          </w:tcPr>
          <w:p w14:paraId="01396762" w14:textId="77777777" w:rsidR="00051297" w:rsidRPr="008452A5" w:rsidRDefault="00051297" w:rsidP="00051297">
            <w:pPr>
              <w:spacing w:line="240" w:lineRule="auto"/>
              <w:ind w:firstLine="0"/>
              <w:jc w:val="center"/>
              <w:rPr>
                <w:sz w:val="22"/>
                <w:lang w:val="en-US"/>
              </w:rPr>
            </w:pPr>
            <w:r w:rsidRPr="008452A5">
              <w:rPr>
                <w:sz w:val="22"/>
                <w:lang w:val="en-US"/>
              </w:rPr>
              <w:t>31</w:t>
            </w:r>
          </w:p>
        </w:tc>
        <w:tc>
          <w:tcPr>
            <w:tcW w:w="1112" w:type="dxa"/>
            <w:noWrap/>
            <w:hideMark/>
          </w:tcPr>
          <w:p w14:paraId="123FD19A" w14:textId="77777777" w:rsidR="00051297" w:rsidRPr="008452A5" w:rsidRDefault="00051297" w:rsidP="00051297">
            <w:pPr>
              <w:spacing w:line="240" w:lineRule="auto"/>
              <w:ind w:firstLine="0"/>
              <w:jc w:val="center"/>
              <w:rPr>
                <w:sz w:val="22"/>
                <w:lang w:val="en-US"/>
              </w:rPr>
            </w:pPr>
            <w:r w:rsidRPr="008452A5">
              <w:rPr>
                <w:sz w:val="22"/>
                <w:lang w:val="en-US"/>
              </w:rPr>
              <w:t>50.5886</w:t>
            </w:r>
          </w:p>
        </w:tc>
        <w:tc>
          <w:tcPr>
            <w:tcW w:w="1112" w:type="dxa"/>
            <w:noWrap/>
            <w:hideMark/>
          </w:tcPr>
          <w:p w14:paraId="3558C0DC" w14:textId="77777777" w:rsidR="00051297" w:rsidRPr="008452A5" w:rsidRDefault="00051297" w:rsidP="00051297">
            <w:pPr>
              <w:spacing w:line="240" w:lineRule="auto"/>
              <w:ind w:firstLine="0"/>
              <w:jc w:val="center"/>
              <w:rPr>
                <w:sz w:val="22"/>
                <w:lang w:val="en-US"/>
              </w:rPr>
            </w:pPr>
            <w:r w:rsidRPr="008452A5">
              <w:rPr>
                <w:sz w:val="22"/>
                <w:lang w:val="en-US"/>
              </w:rPr>
              <w:t>1.63189</w:t>
            </w:r>
          </w:p>
        </w:tc>
        <w:tc>
          <w:tcPr>
            <w:tcW w:w="3338" w:type="dxa"/>
            <w:gridSpan w:val="3"/>
            <w:noWrap/>
            <w:hideMark/>
          </w:tcPr>
          <w:p w14:paraId="28EB9AF1" w14:textId="77777777" w:rsidR="00051297" w:rsidRPr="008452A5" w:rsidRDefault="00051297" w:rsidP="00051297">
            <w:pPr>
              <w:spacing w:line="240" w:lineRule="auto"/>
              <w:ind w:firstLine="0"/>
              <w:jc w:val="center"/>
              <w:rPr>
                <w:sz w:val="22"/>
                <w:lang w:val="en-US"/>
              </w:rPr>
            </w:pPr>
            <w:r w:rsidRPr="008452A5">
              <w:rPr>
                <w:sz w:val="22"/>
                <w:lang w:val="en-US"/>
              </w:rPr>
              <w:t>0.053649</w:t>
            </w:r>
          </w:p>
        </w:tc>
      </w:tr>
      <w:tr w:rsidR="00051297" w:rsidRPr="008452A5" w14:paraId="320EFA2B" w14:textId="77777777" w:rsidTr="00B758BD">
        <w:trPr>
          <w:trHeight w:val="268"/>
          <w:jc w:val="center"/>
        </w:trPr>
        <w:tc>
          <w:tcPr>
            <w:tcW w:w="1730" w:type="dxa"/>
            <w:noWrap/>
            <w:hideMark/>
          </w:tcPr>
          <w:p w14:paraId="3595A196" w14:textId="77777777" w:rsidR="00051297" w:rsidRPr="008452A5" w:rsidRDefault="00051297" w:rsidP="00051297">
            <w:pPr>
              <w:spacing w:line="240" w:lineRule="auto"/>
              <w:ind w:firstLine="0"/>
              <w:jc w:val="center"/>
              <w:rPr>
                <w:sz w:val="22"/>
                <w:lang w:val="en-US"/>
              </w:rPr>
            </w:pPr>
            <w:r w:rsidRPr="008452A5">
              <w:rPr>
                <w:sz w:val="22"/>
                <w:lang w:val="en-US"/>
              </w:rPr>
              <w:t>Reduced</w:t>
            </w:r>
          </w:p>
        </w:tc>
        <w:tc>
          <w:tcPr>
            <w:tcW w:w="1112" w:type="dxa"/>
            <w:noWrap/>
            <w:hideMark/>
          </w:tcPr>
          <w:p w14:paraId="4864CD49" w14:textId="77777777" w:rsidR="00051297" w:rsidRPr="008452A5" w:rsidRDefault="00051297" w:rsidP="00051297">
            <w:pPr>
              <w:spacing w:line="240" w:lineRule="auto"/>
              <w:ind w:firstLine="0"/>
              <w:jc w:val="center"/>
              <w:rPr>
                <w:sz w:val="22"/>
                <w:lang w:val="en-US"/>
              </w:rPr>
            </w:pPr>
            <w:r w:rsidRPr="008452A5">
              <w:rPr>
                <w:sz w:val="22"/>
                <w:lang w:val="en-US"/>
              </w:rPr>
              <w:t>31</w:t>
            </w:r>
          </w:p>
        </w:tc>
        <w:tc>
          <w:tcPr>
            <w:tcW w:w="1112" w:type="dxa"/>
            <w:noWrap/>
            <w:hideMark/>
          </w:tcPr>
          <w:p w14:paraId="5E244288" w14:textId="77777777" w:rsidR="00051297" w:rsidRPr="008452A5" w:rsidRDefault="00051297" w:rsidP="00051297">
            <w:pPr>
              <w:spacing w:line="240" w:lineRule="auto"/>
              <w:ind w:firstLine="0"/>
              <w:jc w:val="center"/>
              <w:rPr>
                <w:sz w:val="22"/>
                <w:lang w:val="en-US"/>
              </w:rPr>
            </w:pPr>
            <w:r w:rsidRPr="008452A5">
              <w:rPr>
                <w:sz w:val="22"/>
                <w:lang w:val="en-US"/>
              </w:rPr>
              <w:t>46.0159</w:t>
            </w:r>
          </w:p>
        </w:tc>
        <w:tc>
          <w:tcPr>
            <w:tcW w:w="1112" w:type="dxa"/>
            <w:noWrap/>
            <w:hideMark/>
          </w:tcPr>
          <w:p w14:paraId="30195385" w14:textId="77777777" w:rsidR="00051297" w:rsidRPr="008452A5" w:rsidRDefault="00051297" w:rsidP="00051297">
            <w:pPr>
              <w:spacing w:line="240" w:lineRule="auto"/>
              <w:ind w:firstLine="0"/>
              <w:jc w:val="center"/>
              <w:rPr>
                <w:sz w:val="22"/>
                <w:lang w:val="en-US"/>
              </w:rPr>
            </w:pPr>
            <w:r w:rsidRPr="008452A5">
              <w:rPr>
                <w:sz w:val="22"/>
                <w:lang w:val="en-US"/>
              </w:rPr>
              <w:t>1.484384</w:t>
            </w:r>
          </w:p>
        </w:tc>
        <w:tc>
          <w:tcPr>
            <w:tcW w:w="3338" w:type="dxa"/>
            <w:gridSpan w:val="3"/>
            <w:noWrap/>
            <w:hideMark/>
          </w:tcPr>
          <w:p w14:paraId="56A5CF4F" w14:textId="77777777" w:rsidR="00051297" w:rsidRPr="008452A5" w:rsidRDefault="00051297" w:rsidP="00051297">
            <w:pPr>
              <w:spacing w:line="240" w:lineRule="auto"/>
              <w:ind w:firstLine="0"/>
              <w:jc w:val="center"/>
              <w:rPr>
                <w:sz w:val="22"/>
                <w:lang w:val="en-US"/>
              </w:rPr>
            </w:pPr>
            <w:r w:rsidRPr="008452A5">
              <w:rPr>
                <w:sz w:val="22"/>
                <w:lang w:val="en-US"/>
              </w:rPr>
              <w:t>0.007959</w:t>
            </w:r>
          </w:p>
        </w:tc>
      </w:tr>
      <w:tr w:rsidR="00051297" w:rsidRPr="008452A5" w14:paraId="09540F5F" w14:textId="77777777" w:rsidTr="00B758BD">
        <w:trPr>
          <w:trHeight w:val="282"/>
          <w:jc w:val="center"/>
        </w:trPr>
        <w:tc>
          <w:tcPr>
            <w:tcW w:w="1730" w:type="dxa"/>
            <w:noWrap/>
            <w:hideMark/>
          </w:tcPr>
          <w:p w14:paraId="03A00FC1" w14:textId="77777777" w:rsidR="00051297" w:rsidRPr="008452A5" w:rsidRDefault="00051297" w:rsidP="00051297">
            <w:pPr>
              <w:spacing w:line="240" w:lineRule="auto"/>
              <w:ind w:firstLine="0"/>
              <w:jc w:val="center"/>
              <w:rPr>
                <w:sz w:val="22"/>
                <w:lang w:val="en-US"/>
              </w:rPr>
            </w:pPr>
            <w:r w:rsidRPr="008452A5">
              <w:rPr>
                <w:sz w:val="22"/>
                <w:lang w:val="en-US"/>
              </w:rPr>
              <w:t>Embankment</w:t>
            </w:r>
          </w:p>
        </w:tc>
        <w:tc>
          <w:tcPr>
            <w:tcW w:w="1112" w:type="dxa"/>
            <w:noWrap/>
            <w:hideMark/>
          </w:tcPr>
          <w:p w14:paraId="2E890135" w14:textId="77777777" w:rsidR="00051297" w:rsidRPr="008452A5" w:rsidRDefault="00051297" w:rsidP="00051297">
            <w:pPr>
              <w:spacing w:line="240" w:lineRule="auto"/>
              <w:ind w:firstLine="0"/>
              <w:jc w:val="center"/>
              <w:rPr>
                <w:sz w:val="22"/>
                <w:lang w:val="en-US"/>
              </w:rPr>
            </w:pPr>
            <w:r w:rsidRPr="008452A5">
              <w:rPr>
                <w:sz w:val="22"/>
                <w:lang w:val="en-US"/>
              </w:rPr>
              <w:t>31</w:t>
            </w:r>
          </w:p>
        </w:tc>
        <w:tc>
          <w:tcPr>
            <w:tcW w:w="1112" w:type="dxa"/>
            <w:noWrap/>
            <w:hideMark/>
          </w:tcPr>
          <w:p w14:paraId="59001A88" w14:textId="77777777" w:rsidR="00051297" w:rsidRPr="008452A5" w:rsidRDefault="00051297" w:rsidP="00051297">
            <w:pPr>
              <w:spacing w:line="240" w:lineRule="auto"/>
              <w:ind w:firstLine="0"/>
              <w:jc w:val="center"/>
              <w:rPr>
                <w:sz w:val="22"/>
                <w:lang w:val="en-US"/>
              </w:rPr>
            </w:pPr>
            <w:r w:rsidRPr="008452A5">
              <w:rPr>
                <w:sz w:val="22"/>
                <w:lang w:val="en-US"/>
              </w:rPr>
              <w:t>48.08922</w:t>
            </w:r>
          </w:p>
        </w:tc>
        <w:tc>
          <w:tcPr>
            <w:tcW w:w="1112" w:type="dxa"/>
            <w:noWrap/>
            <w:hideMark/>
          </w:tcPr>
          <w:p w14:paraId="7406A9CC" w14:textId="77777777" w:rsidR="00051297" w:rsidRPr="008452A5" w:rsidRDefault="00051297" w:rsidP="00051297">
            <w:pPr>
              <w:spacing w:line="240" w:lineRule="auto"/>
              <w:ind w:firstLine="0"/>
              <w:jc w:val="center"/>
              <w:rPr>
                <w:sz w:val="22"/>
                <w:lang w:val="en-US"/>
              </w:rPr>
            </w:pPr>
            <w:r w:rsidRPr="008452A5">
              <w:rPr>
                <w:sz w:val="22"/>
                <w:lang w:val="en-US"/>
              </w:rPr>
              <w:t>1.551265</w:t>
            </w:r>
          </w:p>
        </w:tc>
        <w:tc>
          <w:tcPr>
            <w:tcW w:w="3338" w:type="dxa"/>
            <w:gridSpan w:val="3"/>
            <w:noWrap/>
            <w:hideMark/>
          </w:tcPr>
          <w:p w14:paraId="3EACE182" w14:textId="77777777" w:rsidR="00051297" w:rsidRPr="008452A5" w:rsidRDefault="00051297" w:rsidP="00051297">
            <w:pPr>
              <w:spacing w:line="240" w:lineRule="auto"/>
              <w:ind w:firstLine="0"/>
              <w:jc w:val="center"/>
              <w:rPr>
                <w:sz w:val="22"/>
                <w:lang w:val="en-US"/>
              </w:rPr>
            </w:pPr>
            <w:r w:rsidRPr="008452A5">
              <w:rPr>
                <w:sz w:val="22"/>
                <w:lang w:val="en-US"/>
              </w:rPr>
              <w:t>0.069913</w:t>
            </w:r>
          </w:p>
        </w:tc>
      </w:tr>
      <w:tr w:rsidR="00051297" w:rsidRPr="008452A5" w14:paraId="07F56529" w14:textId="77777777" w:rsidTr="00B758BD">
        <w:trPr>
          <w:trHeight w:val="282"/>
          <w:jc w:val="center"/>
        </w:trPr>
        <w:tc>
          <w:tcPr>
            <w:tcW w:w="8407" w:type="dxa"/>
            <w:gridSpan w:val="7"/>
            <w:noWrap/>
            <w:hideMark/>
          </w:tcPr>
          <w:p w14:paraId="78DE6C80" w14:textId="77777777" w:rsidR="00051297" w:rsidRPr="008452A5" w:rsidRDefault="00051297" w:rsidP="00051297">
            <w:pPr>
              <w:spacing w:line="240" w:lineRule="auto"/>
              <w:ind w:firstLine="0"/>
              <w:jc w:val="center"/>
              <w:rPr>
                <w:sz w:val="22"/>
                <w:lang w:val="en-US"/>
              </w:rPr>
            </w:pPr>
            <w:r w:rsidRPr="008452A5">
              <w:rPr>
                <w:sz w:val="22"/>
                <w:lang w:val="en-US"/>
              </w:rPr>
              <w:t>ANOVA</w:t>
            </w:r>
          </w:p>
        </w:tc>
      </w:tr>
      <w:tr w:rsidR="00051297" w:rsidRPr="008452A5" w14:paraId="2633FF97" w14:textId="77777777" w:rsidTr="00B758BD">
        <w:trPr>
          <w:trHeight w:val="268"/>
          <w:jc w:val="center"/>
        </w:trPr>
        <w:tc>
          <w:tcPr>
            <w:tcW w:w="1730" w:type="dxa"/>
            <w:noWrap/>
            <w:hideMark/>
          </w:tcPr>
          <w:p w14:paraId="6C3696B5" w14:textId="77777777" w:rsidR="00051297" w:rsidRPr="008452A5" w:rsidRDefault="00051297" w:rsidP="00051297">
            <w:pPr>
              <w:spacing w:line="240" w:lineRule="auto"/>
              <w:ind w:firstLine="0"/>
              <w:jc w:val="center"/>
              <w:rPr>
                <w:sz w:val="22"/>
                <w:lang w:val="en-US"/>
              </w:rPr>
            </w:pPr>
            <w:r w:rsidRPr="008452A5">
              <w:rPr>
                <w:sz w:val="22"/>
                <w:lang w:val="en-US"/>
              </w:rPr>
              <w:t>Source of Variation</w:t>
            </w:r>
          </w:p>
        </w:tc>
        <w:tc>
          <w:tcPr>
            <w:tcW w:w="1112" w:type="dxa"/>
            <w:noWrap/>
            <w:hideMark/>
          </w:tcPr>
          <w:p w14:paraId="05407C2B" w14:textId="77777777" w:rsidR="00051297" w:rsidRPr="008452A5" w:rsidRDefault="00051297" w:rsidP="00051297">
            <w:pPr>
              <w:spacing w:line="240" w:lineRule="auto"/>
              <w:ind w:firstLine="0"/>
              <w:jc w:val="center"/>
              <w:rPr>
                <w:sz w:val="22"/>
                <w:lang w:val="en-US"/>
              </w:rPr>
            </w:pPr>
            <w:r w:rsidRPr="008452A5">
              <w:rPr>
                <w:sz w:val="22"/>
                <w:lang w:val="en-US"/>
              </w:rPr>
              <w:t>SS</w:t>
            </w:r>
          </w:p>
        </w:tc>
        <w:tc>
          <w:tcPr>
            <w:tcW w:w="1112" w:type="dxa"/>
            <w:noWrap/>
            <w:hideMark/>
          </w:tcPr>
          <w:p w14:paraId="15E82C01" w14:textId="77777777" w:rsidR="00051297" w:rsidRPr="008452A5" w:rsidRDefault="00051297" w:rsidP="00051297">
            <w:pPr>
              <w:spacing w:line="240" w:lineRule="auto"/>
              <w:ind w:firstLine="0"/>
              <w:jc w:val="center"/>
              <w:rPr>
                <w:sz w:val="22"/>
                <w:lang w:val="en-US"/>
              </w:rPr>
            </w:pPr>
            <w:r w:rsidRPr="008452A5">
              <w:rPr>
                <w:sz w:val="22"/>
                <w:lang w:val="en-US"/>
              </w:rPr>
              <w:t>df</w:t>
            </w:r>
          </w:p>
        </w:tc>
        <w:tc>
          <w:tcPr>
            <w:tcW w:w="1112" w:type="dxa"/>
            <w:noWrap/>
            <w:hideMark/>
          </w:tcPr>
          <w:p w14:paraId="06ECE68D" w14:textId="77777777" w:rsidR="00051297" w:rsidRPr="008452A5" w:rsidRDefault="00051297" w:rsidP="00051297">
            <w:pPr>
              <w:spacing w:line="240" w:lineRule="auto"/>
              <w:ind w:firstLine="0"/>
              <w:jc w:val="center"/>
              <w:rPr>
                <w:sz w:val="22"/>
                <w:lang w:val="en-US"/>
              </w:rPr>
            </w:pPr>
            <w:r w:rsidRPr="008452A5">
              <w:rPr>
                <w:sz w:val="22"/>
                <w:lang w:val="en-US"/>
              </w:rPr>
              <w:t>MS</w:t>
            </w:r>
          </w:p>
        </w:tc>
        <w:tc>
          <w:tcPr>
            <w:tcW w:w="1112" w:type="dxa"/>
            <w:noWrap/>
            <w:hideMark/>
          </w:tcPr>
          <w:p w14:paraId="49556DF0" w14:textId="77777777" w:rsidR="00051297" w:rsidRPr="008452A5" w:rsidRDefault="00051297" w:rsidP="00051297">
            <w:pPr>
              <w:spacing w:line="240" w:lineRule="auto"/>
              <w:ind w:firstLine="0"/>
              <w:jc w:val="center"/>
              <w:rPr>
                <w:sz w:val="22"/>
                <w:lang w:val="en-US"/>
              </w:rPr>
            </w:pPr>
            <w:r w:rsidRPr="008452A5">
              <w:rPr>
                <w:sz w:val="22"/>
                <w:lang w:val="en-US"/>
              </w:rPr>
              <w:t>F</w:t>
            </w:r>
          </w:p>
        </w:tc>
        <w:tc>
          <w:tcPr>
            <w:tcW w:w="1112" w:type="dxa"/>
            <w:noWrap/>
            <w:hideMark/>
          </w:tcPr>
          <w:p w14:paraId="6D676B4C" w14:textId="77777777" w:rsidR="00051297" w:rsidRPr="008452A5" w:rsidRDefault="00051297" w:rsidP="00051297">
            <w:pPr>
              <w:spacing w:line="240" w:lineRule="auto"/>
              <w:ind w:firstLine="0"/>
              <w:jc w:val="center"/>
              <w:rPr>
                <w:sz w:val="22"/>
                <w:lang w:val="en-US"/>
              </w:rPr>
            </w:pPr>
            <w:r w:rsidRPr="008452A5">
              <w:rPr>
                <w:sz w:val="22"/>
                <w:lang w:val="en-US"/>
              </w:rPr>
              <w:t>P-value</w:t>
            </w:r>
          </w:p>
        </w:tc>
        <w:tc>
          <w:tcPr>
            <w:tcW w:w="1112" w:type="dxa"/>
            <w:noWrap/>
            <w:hideMark/>
          </w:tcPr>
          <w:p w14:paraId="338C3E04" w14:textId="77777777" w:rsidR="00051297" w:rsidRPr="008452A5" w:rsidRDefault="00051297" w:rsidP="00051297">
            <w:pPr>
              <w:spacing w:line="240" w:lineRule="auto"/>
              <w:ind w:firstLine="0"/>
              <w:jc w:val="center"/>
              <w:rPr>
                <w:sz w:val="22"/>
                <w:lang w:val="en-US"/>
              </w:rPr>
            </w:pPr>
            <w:r w:rsidRPr="008452A5">
              <w:rPr>
                <w:sz w:val="22"/>
                <w:lang w:val="en-US"/>
              </w:rPr>
              <w:t>F crit</w:t>
            </w:r>
          </w:p>
        </w:tc>
      </w:tr>
      <w:tr w:rsidR="00051297" w:rsidRPr="008452A5" w14:paraId="0DA03B9D" w14:textId="77777777" w:rsidTr="00B758BD">
        <w:trPr>
          <w:trHeight w:val="268"/>
          <w:jc w:val="center"/>
        </w:trPr>
        <w:tc>
          <w:tcPr>
            <w:tcW w:w="1730" w:type="dxa"/>
            <w:noWrap/>
            <w:hideMark/>
          </w:tcPr>
          <w:p w14:paraId="33E0F90E" w14:textId="77777777" w:rsidR="00051297" w:rsidRPr="008452A5" w:rsidRDefault="00051297" w:rsidP="00051297">
            <w:pPr>
              <w:spacing w:line="240" w:lineRule="auto"/>
              <w:ind w:firstLine="0"/>
              <w:jc w:val="center"/>
              <w:rPr>
                <w:sz w:val="22"/>
                <w:lang w:val="en-US"/>
              </w:rPr>
            </w:pPr>
            <w:r w:rsidRPr="008452A5">
              <w:rPr>
                <w:sz w:val="22"/>
                <w:lang w:val="en-US"/>
              </w:rPr>
              <w:t>Between Groups</w:t>
            </w:r>
          </w:p>
        </w:tc>
        <w:tc>
          <w:tcPr>
            <w:tcW w:w="1112" w:type="dxa"/>
            <w:noWrap/>
            <w:hideMark/>
          </w:tcPr>
          <w:p w14:paraId="58BF6693" w14:textId="77777777" w:rsidR="00051297" w:rsidRPr="008452A5" w:rsidRDefault="00051297" w:rsidP="00051297">
            <w:pPr>
              <w:spacing w:line="240" w:lineRule="auto"/>
              <w:ind w:firstLine="0"/>
              <w:jc w:val="center"/>
              <w:rPr>
                <w:sz w:val="22"/>
                <w:lang w:val="en-US"/>
              </w:rPr>
            </w:pPr>
            <w:r w:rsidRPr="008452A5">
              <w:rPr>
                <w:sz w:val="22"/>
                <w:lang w:val="en-US"/>
              </w:rPr>
              <w:t>0.338228</w:t>
            </w:r>
          </w:p>
        </w:tc>
        <w:tc>
          <w:tcPr>
            <w:tcW w:w="1112" w:type="dxa"/>
            <w:noWrap/>
            <w:hideMark/>
          </w:tcPr>
          <w:p w14:paraId="41CF0319" w14:textId="77777777" w:rsidR="00051297" w:rsidRPr="008452A5" w:rsidRDefault="00051297" w:rsidP="00051297">
            <w:pPr>
              <w:spacing w:line="240" w:lineRule="auto"/>
              <w:ind w:firstLine="0"/>
              <w:jc w:val="center"/>
              <w:rPr>
                <w:sz w:val="22"/>
                <w:lang w:val="en-US"/>
              </w:rPr>
            </w:pPr>
            <w:r w:rsidRPr="008452A5">
              <w:rPr>
                <w:sz w:val="22"/>
                <w:lang w:val="en-US"/>
              </w:rPr>
              <w:t>2</w:t>
            </w:r>
          </w:p>
        </w:tc>
        <w:tc>
          <w:tcPr>
            <w:tcW w:w="1112" w:type="dxa"/>
            <w:noWrap/>
            <w:hideMark/>
          </w:tcPr>
          <w:p w14:paraId="3DB6ACED" w14:textId="77777777" w:rsidR="00051297" w:rsidRPr="008452A5" w:rsidRDefault="00051297" w:rsidP="00051297">
            <w:pPr>
              <w:spacing w:line="240" w:lineRule="auto"/>
              <w:ind w:firstLine="0"/>
              <w:jc w:val="center"/>
              <w:rPr>
                <w:sz w:val="22"/>
                <w:lang w:val="en-US"/>
              </w:rPr>
            </w:pPr>
            <w:r w:rsidRPr="008452A5">
              <w:rPr>
                <w:sz w:val="22"/>
                <w:lang w:val="en-US"/>
              </w:rPr>
              <w:t>0.169114</w:t>
            </w:r>
          </w:p>
        </w:tc>
        <w:tc>
          <w:tcPr>
            <w:tcW w:w="1112" w:type="dxa"/>
            <w:noWrap/>
            <w:hideMark/>
          </w:tcPr>
          <w:p w14:paraId="2414C795" w14:textId="77777777" w:rsidR="00051297" w:rsidRPr="008452A5" w:rsidRDefault="00051297" w:rsidP="00051297">
            <w:pPr>
              <w:spacing w:line="240" w:lineRule="auto"/>
              <w:ind w:firstLine="0"/>
              <w:jc w:val="center"/>
              <w:rPr>
                <w:sz w:val="22"/>
                <w:lang w:val="en-US"/>
              </w:rPr>
            </w:pPr>
            <w:r w:rsidRPr="008452A5">
              <w:rPr>
                <w:sz w:val="22"/>
                <w:lang w:val="en-US"/>
              </w:rPr>
              <w:t>3.857478</w:t>
            </w:r>
          </w:p>
        </w:tc>
        <w:tc>
          <w:tcPr>
            <w:tcW w:w="1112" w:type="dxa"/>
            <w:noWrap/>
            <w:hideMark/>
          </w:tcPr>
          <w:p w14:paraId="4C395D8B" w14:textId="77777777" w:rsidR="00051297" w:rsidRPr="008452A5" w:rsidRDefault="00051297" w:rsidP="00051297">
            <w:pPr>
              <w:spacing w:line="240" w:lineRule="auto"/>
              <w:ind w:firstLine="0"/>
              <w:jc w:val="center"/>
              <w:rPr>
                <w:sz w:val="22"/>
                <w:lang w:val="en-US"/>
              </w:rPr>
            </w:pPr>
            <w:r w:rsidRPr="008452A5">
              <w:rPr>
                <w:sz w:val="22"/>
                <w:lang w:val="en-US"/>
              </w:rPr>
              <w:t>0.0247</w:t>
            </w:r>
          </w:p>
        </w:tc>
        <w:tc>
          <w:tcPr>
            <w:tcW w:w="1112" w:type="dxa"/>
            <w:noWrap/>
            <w:hideMark/>
          </w:tcPr>
          <w:p w14:paraId="4FC68319" w14:textId="77777777" w:rsidR="00051297" w:rsidRPr="008452A5" w:rsidRDefault="00051297" w:rsidP="00051297">
            <w:pPr>
              <w:spacing w:line="240" w:lineRule="auto"/>
              <w:ind w:firstLine="0"/>
              <w:jc w:val="center"/>
              <w:rPr>
                <w:sz w:val="22"/>
                <w:lang w:val="en-US"/>
              </w:rPr>
            </w:pPr>
            <w:r w:rsidRPr="008452A5">
              <w:rPr>
                <w:sz w:val="22"/>
                <w:lang w:val="en-US"/>
              </w:rPr>
              <w:t>3.097698</w:t>
            </w:r>
          </w:p>
        </w:tc>
      </w:tr>
      <w:tr w:rsidR="00051297" w:rsidRPr="008452A5" w14:paraId="3DE0104F" w14:textId="77777777" w:rsidTr="00B758BD">
        <w:trPr>
          <w:trHeight w:val="268"/>
          <w:jc w:val="center"/>
        </w:trPr>
        <w:tc>
          <w:tcPr>
            <w:tcW w:w="1730" w:type="dxa"/>
            <w:noWrap/>
            <w:hideMark/>
          </w:tcPr>
          <w:p w14:paraId="571BAE3B" w14:textId="77777777" w:rsidR="00051297" w:rsidRPr="008452A5" w:rsidRDefault="00051297" w:rsidP="00051297">
            <w:pPr>
              <w:spacing w:line="240" w:lineRule="auto"/>
              <w:ind w:firstLine="0"/>
              <w:jc w:val="center"/>
              <w:rPr>
                <w:sz w:val="22"/>
                <w:lang w:val="en-US"/>
              </w:rPr>
            </w:pPr>
            <w:r w:rsidRPr="008452A5">
              <w:rPr>
                <w:sz w:val="22"/>
                <w:lang w:val="en-US"/>
              </w:rPr>
              <w:t>Within Groups</w:t>
            </w:r>
          </w:p>
        </w:tc>
        <w:tc>
          <w:tcPr>
            <w:tcW w:w="1112" w:type="dxa"/>
            <w:noWrap/>
            <w:hideMark/>
          </w:tcPr>
          <w:p w14:paraId="5BF7F01D" w14:textId="77777777" w:rsidR="00051297" w:rsidRPr="008452A5" w:rsidRDefault="00051297" w:rsidP="00051297">
            <w:pPr>
              <w:spacing w:line="240" w:lineRule="auto"/>
              <w:ind w:firstLine="0"/>
              <w:jc w:val="center"/>
              <w:rPr>
                <w:sz w:val="22"/>
                <w:lang w:val="en-US"/>
              </w:rPr>
            </w:pPr>
            <w:r w:rsidRPr="008452A5">
              <w:rPr>
                <w:sz w:val="22"/>
                <w:lang w:val="en-US"/>
              </w:rPr>
              <w:t>3.945646</w:t>
            </w:r>
          </w:p>
        </w:tc>
        <w:tc>
          <w:tcPr>
            <w:tcW w:w="1112" w:type="dxa"/>
            <w:noWrap/>
            <w:hideMark/>
          </w:tcPr>
          <w:p w14:paraId="51C36AD7" w14:textId="77777777" w:rsidR="00051297" w:rsidRPr="008452A5" w:rsidRDefault="00051297" w:rsidP="00051297">
            <w:pPr>
              <w:spacing w:line="240" w:lineRule="auto"/>
              <w:ind w:firstLine="0"/>
              <w:jc w:val="center"/>
              <w:rPr>
                <w:sz w:val="22"/>
                <w:lang w:val="en-US"/>
              </w:rPr>
            </w:pPr>
            <w:r w:rsidRPr="008452A5">
              <w:rPr>
                <w:sz w:val="22"/>
                <w:lang w:val="en-US"/>
              </w:rPr>
              <w:t>90</w:t>
            </w:r>
          </w:p>
        </w:tc>
        <w:tc>
          <w:tcPr>
            <w:tcW w:w="1112" w:type="dxa"/>
            <w:noWrap/>
            <w:hideMark/>
          </w:tcPr>
          <w:p w14:paraId="50E69FEF" w14:textId="77777777" w:rsidR="00051297" w:rsidRPr="008452A5" w:rsidRDefault="00051297" w:rsidP="00051297">
            <w:pPr>
              <w:spacing w:line="240" w:lineRule="auto"/>
              <w:ind w:firstLine="0"/>
              <w:jc w:val="center"/>
              <w:rPr>
                <w:sz w:val="22"/>
                <w:lang w:val="en-US"/>
              </w:rPr>
            </w:pPr>
            <w:r w:rsidRPr="008452A5">
              <w:rPr>
                <w:sz w:val="22"/>
                <w:lang w:val="en-US"/>
              </w:rPr>
              <w:t>0.043841</w:t>
            </w:r>
          </w:p>
        </w:tc>
        <w:tc>
          <w:tcPr>
            <w:tcW w:w="1112" w:type="dxa"/>
            <w:noWrap/>
            <w:hideMark/>
          </w:tcPr>
          <w:p w14:paraId="3A9267E5" w14:textId="77777777" w:rsidR="00051297" w:rsidRPr="008452A5" w:rsidRDefault="00051297" w:rsidP="00051297">
            <w:pPr>
              <w:spacing w:line="240" w:lineRule="auto"/>
              <w:ind w:firstLine="0"/>
              <w:jc w:val="center"/>
              <w:rPr>
                <w:sz w:val="22"/>
                <w:lang w:val="en-US"/>
              </w:rPr>
            </w:pPr>
          </w:p>
        </w:tc>
        <w:tc>
          <w:tcPr>
            <w:tcW w:w="1112" w:type="dxa"/>
            <w:noWrap/>
            <w:hideMark/>
          </w:tcPr>
          <w:p w14:paraId="1DA88E64" w14:textId="77777777" w:rsidR="00051297" w:rsidRPr="008452A5" w:rsidRDefault="00051297" w:rsidP="00051297">
            <w:pPr>
              <w:spacing w:line="240" w:lineRule="auto"/>
              <w:ind w:firstLine="0"/>
              <w:jc w:val="center"/>
              <w:rPr>
                <w:sz w:val="22"/>
                <w:lang w:val="en-US"/>
              </w:rPr>
            </w:pPr>
          </w:p>
        </w:tc>
        <w:tc>
          <w:tcPr>
            <w:tcW w:w="1112" w:type="dxa"/>
            <w:noWrap/>
            <w:hideMark/>
          </w:tcPr>
          <w:p w14:paraId="666B4FC4" w14:textId="77777777" w:rsidR="00051297" w:rsidRPr="008452A5" w:rsidRDefault="00051297" w:rsidP="00051297">
            <w:pPr>
              <w:spacing w:line="240" w:lineRule="auto"/>
              <w:ind w:firstLine="0"/>
              <w:jc w:val="center"/>
              <w:rPr>
                <w:sz w:val="22"/>
                <w:lang w:val="en-US"/>
              </w:rPr>
            </w:pPr>
          </w:p>
        </w:tc>
      </w:tr>
      <w:tr w:rsidR="00051297" w:rsidRPr="008452A5" w14:paraId="3B7CF57E" w14:textId="77777777" w:rsidTr="00B758BD">
        <w:trPr>
          <w:trHeight w:val="282"/>
          <w:jc w:val="center"/>
        </w:trPr>
        <w:tc>
          <w:tcPr>
            <w:tcW w:w="1730" w:type="dxa"/>
            <w:noWrap/>
            <w:hideMark/>
          </w:tcPr>
          <w:p w14:paraId="57DE7513" w14:textId="77777777" w:rsidR="00051297" w:rsidRPr="008452A5" w:rsidRDefault="00051297" w:rsidP="00051297">
            <w:pPr>
              <w:spacing w:line="240" w:lineRule="auto"/>
              <w:ind w:firstLine="0"/>
              <w:jc w:val="center"/>
              <w:rPr>
                <w:sz w:val="22"/>
                <w:lang w:val="en-US"/>
              </w:rPr>
            </w:pPr>
            <w:r w:rsidRPr="008452A5">
              <w:rPr>
                <w:sz w:val="22"/>
                <w:lang w:val="en-US"/>
              </w:rPr>
              <w:t>Total</w:t>
            </w:r>
          </w:p>
        </w:tc>
        <w:tc>
          <w:tcPr>
            <w:tcW w:w="1112" w:type="dxa"/>
            <w:noWrap/>
            <w:hideMark/>
          </w:tcPr>
          <w:p w14:paraId="0C3E3398" w14:textId="77777777" w:rsidR="00051297" w:rsidRPr="008452A5" w:rsidRDefault="00051297" w:rsidP="00051297">
            <w:pPr>
              <w:spacing w:line="240" w:lineRule="auto"/>
              <w:ind w:firstLine="0"/>
              <w:jc w:val="center"/>
              <w:rPr>
                <w:sz w:val="22"/>
                <w:lang w:val="en-US"/>
              </w:rPr>
            </w:pPr>
            <w:r w:rsidRPr="008452A5">
              <w:rPr>
                <w:sz w:val="22"/>
                <w:lang w:val="en-US"/>
              </w:rPr>
              <w:t>4.283874</w:t>
            </w:r>
          </w:p>
        </w:tc>
        <w:tc>
          <w:tcPr>
            <w:tcW w:w="1112" w:type="dxa"/>
            <w:noWrap/>
            <w:hideMark/>
          </w:tcPr>
          <w:p w14:paraId="494E11F4" w14:textId="77777777" w:rsidR="00051297" w:rsidRPr="008452A5" w:rsidRDefault="00051297" w:rsidP="00051297">
            <w:pPr>
              <w:spacing w:line="240" w:lineRule="auto"/>
              <w:ind w:firstLine="0"/>
              <w:jc w:val="center"/>
              <w:rPr>
                <w:sz w:val="22"/>
                <w:lang w:val="en-US"/>
              </w:rPr>
            </w:pPr>
            <w:r w:rsidRPr="008452A5">
              <w:rPr>
                <w:sz w:val="22"/>
                <w:lang w:val="en-US"/>
              </w:rPr>
              <w:t>92</w:t>
            </w:r>
          </w:p>
        </w:tc>
        <w:tc>
          <w:tcPr>
            <w:tcW w:w="1112" w:type="dxa"/>
            <w:noWrap/>
            <w:hideMark/>
          </w:tcPr>
          <w:p w14:paraId="53139F45" w14:textId="77777777" w:rsidR="00051297" w:rsidRPr="008452A5" w:rsidRDefault="00051297" w:rsidP="00051297">
            <w:pPr>
              <w:spacing w:line="240" w:lineRule="auto"/>
              <w:ind w:firstLine="0"/>
              <w:jc w:val="center"/>
              <w:rPr>
                <w:sz w:val="22"/>
                <w:lang w:val="en-US"/>
              </w:rPr>
            </w:pPr>
            <w:r w:rsidRPr="008452A5">
              <w:rPr>
                <w:sz w:val="22"/>
                <w:lang w:val="en-US"/>
              </w:rPr>
              <w:t> </w:t>
            </w:r>
          </w:p>
        </w:tc>
        <w:tc>
          <w:tcPr>
            <w:tcW w:w="1112" w:type="dxa"/>
            <w:noWrap/>
            <w:hideMark/>
          </w:tcPr>
          <w:p w14:paraId="32D20DE8" w14:textId="77777777" w:rsidR="00051297" w:rsidRPr="008452A5" w:rsidRDefault="00051297" w:rsidP="00051297">
            <w:pPr>
              <w:spacing w:line="240" w:lineRule="auto"/>
              <w:ind w:firstLine="0"/>
              <w:jc w:val="center"/>
              <w:rPr>
                <w:sz w:val="22"/>
                <w:lang w:val="en-US"/>
              </w:rPr>
            </w:pPr>
            <w:r w:rsidRPr="008452A5">
              <w:rPr>
                <w:sz w:val="22"/>
                <w:lang w:val="en-US"/>
              </w:rPr>
              <w:t> </w:t>
            </w:r>
          </w:p>
        </w:tc>
        <w:tc>
          <w:tcPr>
            <w:tcW w:w="1112" w:type="dxa"/>
            <w:noWrap/>
            <w:hideMark/>
          </w:tcPr>
          <w:p w14:paraId="3F6C5014" w14:textId="77777777" w:rsidR="00051297" w:rsidRPr="008452A5" w:rsidRDefault="00051297" w:rsidP="00051297">
            <w:pPr>
              <w:spacing w:line="240" w:lineRule="auto"/>
              <w:ind w:firstLine="0"/>
              <w:jc w:val="center"/>
              <w:rPr>
                <w:sz w:val="22"/>
                <w:lang w:val="en-US"/>
              </w:rPr>
            </w:pPr>
            <w:r w:rsidRPr="008452A5">
              <w:rPr>
                <w:sz w:val="22"/>
                <w:lang w:val="en-US"/>
              </w:rPr>
              <w:t> </w:t>
            </w:r>
          </w:p>
        </w:tc>
        <w:tc>
          <w:tcPr>
            <w:tcW w:w="1112" w:type="dxa"/>
            <w:noWrap/>
            <w:hideMark/>
          </w:tcPr>
          <w:p w14:paraId="3948DE17" w14:textId="77777777" w:rsidR="00051297" w:rsidRPr="008452A5" w:rsidRDefault="00051297" w:rsidP="00051297">
            <w:pPr>
              <w:spacing w:line="240" w:lineRule="auto"/>
              <w:ind w:firstLine="0"/>
              <w:jc w:val="center"/>
              <w:rPr>
                <w:sz w:val="22"/>
                <w:lang w:val="en-US"/>
              </w:rPr>
            </w:pPr>
            <w:r w:rsidRPr="008452A5">
              <w:rPr>
                <w:sz w:val="22"/>
                <w:lang w:val="en-US"/>
              </w:rPr>
              <w:t> </w:t>
            </w:r>
          </w:p>
        </w:tc>
      </w:tr>
    </w:tbl>
    <w:p w14:paraId="6B25D352" w14:textId="4186839F" w:rsidR="00051297" w:rsidRPr="00051297" w:rsidRDefault="00051297" w:rsidP="00051297">
      <w:pPr>
        <w:rPr>
          <w:lang w:val="en-US"/>
        </w:rPr>
      </w:pPr>
      <w:r w:rsidRPr="00051297">
        <w:rPr>
          <w:lang w:val="en-US"/>
        </w:rPr>
        <w:lastRenderedPageBreak/>
        <w:fldChar w:fldCharType="begin"/>
      </w:r>
      <w:r w:rsidRPr="00051297">
        <w:rPr>
          <w:lang w:val="en-US"/>
        </w:rPr>
        <w:instrText xml:space="preserve"> REF _Ref102342130 \h </w:instrText>
      </w:r>
      <w:r w:rsidRPr="00051297">
        <w:rPr>
          <w:lang w:val="en-US"/>
        </w:rPr>
      </w:r>
      <w:r w:rsidRPr="00051297">
        <w:rPr>
          <w:lang w:val="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17</w:t>
      </w:r>
      <w:r w:rsidRPr="00051297">
        <w:rPr>
          <w:lang w:val="en-US"/>
        </w:rPr>
        <w:fldChar w:fldCharType="end"/>
      </w:r>
      <w:r w:rsidRPr="00051297">
        <w:rPr>
          <w:lang w:val="en-US"/>
        </w:rPr>
        <w:t xml:space="preserve"> presents the ANOVA results when different operating reservoir levels were subjected to the 1 m per day drawdown rate.</w:t>
      </w:r>
      <w:r w:rsidRPr="0079595C">
        <w:rPr>
          <w:lang w:val="en-US"/>
        </w:rPr>
        <w:t xml:space="preserve"> </w:t>
      </w:r>
      <w:r w:rsidRPr="00051297">
        <w:rPr>
          <w:lang w:val="en-US"/>
        </w:rPr>
        <w:t>The combination of the 1 m per day days drawdown rate and the varying operating water levels yielded a p-value of 0.00268. Nonetheless, the p-value obtained was less than 0.05, indicating that the variations in factor of safety values between the tested operating levels and instantaneous drawdown rate were statistically significant.</w:t>
      </w:r>
    </w:p>
    <w:p w14:paraId="2528CF80" w14:textId="187EBDF2" w:rsidR="00051297" w:rsidRPr="00051297" w:rsidRDefault="00051297" w:rsidP="00051297">
      <w:pPr>
        <w:rPr>
          <w:lang w:val="en-US"/>
        </w:rPr>
      </w:pPr>
      <w:bookmarkStart w:id="1487" w:name="_Ref102342130"/>
      <w:bookmarkStart w:id="1488" w:name="_Toc103544272"/>
      <w:bookmarkStart w:id="1489" w:name="_Toc104985598"/>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17</w:t>
      </w:r>
      <w:r w:rsidRPr="00051297">
        <w:rPr>
          <w:lang w:val="en-US"/>
        </w:rPr>
        <w:fldChar w:fldCharType="end"/>
      </w:r>
      <w:bookmarkEnd w:id="1487"/>
      <w:r w:rsidRPr="00051297">
        <w:rPr>
          <w:lang w:val="en-US"/>
        </w:rPr>
        <w:t xml:space="preserve"> ANOVA results from different operating reservoir levels under 1 m per day drawdown rate</w:t>
      </w:r>
      <w:bookmarkEnd w:id="1488"/>
      <w:bookmarkEnd w:id="1489"/>
    </w:p>
    <w:tbl>
      <w:tblPr>
        <w:tblStyle w:val="a8"/>
        <w:tblW w:w="0" w:type="auto"/>
        <w:jc w:val="center"/>
        <w:tblLook w:val="04A0" w:firstRow="1" w:lastRow="0" w:firstColumn="1" w:lastColumn="0" w:noHBand="0" w:noVBand="1"/>
      </w:tblPr>
      <w:tblGrid>
        <w:gridCol w:w="1737"/>
        <w:gridCol w:w="1117"/>
        <w:gridCol w:w="1117"/>
        <w:gridCol w:w="1117"/>
        <w:gridCol w:w="1117"/>
        <w:gridCol w:w="1117"/>
        <w:gridCol w:w="1120"/>
      </w:tblGrid>
      <w:tr w:rsidR="00051297" w:rsidRPr="008452A5" w14:paraId="7374652D" w14:textId="77777777" w:rsidTr="00B758BD">
        <w:trPr>
          <w:trHeight w:val="268"/>
          <w:jc w:val="center"/>
        </w:trPr>
        <w:tc>
          <w:tcPr>
            <w:tcW w:w="8442" w:type="dxa"/>
            <w:gridSpan w:val="7"/>
            <w:noWrap/>
            <w:hideMark/>
          </w:tcPr>
          <w:p w14:paraId="29AD2BC1" w14:textId="77777777" w:rsidR="00051297" w:rsidRPr="008452A5" w:rsidRDefault="00051297" w:rsidP="00051297">
            <w:pPr>
              <w:spacing w:line="240" w:lineRule="auto"/>
              <w:ind w:firstLine="0"/>
              <w:jc w:val="center"/>
              <w:rPr>
                <w:sz w:val="22"/>
                <w:lang w:val="en-US"/>
              </w:rPr>
            </w:pPr>
            <w:r w:rsidRPr="008452A5">
              <w:rPr>
                <w:sz w:val="22"/>
                <w:lang w:val="en-US"/>
              </w:rPr>
              <w:t>ANOVA: Single Factor</w:t>
            </w:r>
          </w:p>
        </w:tc>
      </w:tr>
      <w:tr w:rsidR="00051297" w:rsidRPr="008452A5" w14:paraId="4B9F3233" w14:textId="77777777" w:rsidTr="00B758BD">
        <w:trPr>
          <w:trHeight w:val="282"/>
          <w:jc w:val="center"/>
        </w:trPr>
        <w:tc>
          <w:tcPr>
            <w:tcW w:w="8442" w:type="dxa"/>
            <w:gridSpan w:val="7"/>
            <w:noWrap/>
            <w:hideMark/>
          </w:tcPr>
          <w:p w14:paraId="535A55EC" w14:textId="77777777" w:rsidR="00051297" w:rsidRPr="008452A5" w:rsidRDefault="00051297" w:rsidP="00051297">
            <w:pPr>
              <w:spacing w:line="240" w:lineRule="auto"/>
              <w:ind w:firstLine="0"/>
              <w:jc w:val="center"/>
              <w:rPr>
                <w:sz w:val="22"/>
                <w:lang w:val="en-US"/>
              </w:rPr>
            </w:pPr>
            <w:r w:rsidRPr="008452A5">
              <w:rPr>
                <w:sz w:val="22"/>
                <w:lang w:val="en-US"/>
              </w:rPr>
              <w:t>SUMMARY</w:t>
            </w:r>
          </w:p>
        </w:tc>
      </w:tr>
      <w:tr w:rsidR="00051297" w:rsidRPr="008452A5" w14:paraId="286B936D" w14:textId="77777777" w:rsidTr="00B758BD">
        <w:trPr>
          <w:trHeight w:val="268"/>
          <w:jc w:val="center"/>
        </w:trPr>
        <w:tc>
          <w:tcPr>
            <w:tcW w:w="1737" w:type="dxa"/>
            <w:noWrap/>
            <w:hideMark/>
          </w:tcPr>
          <w:p w14:paraId="3555A4D9" w14:textId="77777777" w:rsidR="00051297" w:rsidRPr="008452A5" w:rsidRDefault="00051297" w:rsidP="00051297">
            <w:pPr>
              <w:spacing w:line="240" w:lineRule="auto"/>
              <w:ind w:firstLine="0"/>
              <w:jc w:val="center"/>
              <w:rPr>
                <w:sz w:val="22"/>
                <w:lang w:val="en-US"/>
              </w:rPr>
            </w:pPr>
            <w:r w:rsidRPr="008452A5">
              <w:rPr>
                <w:sz w:val="22"/>
                <w:lang w:val="en-US"/>
              </w:rPr>
              <w:t>Groups</w:t>
            </w:r>
          </w:p>
        </w:tc>
        <w:tc>
          <w:tcPr>
            <w:tcW w:w="1117" w:type="dxa"/>
            <w:noWrap/>
            <w:hideMark/>
          </w:tcPr>
          <w:p w14:paraId="31A1D5E6" w14:textId="77777777" w:rsidR="00051297" w:rsidRPr="008452A5" w:rsidRDefault="00051297" w:rsidP="00051297">
            <w:pPr>
              <w:spacing w:line="240" w:lineRule="auto"/>
              <w:ind w:firstLine="0"/>
              <w:jc w:val="center"/>
              <w:rPr>
                <w:sz w:val="22"/>
                <w:lang w:val="en-US"/>
              </w:rPr>
            </w:pPr>
            <w:r w:rsidRPr="008452A5">
              <w:rPr>
                <w:sz w:val="22"/>
                <w:lang w:val="en-US"/>
              </w:rPr>
              <w:t>Count</w:t>
            </w:r>
          </w:p>
        </w:tc>
        <w:tc>
          <w:tcPr>
            <w:tcW w:w="1117" w:type="dxa"/>
            <w:noWrap/>
            <w:hideMark/>
          </w:tcPr>
          <w:p w14:paraId="2897B3D2" w14:textId="77777777" w:rsidR="00051297" w:rsidRPr="008452A5" w:rsidRDefault="00051297" w:rsidP="00051297">
            <w:pPr>
              <w:spacing w:line="240" w:lineRule="auto"/>
              <w:ind w:firstLine="0"/>
              <w:jc w:val="center"/>
              <w:rPr>
                <w:sz w:val="22"/>
                <w:lang w:val="en-US"/>
              </w:rPr>
            </w:pPr>
            <w:r w:rsidRPr="008452A5">
              <w:rPr>
                <w:sz w:val="22"/>
                <w:lang w:val="en-US"/>
              </w:rPr>
              <w:t>Sum</w:t>
            </w:r>
          </w:p>
        </w:tc>
        <w:tc>
          <w:tcPr>
            <w:tcW w:w="1117" w:type="dxa"/>
            <w:noWrap/>
            <w:hideMark/>
          </w:tcPr>
          <w:p w14:paraId="5EDA3BE8" w14:textId="77777777" w:rsidR="00051297" w:rsidRPr="008452A5" w:rsidRDefault="00051297" w:rsidP="00051297">
            <w:pPr>
              <w:spacing w:line="240" w:lineRule="auto"/>
              <w:ind w:firstLine="0"/>
              <w:jc w:val="center"/>
              <w:rPr>
                <w:sz w:val="22"/>
                <w:lang w:val="en-US"/>
              </w:rPr>
            </w:pPr>
            <w:r w:rsidRPr="008452A5">
              <w:rPr>
                <w:sz w:val="22"/>
                <w:lang w:val="en-US"/>
              </w:rPr>
              <w:t>Average</w:t>
            </w:r>
          </w:p>
        </w:tc>
        <w:tc>
          <w:tcPr>
            <w:tcW w:w="3352" w:type="dxa"/>
            <w:gridSpan w:val="3"/>
            <w:noWrap/>
            <w:hideMark/>
          </w:tcPr>
          <w:p w14:paraId="75390B18" w14:textId="77777777" w:rsidR="00051297" w:rsidRPr="008452A5" w:rsidRDefault="00051297" w:rsidP="00051297">
            <w:pPr>
              <w:spacing w:line="240" w:lineRule="auto"/>
              <w:ind w:firstLine="0"/>
              <w:jc w:val="center"/>
              <w:rPr>
                <w:sz w:val="22"/>
                <w:lang w:val="en-US"/>
              </w:rPr>
            </w:pPr>
            <w:r w:rsidRPr="008452A5">
              <w:rPr>
                <w:sz w:val="22"/>
                <w:lang w:val="en-US"/>
              </w:rPr>
              <w:t>Variance</w:t>
            </w:r>
          </w:p>
        </w:tc>
      </w:tr>
      <w:tr w:rsidR="00051297" w:rsidRPr="008452A5" w14:paraId="76E9D801" w14:textId="77777777" w:rsidTr="00B758BD">
        <w:trPr>
          <w:trHeight w:val="268"/>
          <w:jc w:val="center"/>
        </w:trPr>
        <w:tc>
          <w:tcPr>
            <w:tcW w:w="1737" w:type="dxa"/>
            <w:noWrap/>
            <w:hideMark/>
          </w:tcPr>
          <w:p w14:paraId="4203923E" w14:textId="77777777" w:rsidR="00051297" w:rsidRPr="008452A5" w:rsidRDefault="00051297" w:rsidP="00051297">
            <w:pPr>
              <w:spacing w:line="240" w:lineRule="auto"/>
              <w:ind w:firstLine="0"/>
              <w:jc w:val="center"/>
              <w:rPr>
                <w:sz w:val="22"/>
                <w:lang w:val="en-US"/>
              </w:rPr>
            </w:pPr>
            <w:r w:rsidRPr="008452A5">
              <w:rPr>
                <w:sz w:val="22"/>
                <w:lang w:val="en-US"/>
              </w:rPr>
              <w:t>Normal</w:t>
            </w:r>
          </w:p>
        </w:tc>
        <w:tc>
          <w:tcPr>
            <w:tcW w:w="1117" w:type="dxa"/>
            <w:noWrap/>
            <w:hideMark/>
          </w:tcPr>
          <w:p w14:paraId="1E0E1F9B" w14:textId="77777777" w:rsidR="00051297" w:rsidRPr="008452A5" w:rsidRDefault="00051297" w:rsidP="00051297">
            <w:pPr>
              <w:spacing w:line="240" w:lineRule="auto"/>
              <w:ind w:firstLine="0"/>
              <w:jc w:val="center"/>
              <w:rPr>
                <w:sz w:val="22"/>
                <w:lang w:val="en-US"/>
              </w:rPr>
            </w:pPr>
            <w:r w:rsidRPr="008452A5">
              <w:rPr>
                <w:sz w:val="22"/>
                <w:lang w:val="en-US"/>
              </w:rPr>
              <w:t>31</w:t>
            </w:r>
          </w:p>
        </w:tc>
        <w:tc>
          <w:tcPr>
            <w:tcW w:w="1117" w:type="dxa"/>
            <w:noWrap/>
            <w:hideMark/>
          </w:tcPr>
          <w:p w14:paraId="1EDF30F0" w14:textId="77777777" w:rsidR="00051297" w:rsidRPr="008452A5" w:rsidRDefault="00051297" w:rsidP="00051297">
            <w:pPr>
              <w:spacing w:line="240" w:lineRule="auto"/>
              <w:ind w:firstLine="0"/>
              <w:jc w:val="center"/>
              <w:rPr>
                <w:sz w:val="22"/>
                <w:lang w:val="en-US"/>
              </w:rPr>
            </w:pPr>
            <w:r w:rsidRPr="008452A5">
              <w:rPr>
                <w:sz w:val="22"/>
                <w:lang w:val="en-US"/>
              </w:rPr>
              <w:t>52.44189</w:t>
            </w:r>
          </w:p>
        </w:tc>
        <w:tc>
          <w:tcPr>
            <w:tcW w:w="1117" w:type="dxa"/>
            <w:noWrap/>
            <w:hideMark/>
          </w:tcPr>
          <w:p w14:paraId="7365206E" w14:textId="77777777" w:rsidR="00051297" w:rsidRPr="008452A5" w:rsidRDefault="00051297" w:rsidP="00051297">
            <w:pPr>
              <w:spacing w:line="240" w:lineRule="auto"/>
              <w:ind w:firstLine="0"/>
              <w:jc w:val="center"/>
              <w:rPr>
                <w:sz w:val="22"/>
                <w:lang w:val="en-US"/>
              </w:rPr>
            </w:pPr>
            <w:r w:rsidRPr="008452A5">
              <w:rPr>
                <w:sz w:val="22"/>
                <w:lang w:val="en-US"/>
              </w:rPr>
              <w:t>1.691674</w:t>
            </w:r>
          </w:p>
        </w:tc>
        <w:tc>
          <w:tcPr>
            <w:tcW w:w="3352" w:type="dxa"/>
            <w:gridSpan w:val="3"/>
            <w:noWrap/>
            <w:hideMark/>
          </w:tcPr>
          <w:p w14:paraId="099A137A" w14:textId="77777777" w:rsidR="00051297" w:rsidRPr="008452A5" w:rsidRDefault="00051297" w:rsidP="00051297">
            <w:pPr>
              <w:spacing w:line="240" w:lineRule="auto"/>
              <w:ind w:firstLine="0"/>
              <w:jc w:val="center"/>
              <w:rPr>
                <w:sz w:val="22"/>
                <w:lang w:val="en-US"/>
              </w:rPr>
            </w:pPr>
            <w:r w:rsidRPr="008452A5">
              <w:rPr>
                <w:sz w:val="22"/>
                <w:lang w:val="en-US"/>
              </w:rPr>
              <w:t>0.076134</w:t>
            </w:r>
          </w:p>
        </w:tc>
      </w:tr>
      <w:tr w:rsidR="00051297" w:rsidRPr="008452A5" w14:paraId="068186AB" w14:textId="77777777" w:rsidTr="00B758BD">
        <w:trPr>
          <w:trHeight w:val="268"/>
          <w:jc w:val="center"/>
        </w:trPr>
        <w:tc>
          <w:tcPr>
            <w:tcW w:w="1737" w:type="dxa"/>
            <w:noWrap/>
            <w:hideMark/>
          </w:tcPr>
          <w:p w14:paraId="04109068" w14:textId="77777777" w:rsidR="00051297" w:rsidRPr="008452A5" w:rsidRDefault="00051297" w:rsidP="00051297">
            <w:pPr>
              <w:spacing w:line="240" w:lineRule="auto"/>
              <w:ind w:firstLine="0"/>
              <w:jc w:val="center"/>
              <w:rPr>
                <w:sz w:val="22"/>
                <w:lang w:val="en-US"/>
              </w:rPr>
            </w:pPr>
            <w:r w:rsidRPr="008452A5">
              <w:rPr>
                <w:sz w:val="22"/>
                <w:lang w:val="en-US"/>
              </w:rPr>
              <w:t>Reduced</w:t>
            </w:r>
          </w:p>
        </w:tc>
        <w:tc>
          <w:tcPr>
            <w:tcW w:w="1117" w:type="dxa"/>
            <w:noWrap/>
            <w:hideMark/>
          </w:tcPr>
          <w:p w14:paraId="0A80AAF2" w14:textId="77777777" w:rsidR="00051297" w:rsidRPr="008452A5" w:rsidRDefault="00051297" w:rsidP="00051297">
            <w:pPr>
              <w:spacing w:line="240" w:lineRule="auto"/>
              <w:ind w:firstLine="0"/>
              <w:jc w:val="center"/>
              <w:rPr>
                <w:sz w:val="22"/>
                <w:lang w:val="en-US"/>
              </w:rPr>
            </w:pPr>
            <w:r w:rsidRPr="008452A5">
              <w:rPr>
                <w:sz w:val="22"/>
                <w:lang w:val="en-US"/>
              </w:rPr>
              <w:t>31</w:t>
            </w:r>
          </w:p>
        </w:tc>
        <w:tc>
          <w:tcPr>
            <w:tcW w:w="1117" w:type="dxa"/>
            <w:noWrap/>
            <w:hideMark/>
          </w:tcPr>
          <w:p w14:paraId="052AAC22" w14:textId="77777777" w:rsidR="00051297" w:rsidRPr="008452A5" w:rsidRDefault="00051297" w:rsidP="00051297">
            <w:pPr>
              <w:spacing w:line="240" w:lineRule="auto"/>
              <w:ind w:firstLine="0"/>
              <w:jc w:val="center"/>
              <w:rPr>
                <w:sz w:val="22"/>
                <w:lang w:val="en-US"/>
              </w:rPr>
            </w:pPr>
            <w:r w:rsidRPr="008452A5">
              <w:rPr>
                <w:sz w:val="22"/>
                <w:lang w:val="en-US"/>
              </w:rPr>
              <w:t>46.15626</w:t>
            </w:r>
          </w:p>
        </w:tc>
        <w:tc>
          <w:tcPr>
            <w:tcW w:w="1117" w:type="dxa"/>
            <w:noWrap/>
            <w:hideMark/>
          </w:tcPr>
          <w:p w14:paraId="511A39E4" w14:textId="77777777" w:rsidR="00051297" w:rsidRPr="008452A5" w:rsidRDefault="00051297" w:rsidP="00051297">
            <w:pPr>
              <w:spacing w:line="240" w:lineRule="auto"/>
              <w:ind w:firstLine="0"/>
              <w:jc w:val="center"/>
              <w:rPr>
                <w:sz w:val="22"/>
                <w:lang w:val="en-US"/>
              </w:rPr>
            </w:pPr>
            <w:r w:rsidRPr="008452A5">
              <w:rPr>
                <w:sz w:val="22"/>
                <w:lang w:val="en-US"/>
              </w:rPr>
              <w:t>1.488911</w:t>
            </w:r>
          </w:p>
        </w:tc>
        <w:tc>
          <w:tcPr>
            <w:tcW w:w="3352" w:type="dxa"/>
            <w:gridSpan w:val="3"/>
            <w:noWrap/>
            <w:hideMark/>
          </w:tcPr>
          <w:p w14:paraId="762BB9BD" w14:textId="77777777" w:rsidR="00051297" w:rsidRPr="008452A5" w:rsidRDefault="00051297" w:rsidP="00051297">
            <w:pPr>
              <w:spacing w:line="240" w:lineRule="auto"/>
              <w:ind w:firstLine="0"/>
              <w:jc w:val="center"/>
              <w:rPr>
                <w:sz w:val="22"/>
                <w:lang w:val="en-US"/>
              </w:rPr>
            </w:pPr>
            <w:r w:rsidRPr="008452A5">
              <w:rPr>
                <w:sz w:val="22"/>
                <w:lang w:val="en-US"/>
              </w:rPr>
              <w:t>0.00794</w:t>
            </w:r>
          </w:p>
        </w:tc>
      </w:tr>
      <w:tr w:rsidR="00051297" w:rsidRPr="008452A5" w14:paraId="55C81D43" w14:textId="77777777" w:rsidTr="00B758BD">
        <w:trPr>
          <w:trHeight w:val="282"/>
          <w:jc w:val="center"/>
        </w:trPr>
        <w:tc>
          <w:tcPr>
            <w:tcW w:w="1737" w:type="dxa"/>
            <w:noWrap/>
            <w:hideMark/>
          </w:tcPr>
          <w:p w14:paraId="3217FD1A" w14:textId="77777777" w:rsidR="00051297" w:rsidRPr="008452A5" w:rsidRDefault="00051297" w:rsidP="00051297">
            <w:pPr>
              <w:spacing w:line="240" w:lineRule="auto"/>
              <w:ind w:firstLine="0"/>
              <w:jc w:val="center"/>
              <w:rPr>
                <w:sz w:val="22"/>
                <w:lang w:val="en-US"/>
              </w:rPr>
            </w:pPr>
            <w:r w:rsidRPr="008452A5">
              <w:rPr>
                <w:sz w:val="22"/>
                <w:lang w:val="en-US"/>
              </w:rPr>
              <w:t>Embankment</w:t>
            </w:r>
          </w:p>
        </w:tc>
        <w:tc>
          <w:tcPr>
            <w:tcW w:w="1117" w:type="dxa"/>
            <w:noWrap/>
            <w:hideMark/>
          </w:tcPr>
          <w:p w14:paraId="5D55A403" w14:textId="77777777" w:rsidR="00051297" w:rsidRPr="008452A5" w:rsidRDefault="00051297" w:rsidP="00051297">
            <w:pPr>
              <w:spacing w:line="240" w:lineRule="auto"/>
              <w:ind w:firstLine="0"/>
              <w:jc w:val="center"/>
              <w:rPr>
                <w:sz w:val="22"/>
                <w:lang w:val="en-US"/>
              </w:rPr>
            </w:pPr>
            <w:r w:rsidRPr="008452A5">
              <w:rPr>
                <w:sz w:val="22"/>
                <w:lang w:val="en-US"/>
              </w:rPr>
              <w:t>31</w:t>
            </w:r>
          </w:p>
        </w:tc>
        <w:tc>
          <w:tcPr>
            <w:tcW w:w="1117" w:type="dxa"/>
            <w:noWrap/>
            <w:hideMark/>
          </w:tcPr>
          <w:p w14:paraId="3981F190" w14:textId="77777777" w:rsidR="00051297" w:rsidRPr="008452A5" w:rsidRDefault="00051297" w:rsidP="00051297">
            <w:pPr>
              <w:spacing w:line="240" w:lineRule="auto"/>
              <w:ind w:firstLine="0"/>
              <w:jc w:val="center"/>
              <w:rPr>
                <w:sz w:val="22"/>
                <w:lang w:val="en-US"/>
              </w:rPr>
            </w:pPr>
            <w:r w:rsidRPr="008452A5">
              <w:rPr>
                <w:sz w:val="22"/>
                <w:lang w:val="en-US"/>
              </w:rPr>
              <w:t>55.3746</w:t>
            </w:r>
          </w:p>
        </w:tc>
        <w:tc>
          <w:tcPr>
            <w:tcW w:w="1117" w:type="dxa"/>
            <w:noWrap/>
            <w:hideMark/>
          </w:tcPr>
          <w:p w14:paraId="491CFF6C" w14:textId="77777777" w:rsidR="00051297" w:rsidRPr="008452A5" w:rsidRDefault="00051297" w:rsidP="00051297">
            <w:pPr>
              <w:spacing w:line="240" w:lineRule="auto"/>
              <w:ind w:firstLine="0"/>
              <w:jc w:val="center"/>
              <w:rPr>
                <w:sz w:val="22"/>
                <w:lang w:val="en-US"/>
              </w:rPr>
            </w:pPr>
            <w:r w:rsidRPr="008452A5">
              <w:rPr>
                <w:sz w:val="22"/>
                <w:lang w:val="en-US"/>
              </w:rPr>
              <w:t>1.786277</w:t>
            </w:r>
          </w:p>
        </w:tc>
        <w:tc>
          <w:tcPr>
            <w:tcW w:w="3352" w:type="dxa"/>
            <w:gridSpan w:val="3"/>
            <w:noWrap/>
            <w:hideMark/>
          </w:tcPr>
          <w:p w14:paraId="787FB177" w14:textId="77777777" w:rsidR="00051297" w:rsidRPr="008452A5" w:rsidRDefault="00051297" w:rsidP="00051297">
            <w:pPr>
              <w:spacing w:line="240" w:lineRule="auto"/>
              <w:ind w:firstLine="0"/>
              <w:jc w:val="center"/>
              <w:rPr>
                <w:sz w:val="22"/>
                <w:lang w:val="en-US"/>
              </w:rPr>
            </w:pPr>
            <w:r w:rsidRPr="008452A5">
              <w:rPr>
                <w:sz w:val="22"/>
                <w:lang w:val="en-US"/>
              </w:rPr>
              <w:t>0.254961</w:t>
            </w:r>
          </w:p>
        </w:tc>
      </w:tr>
      <w:tr w:rsidR="00051297" w:rsidRPr="008452A5" w14:paraId="143FBE51" w14:textId="77777777" w:rsidTr="00B758BD">
        <w:trPr>
          <w:trHeight w:val="282"/>
          <w:jc w:val="center"/>
        </w:trPr>
        <w:tc>
          <w:tcPr>
            <w:tcW w:w="8442" w:type="dxa"/>
            <w:gridSpan w:val="7"/>
            <w:noWrap/>
            <w:hideMark/>
          </w:tcPr>
          <w:p w14:paraId="79177711" w14:textId="77777777" w:rsidR="00051297" w:rsidRPr="008452A5" w:rsidRDefault="00051297" w:rsidP="00051297">
            <w:pPr>
              <w:spacing w:line="240" w:lineRule="auto"/>
              <w:ind w:firstLine="0"/>
              <w:jc w:val="center"/>
              <w:rPr>
                <w:sz w:val="22"/>
                <w:lang w:val="en-US"/>
              </w:rPr>
            </w:pPr>
            <w:r w:rsidRPr="008452A5">
              <w:rPr>
                <w:sz w:val="22"/>
                <w:lang w:val="en-US"/>
              </w:rPr>
              <w:t>ANOVA</w:t>
            </w:r>
          </w:p>
        </w:tc>
      </w:tr>
      <w:tr w:rsidR="00051297" w:rsidRPr="008452A5" w14:paraId="1B63AC71" w14:textId="77777777" w:rsidTr="00B758BD">
        <w:trPr>
          <w:trHeight w:val="268"/>
          <w:jc w:val="center"/>
        </w:trPr>
        <w:tc>
          <w:tcPr>
            <w:tcW w:w="1737" w:type="dxa"/>
            <w:noWrap/>
            <w:hideMark/>
          </w:tcPr>
          <w:p w14:paraId="6C74D5B5" w14:textId="77777777" w:rsidR="00051297" w:rsidRPr="008452A5" w:rsidRDefault="00051297" w:rsidP="00051297">
            <w:pPr>
              <w:spacing w:line="240" w:lineRule="auto"/>
              <w:ind w:firstLine="0"/>
              <w:jc w:val="center"/>
              <w:rPr>
                <w:sz w:val="22"/>
                <w:lang w:val="en-US"/>
              </w:rPr>
            </w:pPr>
            <w:r w:rsidRPr="008452A5">
              <w:rPr>
                <w:sz w:val="22"/>
                <w:lang w:val="en-US"/>
              </w:rPr>
              <w:t>Source of Variation</w:t>
            </w:r>
          </w:p>
        </w:tc>
        <w:tc>
          <w:tcPr>
            <w:tcW w:w="1117" w:type="dxa"/>
            <w:noWrap/>
            <w:hideMark/>
          </w:tcPr>
          <w:p w14:paraId="59376801" w14:textId="77777777" w:rsidR="00051297" w:rsidRPr="008452A5" w:rsidRDefault="00051297" w:rsidP="00051297">
            <w:pPr>
              <w:spacing w:line="240" w:lineRule="auto"/>
              <w:ind w:firstLine="0"/>
              <w:jc w:val="center"/>
              <w:rPr>
                <w:sz w:val="22"/>
                <w:lang w:val="en-US"/>
              </w:rPr>
            </w:pPr>
            <w:r w:rsidRPr="008452A5">
              <w:rPr>
                <w:sz w:val="22"/>
                <w:lang w:val="en-US"/>
              </w:rPr>
              <w:t>SS</w:t>
            </w:r>
          </w:p>
        </w:tc>
        <w:tc>
          <w:tcPr>
            <w:tcW w:w="1117" w:type="dxa"/>
            <w:noWrap/>
            <w:hideMark/>
          </w:tcPr>
          <w:p w14:paraId="3D9DD3E4" w14:textId="77777777" w:rsidR="00051297" w:rsidRPr="008452A5" w:rsidRDefault="00051297" w:rsidP="00051297">
            <w:pPr>
              <w:spacing w:line="240" w:lineRule="auto"/>
              <w:ind w:firstLine="0"/>
              <w:jc w:val="center"/>
              <w:rPr>
                <w:sz w:val="22"/>
                <w:lang w:val="en-US"/>
              </w:rPr>
            </w:pPr>
            <w:r w:rsidRPr="008452A5">
              <w:rPr>
                <w:sz w:val="22"/>
                <w:lang w:val="en-US"/>
              </w:rPr>
              <w:t>df</w:t>
            </w:r>
          </w:p>
        </w:tc>
        <w:tc>
          <w:tcPr>
            <w:tcW w:w="1117" w:type="dxa"/>
            <w:noWrap/>
            <w:hideMark/>
          </w:tcPr>
          <w:p w14:paraId="6AD6B063" w14:textId="77777777" w:rsidR="00051297" w:rsidRPr="008452A5" w:rsidRDefault="00051297" w:rsidP="00051297">
            <w:pPr>
              <w:spacing w:line="240" w:lineRule="auto"/>
              <w:ind w:firstLine="0"/>
              <w:jc w:val="center"/>
              <w:rPr>
                <w:sz w:val="22"/>
                <w:lang w:val="en-US"/>
              </w:rPr>
            </w:pPr>
            <w:r w:rsidRPr="008452A5">
              <w:rPr>
                <w:sz w:val="22"/>
                <w:lang w:val="en-US"/>
              </w:rPr>
              <w:t>MS</w:t>
            </w:r>
          </w:p>
        </w:tc>
        <w:tc>
          <w:tcPr>
            <w:tcW w:w="1117" w:type="dxa"/>
            <w:noWrap/>
            <w:hideMark/>
          </w:tcPr>
          <w:p w14:paraId="4939A8A5" w14:textId="77777777" w:rsidR="00051297" w:rsidRPr="008452A5" w:rsidRDefault="00051297" w:rsidP="00051297">
            <w:pPr>
              <w:spacing w:line="240" w:lineRule="auto"/>
              <w:ind w:firstLine="0"/>
              <w:jc w:val="center"/>
              <w:rPr>
                <w:sz w:val="22"/>
                <w:lang w:val="en-US"/>
              </w:rPr>
            </w:pPr>
            <w:r w:rsidRPr="008452A5">
              <w:rPr>
                <w:sz w:val="22"/>
                <w:lang w:val="en-US"/>
              </w:rPr>
              <w:t>F</w:t>
            </w:r>
          </w:p>
        </w:tc>
        <w:tc>
          <w:tcPr>
            <w:tcW w:w="1117" w:type="dxa"/>
            <w:noWrap/>
            <w:hideMark/>
          </w:tcPr>
          <w:p w14:paraId="4407A453" w14:textId="77777777" w:rsidR="00051297" w:rsidRPr="008452A5" w:rsidRDefault="00051297" w:rsidP="00051297">
            <w:pPr>
              <w:spacing w:line="240" w:lineRule="auto"/>
              <w:ind w:firstLine="0"/>
              <w:jc w:val="center"/>
              <w:rPr>
                <w:sz w:val="22"/>
                <w:lang w:val="en-US"/>
              </w:rPr>
            </w:pPr>
            <w:r w:rsidRPr="008452A5">
              <w:rPr>
                <w:sz w:val="22"/>
                <w:lang w:val="en-US"/>
              </w:rPr>
              <w:t>P-value</w:t>
            </w:r>
          </w:p>
        </w:tc>
        <w:tc>
          <w:tcPr>
            <w:tcW w:w="1117" w:type="dxa"/>
            <w:noWrap/>
            <w:hideMark/>
          </w:tcPr>
          <w:p w14:paraId="7437CA95" w14:textId="77777777" w:rsidR="00051297" w:rsidRPr="008452A5" w:rsidRDefault="00051297" w:rsidP="00051297">
            <w:pPr>
              <w:spacing w:line="240" w:lineRule="auto"/>
              <w:ind w:firstLine="0"/>
              <w:jc w:val="center"/>
              <w:rPr>
                <w:sz w:val="22"/>
                <w:lang w:val="en-US"/>
              </w:rPr>
            </w:pPr>
            <w:r w:rsidRPr="008452A5">
              <w:rPr>
                <w:sz w:val="22"/>
                <w:lang w:val="en-US"/>
              </w:rPr>
              <w:t>F crit</w:t>
            </w:r>
          </w:p>
        </w:tc>
      </w:tr>
      <w:tr w:rsidR="00051297" w:rsidRPr="008452A5" w14:paraId="334E577E" w14:textId="77777777" w:rsidTr="00B758BD">
        <w:trPr>
          <w:trHeight w:val="268"/>
          <w:jc w:val="center"/>
        </w:trPr>
        <w:tc>
          <w:tcPr>
            <w:tcW w:w="1737" w:type="dxa"/>
            <w:noWrap/>
            <w:hideMark/>
          </w:tcPr>
          <w:p w14:paraId="59DB3DB2" w14:textId="77777777" w:rsidR="00051297" w:rsidRPr="008452A5" w:rsidRDefault="00051297" w:rsidP="00051297">
            <w:pPr>
              <w:spacing w:line="240" w:lineRule="auto"/>
              <w:ind w:firstLine="0"/>
              <w:jc w:val="center"/>
              <w:rPr>
                <w:sz w:val="22"/>
                <w:lang w:val="en-US"/>
              </w:rPr>
            </w:pPr>
            <w:r w:rsidRPr="008452A5">
              <w:rPr>
                <w:sz w:val="22"/>
                <w:lang w:val="en-US"/>
              </w:rPr>
              <w:t>Between Groups</w:t>
            </w:r>
          </w:p>
        </w:tc>
        <w:tc>
          <w:tcPr>
            <w:tcW w:w="1117" w:type="dxa"/>
            <w:noWrap/>
            <w:hideMark/>
          </w:tcPr>
          <w:p w14:paraId="4ADABCEA" w14:textId="77777777" w:rsidR="00051297" w:rsidRPr="008452A5" w:rsidRDefault="00051297" w:rsidP="00051297">
            <w:pPr>
              <w:spacing w:line="240" w:lineRule="auto"/>
              <w:ind w:firstLine="0"/>
              <w:jc w:val="center"/>
              <w:rPr>
                <w:sz w:val="22"/>
                <w:lang w:val="en-US"/>
              </w:rPr>
            </w:pPr>
            <w:r w:rsidRPr="008452A5">
              <w:rPr>
                <w:sz w:val="22"/>
                <w:lang w:val="en-US"/>
              </w:rPr>
              <w:t>1.431052</w:t>
            </w:r>
          </w:p>
        </w:tc>
        <w:tc>
          <w:tcPr>
            <w:tcW w:w="1117" w:type="dxa"/>
            <w:noWrap/>
            <w:hideMark/>
          </w:tcPr>
          <w:p w14:paraId="448E4263" w14:textId="77777777" w:rsidR="00051297" w:rsidRPr="008452A5" w:rsidRDefault="00051297" w:rsidP="00051297">
            <w:pPr>
              <w:spacing w:line="240" w:lineRule="auto"/>
              <w:ind w:firstLine="0"/>
              <w:jc w:val="center"/>
              <w:rPr>
                <w:sz w:val="22"/>
                <w:lang w:val="en-US"/>
              </w:rPr>
            </w:pPr>
            <w:r w:rsidRPr="008452A5">
              <w:rPr>
                <w:sz w:val="22"/>
                <w:lang w:val="en-US"/>
              </w:rPr>
              <w:t>2</w:t>
            </w:r>
          </w:p>
        </w:tc>
        <w:tc>
          <w:tcPr>
            <w:tcW w:w="1117" w:type="dxa"/>
            <w:noWrap/>
            <w:hideMark/>
          </w:tcPr>
          <w:p w14:paraId="2095A097" w14:textId="77777777" w:rsidR="00051297" w:rsidRPr="008452A5" w:rsidRDefault="00051297" w:rsidP="00051297">
            <w:pPr>
              <w:spacing w:line="240" w:lineRule="auto"/>
              <w:ind w:firstLine="0"/>
              <w:jc w:val="center"/>
              <w:rPr>
                <w:sz w:val="22"/>
                <w:lang w:val="en-US"/>
              </w:rPr>
            </w:pPr>
            <w:r w:rsidRPr="008452A5">
              <w:rPr>
                <w:sz w:val="22"/>
                <w:lang w:val="en-US"/>
              </w:rPr>
              <w:t>0.715526</w:t>
            </w:r>
          </w:p>
        </w:tc>
        <w:tc>
          <w:tcPr>
            <w:tcW w:w="1117" w:type="dxa"/>
            <w:noWrap/>
            <w:hideMark/>
          </w:tcPr>
          <w:p w14:paraId="273E856B" w14:textId="77777777" w:rsidR="00051297" w:rsidRPr="008452A5" w:rsidRDefault="00051297" w:rsidP="00051297">
            <w:pPr>
              <w:spacing w:line="240" w:lineRule="auto"/>
              <w:ind w:firstLine="0"/>
              <w:jc w:val="center"/>
              <w:rPr>
                <w:sz w:val="22"/>
                <w:lang w:val="en-US"/>
              </w:rPr>
            </w:pPr>
            <w:r w:rsidRPr="008452A5">
              <w:rPr>
                <w:sz w:val="22"/>
                <w:lang w:val="en-US"/>
              </w:rPr>
              <w:t>6.331431</w:t>
            </w:r>
          </w:p>
        </w:tc>
        <w:tc>
          <w:tcPr>
            <w:tcW w:w="1117" w:type="dxa"/>
            <w:noWrap/>
            <w:hideMark/>
          </w:tcPr>
          <w:p w14:paraId="24911511" w14:textId="77777777" w:rsidR="00051297" w:rsidRPr="008452A5" w:rsidRDefault="00051297" w:rsidP="00051297">
            <w:pPr>
              <w:spacing w:line="240" w:lineRule="auto"/>
              <w:ind w:firstLine="0"/>
              <w:jc w:val="center"/>
              <w:rPr>
                <w:sz w:val="22"/>
                <w:lang w:val="en-US"/>
              </w:rPr>
            </w:pPr>
            <w:r w:rsidRPr="008452A5">
              <w:rPr>
                <w:sz w:val="22"/>
                <w:lang w:val="en-US"/>
              </w:rPr>
              <w:t>0.00268</w:t>
            </w:r>
          </w:p>
        </w:tc>
        <w:tc>
          <w:tcPr>
            <w:tcW w:w="1117" w:type="dxa"/>
            <w:noWrap/>
            <w:hideMark/>
          </w:tcPr>
          <w:p w14:paraId="6CE1F3AE" w14:textId="77777777" w:rsidR="00051297" w:rsidRPr="008452A5" w:rsidRDefault="00051297" w:rsidP="00051297">
            <w:pPr>
              <w:spacing w:line="240" w:lineRule="auto"/>
              <w:ind w:firstLine="0"/>
              <w:jc w:val="center"/>
              <w:rPr>
                <w:sz w:val="22"/>
                <w:lang w:val="en-US"/>
              </w:rPr>
            </w:pPr>
            <w:r w:rsidRPr="008452A5">
              <w:rPr>
                <w:sz w:val="22"/>
                <w:lang w:val="en-US"/>
              </w:rPr>
              <w:t>3.097698</w:t>
            </w:r>
          </w:p>
        </w:tc>
      </w:tr>
      <w:tr w:rsidR="00051297" w:rsidRPr="008452A5" w14:paraId="4B9478DD" w14:textId="77777777" w:rsidTr="00B758BD">
        <w:trPr>
          <w:trHeight w:val="268"/>
          <w:jc w:val="center"/>
        </w:trPr>
        <w:tc>
          <w:tcPr>
            <w:tcW w:w="1737" w:type="dxa"/>
            <w:noWrap/>
            <w:hideMark/>
          </w:tcPr>
          <w:p w14:paraId="5F7F4B39" w14:textId="77777777" w:rsidR="00051297" w:rsidRPr="008452A5" w:rsidRDefault="00051297" w:rsidP="00051297">
            <w:pPr>
              <w:spacing w:line="240" w:lineRule="auto"/>
              <w:ind w:firstLine="0"/>
              <w:jc w:val="center"/>
              <w:rPr>
                <w:sz w:val="22"/>
                <w:lang w:val="en-US"/>
              </w:rPr>
            </w:pPr>
            <w:r w:rsidRPr="008452A5">
              <w:rPr>
                <w:sz w:val="22"/>
                <w:lang w:val="en-US"/>
              </w:rPr>
              <w:t>Within Groups</w:t>
            </w:r>
          </w:p>
        </w:tc>
        <w:tc>
          <w:tcPr>
            <w:tcW w:w="1117" w:type="dxa"/>
            <w:noWrap/>
            <w:hideMark/>
          </w:tcPr>
          <w:p w14:paraId="3175AA5E" w14:textId="77777777" w:rsidR="00051297" w:rsidRPr="008452A5" w:rsidRDefault="00051297" w:rsidP="00051297">
            <w:pPr>
              <w:spacing w:line="240" w:lineRule="auto"/>
              <w:ind w:firstLine="0"/>
              <w:jc w:val="center"/>
              <w:rPr>
                <w:sz w:val="22"/>
                <w:lang w:val="en-US"/>
              </w:rPr>
            </w:pPr>
            <w:r w:rsidRPr="008452A5">
              <w:rPr>
                <w:sz w:val="22"/>
                <w:lang w:val="en-US"/>
              </w:rPr>
              <w:t>10.17106</w:t>
            </w:r>
          </w:p>
        </w:tc>
        <w:tc>
          <w:tcPr>
            <w:tcW w:w="1117" w:type="dxa"/>
            <w:noWrap/>
            <w:hideMark/>
          </w:tcPr>
          <w:p w14:paraId="0A1597C4" w14:textId="77777777" w:rsidR="00051297" w:rsidRPr="008452A5" w:rsidRDefault="00051297" w:rsidP="00051297">
            <w:pPr>
              <w:spacing w:line="240" w:lineRule="auto"/>
              <w:ind w:firstLine="0"/>
              <w:jc w:val="center"/>
              <w:rPr>
                <w:sz w:val="22"/>
                <w:lang w:val="en-US"/>
              </w:rPr>
            </w:pPr>
            <w:r w:rsidRPr="008452A5">
              <w:rPr>
                <w:sz w:val="22"/>
                <w:lang w:val="en-US"/>
              </w:rPr>
              <w:t>90</w:t>
            </w:r>
          </w:p>
        </w:tc>
        <w:tc>
          <w:tcPr>
            <w:tcW w:w="1117" w:type="dxa"/>
            <w:noWrap/>
            <w:hideMark/>
          </w:tcPr>
          <w:p w14:paraId="796BF5D8" w14:textId="77777777" w:rsidR="00051297" w:rsidRPr="008452A5" w:rsidRDefault="00051297" w:rsidP="00051297">
            <w:pPr>
              <w:spacing w:line="240" w:lineRule="auto"/>
              <w:ind w:firstLine="0"/>
              <w:jc w:val="center"/>
              <w:rPr>
                <w:sz w:val="22"/>
                <w:lang w:val="en-US"/>
              </w:rPr>
            </w:pPr>
            <w:r w:rsidRPr="008452A5">
              <w:rPr>
                <w:sz w:val="22"/>
                <w:lang w:val="en-US"/>
              </w:rPr>
              <w:t>0.113012</w:t>
            </w:r>
          </w:p>
        </w:tc>
        <w:tc>
          <w:tcPr>
            <w:tcW w:w="1117" w:type="dxa"/>
            <w:noWrap/>
            <w:hideMark/>
          </w:tcPr>
          <w:p w14:paraId="3DC34FC9" w14:textId="77777777" w:rsidR="00051297" w:rsidRPr="008452A5" w:rsidRDefault="00051297" w:rsidP="00051297">
            <w:pPr>
              <w:spacing w:line="240" w:lineRule="auto"/>
              <w:ind w:firstLine="0"/>
              <w:jc w:val="center"/>
              <w:rPr>
                <w:sz w:val="22"/>
                <w:lang w:val="en-US"/>
              </w:rPr>
            </w:pPr>
          </w:p>
        </w:tc>
        <w:tc>
          <w:tcPr>
            <w:tcW w:w="1117" w:type="dxa"/>
            <w:noWrap/>
            <w:hideMark/>
          </w:tcPr>
          <w:p w14:paraId="08D8B6A7" w14:textId="77777777" w:rsidR="00051297" w:rsidRPr="008452A5" w:rsidRDefault="00051297" w:rsidP="00051297">
            <w:pPr>
              <w:spacing w:line="240" w:lineRule="auto"/>
              <w:ind w:firstLine="0"/>
              <w:jc w:val="center"/>
              <w:rPr>
                <w:sz w:val="22"/>
                <w:lang w:val="en-US"/>
              </w:rPr>
            </w:pPr>
          </w:p>
        </w:tc>
        <w:tc>
          <w:tcPr>
            <w:tcW w:w="1117" w:type="dxa"/>
            <w:noWrap/>
            <w:hideMark/>
          </w:tcPr>
          <w:p w14:paraId="7CE3D5F8" w14:textId="77777777" w:rsidR="00051297" w:rsidRPr="008452A5" w:rsidRDefault="00051297" w:rsidP="00051297">
            <w:pPr>
              <w:spacing w:line="240" w:lineRule="auto"/>
              <w:ind w:firstLine="0"/>
              <w:jc w:val="center"/>
              <w:rPr>
                <w:sz w:val="22"/>
                <w:lang w:val="en-US"/>
              </w:rPr>
            </w:pPr>
          </w:p>
        </w:tc>
      </w:tr>
      <w:tr w:rsidR="00051297" w:rsidRPr="008452A5" w14:paraId="4414642D" w14:textId="77777777" w:rsidTr="00B758BD">
        <w:trPr>
          <w:trHeight w:val="282"/>
          <w:jc w:val="center"/>
        </w:trPr>
        <w:tc>
          <w:tcPr>
            <w:tcW w:w="1737" w:type="dxa"/>
            <w:noWrap/>
            <w:hideMark/>
          </w:tcPr>
          <w:p w14:paraId="19ED942C" w14:textId="77777777" w:rsidR="00051297" w:rsidRPr="008452A5" w:rsidRDefault="00051297" w:rsidP="00051297">
            <w:pPr>
              <w:spacing w:line="240" w:lineRule="auto"/>
              <w:ind w:firstLine="0"/>
              <w:jc w:val="center"/>
              <w:rPr>
                <w:sz w:val="22"/>
                <w:lang w:val="en-US"/>
              </w:rPr>
            </w:pPr>
            <w:r w:rsidRPr="008452A5">
              <w:rPr>
                <w:sz w:val="22"/>
                <w:lang w:val="en-US"/>
              </w:rPr>
              <w:t>Total</w:t>
            </w:r>
          </w:p>
        </w:tc>
        <w:tc>
          <w:tcPr>
            <w:tcW w:w="1117" w:type="dxa"/>
            <w:noWrap/>
            <w:hideMark/>
          </w:tcPr>
          <w:p w14:paraId="4A5A2650" w14:textId="77777777" w:rsidR="00051297" w:rsidRPr="008452A5" w:rsidRDefault="00051297" w:rsidP="00051297">
            <w:pPr>
              <w:spacing w:line="240" w:lineRule="auto"/>
              <w:ind w:firstLine="0"/>
              <w:jc w:val="center"/>
              <w:rPr>
                <w:sz w:val="22"/>
                <w:lang w:val="en-US"/>
              </w:rPr>
            </w:pPr>
            <w:r w:rsidRPr="008452A5">
              <w:rPr>
                <w:sz w:val="22"/>
                <w:lang w:val="en-US"/>
              </w:rPr>
              <w:t>11.60211</w:t>
            </w:r>
          </w:p>
        </w:tc>
        <w:tc>
          <w:tcPr>
            <w:tcW w:w="1117" w:type="dxa"/>
            <w:noWrap/>
            <w:hideMark/>
          </w:tcPr>
          <w:p w14:paraId="7F7CAC17" w14:textId="77777777" w:rsidR="00051297" w:rsidRPr="008452A5" w:rsidRDefault="00051297" w:rsidP="00051297">
            <w:pPr>
              <w:spacing w:line="240" w:lineRule="auto"/>
              <w:ind w:firstLine="0"/>
              <w:jc w:val="center"/>
              <w:rPr>
                <w:sz w:val="22"/>
                <w:lang w:val="en-US"/>
              </w:rPr>
            </w:pPr>
            <w:r w:rsidRPr="008452A5">
              <w:rPr>
                <w:sz w:val="22"/>
                <w:lang w:val="en-US"/>
              </w:rPr>
              <w:t>92</w:t>
            </w:r>
          </w:p>
        </w:tc>
        <w:tc>
          <w:tcPr>
            <w:tcW w:w="1117" w:type="dxa"/>
            <w:noWrap/>
            <w:hideMark/>
          </w:tcPr>
          <w:p w14:paraId="6CE2F72C" w14:textId="77777777" w:rsidR="00051297" w:rsidRPr="008452A5" w:rsidRDefault="00051297" w:rsidP="00051297">
            <w:pPr>
              <w:spacing w:line="240" w:lineRule="auto"/>
              <w:ind w:firstLine="0"/>
              <w:jc w:val="center"/>
              <w:rPr>
                <w:sz w:val="22"/>
                <w:lang w:val="en-US"/>
              </w:rPr>
            </w:pPr>
            <w:r w:rsidRPr="008452A5">
              <w:rPr>
                <w:sz w:val="22"/>
                <w:lang w:val="en-US"/>
              </w:rPr>
              <w:t> </w:t>
            </w:r>
          </w:p>
        </w:tc>
        <w:tc>
          <w:tcPr>
            <w:tcW w:w="1117" w:type="dxa"/>
            <w:noWrap/>
            <w:hideMark/>
          </w:tcPr>
          <w:p w14:paraId="5A3146E6" w14:textId="77777777" w:rsidR="00051297" w:rsidRPr="008452A5" w:rsidRDefault="00051297" w:rsidP="00051297">
            <w:pPr>
              <w:spacing w:line="240" w:lineRule="auto"/>
              <w:ind w:firstLine="0"/>
              <w:jc w:val="center"/>
              <w:rPr>
                <w:sz w:val="22"/>
                <w:lang w:val="en-US"/>
              </w:rPr>
            </w:pPr>
            <w:r w:rsidRPr="008452A5">
              <w:rPr>
                <w:sz w:val="22"/>
                <w:lang w:val="en-US"/>
              </w:rPr>
              <w:t> </w:t>
            </w:r>
          </w:p>
        </w:tc>
        <w:tc>
          <w:tcPr>
            <w:tcW w:w="1117" w:type="dxa"/>
            <w:noWrap/>
            <w:hideMark/>
          </w:tcPr>
          <w:p w14:paraId="2F79BF65" w14:textId="77777777" w:rsidR="00051297" w:rsidRPr="008452A5" w:rsidRDefault="00051297" w:rsidP="00051297">
            <w:pPr>
              <w:spacing w:line="240" w:lineRule="auto"/>
              <w:ind w:firstLine="0"/>
              <w:jc w:val="center"/>
              <w:rPr>
                <w:sz w:val="22"/>
                <w:lang w:val="en-US"/>
              </w:rPr>
            </w:pPr>
            <w:r w:rsidRPr="008452A5">
              <w:rPr>
                <w:sz w:val="22"/>
                <w:lang w:val="en-US"/>
              </w:rPr>
              <w:t> </w:t>
            </w:r>
          </w:p>
        </w:tc>
        <w:tc>
          <w:tcPr>
            <w:tcW w:w="1117" w:type="dxa"/>
            <w:noWrap/>
            <w:hideMark/>
          </w:tcPr>
          <w:p w14:paraId="6CB0575C" w14:textId="77777777" w:rsidR="00051297" w:rsidRPr="008452A5" w:rsidRDefault="00051297" w:rsidP="00051297">
            <w:pPr>
              <w:spacing w:line="240" w:lineRule="auto"/>
              <w:ind w:firstLine="0"/>
              <w:jc w:val="center"/>
              <w:rPr>
                <w:sz w:val="22"/>
                <w:lang w:val="en-US"/>
              </w:rPr>
            </w:pPr>
            <w:r w:rsidRPr="008452A5">
              <w:rPr>
                <w:sz w:val="22"/>
                <w:lang w:val="en-US"/>
              </w:rPr>
              <w:t> </w:t>
            </w:r>
          </w:p>
        </w:tc>
      </w:tr>
    </w:tbl>
    <w:p w14:paraId="5D53E0A5" w14:textId="77777777" w:rsidR="00051297" w:rsidRPr="00051297" w:rsidRDefault="00051297" w:rsidP="00051297">
      <w:pPr>
        <w:ind w:firstLine="0"/>
        <w:rPr>
          <w:lang w:val="en-US"/>
        </w:rPr>
      </w:pPr>
    </w:p>
    <w:p w14:paraId="75DE1306" w14:textId="268EFF77" w:rsidR="00051297" w:rsidRPr="00051297" w:rsidRDefault="00051297" w:rsidP="00141AA5">
      <w:pPr>
        <w:pStyle w:val="3"/>
        <w:rPr>
          <w:rFonts w:eastAsia="Calibri"/>
        </w:rPr>
      </w:pPr>
      <w:bookmarkStart w:id="1490" w:name="_Toc97504888"/>
      <w:bookmarkStart w:id="1491" w:name="_Toc103544026"/>
      <w:bookmarkStart w:id="1492" w:name="_Toc104985351"/>
      <w:r w:rsidRPr="00051297">
        <w:rPr>
          <w:rFonts w:eastAsia="Calibri"/>
          <w:lang w:val="en-US"/>
        </w:rPr>
        <w:t>Summary of the sub-section</w:t>
      </w:r>
      <w:bookmarkEnd w:id="1490"/>
      <w:bookmarkEnd w:id="1491"/>
      <w:bookmarkEnd w:id="1492"/>
    </w:p>
    <w:p w14:paraId="638CBB66" w14:textId="77777777" w:rsidR="00051297" w:rsidRPr="00051297" w:rsidRDefault="00051297" w:rsidP="00051297">
      <w:pPr>
        <w:contextualSpacing/>
        <w:rPr>
          <w:rFonts w:eastAsia="Calibri" w:cs="Times New Roman"/>
          <w:szCs w:val="24"/>
          <w:lang w:val="en-US"/>
        </w:rPr>
      </w:pPr>
      <w:r w:rsidRPr="00051297">
        <w:rPr>
          <w:rFonts w:eastAsia="Calibri" w:cs="Times New Roman"/>
          <w:szCs w:val="24"/>
          <w:lang w:val="en-US"/>
        </w:rPr>
        <w:t xml:space="preserve">The influence of rapid drawdown loading conditions on the stability of the embankment dam has been investigated with the help of numerical modeling for the case of the Aktobe dam in Kazakhstan. From the investigation results, it was observed that when the embankment was subjected to the 1 m per day drawdown rate a minimum factor of safety value of 1.486 was retrieved from computations. The factor of safety value is equivalent to a 3.7% increase from the 10 days drawdown rate and 8.3% from the 5 days drawdown rate, and 48.6% from the instantaneous drawdown. However, some authorities recommend a minimum factor of safety of 1.5 for an embankment to be regarded as safe enough in terms of slope stability. The results in this study revealed further that even a heterogeneous dam supplied with a core in the embankment can be highly susceptible to failure when subjected to rapid drawdown loading conditions. To minimize potential collapse when the dam is in operation, it is critical to evaluate the reaction of an embankment dam when subjected to a rapid drawdown condition during the design phase of the embankment. </w:t>
      </w:r>
    </w:p>
    <w:p w14:paraId="28FE1963" w14:textId="4E07C582" w:rsidR="00051297" w:rsidRPr="00051297" w:rsidRDefault="00051297" w:rsidP="00141AA5">
      <w:pPr>
        <w:pStyle w:val="2"/>
      </w:pPr>
      <w:bookmarkStart w:id="1493" w:name="_Toc97504889"/>
      <w:bookmarkStart w:id="1494" w:name="_Toc103544027"/>
      <w:bookmarkStart w:id="1495" w:name="_Toc104985352"/>
      <w:r w:rsidRPr="00051297">
        <w:t>Chardara dam in Kazakhstan</w:t>
      </w:r>
      <w:bookmarkEnd w:id="1493"/>
      <w:bookmarkEnd w:id="1494"/>
      <w:bookmarkEnd w:id="1495"/>
    </w:p>
    <w:p w14:paraId="3720C2EE" w14:textId="1AC56330" w:rsidR="00051297" w:rsidRPr="00051297" w:rsidRDefault="00051297" w:rsidP="00141AA5">
      <w:pPr>
        <w:pStyle w:val="3"/>
      </w:pPr>
      <w:bookmarkStart w:id="1496" w:name="_Toc97504890"/>
      <w:bookmarkStart w:id="1497" w:name="_Toc103544028"/>
      <w:bookmarkStart w:id="1498" w:name="_Toc104985353"/>
      <w:r w:rsidRPr="00051297">
        <w:t>Materials and methods</w:t>
      </w:r>
      <w:bookmarkEnd w:id="1496"/>
      <w:bookmarkEnd w:id="1497"/>
      <w:bookmarkEnd w:id="1498"/>
    </w:p>
    <w:p w14:paraId="7EE307BD" w14:textId="037D1331" w:rsidR="00051297" w:rsidRPr="00051297" w:rsidRDefault="00051297" w:rsidP="00141AA5">
      <w:pPr>
        <w:pStyle w:val="4"/>
        <w:rPr>
          <w:lang w:val="en-US"/>
        </w:rPr>
      </w:pPr>
      <w:bookmarkStart w:id="1499" w:name="_Toc97504891"/>
      <w:bookmarkStart w:id="1500" w:name="_Toc103544029"/>
      <w:bookmarkStart w:id="1501" w:name="_Toc104985354"/>
      <w:r w:rsidRPr="00051297">
        <w:rPr>
          <w:lang w:val="en-US"/>
        </w:rPr>
        <w:t>General construction materials and properties</w:t>
      </w:r>
      <w:bookmarkEnd w:id="1499"/>
      <w:bookmarkEnd w:id="1500"/>
      <w:bookmarkEnd w:id="1501"/>
    </w:p>
    <w:p w14:paraId="66ACD159" w14:textId="15080A96" w:rsidR="00051297" w:rsidRPr="00051297" w:rsidRDefault="00051297" w:rsidP="00051297">
      <w:pPr>
        <w:rPr>
          <w:rFonts w:eastAsiaTheme="minorEastAsia" w:cs="Times New Roman"/>
          <w:szCs w:val="24"/>
          <w:lang w:val="en-US"/>
        </w:rPr>
      </w:pPr>
      <w:r w:rsidRPr="00051297">
        <w:rPr>
          <w:rFonts w:eastAsiaTheme="minorEastAsia" w:cs="Times New Roman"/>
          <w:szCs w:val="24"/>
          <w:lang w:val="en-US"/>
        </w:rPr>
        <w:t xml:space="preserve">A silty sandy layer 1.5 m to 2.5 m deep underpins a layer of fine sands 12 m to 17 m thick in the flood plain river portion, where the embankment axis is located. The intake construction is </w:t>
      </w:r>
      <w:r w:rsidRPr="00051297">
        <w:rPr>
          <w:rFonts w:eastAsiaTheme="minorEastAsia" w:cs="Times New Roman"/>
          <w:szCs w:val="24"/>
          <w:lang w:val="en-US"/>
        </w:rPr>
        <w:lastRenderedPageBreak/>
        <w:t xml:space="preserve">built on siltstones, marly clay, sand, and sandstone with conglomerate as bedrock. The base of the Arnasay embankment is made up of a silty sand layer 8 to 10 meters deep, which is overlain by a clay layer 2 to 5 meters thick or a thick layer of fine silty sand. In these places, the groundwater table lies between 0.5 and 2 meters below the surface. The concrete is being attacked by sulfate in this water. The dam is situated in earthquake zone VI. The embankment and its buildings, on the other hand, were meant to be of intensity VII </w:t>
      </w:r>
      <w:r w:rsidRPr="00051297">
        <w:rPr>
          <w:rFonts w:eastAsiaTheme="minorEastAsia" w:cs="Times New Roman"/>
          <w:szCs w:val="24"/>
        </w:rPr>
        <w:fldChar w:fldCharType="begin" w:fldLock="1"/>
      </w:r>
      <w:r w:rsidR="0044426E">
        <w:rPr>
          <w:rFonts w:eastAsiaTheme="minorEastAsia" w:cs="Times New Roman"/>
          <w:szCs w:val="24"/>
          <w:lang w:val="en-US"/>
        </w:rPr>
        <w:instrText>ADDIN CSL_CITATION {"citationItems":[{"id":"ITEM-1","itemData":{"author":[{"dropping-particle":"","family":"GIBB","given":"","non-dropping-particle":"","parse-names":false,"suffix":""}],"container-title":"cawater-info","id":"ITEM-1","issue":"March","issued":{"date-parts":[["2000"]]},"page":"42","title":"Aral Sea Basin Program Water &amp; Environmental Managment Project, Component C: Dam Safety and Reservoir Managment, Nurek Dam Safety Assessment Report.","type":"article-journal"},"uris":["http://www.mendeley.com/documents/?uuid=842f5635-ebec-4a7a-9683-6272339ac3ad","http://www.mendeley.com/documents/?uuid=97163c6f-bf7c-4941-bfed-9fc026edc73e"]}],"mendeley":{"formattedCitation":"[305]","plainTextFormattedCitation":"[305]","previouslyFormattedCitation":"[305]"},"properties":{"noteIndex":0},"schema":"https://github.com/citation-style-language/schema/raw/master/csl-citation.json"}</w:instrText>
      </w:r>
      <w:r w:rsidRPr="00051297">
        <w:rPr>
          <w:rFonts w:eastAsiaTheme="minorEastAsia" w:cs="Times New Roman"/>
          <w:szCs w:val="24"/>
        </w:rPr>
        <w:fldChar w:fldCharType="separate"/>
      </w:r>
      <w:r w:rsidR="00FA5896" w:rsidRPr="00FA5896">
        <w:rPr>
          <w:rFonts w:eastAsiaTheme="minorEastAsia" w:cs="Times New Roman"/>
          <w:noProof/>
          <w:szCs w:val="24"/>
          <w:lang w:val="en-US"/>
        </w:rPr>
        <w:t>[305]</w:t>
      </w:r>
      <w:r w:rsidRPr="00051297">
        <w:rPr>
          <w:rFonts w:eastAsiaTheme="minorEastAsia" w:cs="Times New Roman"/>
          <w:szCs w:val="24"/>
        </w:rPr>
        <w:fldChar w:fldCharType="end"/>
      </w:r>
      <w:r w:rsidRPr="00051297">
        <w:rPr>
          <w:rFonts w:eastAsiaTheme="minorEastAsia" w:cs="Times New Roman"/>
          <w:szCs w:val="24"/>
          <w:lang w:val="en-US"/>
        </w:rPr>
        <w:t xml:space="preserve">. Some more general characteristics are presented in </w:t>
      </w:r>
      <w:r w:rsidRPr="00051297">
        <w:rPr>
          <w:rFonts w:eastAsiaTheme="minorEastAsia" w:cs="Times New Roman"/>
          <w:szCs w:val="24"/>
          <w:lang w:val="en-US"/>
        </w:rPr>
        <w:fldChar w:fldCharType="begin"/>
      </w:r>
      <w:r w:rsidRPr="00051297">
        <w:rPr>
          <w:rFonts w:eastAsiaTheme="minorEastAsia" w:cs="Times New Roman"/>
          <w:szCs w:val="24"/>
          <w:lang w:val="en-US"/>
        </w:rPr>
        <w:instrText xml:space="preserve"> REF _Ref98108754 \h </w:instrText>
      </w:r>
      <w:r w:rsidRPr="00051297">
        <w:rPr>
          <w:rFonts w:eastAsiaTheme="minorEastAsia" w:cs="Times New Roman"/>
          <w:szCs w:val="24"/>
          <w:lang w:val="en-US"/>
        </w:rPr>
      </w:r>
      <w:r w:rsidRPr="00051297">
        <w:rPr>
          <w:rFonts w:eastAsiaTheme="minorEastAsia" w:cs="Times New Roman"/>
          <w:szCs w:val="24"/>
          <w:lang w:val="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18</w:t>
      </w:r>
      <w:r w:rsidRPr="00051297">
        <w:rPr>
          <w:rFonts w:eastAsiaTheme="minorEastAsia" w:cs="Times New Roman"/>
          <w:szCs w:val="24"/>
          <w:lang w:val="en-US"/>
        </w:rPr>
        <w:fldChar w:fldCharType="end"/>
      </w:r>
      <w:r w:rsidRPr="00051297">
        <w:rPr>
          <w:rFonts w:eastAsiaTheme="minorEastAsia" w:cs="Times New Roman"/>
          <w:szCs w:val="24"/>
          <w:lang w:val="en-US"/>
        </w:rPr>
        <w:t>.</w:t>
      </w:r>
    </w:p>
    <w:p w14:paraId="0EE82E8F" w14:textId="7271DB0C" w:rsidR="00051297" w:rsidRPr="00051297" w:rsidRDefault="00051297" w:rsidP="00051297">
      <w:pPr>
        <w:rPr>
          <w:lang w:val="en-US"/>
        </w:rPr>
      </w:pPr>
      <w:bookmarkStart w:id="1502" w:name="_Ref98108754"/>
      <w:bookmarkStart w:id="1503" w:name="_Toc97077212"/>
      <w:bookmarkStart w:id="1504" w:name="_Toc103544273"/>
      <w:bookmarkStart w:id="1505" w:name="_Toc104985599"/>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18</w:t>
      </w:r>
      <w:r w:rsidRPr="00051297">
        <w:rPr>
          <w:lang w:val="en-US"/>
        </w:rPr>
        <w:fldChar w:fldCharType="end"/>
      </w:r>
      <w:bookmarkEnd w:id="1502"/>
      <w:r w:rsidRPr="00051297">
        <w:rPr>
          <w:lang w:val="en-US"/>
        </w:rPr>
        <w:t xml:space="preserve"> – General dimensions of the Chardara reservoir</w:t>
      </w:r>
      <w:bookmarkEnd w:id="1503"/>
      <w:bookmarkEnd w:id="1504"/>
      <w:bookmarkEnd w:id="1505"/>
    </w:p>
    <w:tbl>
      <w:tblPr>
        <w:tblStyle w:val="a8"/>
        <w:tblW w:w="0" w:type="auto"/>
        <w:jc w:val="center"/>
        <w:tblLook w:val="04A0" w:firstRow="1" w:lastRow="0" w:firstColumn="1" w:lastColumn="0" w:noHBand="0" w:noVBand="1"/>
      </w:tblPr>
      <w:tblGrid>
        <w:gridCol w:w="4010"/>
        <w:gridCol w:w="1840"/>
        <w:gridCol w:w="810"/>
      </w:tblGrid>
      <w:tr w:rsidR="00051297" w:rsidRPr="00051297" w14:paraId="0CD6E12D" w14:textId="77777777" w:rsidTr="00D20B01">
        <w:trPr>
          <w:trHeight w:val="300"/>
          <w:jc w:val="center"/>
        </w:trPr>
        <w:tc>
          <w:tcPr>
            <w:tcW w:w="4010" w:type="dxa"/>
            <w:noWrap/>
            <w:hideMark/>
          </w:tcPr>
          <w:p w14:paraId="7C4ED4A6" w14:textId="77777777" w:rsidR="00051297" w:rsidRPr="00051297" w:rsidRDefault="00051297" w:rsidP="00051297">
            <w:pPr>
              <w:spacing w:line="240" w:lineRule="auto"/>
              <w:ind w:firstLine="0"/>
              <w:jc w:val="center"/>
              <w:rPr>
                <w:lang w:val="en-US"/>
              </w:rPr>
            </w:pPr>
            <w:r w:rsidRPr="00051297">
              <w:rPr>
                <w:lang w:val="en-US"/>
              </w:rPr>
              <w:t>Parameter</w:t>
            </w:r>
          </w:p>
        </w:tc>
        <w:tc>
          <w:tcPr>
            <w:tcW w:w="1840" w:type="dxa"/>
            <w:noWrap/>
            <w:hideMark/>
          </w:tcPr>
          <w:p w14:paraId="7740E70D" w14:textId="77777777" w:rsidR="00051297" w:rsidRPr="00051297" w:rsidRDefault="00051297" w:rsidP="00051297">
            <w:pPr>
              <w:spacing w:line="240" w:lineRule="auto"/>
              <w:ind w:firstLine="0"/>
              <w:jc w:val="center"/>
              <w:rPr>
                <w:lang w:val="en-US"/>
              </w:rPr>
            </w:pPr>
            <w:r w:rsidRPr="00051297">
              <w:rPr>
                <w:lang w:val="en-US"/>
              </w:rPr>
              <w:t>Unit</w:t>
            </w:r>
          </w:p>
        </w:tc>
        <w:tc>
          <w:tcPr>
            <w:tcW w:w="810" w:type="dxa"/>
            <w:noWrap/>
            <w:hideMark/>
          </w:tcPr>
          <w:p w14:paraId="0FECDC94" w14:textId="77777777" w:rsidR="00051297" w:rsidRPr="00051297" w:rsidRDefault="00051297" w:rsidP="00051297">
            <w:pPr>
              <w:spacing w:line="240" w:lineRule="auto"/>
              <w:ind w:firstLine="0"/>
              <w:jc w:val="center"/>
              <w:rPr>
                <w:lang w:val="en-US"/>
              </w:rPr>
            </w:pPr>
            <w:r w:rsidRPr="00051297">
              <w:rPr>
                <w:lang w:val="en-US"/>
              </w:rPr>
              <w:t>Value</w:t>
            </w:r>
          </w:p>
        </w:tc>
      </w:tr>
      <w:tr w:rsidR="00051297" w:rsidRPr="00051297" w14:paraId="0225989F" w14:textId="77777777" w:rsidTr="00D20B01">
        <w:trPr>
          <w:trHeight w:val="300"/>
          <w:jc w:val="center"/>
        </w:trPr>
        <w:tc>
          <w:tcPr>
            <w:tcW w:w="4010" w:type="dxa"/>
            <w:noWrap/>
            <w:hideMark/>
          </w:tcPr>
          <w:p w14:paraId="2A8932CC" w14:textId="77777777" w:rsidR="00051297" w:rsidRPr="00051297" w:rsidRDefault="00051297" w:rsidP="00051297">
            <w:pPr>
              <w:spacing w:line="240" w:lineRule="auto"/>
              <w:ind w:firstLine="0"/>
              <w:jc w:val="center"/>
              <w:rPr>
                <w:lang w:val="en-US"/>
              </w:rPr>
            </w:pPr>
            <w:r w:rsidRPr="00051297">
              <w:rPr>
                <w:lang w:val="en-US"/>
              </w:rPr>
              <w:t>Crest length</w:t>
            </w:r>
          </w:p>
        </w:tc>
        <w:tc>
          <w:tcPr>
            <w:tcW w:w="1840" w:type="dxa"/>
            <w:noWrap/>
            <w:hideMark/>
          </w:tcPr>
          <w:p w14:paraId="6C6E7F78" w14:textId="77777777" w:rsidR="00051297" w:rsidRPr="00051297" w:rsidRDefault="00051297" w:rsidP="00051297">
            <w:pPr>
              <w:spacing w:line="240" w:lineRule="auto"/>
              <w:ind w:firstLine="0"/>
              <w:jc w:val="center"/>
              <w:rPr>
                <w:lang w:val="en-US"/>
              </w:rPr>
            </w:pPr>
            <w:r w:rsidRPr="00051297">
              <w:rPr>
                <w:lang w:val="en-US"/>
              </w:rPr>
              <w:t>m</w:t>
            </w:r>
          </w:p>
        </w:tc>
        <w:tc>
          <w:tcPr>
            <w:tcW w:w="810" w:type="dxa"/>
            <w:noWrap/>
            <w:hideMark/>
          </w:tcPr>
          <w:p w14:paraId="661D03BF" w14:textId="77777777" w:rsidR="00051297" w:rsidRPr="00051297" w:rsidRDefault="00051297" w:rsidP="00051297">
            <w:pPr>
              <w:spacing w:line="240" w:lineRule="auto"/>
              <w:ind w:firstLine="0"/>
              <w:jc w:val="center"/>
              <w:rPr>
                <w:lang w:val="en-US"/>
              </w:rPr>
            </w:pPr>
            <w:r w:rsidRPr="00051297">
              <w:rPr>
                <w:lang w:val="en-US"/>
              </w:rPr>
              <w:t>5300</w:t>
            </w:r>
          </w:p>
        </w:tc>
      </w:tr>
      <w:tr w:rsidR="00051297" w:rsidRPr="00051297" w14:paraId="7C1715AC" w14:textId="77777777" w:rsidTr="00D20B01">
        <w:trPr>
          <w:trHeight w:val="300"/>
          <w:jc w:val="center"/>
        </w:trPr>
        <w:tc>
          <w:tcPr>
            <w:tcW w:w="4010" w:type="dxa"/>
            <w:noWrap/>
            <w:hideMark/>
          </w:tcPr>
          <w:p w14:paraId="775CC441" w14:textId="77777777" w:rsidR="00051297" w:rsidRPr="00051297" w:rsidRDefault="00051297" w:rsidP="00051297">
            <w:pPr>
              <w:spacing w:line="240" w:lineRule="auto"/>
              <w:ind w:firstLine="0"/>
              <w:jc w:val="center"/>
              <w:rPr>
                <w:lang w:val="en-US"/>
              </w:rPr>
            </w:pPr>
            <w:r w:rsidRPr="00051297">
              <w:rPr>
                <w:lang w:val="en-US"/>
              </w:rPr>
              <w:t>Crest level</w:t>
            </w:r>
          </w:p>
        </w:tc>
        <w:tc>
          <w:tcPr>
            <w:tcW w:w="1840" w:type="dxa"/>
            <w:noWrap/>
            <w:hideMark/>
          </w:tcPr>
          <w:p w14:paraId="3CE1F02C" w14:textId="5E5777C2" w:rsidR="00051297" w:rsidRPr="00051297" w:rsidRDefault="009D76FB" w:rsidP="00051297">
            <w:pPr>
              <w:spacing w:line="240" w:lineRule="auto"/>
              <w:ind w:firstLine="0"/>
              <w:jc w:val="center"/>
              <w:rPr>
                <w:lang w:val="en-US"/>
              </w:rPr>
            </w:pPr>
            <w:r>
              <w:rPr>
                <w:lang w:val="en-US"/>
              </w:rPr>
              <w:t>m.a.s.l.</w:t>
            </w:r>
          </w:p>
        </w:tc>
        <w:tc>
          <w:tcPr>
            <w:tcW w:w="810" w:type="dxa"/>
            <w:noWrap/>
            <w:hideMark/>
          </w:tcPr>
          <w:p w14:paraId="42C78A72" w14:textId="77777777" w:rsidR="00051297" w:rsidRPr="00051297" w:rsidRDefault="00051297" w:rsidP="00051297">
            <w:pPr>
              <w:spacing w:line="240" w:lineRule="auto"/>
              <w:ind w:firstLine="0"/>
              <w:jc w:val="center"/>
              <w:rPr>
                <w:lang w:val="en-US"/>
              </w:rPr>
            </w:pPr>
            <w:r w:rsidRPr="00051297">
              <w:rPr>
                <w:lang w:val="en-US"/>
              </w:rPr>
              <w:t>254.5</w:t>
            </w:r>
          </w:p>
        </w:tc>
      </w:tr>
      <w:tr w:rsidR="00051297" w:rsidRPr="00051297" w14:paraId="0D12986E" w14:textId="77777777" w:rsidTr="00D20B01">
        <w:trPr>
          <w:trHeight w:val="300"/>
          <w:jc w:val="center"/>
        </w:trPr>
        <w:tc>
          <w:tcPr>
            <w:tcW w:w="4010" w:type="dxa"/>
            <w:noWrap/>
            <w:hideMark/>
          </w:tcPr>
          <w:p w14:paraId="1CA754A8" w14:textId="77777777" w:rsidR="00051297" w:rsidRPr="00051297" w:rsidRDefault="00051297" w:rsidP="00051297">
            <w:pPr>
              <w:spacing w:line="240" w:lineRule="auto"/>
              <w:ind w:firstLine="0"/>
              <w:jc w:val="center"/>
              <w:rPr>
                <w:lang w:val="en-US"/>
              </w:rPr>
            </w:pPr>
            <w:r w:rsidRPr="00051297">
              <w:rPr>
                <w:lang w:val="en-US"/>
              </w:rPr>
              <w:t>Parapet level</w:t>
            </w:r>
          </w:p>
        </w:tc>
        <w:tc>
          <w:tcPr>
            <w:tcW w:w="1840" w:type="dxa"/>
            <w:noWrap/>
            <w:hideMark/>
          </w:tcPr>
          <w:p w14:paraId="5A677D88" w14:textId="2084445E" w:rsidR="00051297" w:rsidRPr="00051297" w:rsidRDefault="009D76FB" w:rsidP="00051297">
            <w:pPr>
              <w:spacing w:line="240" w:lineRule="auto"/>
              <w:ind w:firstLine="0"/>
              <w:jc w:val="center"/>
              <w:rPr>
                <w:lang w:val="en-US"/>
              </w:rPr>
            </w:pPr>
            <w:r>
              <w:rPr>
                <w:lang w:val="en-US"/>
              </w:rPr>
              <w:t>m.a.s.l.</w:t>
            </w:r>
          </w:p>
        </w:tc>
        <w:tc>
          <w:tcPr>
            <w:tcW w:w="810" w:type="dxa"/>
            <w:noWrap/>
            <w:hideMark/>
          </w:tcPr>
          <w:p w14:paraId="4F47B5B4" w14:textId="77777777" w:rsidR="00051297" w:rsidRPr="00051297" w:rsidRDefault="00051297" w:rsidP="00051297">
            <w:pPr>
              <w:spacing w:line="240" w:lineRule="auto"/>
              <w:ind w:firstLine="0"/>
              <w:jc w:val="center"/>
              <w:rPr>
                <w:lang w:val="en-US"/>
              </w:rPr>
            </w:pPr>
            <w:r w:rsidRPr="00051297">
              <w:rPr>
                <w:lang w:val="en-US"/>
              </w:rPr>
              <w:t>255.5</w:t>
            </w:r>
          </w:p>
        </w:tc>
      </w:tr>
      <w:tr w:rsidR="00051297" w:rsidRPr="00051297" w14:paraId="66322C87" w14:textId="77777777" w:rsidTr="00D20B01">
        <w:trPr>
          <w:trHeight w:val="300"/>
          <w:jc w:val="center"/>
        </w:trPr>
        <w:tc>
          <w:tcPr>
            <w:tcW w:w="4010" w:type="dxa"/>
            <w:noWrap/>
            <w:hideMark/>
          </w:tcPr>
          <w:p w14:paraId="1D6E65DE" w14:textId="77777777" w:rsidR="00051297" w:rsidRPr="00051297" w:rsidRDefault="00051297" w:rsidP="00051297">
            <w:pPr>
              <w:spacing w:line="240" w:lineRule="auto"/>
              <w:ind w:firstLine="0"/>
              <w:jc w:val="center"/>
              <w:rPr>
                <w:lang w:val="en-US"/>
              </w:rPr>
            </w:pPr>
            <w:r w:rsidRPr="00051297">
              <w:rPr>
                <w:lang w:val="en-US"/>
              </w:rPr>
              <w:t>Height of Embankment</w:t>
            </w:r>
          </w:p>
        </w:tc>
        <w:tc>
          <w:tcPr>
            <w:tcW w:w="1840" w:type="dxa"/>
            <w:noWrap/>
            <w:hideMark/>
          </w:tcPr>
          <w:p w14:paraId="2F46A814" w14:textId="77777777" w:rsidR="00051297" w:rsidRPr="00051297" w:rsidRDefault="00051297" w:rsidP="00051297">
            <w:pPr>
              <w:spacing w:line="240" w:lineRule="auto"/>
              <w:ind w:firstLine="0"/>
              <w:jc w:val="center"/>
              <w:rPr>
                <w:lang w:val="en-US"/>
              </w:rPr>
            </w:pPr>
            <w:r w:rsidRPr="00051297">
              <w:rPr>
                <w:lang w:val="en-US"/>
              </w:rPr>
              <w:t>m</w:t>
            </w:r>
          </w:p>
        </w:tc>
        <w:tc>
          <w:tcPr>
            <w:tcW w:w="810" w:type="dxa"/>
            <w:noWrap/>
            <w:hideMark/>
          </w:tcPr>
          <w:p w14:paraId="44AAC41C" w14:textId="77777777" w:rsidR="00051297" w:rsidRPr="00051297" w:rsidRDefault="00051297" w:rsidP="00051297">
            <w:pPr>
              <w:spacing w:line="240" w:lineRule="auto"/>
              <w:ind w:firstLine="0"/>
              <w:jc w:val="center"/>
              <w:rPr>
                <w:lang w:val="en-US"/>
              </w:rPr>
            </w:pPr>
            <w:r w:rsidRPr="00051297">
              <w:rPr>
                <w:lang w:val="en-US"/>
              </w:rPr>
              <w:t>28.5</w:t>
            </w:r>
          </w:p>
        </w:tc>
      </w:tr>
      <w:tr w:rsidR="00051297" w:rsidRPr="00051297" w14:paraId="55A10A35" w14:textId="77777777" w:rsidTr="00D20B01">
        <w:trPr>
          <w:trHeight w:val="300"/>
          <w:jc w:val="center"/>
        </w:trPr>
        <w:tc>
          <w:tcPr>
            <w:tcW w:w="4010" w:type="dxa"/>
            <w:noWrap/>
            <w:hideMark/>
          </w:tcPr>
          <w:p w14:paraId="2DE32663" w14:textId="77777777" w:rsidR="00051297" w:rsidRPr="00051297" w:rsidRDefault="00051297" w:rsidP="00051297">
            <w:pPr>
              <w:spacing w:line="240" w:lineRule="auto"/>
              <w:ind w:firstLine="0"/>
              <w:jc w:val="center"/>
              <w:rPr>
                <w:lang w:val="en-US"/>
              </w:rPr>
            </w:pPr>
            <w:r w:rsidRPr="00051297">
              <w:rPr>
                <w:lang w:val="en-US"/>
              </w:rPr>
              <w:t>Crest width</w:t>
            </w:r>
          </w:p>
        </w:tc>
        <w:tc>
          <w:tcPr>
            <w:tcW w:w="1840" w:type="dxa"/>
            <w:noWrap/>
            <w:hideMark/>
          </w:tcPr>
          <w:p w14:paraId="7E447AA7" w14:textId="77777777" w:rsidR="00051297" w:rsidRPr="00051297" w:rsidRDefault="00051297" w:rsidP="00051297">
            <w:pPr>
              <w:spacing w:line="240" w:lineRule="auto"/>
              <w:ind w:firstLine="0"/>
              <w:jc w:val="center"/>
              <w:rPr>
                <w:lang w:val="en-US"/>
              </w:rPr>
            </w:pPr>
            <w:r w:rsidRPr="00051297">
              <w:rPr>
                <w:lang w:val="en-US"/>
              </w:rPr>
              <w:t>m</w:t>
            </w:r>
          </w:p>
        </w:tc>
        <w:tc>
          <w:tcPr>
            <w:tcW w:w="810" w:type="dxa"/>
            <w:noWrap/>
            <w:hideMark/>
          </w:tcPr>
          <w:p w14:paraId="24225EF1" w14:textId="77777777" w:rsidR="00051297" w:rsidRPr="00051297" w:rsidRDefault="00051297" w:rsidP="00051297">
            <w:pPr>
              <w:spacing w:line="240" w:lineRule="auto"/>
              <w:ind w:firstLine="0"/>
              <w:jc w:val="center"/>
              <w:rPr>
                <w:lang w:val="en-US"/>
              </w:rPr>
            </w:pPr>
            <w:r w:rsidRPr="00051297">
              <w:rPr>
                <w:lang w:val="en-US"/>
              </w:rPr>
              <w:t>12.6</w:t>
            </w:r>
          </w:p>
        </w:tc>
      </w:tr>
      <w:tr w:rsidR="00051297" w:rsidRPr="00051297" w14:paraId="79592ADF" w14:textId="77777777" w:rsidTr="00D20B01">
        <w:trPr>
          <w:trHeight w:val="300"/>
          <w:jc w:val="center"/>
        </w:trPr>
        <w:tc>
          <w:tcPr>
            <w:tcW w:w="4010" w:type="dxa"/>
            <w:noWrap/>
            <w:hideMark/>
          </w:tcPr>
          <w:p w14:paraId="1E11781C" w14:textId="77777777" w:rsidR="00051297" w:rsidRPr="00051297" w:rsidRDefault="00051297" w:rsidP="00051297">
            <w:pPr>
              <w:spacing w:line="240" w:lineRule="auto"/>
              <w:ind w:firstLine="0"/>
              <w:jc w:val="center"/>
              <w:rPr>
                <w:lang w:val="en-US"/>
              </w:rPr>
            </w:pPr>
            <w:r w:rsidRPr="00051297">
              <w:rPr>
                <w:lang w:val="en-US"/>
              </w:rPr>
              <w:t>Upstream slope and downstream slopes</w:t>
            </w:r>
          </w:p>
        </w:tc>
        <w:tc>
          <w:tcPr>
            <w:tcW w:w="1840" w:type="dxa"/>
            <w:noWrap/>
            <w:hideMark/>
          </w:tcPr>
          <w:p w14:paraId="1F399062" w14:textId="77777777" w:rsidR="00051297" w:rsidRPr="00051297" w:rsidRDefault="00051297" w:rsidP="00051297">
            <w:pPr>
              <w:spacing w:line="240" w:lineRule="auto"/>
              <w:ind w:firstLine="0"/>
              <w:jc w:val="center"/>
              <w:rPr>
                <w:lang w:val="en-US"/>
              </w:rPr>
            </w:pPr>
            <w:r w:rsidRPr="00051297">
              <w:rPr>
                <w:lang w:val="en-US"/>
              </w:rPr>
              <w:t>Upper berm</w:t>
            </w:r>
          </w:p>
        </w:tc>
        <w:tc>
          <w:tcPr>
            <w:tcW w:w="810" w:type="dxa"/>
            <w:noWrap/>
            <w:hideMark/>
          </w:tcPr>
          <w:p w14:paraId="7E64BAA4" w14:textId="77777777" w:rsidR="00051297" w:rsidRPr="00051297" w:rsidRDefault="00051297" w:rsidP="00051297">
            <w:pPr>
              <w:spacing w:line="240" w:lineRule="auto"/>
              <w:ind w:firstLine="0"/>
              <w:jc w:val="center"/>
              <w:rPr>
                <w:lang w:val="en-US"/>
              </w:rPr>
            </w:pPr>
            <w:r w:rsidRPr="00051297">
              <w:rPr>
                <w:lang w:val="en-US"/>
              </w:rPr>
              <w:t>1:4</w:t>
            </w:r>
          </w:p>
        </w:tc>
      </w:tr>
      <w:tr w:rsidR="00051297" w:rsidRPr="00051297" w14:paraId="219E6E09" w14:textId="77777777" w:rsidTr="00D20B01">
        <w:trPr>
          <w:trHeight w:val="300"/>
          <w:jc w:val="center"/>
        </w:trPr>
        <w:tc>
          <w:tcPr>
            <w:tcW w:w="4010" w:type="dxa"/>
            <w:noWrap/>
            <w:hideMark/>
          </w:tcPr>
          <w:p w14:paraId="6CCEB29B" w14:textId="77777777" w:rsidR="00051297" w:rsidRPr="00051297" w:rsidRDefault="00051297" w:rsidP="00051297">
            <w:pPr>
              <w:spacing w:line="240" w:lineRule="auto"/>
              <w:ind w:firstLine="0"/>
              <w:jc w:val="center"/>
              <w:rPr>
                <w:lang w:val="en-US"/>
              </w:rPr>
            </w:pPr>
          </w:p>
        </w:tc>
        <w:tc>
          <w:tcPr>
            <w:tcW w:w="1840" w:type="dxa"/>
            <w:noWrap/>
            <w:hideMark/>
          </w:tcPr>
          <w:p w14:paraId="50A6DF6A" w14:textId="77777777" w:rsidR="00051297" w:rsidRPr="00051297" w:rsidRDefault="00051297" w:rsidP="00051297">
            <w:pPr>
              <w:spacing w:line="240" w:lineRule="auto"/>
              <w:ind w:firstLine="0"/>
              <w:jc w:val="center"/>
              <w:rPr>
                <w:lang w:val="en-US"/>
              </w:rPr>
            </w:pPr>
            <w:r w:rsidRPr="00051297">
              <w:rPr>
                <w:lang w:val="en-US"/>
              </w:rPr>
              <w:t>Lower berm</w:t>
            </w:r>
          </w:p>
        </w:tc>
        <w:tc>
          <w:tcPr>
            <w:tcW w:w="810" w:type="dxa"/>
            <w:noWrap/>
            <w:hideMark/>
          </w:tcPr>
          <w:p w14:paraId="2CD5D022" w14:textId="77777777" w:rsidR="00051297" w:rsidRPr="00051297" w:rsidRDefault="00051297" w:rsidP="00051297">
            <w:pPr>
              <w:spacing w:line="240" w:lineRule="auto"/>
              <w:ind w:firstLine="0"/>
              <w:jc w:val="center"/>
              <w:rPr>
                <w:lang w:val="en-US"/>
              </w:rPr>
            </w:pPr>
            <w:r w:rsidRPr="00051297">
              <w:rPr>
                <w:lang w:val="en-US"/>
              </w:rPr>
              <w:t>1:4.5</w:t>
            </w:r>
          </w:p>
        </w:tc>
      </w:tr>
    </w:tbl>
    <w:p w14:paraId="55F02643" w14:textId="77777777" w:rsidR="00051297" w:rsidRPr="00051297" w:rsidRDefault="00051297" w:rsidP="00051297">
      <w:pPr>
        <w:rPr>
          <w:lang w:val="en-US"/>
        </w:rPr>
      </w:pPr>
      <w:bookmarkStart w:id="1506" w:name="_Toc97504892"/>
    </w:p>
    <w:p w14:paraId="78F8ADC1" w14:textId="3C071E95" w:rsidR="00051297" w:rsidRPr="00051297" w:rsidRDefault="00051297" w:rsidP="00141AA5">
      <w:pPr>
        <w:pStyle w:val="4"/>
        <w:rPr>
          <w:lang w:val="en-US"/>
        </w:rPr>
      </w:pPr>
      <w:bookmarkStart w:id="1507" w:name="_Toc103544030"/>
      <w:bookmarkStart w:id="1508" w:name="_Toc104985355"/>
      <w:r w:rsidRPr="00051297">
        <w:rPr>
          <w:rFonts w:eastAsiaTheme="minorEastAsia"/>
          <w:lang w:val="en-US"/>
        </w:rPr>
        <w:t>Materials and Properties of Construction</w:t>
      </w:r>
      <w:bookmarkEnd w:id="1506"/>
      <w:bookmarkEnd w:id="1507"/>
      <w:bookmarkEnd w:id="1508"/>
    </w:p>
    <w:p w14:paraId="772EC803" w14:textId="674185A1" w:rsidR="00051297" w:rsidRPr="00051297" w:rsidRDefault="00051297" w:rsidP="00051297">
      <w:pPr>
        <w:rPr>
          <w:rFonts w:eastAsiaTheme="minorEastAsia" w:cs="Times New Roman"/>
          <w:szCs w:val="24"/>
          <w:lang w:val="en-US"/>
        </w:rPr>
      </w:pPr>
      <w:r w:rsidRPr="00051297">
        <w:rPr>
          <w:rFonts w:eastAsiaTheme="minorEastAsia" w:cs="Times New Roman"/>
          <w:szCs w:val="24"/>
          <w:lang w:val="en-US"/>
        </w:rPr>
        <w:fldChar w:fldCharType="begin"/>
      </w:r>
      <w:r w:rsidRPr="00051297">
        <w:rPr>
          <w:rFonts w:eastAsiaTheme="minorEastAsia" w:cs="Times New Roman"/>
          <w:szCs w:val="24"/>
          <w:lang w:val="en-US"/>
        </w:rPr>
        <w:instrText xml:space="preserve"> REF _Ref98108788 \h </w:instrText>
      </w:r>
      <w:r w:rsidRPr="00051297">
        <w:rPr>
          <w:rFonts w:eastAsiaTheme="minorEastAsia" w:cs="Times New Roman"/>
          <w:szCs w:val="24"/>
          <w:lang w:val="en-US"/>
        </w:rPr>
      </w:r>
      <w:r w:rsidRPr="00051297">
        <w:rPr>
          <w:rFonts w:eastAsiaTheme="minorEastAsia" w:cs="Times New Roman"/>
          <w:szCs w:val="24"/>
          <w:lang w:val="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19</w:t>
      </w:r>
      <w:r w:rsidRPr="00051297">
        <w:rPr>
          <w:rFonts w:eastAsiaTheme="minorEastAsia" w:cs="Times New Roman"/>
          <w:szCs w:val="24"/>
          <w:lang w:val="en-US"/>
        </w:rPr>
        <w:fldChar w:fldCharType="end"/>
      </w:r>
      <w:r w:rsidRPr="00051297">
        <w:rPr>
          <w:rFonts w:eastAsiaTheme="minorEastAsia" w:cs="Times New Roman"/>
          <w:szCs w:val="24"/>
          <w:lang w:val="en-US"/>
        </w:rPr>
        <w:t xml:space="preserve"> lists the physical and mechanical qualities of the construction materials used in the design, as well as the material used in the embankment foundations.</w:t>
      </w:r>
    </w:p>
    <w:p w14:paraId="58BC0184" w14:textId="53EFCD7B" w:rsidR="00051297" w:rsidRPr="00051297" w:rsidRDefault="00051297" w:rsidP="00051297">
      <w:pPr>
        <w:rPr>
          <w:lang w:val="en-US"/>
        </w:rPr>
      </w:pPr>
      <w:bookmarkStart w:id="1509" w:name="_Ref98108788"/>
      <w:bookmarkStart w:id="1510" w:name="_Toc97077213"/>
      <w:bookmarkStart w:id="1511" w:name="_Toc103544274"/>
      <w:bookmarkStart w:id="1512" w:name="_Toc104985600"/>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19</w:t>
      </w:r>
      <w:r w:rsidRPr="00051297">
        <w:rPr>
          <w:lang w:val="en-US"/>
        </w:rPr>
        <w:fldChar w:fldCharType="end"/>
      </w:r>
      <w:bookmarkEnd w:id="1509"/>
      <w:r w:rsidRPr="00051297">
        <w:t xml:space="preserve"> </w:t>
      </w:r>
      <w:r w:rsidRPr="00051297">
        <w:rPr>
          <w:lang w:val="en-US"/>
        </w:rPr>
        <w:t>– General materials and properties</w:t>
      </w:r>
      <w:bookmarkEnd w:id="1510"/>
      <w:bookmarkEnd w:id="1511"/>
      <w:bookmarkEnd w:id="1512"/>
    </w:p>
    <w:tbl>
      <w:tblPr>
        <w:tblStyle w:val="a8"/>
        <w:tblW w:w="0" w:type="auto"/>
        <w:jc w:val="center"/>
        <w:tblLook w:val="04A0" w:firstRow="1" w:lastRow="0" w:firstColumn="1" w:lastColumn="0" w:noHBand="0" w:noVBand="1"/>
      </w:tblPr>
      <w:tblGrid>
        <w:gridCol w:w="2853"/>
        <w:gridCol w:w="2187"/>
        <w:gridCol w:w="786"/>
        <w:gridCol w:w="2094"/>
      </w:tblGrid>
      <w:tr w:rsidR="00051297" w:rsidRPr="00051297" w14:paraId="72ECAD32" w14:textId="77777777" w:rsidTr="00D20B01">
        <w:trPr>
          <w:trHeight w:val="514"/>
          <w:jc w:val="center"/>
        </w:trPr>
        <w:tc>
          <w:tcPr>
            <w:tcW w:w="2853" w:type="dxa"/>
            <w:vMerge w:val="restart"/>
            <w:hideMark/>
          </w:tcPr>
          <w:p w14:paraId="3F930A7B" w14:textId="77777777" w:rsidR="00051297" w:rsidRPr="00051297" w:rsidRDefault="00051297" w:rsidP="00051297">
            <w:pPr>
              <w:spacing w:line="240" w:lineRule="auto"/>
              <w:ind w:firstLine="0"/>
              <w:jc w:val="center"/>
              <w:rPr>
                <w:lang w:val="en-US"/>
              </w:rPr>
            </w:pPr>
            <w:r w:rsidRPr="00051297">
              <w:rPr>
                <w:lang w:val="en-US"/>
              </w:rPr>
              <w:t>Material</w:t>
            </w:r>
          </w:p>
        </w:tc>
        <w:tc>
          <w:tcPr>
            <w:tcW w:w="2187" w:type="dxa"/>
            <w:vMerge w:val="restart"/>
            <w:hideMark/>
          </w:tcPr>
          <w:p w14:paraId="0705EF3F" w14:textId="77777777" w:rsidR="00051297" w:rsidRPr="00051297" w:rsidRDefault="00051297" w:rsidP="00051297">
            <w:pPr>
              <w:spacing w:line="240" w:lineRule="auto"/>
              <w:ind w:firstLine="0"/>
              <w:jc w:val="center"/>
              <w:rPr>
                <w:lang w:val="en-US"/>
              </w:rPr>
            </w:pPr>
            <w:r w:rsidRPr="00051297">
              <w:rPr>
                <w:lang w:val="en-US"/>
              </w:rPr>
              <w:t>Dry density t/m</w:t>
            </w:r>
            <w:r w:rsidRPr="00051297">
              <w:rPr>
                <w:vertAlign w:val="superscript"/>
                <w:lang w:val="en-US"/>
              </w:rPr>
              <w:t>3</w:t>
            </w:r>
          </w:p>
        </w:tc>
        <w:tc>
          <w:tcPr>
            <w:tcW w:w="2880" w:type="dxa"/>
            <w:gridSpan w:val="2"/>
            <w:hideMark/>
          </w:tcPr>
          <w:p w14:paraId="09B80035" w14:textId="77777777" w:rsidR="00051297" w:rsidRPr="00051297" w:rsidRDefault="00051297" w:rsidP="00051297">
            <w:pPr>
              <w:spacing w:line="240" w:lineRule="auto"/>
              <w:ind w:firstLine="0"/>
              <w:jc w:val="center"/>
              <w:rPr>
                <w:lang w:val="en-US"/>
              </w:rPr>
            </w:pPr>
            <w:r w:rsidRPr="00051297">
              <w:rPr>
                <w:lang w:val="en-US"/>
              </w:rPr>
              <w:t>Strength parameters</w:t>
            </w:r>
          </w:p>
        </w:tc>
      </w:tr>
      <w:tr w:rsidR="00051297" w:rsidRPr="00051297" w14:paraId="643A23B9" w14:textId="77777777" w:rsidTr="00D20B01">
        <w:trPr>
          <w:trHeight w:val="315"/>
          <w:jc w:val="center"/>
        </w:trPr>
        <w:tc>
          <w:tcPr>
            <w:tcW w:w="2853" w:type="dxa"/>
            <w:vMerge/>
            <w:hideMark/>
          </w:tcPr>
          <w:p w14:paraId="7CBD3CFD" w14:textId="77777777" w:rsidR="00051297" w:rsidRPr="00051297" w:rsidRDefault="00051297" w:rsidP="00051297">
            <w:pPr>
              <w:spacing w:line="240" w:lineRule="auto"/>
              <w:ind w:firstLine="0"/>
              <w:jc w:val="center"/>
              <w:rPr>
                <w:lang w:val="en-US"/>
              </w:rPr>
            </w:pPr>
          </w:p>
        </w:tc>
        <w:tc>
          <w:tcPr>
            <w:tcW w:w="2187" w:type="dxa"/>
            <w:vMerge/>
            <w:hideMark/>
          </w:tcPr>
          <w:p w14:paraId="02D9B06C" w14:textId="77777777" w:rsidR="00051297" w:rsidRPr="00051297" w:rsidRDefault="00051297" w:rsidP="00051297">
            <w:pPr>
              <w:spacing w:line="240" w:lineRule="auto"/>
              <w:ind w:firstLine="0"/>
              <w:jc w:val="center"/>
              <w:rPr>
                <w:lang w:val="en-US"/>
              </w:rPr>
            </w:pPr>
          </w:p>
        </w:tc>
        <w:tc>
          <w:tcPr>
            <w:tcW w:w="786" w:type="dxa"/>
            <w:hideMark/>
          </w:tcPr>
          <w:p w14:paraId="7451D21C" w14:textId="77777777" w:rsidR="00051297" w:rsidRPr="00051297" w:rsidRDefault="00051297" w:rsidP="00051297">
            <w:pPr>
              <w:spacing w:line="240" w:lineRule="auto"/>
              <w:ind w:firstLine="0"/>
              <w:jc w:val="center"/>
              <w:rPr>
                <w:lang w:val="en-US"/>
              </w:rPr>
            </w:pPr>
            <w:r w:rsidRPr="00051297">
              <w:rPr>
                <w:lang w:val="en-US"/>
              </w:rPr>
              <w:t>tan φ</w:t>
            </w:r>
          </w:p>
        </w:tc>
        <w:tc>
          <w:tcPr>
            <w:tcW w:w="2094" w:type="dxa"/>
            <w:hideMark/>
          </w:tcPr>
          <w:p w14:paraId="01F662D5" w14:textId="77777777" w:rsidR="00051297" w:rsidRPr="00051297" w:rsidRDefault="00051297" w:rsidP="00051297">
            <w:pPr>
              <w:spacing w:line="240" w:lineRule="auto"/>
              <w:ind w:firstLine="0"/>
              <w:jc w:val="center"/>
              <w:rPr>
                <w:lang w:val="en-US"/>
              </w:rPr>
            </w:pPr>
            <w:r w:rsidRPr="00051297">
              <w:rPr>
                <w:lang w:val="en-US"/>
              </w:rPr>
              <w:t>kg/cm</w:t>
            </w:r>
            <w:r w:rsidRPr="00051297">
              <w:rPr>
                <w:vertAlign w:val="superscript"/>
                <w:lang w:val="en-US"/>
              </w:rPr>
              <w:t>2</w:t>
            </w:r>
          </w:p>
        </w:tc>
      </w:tr>
      <w:tr w:rsidR="00051297" w:rsidRPr="00051297" w14:paraId="3C5951A9" w14:textId="77777777" w:rsidTr="00D20B01">
        <w:trPr>
          <w:trHeight w:val="315"/>
          <w:jc w:val="center"/>
        </w:trPr>
        <w:tc>
          <w:tcPr>
            <w:tcW w:w="7920" w:type="dxa"/>
            <w:gridSpan w:val="4"/>
            <w:hideMark/>
          </w:tcPr>
          <w:p w14:paraId="25795FB4" w14:textId="77777777" w:rsidR="00051297" w:rsidRPr="00051297" w:rsidRDefault="00051297" w:rsidP="00051297">
            <w:pPr>
              <w:spacing w:line="240" w:lineRule="auto"/>
              <w:ind w:firstLine="0"/>
              <w:jc w:val="center"/>
              <w:rPr>
                <w:lang w:val="en-US"/>
              </w:rPr>
            </w:pPr>
            <w:r w:rsidRPr="00051297">
              <w:rPr>
                <w:lang w:val="en-US"/>
              </w:rPr>
              <w:t>Foundations</w:t>
            </w:r>
          </w:p>
        </w:tc>
      </w:tr>
      <w:tr w:rsidR="00051297" w:rsidRPr="00051297" w14:paraId="2E202C56" w14:textId="77777777" w:rsidTr="00D20B01">
        <w:trPr>
          <w:trHeight w:val="315"/>
          <w:jc w:val="center"/>
        </w:trPr>
        <w:tc>
          <w:tcPr>
            <w:tcW w:w="2853" w:type="dxa"/>
            <w:hideMark/>
          </w:tcPr>
          <w:p w14:paraId="499E8EFE" w14:textId="77777777" w:rsidR="00051297" w:rsidRPr="00051297" w:rsidRDefault="00051297" w:rsidP="00051297">
            <w:pPr>
              <w:spacing w:line="240" w:lineRule="auto"/>
              <w:ind w:firstLine="0"/>
              <w:jc w:val="center"/>
              <w:rPr>
                <w:lang w:val="en-US"/>
              </w:rPr>
            </w:pPr>
            <w:r w:rsidRPr="00051297">
              <w:rPr>
                <w:lang w:val="en-US"/>
              </w:rPr>
              <w:t>Clay</w:t>
            </w:r>
          </w:p>
        </w:tc>
        <w:tc>
          <w:tcPr>
            <w:tcW w:w="2187" w:type="dxa"/>
            <w:noWrap/>
            <w:hideMark/>
          </w:tcPr>
          <w:p w14:paraId="62E094DE" w14:textId="77777777" w:rsidR="00051297" w:rsidRPr="00051297" w:rsidRDefault="00051297" w:rsidP="00051297">
            <w:pPr>
              <w:spacing w:line="240" w:lineRule="auto"/>
              <w:ind w:firstLine="0"/>
              <w:jc w:val="center"/>
              <w:rPr>
                <w:lang w:val="en-US"/>
              </w:rPr>
            </w:pPr>
            <w:r w:rsidRPr="00051297">
              <w:rPr>
                <w:lang w:val="en-US"/>
              </w:rPr>
              <w:t>1.5</w:t>
            </w:r>
          </w:p>
        </w:tc>
        <w:tc>
          <w:tcPr>
            <w:tcW w:w="786" w:type="dxa"/>
            <w:noWrap/>
            <w:hideMark/>
          </w:tcPr>
          <w:p w14:paraId="5CBBE662" w14:textId="77777777" w:rsidR="00051297" w:rsidRPr="00051297" w:rsidRDefault="00051297" w:rsidP="00051297">
            <w:pPr>
              <w:spacing w:line="240" w:lineRule="auto"/>
              <w:ind w:firstLine="0"/>
              <w:jc w:val="center"/>
              <w:rPr>
                <w:lang w:val="en-US"/>
              </w:rPr>
            </w:pPr>
            <w:r w:rsidRPr="00051297">
              <w:rPr>
                <w:lang w:val="en-US"/>
              </w:rPr>
              <w:t>0.51</w:t>
            </w:r>
          </w:p>
        </w:tc>
        <w:tc>
          <w:tcPr>
            <w:tcW w:w="2094" w:type="dxa"/>
            <w:noWrap/>
            <w:hideMark/>
          </w:tcPr>
          <w:p w14:paraId="2F82205C" w14:textId="77777777" w:rsidR="00051297" w:rsidRPr="00051297" w:rsidRDefault="00051297" w:rsidP="00051297">
            <w:pPr>
              <w:spacing w:line="240" w:lineRule="auto"/>
              <w:ind w:firstLine="0"/>
              <w:jc w:val="center"/>
              <w:rPr>
                <w:lang w:val="en-US"/>
              </w:rPr>
            </w:pPr>
            <w:r w:rsidRPr="00051297">
              <w:rPr>
                <w:lang w:val="en-US"/>
              </w:rPr>
              <w:t>0.15</w:t>
            </w:r>
          </w:p>
        </w:tc>
      </w:tr>
      <w:tr w:rsidR="00051297" w:rsidRPr="00051297" w14:paraId="72ED74A9" w14:textId="77777777" w:rsidTr="00D20B01">
        <w:trPr>
          <w:trHeight w:val="315"/>
          <w:jc w:val="center"/>
        </w:trPr>
        <w:tc>
          <w:tcPr>
            <w:tcW w:w="2853" w:type="dxa"/>
            <w:hideMark/>
          </w:tcPr>
          <w:p w14:paraId="23519A96" w14:textId="77777777" w:rsidR="00051297" w:rsidRPr="00051297" w:rsidRDefault="00051297" w:rsidP="00051297">
            <w:pPr>
              <w:spacing w:line="240" w:lineRule="auto"/>
              <w:ind w:firstLine="0"/>
              <w:jc w:val="center"/>
              <w:rPr>
                <w:lang w:val="en-US"/>
              </w:rPr>
            </w:pPr>
            <w:r w:rsidRPr="00051297">
              <w:rPr>
                <w:lang w:val="en-US"/>
              </w:rPr>
              <w:t>Silt</w:t>
            </w:r>
          </w:p>
        </w:tc>
        <w:tc>
          <w:tcPr>
            <w:tcW w:w="2187" w:type="dxa"/>
            <w:noWrap/>
            <w:hideMark/>
          </w:tcPr>
          <w:p w14:paraId="0CA440F1" w14:textId="77777777" w:rsidR="00051297" w:rsidRPr="00051297" w:rsidRDefault="00051297" w:rsidP="00051297">
            <w:pPr>
              <w:spacing w:line="240" w:lineRule="auto"/>
              <w:ind w:firstLine="0"/>
              <w:jc w:val="center"/>
              <w:rPr>
                <w:lang w:val="en-US"/>
              </w:rPr>
            </w:pPr>
            <w:r w:rsidRPr="00051297">
              <w:rPr>
                <w:lang w:val="en-US"/>
              </w:rPr>
              <w:t>1.5</w:t>
            </w:r>
          </w:p>
        </w:tc>
        <w:tc>
          <w:tcPr>
            <w:tcW w:w="786" w:type="dxa"/>
            <w:noWrap/>
            <w:hideMark/>
          </w:tcPr>
          <w:p w14:paraId="145C05DD" w14:textId="77777777" w:rsidR="00051297" w:rsidRPr="00051297" w:rsidRDefault="00051297" w:rsidP="00051297">
            <w:pPr>
              <w:spacing w:line="240" w:lineRule="auto"/>
              <w:ind w:firstLine="0"/>
              <w:jc w:val="center"/>
              <w:rPr>
                <w:lang w:val="en-US"/>
              </w:rPr>
            </w:pPr>
            <w:r w:rsidRPr="00051297">
              <w:rPr>
                <w:lang w:val="en-US"/>
              </w:rPr>
              <w:t>0.51</w:t>
            </w:r>
          </w:p>
        </w:tc>
        <w:tc>
          <w:tcPr>
            <w:tcW w:w="2094" w:type="dxa"/>
            <w:noWrap/>
            <w:hideMark/>
          </w:tcPr>
          <w:p w14:paraId="2959BE7C" w14:textId="77777777" w:rsidR="00051297" w:rsidRPr="00051297" w:rsidRDefault="00051297" w:rsidP="00051297">
            <w:pPr>
              <w:spacing w:line="240" w:lineRule="auto"/>
              <w:ind w:firstLine="0"/>
              <w:jc w:val="center"/>
              <w:rPr>
                <w:lang w:val="en-US"/>
              </w:rPr>
            </w:pPr>
            <w:r w:rsidRPr="00051297">
              <w:rPr>
                <w:lang w:val="en-US"/>
              </w:rPr>
              <w:t>0.03</w:t>
            </w:r>
          </w:p>
        </w:tc>
      </w:tr>
      <w:tr w:rsidR="00051297" w:rsidRPr="00051297" w14:paraId="646B66A3" w14:textId="77777777" w:rsidTr="00D20B01">
        <w:trPr>
          <w:trHeight w:val="315"/>
          <w:jc w:val="center"/>
        </w:trPr>
        <w:tc>
          <w:tcPr>
            <w:tcW w:w="2853" w:type="dxa"/>
            <w:hideMark/>
          </w:tcPr>
          <w:p w14:paraId="1AA15A87" w14:textId="77777777" w:rsidR="00051297" w:rsidRPr="00051297" w:rsidRDefault="00051297" w:rsidP="00051297">
            <w:pPr>
              <w:spacing w:line="240" w:lineRule="auto"/>
              <w:ind w:firstLine="0"/>
              <w:jc w:val="center"/>
              <w:rPr>
                <w:lang w:val="en-US"/>
              </w:rPr>
            </w:pPr>
            <w:r w:rsidRPr="00051297">
              <w:rPr>
                <w:lang w:val="en-US"/>
              </w:rPr>
              <w:t>Sand</w:t>
            </w:r>
          </w:p>
        </w:tc>
        <w:tc>
          <w:tcPr>
            <w:tcW w:w="2187" w:type="dxa"/>
            <w:noWrap/>
            <w:hideMark/>
          </w:tcPr>
          <w:p w14:paraId="3B1AAC82" w14:textId="77777777" w:rsidR="00051297" w:rsidRPr="00051297" w:rsidRDefault="00051297" w:rsidP="00051297">
            <w:pPr>
              <w:spacing w:line="240" w:lineRule="auto"/>
              <w:ind w:firstLine="0"/>
              <w:jc w:val="center"/>
              <w:rPr>
                <w:lang w:val="en-US"/>
              </w:rPr>
            </w:pPr>
            <w:r w:rsidRPr="00051297">
              <w:rPr>
                <w:lang w:val="en-US"/>
              </w:rPr>
              <w:t>1.6</w:t>
            </w:r>
          </w:p>
        </w:tc>
        <w:tc>
          <w:tcPr>
            <w:tcW w:w="786" w:type="dxa"/>
            <w:noWrap/>
            <w:hideMark/>
          </w:tcPr>
          <w:p w14:paraId="0958CB4D" w14:textId="77777777" w:rsidR="00051297" w:rsidRPr="00051297" w:rsidRDefault="00051297" w:rsidP="00051297">
            <w:pPr>
              <w:spacing w:line="240" w:lineRule="auto"/>
              <w:ind w:firstLine="0"/>
              <w:jc w:val="center"/>
              <w:rPr>
                <w:lang w:val="en-US"/>
              </w:rPr>
            </w:pPr>
            <w:r w:rsidRPr="00051297">
              <w:rPr>
                <w:lang w:val="en-US"/>
              </w:rPr>
              <w:t>0.56</w:t>
            </w:r>
          </w:p>
        </w:tc>
        <w:tc>
          <w:tcPr>
            <w:tcW w:w="2094" w:type="dxa"/>
            <w:noWrap/>
            <w:hideMark/>
          </w:tcPr>
          <w:p w14:paraId="2E7BF4CF" w14:textId="77777777" w:rsidR="00051297" w:rsidRPr="00051297" w:rsidRDefault="00051297" w:rsidP="00051297">
            <w:pPr>
              <w:spacing w:line="240" w:lineRule="auto"/>
              <w:ind w:firstLine="0"/>
              <w:jc w:val="center"/>
              <w:rPr>
                <w:lang w:val="en-US"/>
              </w:rPr>
            </w:pPr>
            <w:r w:rsidRPr="00051297">
              <w:rPr>
                <w:lang w:val="en-US"/>
              </w:rPr>
              <w:t>0.158</w:t>
            </w:r>
          </w:p>
        </w:tc>
      </w:tr>
      <w:tr w:rsidR="00051297" w:rsidRPr="00051297" w14:paraId="42340D2A" w14:textId="77777777" w:rsidTr="00D20B01">
        <w:trPr>
          <w:trHeight w:val="315"/>
          <w:jc w:val="center"/>
        </w:trPr>
        <w:tc>
          <w:tcPr>
            <w:tcW w:w="7920" w:type="dxa"/>
            <w:gridSpan w:val="4"/>
            <w:hideMark/>
          </w:tcPr>
          <w:p w14:paraId="074D7953" w14:textId="77777777" w:rsidR="00051297" w:rsidRPr="00051297" w:rsidRDefault="00051297" w:rsidP="00051297">
            <w:pPr>
              <w:spacing w:line="240" w:lineRule="auto"/>
              <w:ind w:firstLine="0"/>
              <w:jc w:val="center"/>
              <w:rPr>
                <w:lang w:val="en-US"/>
              </w:rPr>
            </w:pPr>
            <w:r w:rsidRPr="00051297">
              <w:rPr>
                <w:lang w:val="en-US"/>
              </w:rPr>
              <w:t>Construction material</w:t>
            </w:r>
          </w:p>
        </w:tc>
      </w:tr>
      <w:tr w:rsidR="00051297" w:rsidRPr="00051297" w14:paraId="42FD015F" w14:textId="77777777" w:rsidTr="00D20B01">
        <w:trPr>
          <w:trHeight w:val="315"/>
          <w:jc w:val="center"/>
        </w:trPr>
        <w:tc>
          <w:tcPr>
            <w:tcW w:w="2853" w:type="dxa"/>
            <w:hideMark/>
          </w:tcPr>
          <w:p w14:paraId="61E9DDF2" w14:textId="77777777" w:rsidR="00051297" w:rsidRPr="00051297" w:rsidRDefault="00051297" w:rsidP="00051297">
            <w:pPr>
              <w:spacing w:line="240" w:lineRule="auto"/>
              <w:ind w:firstLine="0"/>
              <w:jc w:val="center"/>
              <w:rPr>
                <w:lang w:val="en-US"/>
              </w:rPr>
            </w:pPr>
            <w:r w:rsidRPr="00051297">
              <w:rPr>
                <w:lang w:val="en-US"/>
              </w:rPr>
              <w:t>River Bed</w:t>
            </w:r>
          </w:p>
        </w:tc>
        <w:tc>
          <w:tcPr>
            <w:tcW w:w="2187" w:type="dxa"/>
            <w:noWrap/>
            <w:hideMark/>
          </w:tcPr>
          <w:p w14:paraId="63F47703" w14:textId="77777777" w:rsidR="00051297" w:rsidRPr="00051297" w:rsidRDefault="00051297" w:rsidP="00051297">
            <w:pPr>
              <w:spacing w:line="240" w:lineRule="auto"/>
              <w:ind w:firstLine="0"/>
              <w:jc w:val="center"/>
              <w:rPr>
                <w:lang w:val="en-US"/>
              </w:rPr>
            </w:pPr>
            <w:r w:rsidRPr="00051297">
              <w:rPr>
                <w:lang w:val="en-US"/>
              </w:rPr>
              <w:t>1.39</w:t>
            </w:r>
          </w:p>
        </w:tc>
        <w:tc>
          <w:tcPr>
            <w:tcW w:w="786" w:type="dxa"/>
            <w:noWrap/>
            <w:hideMark/>
          </w:tcPr>
          <w:p w14:paraId="34868FB9" w14:textId="77777777" w:rsidR="00051297" w:rsidRPr="00051297" w:rsidRDefault="00051297" w:rsidP="00051297">
            <w:pPr>
              <w:spacing w:line="240" w:lineRule="auto"/>
              <w:ind w:firstLine="0"/>
              <w:jc w:val="center"/>
              <w:rPr>
                <w:lang w:val="en-US"/>
              </w:rPr>
            </w:pPr>
            <w:r w:rsidRPr="00051297">
              <w:rPr>
                <w:lang w:val="en-US"/>
              </w:rPr>
              <w:t>0.547</w:t>
            </w:r>
          </w:p>
        </w:tc>
        <w:tc>
          <w:tcPr>
            <w:tcW w:w="2094" w:type="dxa"/>
            <w:noWrap/>
            <w:hideMark/>
          </w:tcPr>
          <w:p w14:paraId="294479AF" w14:textId="77777777" w:rsidR="00051297" w:rsidRPr="00051297" w:rsidRDefault="00051297" w:rsidP="00051297">
            <w:pPr>
              <w:spacing w:line="240" w:lineRule="auto"/>
              <w:ind w:firstLine="0"/>
              <w:jc w:val="center"/>
              <w:rPr>
                <w:lang w:val="en-US"/>
              </w:rPr>
            </w:pPr>
            <w:r w:rsidRPr="00051297">
              <w:rPr>
                <w:lang w:val="en-US"/>
              </w:rPr>
              <w:t>0.122</w:t>
            </w:r>
          </w:p>
        </w:tc>
      </w:tr>
      <w:tr w:rsidR="00051297" w:rsidRPr="00051297" w14:paraId="2E906FD3" w14:textId="77777777" w:rsidTr="00D20B01">
        <w:trPr>
          <w:trHeight w:val="315"/>
          <w:jc w:val="center"/>
        </w:trPr>
        <w:tc>
          <w:tcPr>
            <w:tcW w:w="2853" w:type="dxa"/>
            <w:hideMark/>
          </w:tcPr>
          <w:p w14:paraId="7F2A6855" w14:textId="77777777" w:rsidR="00051297" w:rsidRPr="00051297" w:rsidRDefault="00051297" w:rsidP="00051297">
            <w:pPr>
              <w:spacing w:line="240" w:lineRule="auto"/>
              <w:ind w:firstLine="0"/>
              <w:jc w:val="center"/>
              <w:rPr>
                <w:lang w:val="en-US"/>
              </w:rPr>
            </w:pPr>
            <w:r w:rsidRPr="00051297">
              <w:rPr>
                <w:lang w:val="en-US"/>
              </w:rPr>
              <w:t>Flood-plain area</w:t>
            </w:r>
          </w:p>
        </w:tc>
        <w:tc>
          <w:tcPr>
            <w:tcW w:w="2187" w:type="dxa"/>
            <w:noWrap/>
            <w:hideMark/>
          </w:tcPr>
          <w:p w14:paraId="18F18861" w14:textId="77777777" w:rsidR="00051297" w:rsidRPr="00051297" w:rsidRDefault="00051297" w:rsidP="00051297">
            <w:pPr>
              <w:spacing w:line="240" w:lineRule="auto"/>
              <w:ind w:firstLine="0"/>
              <w:jc w:val="center"/>
              <w:rPr>
                <w:lang w:val="en-US"/>
              </w:rPr>
            </w:pPr>
            <w:r w:rsidRPr="00051297">
              <w:rPr>
                <w:lang w:val="en-US"/>
              </w:rPr>
              <w:t>1.39</w:t>
            </w:r>
          </w:p>
        </w:tc>
        <w:tc>
          <w:tcPr>
            <w:tcW w:w="786" w:type="dxa"/>
            <w:noWrap/>
            <w:hideMark/>
          </w:tcPr>
          <w:p w14:paraId="0509C2B0" w14:textId="77777777" w:rsidR="00051297" w:rsidRPr="00051297" w:rsidRDefault="00051297" w:rsidP="00051297">
            <w:pPr>
              <w:spacing w:line="240" w:lineRule="auto"/>
              <w:ind w:firstLine="0"/>
              <w:jc w:val="center"/>
              <w:rPr>
                <w:lang w:val="en-US"/>
              </w:rPr>
            </w:pPr>
            <w:r w:rsidRPr="00051297">
              <w:rPr>
                <w:lang w:val="en-US"/>
              </w:rPr>
              <w:t>0.544</w:t>
            </w:r>
          </w:p>
        </w:tc>
        <w:tc>
          <w:tcPr>
            <w:tcW w:w="2094" w:type="dxa"/>
            <w:noWrap/>
            <w:hideMark/>
          </w:tcPr>
          <w:p w14:paraId="627E9E6C" w14:textId="77777777" w:rsidR="00051297" w:rsidRPr="00051297" w:rsidRDefault="00051297" w:rsidP="00051297">
            <w:pPr>
              <w:spacing w:line="240" w:lineRule="auto"/>
              <w:ind w:firstLine="0"/>
              <w:jc w:val="center"/>
              <w:rPr>
                <w:lang w:val="en-US"/>
              </w:rPr>
            </w:pPr>
            <w:r w:rsidRPr="00051297">
              <w:rPr>
                <w:lang w:val="en-US"/>
              </w:rPr>
              <w:t>0.124</w:t>
            </w:r>
          </w:p>
        </w:tc>
      </w:tr>
      <w:tr w:rsidR="00051297" w:rsidRPr="00051297" w14:paraId="1ED3C48D" w14:textId="77777777" w:rsidTr="00D20B01">
        <w:trPr>
          <w:trHeight w:val="315"/>
          <w:jc w:val="center"/>
        </w:trPr>
        <w:tc>
          <w:tcPr>
            <w:tcW w:w="2853" w:type="dxa"/>
            <w:hideMark/>
          </w:tcPr>
          <w:p w14:paraId="761EBC47" w14:textId="77777777" w:rsidR="00051297" w:rsidRPr="00051297" w:rsidRDefault="00051297" w:rsidP="00051297">
            <w:pPr>
              <w:spacing w:line="240" w:lineRule="auto"/>
              <w:ind w:firstLine="0"/>
              <w:jc w:val="center"/>
              <w:rPr>
                <w:lang w:val="en-US"/>
              </w:rPr>
            </w:pPr>
            <w:r w:rsidRPr="00051297">
              <w:rPr>
                <w:lang w:val="en-US"/>
              </w:rPr>
              <w:t>Lacustrine area</w:t>
            </w:r>
          </w:p>
        </w:tc>
        <w:tc>
          <w:tcPr>
            <w:tcW w:w="2187" w:type="dxa"/>
            <w:noWrap/>
            <w:hideMark/>
          </w:tcPr>
          <w:p w14:paraId="1429ECB4" w14:textId="77777777" w:rsidR="00051297" w:rsidRPr="00051297" w:rsidRDefault="00051297" w:rsidP="00051297">
            <w:pPr>
              <w:spacing w:line="240" w:lineRule="auto"/>
              <w:ind w:firstLine="0"/>
              <w:jc w:val="center"/>
              <w:rPr>
                <w:lang w:val="en-US"/>
              </w:rPr>
            </w:pPr>
            <w:r w:rsidRPr="00051297">
              <w:rPr>
                <w:lang w:val="en-US"/>
              </w:rPr>
              <w:t>1.50</w:t>
            </w:r>
          </w:p>
        </w:tc>
        <w:tc>
          <w:tcPr>
            <w:tcW w:w="786" w:type="dxa"/>
            <w:noWrap/>
            <w:hideMark/>
          </w:tcPr>
          <w:p w14:paraId="276A6113" w14:textId="77777777" w:rsidR="00051297" w:rsidRPr="00051297" w:rsidRDefault="00051297" w:rsidP="00051297">
            <w:pPr>
              <w:spacing w:line="240" w:lineRule="auto"/>
              <w:ind w:firstLine="0"/>
              <w:jc w:val="center"/>
              <w:rPr>
                <w:lang w:val="en-US"/>
              </w:rPr>
            </w:pPr>
            <w:r w:rsidRPr="00051297">
              <w:rPr>
                <w:lang w:val="en-US"/>
              </w:rPr>
              <w:t>0.536</w:t>
            </w:r>
          </w:p>
        </w:tc>
        <w:tc>
          <w:tcPr>
            <w:tcW w:w="2094" w:type="dxa"/>
            <w:noWrap/>
            <w:hideMark/>
          </w:tcPr>
          <w:p w14:paraId="371AEBC5" w14:textId="77777777" w:rsidR="00051297" w:rsidRPr="00051297" w:rsidRDefault="00051297" w:rsidP="00051297">
            <w:pPr>
              <w:spacing w:line="240" w:lineRule="auto"/>
              <w:ind w:firstLine="0"/>
              <w:jc w:val="center"/>
              <w:rPr>
                <w:lang w:val="en-US"/>
              </w:rPr>
            </w:pPr>
            <w:r w:rsidRPr="00051297">
              <w:rPr>
                <w:lang w:val="en-US"/>
              </w:rPr>
              <w:t>0.117</w:t>
            </w:r>
          </w:p>
        </w:tc>
      </w:tr>
    </w:tbl>
    <w:p w14:paraId="3D2822D9" w14:textId="77777777" w:rsidR="00051297" w:rsidRPr="00051297" w:rsidRDefault="00051297" w:rsidP="00051297">
      <w:pPr>
        <w:rPr>
          <w:rFonts w:eastAsiaTheme="minorEastAsia" w:cs="Times New Roman"/>
          <w:color w:val="FF0000"/>
          <w:szCs w:val="24"/>
        </w:rPr>
      </w:pPr>
    </w:p>
    <w:p w14:paraId="47CDBF90" w14:textId="5C80E5F8" w:rsidR="00051297" w:rsidRPr="00051297" w:rsidRDefault="00051297" w:rsidP="00141AA5">
      <w:pPr>
        <w:pStyle w:val="4"/>
        <w:rPr>
          <w:rFonts w:eastAsiaTheme="minorEastAsia"/>
        </w:rPr>
      </w:pPr>
      <w:bookmarkStart w:id="1513" w:name="_Toc103544031"/>
      <w:bookmarkStart w:id="1514" w:name="_Toc104985356"/>
      <w:r w:rsidRPr="00051297">
        <w:rPr>
          <w:rFonts w:eastAsiaTheme="minorEastAsia"/>
        </w:rPr>
        <w:t>Cases investigated</w:t>
      </w:r>
      <w:bookmarkEnd w:id="1513"/>
      <w:bookmarkEnd w:id="1514"/>
    </w:p>
    <w:p w14:paraId="3B3AE442" w14:textId="11DE6748" w:rsidR="00051297" w:rsidRPr="00051297" w:rsidRDefault="00051297" w:rsidP="00051297">
      <w:pPr>
        <w:contextualSpacing/>
        <w:rPr>
          <w:rFonts w:eastAsiaTheme="minorEastAsia" w:cs="Times New Roman"/>
          <w:szCs w:val="24"/>
          <w:lang w:val="en-US"/>
        </w:rPr>
      </w:pPr>
      <w:r w:rsidRPr="00051297">
        <w:rPr>
          <w:rFonts w:eastAsiaTheme="minorEastAsia" w:cs="Times New Roman"/>
          <w:szCs w:val="24"/>
          <w:lang w:val="en-US"/>
        </w:rPr>
        <w:fldChar w:fldCharType="begin"/>
      </w:r>
      <w:r w:rsidRPr="00051297">
        <w:rPr>
          <w:rFonts w:eastAsiaTheme="minorEastAsia" w:cs="Times New Roman"/>
          <w:szCs w:val="24"/>
          <w:lang w:val="en-US"/>
        </w:rPr>
        <w:instrText xml:space="preserve"> REF _Ref98108817 \h </w:instrText>
      </w:r>
      <w:r w:rsidRPr="00051297">
        <w:rPr>
          <w:rFonts w:eastAsiaTheme="minorEastAsia" w:cs="Times New Roman"/>
          <w:szCs w:val="24"/>
          <w:lang w:val="en-US"/>
        </w:rPr>
      </w:r>
      <w:r w:rsidRPr="00051297">
        <w:rPr>
          <w:rFonts w:eastAsiaTheme="minorEastAsia" w:cs="Times New Roman"/>
          <w:szCs w:val="24"/>
          <w:lang w:val="en-US"/>
        </w:rPr>
        <w:fldChar w:fldCharType="separate"/>
      </w:r>
      <w:r w:rsidR="004870F1" w:rsidRPr="0079595C">
        <w:rPr>
          <w:lang w:val="en-US"/>
        </w:rPr>
        <w:t xml:space="preserve">Table </w:t>
      </w:r>
      <w:r w:rsidR="004870F1">
        <w:rPr>
          <w:noProof/>
          <w:lang w:val="en-US"/>
        </w:rPr>
        <w:t>5</w:t>
      </w:r>
      <w:r w:rsidR="004870F1" w:rsidRPr="0079595C">
        <w:rPr>
          <w:lang w:val="en-US"/>
        </w:rPr>
        <w:t>.</w:t>
      </w:r>
      <w:r w:rsidR="004870F1">
        <w:rPr>
          <w:noProof/>
          <w:lang w:val="en-US"/>
        </w:rPr>
        <w:t>20</w:t>
      </w:r>
      <w:r w:rsidRPr="00051297">
        <w:rPr>
          <w:rFonts w:eastAsiaTheme="minorEastAsia" w:cs="Times New Roman"/>
          <w:szCs w:val="24"/>
          <w:lang w:val="en-US"/>
        </w:rPr>
        <w:fldChar w:fldCharType="end"/>
      </w:r>
      <w:r w:rsidRPr="00051297">
        <w:rPr>
          <w:rFonts w:eastAsiaTheme="minorEastAsia" w:cs="Times New Roman"/>
          <w:szCs w:val="24"/>
          <w:lang w:val="en-US"/>
        </w:rPr>
        <w:t xml:space="preserve"> presents the different cases investigated in this study. In general, four (4) different cases were investigated based on the reservoir operating level. It has to be noted that one of the significant effects of the land use/land cover and climatic changes in the catchments is the changes in the reservoirs operating levels. When the catchment becomes more impervious, the streams receives more surface runoff than the underground flow. In such a phenomenon, there is </w:t>
      </w:r>
      <w:r w:rsidRPr="00051297">
        <w:rPr>
          <w:rFonts w:eastAsiaTheme="minorEastAsia" w:cs="Times New Roman"/>
          <w:szCs w:val="24"/>
          <w:lang w:val="en-US"/>
        </w:rPr>
        <w:lastRenderedPageBreak/>
        <w:t>a higher chance that the catchment will receive highly varied flows (high flows and low flows) while increasing the risk of the reservoir being subjected to long-term reduced operating water levels and long-term increased operating water level.</w:t>
      </w:r>
    </w:p>
    <w:p w14:paraId="5D5395DC" w14:textId="471ACF73" w:rsidR="00051297" w:rsidRPr="0079595C" w:rsidRDefault="00051297" w:rsidP="00051297">
      <w:pPr>
        <w:rPr>
          <w:lang w:val="en-US"/>
        </w:rPr>
      </w:pPr>
      <w:bookmarkStart w:id="1515" w:name="_Ref98108817"/>
      <w:bookmarkStart w:id="1516" w:name="_Toc103544275"/>
      <w:bookmarkStart w:id="1517" w:name="_Toc104985601"/>
      <w:r w:rsidRPr="0079595C">
        <w:rPr>
          <w:lang w:val="en-US"/>
        </w:rPr>
        <w:t xml:space="preserve">Table </w:t>
      </w:r>
      <w:r w:rsidR="00BF3324">
        <w:fldChar w:fldCharType="begin"/>
      </w:r>
      <w:r w:rsidR="00BF3324" w:rsidRPr="0079595C">
        <w:rPr>
          <w:lang w:val="en-US"/>
        </w:rPr>
        <w:instrText xml:space="preserve"> STYLEREF 1 \s </w:instrText>
      </w:r>
      <w:r w:rsidR="00BF3324">
        <w:fldChar w:fldCharType="separate"/>
      </w:r>
      <w:r w:rsidR="004870F1">
        <w:rPr>
          <w:noProof/>
          <w:lang w:val="en-US"/>
        </w:rPr>
        <w:t>5</w:t>
      </w:r>
      <w:r w:rsidR="00BF3324">
        <w:rPr>
          <w:noProof/>
        </w:rPr>
        <w:fldChar w:fldCharType="end"/>
      </w:r>
      <w:r w:rsidRPr="0079595C">
        <w:rPr>
          <w:lang w:val="en-US"/>
        </w:rPr>
        <w:t>.</w:t>
      </w:r>
      <w:r w:rsidR="00BF3324">
        <w:fldChar w:fldCharType="begin"/>
      </w:r>
      <w:r w:rsidR="00BF3324" w:rsidRPr="0079595C">
        <w:rPr>
          <w:lang w:val="en-US"/>
        </w:rPr>
        <w:instrText xml:space="preserve"> SEQ Table \* ARABIC \s 1 </w:instrText>
      </w:r>
      <w:r w:rsidR="00BF3324">
        <w:fldChar w:fldCharType="separate"/>
      </w:r>
      <w:r w:rsidR="004870F1">
        <w:rPr>
          <w:noProof/>
          <w:lang w:val="en-US"/>
        </w:rPr>
        <w:t>20</w:t>
      </w:r>
      <w:r w:rsidR="00BF3324">
        <w:rPr>
          <w:noProof/>
        </w:rPr>
        <w:fldChar w:fldCharType="end"/>
      </w:r>
      <w:bookmarkEnd w:id="1515"/>
      <w:r w:rsidRPr="0079595C">
        <w:rPr>
          <w:lang w:val="en-US"/>
        </w:rPr>
        <w:t xml:space="preserve"> – Cases used in the investigation process</w:t>
      </w:r>
      <w:bookmarkEnd w:id="1516"/>
      <w:bookmarkEnd w:id="1517"/>
    </w:p>
    <w:tbl>
      <w:tblPr>
        <w:tblStyle w:val="a8"/>
        <w:tblW w:w="0" w:type="auto"/>
        <w:tblLook w:val="04A0" w:firstRow="1" w:lastRow="0" w:firstColumn="1" w:lastColumn="0" w:noHBand="0" w:noVBand="1"/>
      </w:tblPr>
      <w:tblGrid>
        <w:gridCol w:w="1524"/>
        <w:gridCol w:w="2197"/>
        <w:gridCol w:w="5623"/>
      </w:tblGrid>
      <w:tr w:rsidR="00051297" w:rsidRPr="00051297" w14:paraId="11C6DF68" w14:textId="77777777" w:rsidTr="00D20B01">
        <w:trPr>
          <w:trHeight w:val="300"/>
        </w:trPr>
        <w:tc>
          <w:tcPr>
            <w:tcW w:w="1525" w:type="dxa"/>
            <w:noWrap/>
            <w:hideMark/>
          </w:tcPr>
          <w:p w14:paraId="6AA9099D" w14:textId="77777777" w:rsidR="00051297" w:rsidRPr="00051297" w:rsidRDefault="00051297" w:rsidP="00051297">
            <w:pPr>
              <w:spacing w:line="240" w:lineRule="auto"/>
              <w:ind w:firstLine="0"/>
              <w:jc w:val="center"/>
              <w:rPr>
                <w:lang w:val="en-US"/>
              </w:rPr>
            </w:pPr>
            <w:r w:rsidRPr="00051297">
              <w:rPr>
                <w:lang w:val="en-US"/>
              </w:rPr>
              <w:t>Case number</w:t>
            </w:r>
          </w:p>
        </w:tc>
        <w:tc>
          <w:tcPr>
            <w:tcW w:w="2198" w:type="dxa"/>
            <w:noWrap/>
            <w:hideMark/>
          </w:tcPr>
          <w:p w14:paraId="71E2AD11" w14:textId="77777777" w:rsidR="00051297" w:rsidRPr="00051297" w:rsidRDefault="00051297" w:rsidP="00051297">
            <w:pPr>
              <w:spacing w:line="240" w:lineRule="auto"/>
              <w:ind w:firstLine="0"/>
              <w:jc w:val="center"/>
              <w:rPr>
                <w:lang w:val="en-US"/>
              </w:rPr>
            </w:pPr>
            <w:r w:rsidRPr="00051297">
              <w:rPr>
                <w:lang w:val="en-US"/>
              </w:rPr>
              <w:t>Name</w:t>
            </w:r>
          </w:p>
        </w:tc>
        <w:tc>
          <w:tcPr>
            <w:tcW w:w="5627" w:type="dxa"/>
            <w:noWrap/>
            <w:hideMark/>
          </w:tcPr>
          <w:p w14:paraId="201647A2" w14:textId="77777777" w:rsidR="00051297" w:rsidRPr="00051297" w:rsidRDefault="00051297" w:rsidP="00051297">
            <w:pPr>
              <w:spacing w:line="240" w:lineRule="auto"/>
              <w:ind w:firstLine="0"/>
              <w:jc w:val="center"/>
              <w:rPr>
                <w:lang w:val="en-US"/>
              </w:rPr>
            </w:pPr>
            <w:r w:rsidRPr="00051297">
              <w:rPr>
                <w:lang w:val="en-US"/>
              </w:rPr>
              <w:t>Description</w:t>
            </w:r>
          </w:p>
        </w:tc>
      </w:tr>
      <w:tr w:rsidR="00051297" w:rsidRPr="00B167E1" w14:paraId="5424F8AF" w14:textId="77777777" w:rsidTr="00D20B01">
        <w:trPr>
          <w:trHeight w:val="300"/>
        </w:trPr>
        <w:tc>
          <w:tcPr>
            <w:tcW w:w="1525" w:type="dxa"/>
            <w:noWrap/>
            <w:hideMark/>
          </w:tcPr>
          <w:p w14:paraId="15754C2F" w14:textId="77777777" w:rsidR="00051297" w:rsidRPr="00051297" w:rsidRDefault="00051297" w:rsidP="00051297">
            <w:pPr>
              <w:spacing w:line="240" w:lineRule="auto"/>
              <w:ind w:firstLine="0"/>
              <w:jc w:val="center"/>
              <w:rPr>
                <w:lang w:val="en-US"/>
              </w:rPr>
            </w:pPr>
            <w:r w:rsidRPr="00051297">
              <w:rPr>
                <w:lang w:val="en-US"/>
              </w:rPr>
              <w:t>1</w:t>
            </w:r>
          </w:p>
        </w:tc>
        <w:tc>
          <w:tcPr>
            <w:tcW w:w="2198" w:type="dxa"/>
            <w:noWrap/>
            <w:hideMark/>
          </w:tcPr>
          <w:p w14:paraId="4FF871C7" w14:textId="77777777" w:rsidR="00051297" w:rsidRPr="00051297" w:rsidRDefault="00051297" w:rsidP="00051297">
            <w:pPr>
              <w:spacing w:line="240" w:lineRule="auto"/>
              <w:ind w:firstLine="0"/>
              <w:jc w:val="center"/>
              <w:rPr>
                <w:lang w:val="en-US"/>
              </w:rPr>
            </w:pPr>
            <w:r w:rsidRPr="00051297">
              <w:rPr>
                <w:lang w:val="en-US"/>
              </w:rPr>
              <w:t>Normal operating level</w:t>
            </w:r>
          </w:p>
        </w:tc>
        <w:tc>
          <w:tcPr>
            <w:tcW w:w="5627" w:type="dxa"/>
            <w:noWrap/>
            <w:hideMark/>
          </w:tcPr>
          <w:p w14:paraId="0931BCCF" w14:textId="77777777" w:rsidR="00051297" w:rsidRPr="00051297" w:rsidRDefault="00051297" w:rsidP="00051297">
            <w:pPr>
              <w:spacing w:line="240" w:lineRule="auto"/>
              <w:ind w:firstLine="0"/>
              <w:jc w:val="center"/>
              <w:rPr>
                <w:lang w:val="en-US"/>
              </w:rPr>
            </w:pPr>
            <w:r w:rsidRPr="00051297">
              <w:rPr>
                <w:lang w:val="en-US"/>
              </w:rPr>
              <w:t>Modeling is done based on the current reservoir operating level</w:t>
            </w:r>
          </w:p>
        </w:tc>
      </w:tr>
      <w:tr w:rsidR="00051297" w:rsidRPr="00B167E1" w14:paraId="37081FE6" w14:textId="77777777" w:rsidTr="00D20B01">
        <w:trPr>
          <w:trHeight w:val="300"/>
        </w:trPr>
        <w:tc>
          <w:tcPr>
            <w:tcW w:w="1525" w:type="dxa"/>
            <w:noWrap/>
            <w:hideMark/>
          </w:tcPr>
          <w:p w14:paraId="29654737" w14:textId="77777777" w:rsidR="00051297" w:rsidRPr="00051297" w:rsidRDefault="00051297" w:rsidP="00051297">
            <w:pPr>
              <w:spacing w:line="240" w:lineRule="auto"/>
              <w:ind w:firstLine="0"/>
              <w:jc w:val="center"/>
              <w:rPr>
                <w:lang w:val="en-US"/>
              </w:rPr>
            </w:pPr>
            <w:r w:rsidRPr="00051297">
              <w:rPr>
                <w:lang w:val="en-US"/>
              </w:rPr>
              <w:t>2</w:t>
            </w:r>
          </w:p>
        </w:tc>
        <w:tc>
          <w:tcPr>
            <w:tcW w:w="2198" w:type="dxa"/>
            <w:noWrap/>
            <w:hideMark/>
          </w:tcPr>
          <w:p w14:paraId="2D69C334" w14:textId="77777777" w:rsidR="00051297" w:rsidRPr="00051297" w:rsidRDefault="00051297" w:rsidP="00051297">
            <w:pPr>
              <w:spacing w:line="240" w:lineRule="auto"/>
              <w:ind w:firstLine="0"/>
              <w:jc w:val="center"/>
              <w:rPr>
                <w:lang w:val="en-US"/>
              </w:rPr>
            </w:pPr>
            <w:r w:rsidRPr="00051297">
              <w:rPr>
                <w:lang w:val="en-US"/>
              </w:rPr>
              <w:t xml:space="preserve">Reduced operating level </w:t>
            </w:r>
          </w:p>
        </w:tc>
        <w:tc>
          <w:tcPr>
            <w:tcW w:w="5627" w:type="dxa"/>
            <w:noWrap/>
            <w:hideMark/>
          </w:tcPr>
          <w:p w14:paraId="4D725A89" w14:textId="77777777" w:rsidR="00051297" w:rsidRPr="00051297" w:rsidRDefault="00051297" w:rsidP="00051297">
            <w:pPr>
              <w:spacing w:line="240" w:lineRule="auto"/>
              <w:ind w:firstLine="0"/>
              <w:jc w:val="center"/>
              <w:rPr>
                <w:lang w:val="en-US"/>
              </w:rPr>
            </w:pPr>
            <w:r w:rsidRPr="00051297">
              <w:rPr>
                <w:lang w:val="en-US"/>
              </w:rPr>
              <w:t>Modeling done with the long-term water level at the half of the embankment height</w:t>
            </w:r>
          </w:p>
        </w:tc>
      </w:tr>
      <w:tr w:rsidR="00051297" w:rsidRPr="00B167E1" w14:paraId="6E5A0D92" w14:textId="77777777" w:rsidTr="00D20B01">
        <w:trPr>
          <w:trHeight w:val="300"/>
        </w:trPr>
        <w:tc>
          <w:tcPr>
            <w:tcW w:w="1525" w:type="dxa"/>
            <w:noWrap/>
            <w:hideMark/>
          </w:tcPr>
          <w:p w14:paraId="4DBC8422" w14:textId="77777777" w:rsidR="00051297" w:rsidRPr="00051297" w:rsidRDefault="00051297" w:rsidP="00051297">
            <w:pPr>
              <w:spacing w:line="240" w:lineRule="auto"/>
              <w:ind w:firstLine="0"/>
              <w:jc w:val="center"/>
              <w:rPr>
                <w:lang w:val="en-US"/>
              </w:rPr>
            </w:pPr>
            <w:r w:rsidRPr="00051297">
              <w:rPr>
                <w:lang w:val="en-US"/>
              </w:rPr>
              <w:t>3</w:t>
            </w:r>
          </w:p>
        </w:tc>
        <w:tc>
          <w:tcPr>
            <w:tcW w:w="2198" w:type="dxa"/>
            <w:noWrap/>
            <w:hideMark/>
          </w:tcPr>
          <w:p w14:paraId="5425F46D" w14:textId="77777777" w:rsidR="00051297" w:rsidRPr="00051297" w:rsidRDefault="00051297" w:rsidP="00051297">
            <w:pPr>
              <w:spacing w:line="240" w:lineRule="auto"/>
              <w:ind w:firstLine="0"/>
              <w:jc w:val="center"/>
              <w:rPr>
                <w:lang w:val="en-US"/>
              </w:rPr>
            </w:pPr>
            <w:r w:rsidRPr="00051297">
              <w:rPr>
                <w:lang w:val="en-US"/>
              </w:rPr>
              <w:t>Maximum operating level</w:t>
            </w:r>
          </w:p>
        </w:tc>
        <w:tc>
          <w:tcPr>
            <w:tcW w:w="5627" w:type="dxa"/>
            <w:noWrap/>
            <w:hideMark/>
          </w:tcPr>
          <w:p w14:paraId="4F1EDEE6" w14:textId="77777777" w:rsidR="00051297" w:rsidRPr="00051297" w:rsidRDefault="00051297" w:rsidP="00051297">
            <w:pPr>
              <w:spacing w:line="240" w:lineRule="auto"/>
              <w:ind w:firstLine="0"/>
              <w:jc w:val="center"/>
              <w:rPr>
                <w:lang w:val="en-US"/>
              </w:rPr>
            </w:pPr>
            <w:r w:rsidRPr="00051297">
              <w:rPr>
                <w:lang w:val="en-US"/>
              </w:rPr>
              <w:t>Modeling is done based on the embankment's maximum height</w:t>
            </w:r>
          </w:p>
        </w:tc>
      </w:tr>
      <w:tr w:rsidR="00051297" w:rsidRPr="00B167E1" w14:paraId="07F6C450" w14:textId="77777777" w:rsidTr="00D20B01">
        <w:trPr>
          <w:trHeight w:val="300"/>
        </w:trPr>
        <w:tc>
          <w:tcPr>
            <w:tcW w:w="1525" w:type="dxa"/>
            <w:noWrap/>
            <w:hideMark/>
          </w:tcPr>
          <w:p w14:paraId="0FC78916" w14:textId="77777777" w:rsidR="00051297" w:rsidRPr="00051297" w:rsidRDefault="00051297" w:rsidP="00051297">
            <w:pPr>
              <w:spacing w:line="240" w:lineRule="auto"/>
              <w:ind w:firstLine="0"/>
              <w:jc w:val="center"/>
              <w:rPr>
                <w:lang w:val="en-US"/>
              </w:rPr>
            </w:pPr>
            <w:r w:rsidRPr="00051297">
              <w:rPr>
                <w:lang w:val="en-US"/>
              </w:rPr>
              <w:t>4</w:t>
            </w:r>
          </w:p>
        </w:tc>
        <w:tc>
          <w:tcPr>
            <w:tcW w:w="2198" w:type="dxa"/>
            <w:noWrap/>
            <w:hideMark/>
          </w:tcPr>
          <w:p w14:paraId="74E2CBF5" w14:textId="77777777" w:rsidR="00051297" w:rsidRPr="00051297" w:rsidRDefault="00051297" w:rsidP="00051297">
            <w:pPr>
              <w:spacing w:line="240" w:lineRule="auto"/>
              <w:ind w:firstLine="0"/>
              <w:jc w:val="center"/>
              <w:rPr>
                <w:lang w:val="en-US"/>
              </w:rPr>
            </w:pPr>
            <w:r w:rsidRPr="00051297">
              <w:rPr>
                <w:lang w:val="en-US"/>
              </w:rPr>
              <w:t>Maximum exceeded the operating level</w:t>
            </w:r>
          </w:p>
        </w:tc>
        <w:tc>
          <w:tcPr>
            <w:tcW w:w="5627" w:type="dxa"/>
            <w:noWrap/>
            <w:hideMark/>
          </w:tcPr>
          <w:p w14:paraId="3BB77455" w14:textId="77777777" w:rsidR="00051297" w:rsidRPr="00051297" w:rsidRDefault="00051297" w:rsidP="00051297">
            <w:pPr>
              <w:spacing w:line="240" w:lineRule="auto"/>
              <w:ind w:firstLine="0"/>
              <w:jc w:val="center"/>
              <w:rPr>
                <w:lang w:val="en-US"/>
              </w:rPr>
            </w:pPr>
            <w:r w:rsidRPr="00051297">
              <w:rPr>
                <w:lang w:val="en-US"/>
              </w:rPr>
              <w:t>Modeling is done based on the overflowing reservoir level</w:t>
            </w:r>
          </w:p>
        </w:tc>
      </w:tr>
    </w:tbl>
    <w:p w14:paraId="20D5E5F7" w14:textId="77777777" w:rsidR="00051297" w:rsidRPr="00051297" w:rsidRDefault="00051297" w:rsidP="00051297">
      <w:pPr>
        <w:contextualSpacing/>
        <w:rPr>
          <w:rFonts w:eastAsiaTheme="minorEastAsia" w:cs="Times New Roman"/>
          <w:szCs w:val="24"/>
          <w:lang w:val="en-US"/>
        </w:rPr>
      </w:pPr>
    </w:p>
    <w:p w14:paraId="48E3F159" w14:textId="6B026402" w:rsidR="00051297" w:rsidRPr="00051297" w:rsidRDefault="00051297" w:rsidP="00141AA5">
      <w:pPr>
        <w:pStyle w:val="4"/>
        <w:rPr>
          <w:rFonts w:eastAsiaTheme="minorEastAsia"/>
          <w:lang w:val="en-US"/>
        </w:rPr>
      </w:pPr>
      <w:bookmarkStart w:id="1518" w:name="_Toc103544032"/>
      <w:bookmarkStart w:id="1519" w:name="_Toc104985357"/>
      <w:r w:rsidRPr="00051297">
        <w:rPr>
          <w:rFonts w:eastAsiaTheme="minorEastAsia"/>
          <w:lang w:val="en-US"/>
        </w:rPr>
        <w:t>General modeling procedures</w:t>
      </w:r>
      <w:bookmarkEnd w:id="1518"/>
      <w:bookmarkEnd w:id="1519"/>
    </w:p>
    <w:p w14:paraId="6BAEBB25" w14:textId="1FAE7733" w:rsidR="00051297" w:rsidRPr="00051297" w:rsidRDefault="00051297" w:rsidP="00051297">
      <w:pPr>
        <w:rPr>
          <w:rFonts w:eastAsia="Calibri" w:cs="Times New Roman"/>
          <w:szCs w:val="24"/>
          <w:lang w:val="en-US"/>
        </w:rPr>
      </w:pPr>
      <w:r w:rsidRPr="00051297">
        <w:rPr>
          <w:rFonts w:eastAsia="Calibri" w:cs="Times New Roman"/>
          <w:szCs w:val="24"/>
          <w:lang w:val="en-US"/>
        </w:rPr>
        <w:t>The embankment geometry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_Ref98108936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57</w:t>
      </w:r>
      <w:r w:rsidRPr="00051297">
        <w:rPr>
          <w:rFonts w:eastAsia="Calibri" w:cs="Times New Roman"/>
          <w:szCs w:val="24"/>
          <w:lang w:val="en-US"/>
        </w:rPr>
        <w:fldChar w:fldCharType="end"/>
      </w:r>
      <w:r w:rsidRPr="00051297">
        <w:rPr>
          <w:rFonts w:eastAsia="Calibri" w:cs="Times New Roman"/>
          <w:szCs w:val="24"/>
          <w:lang w:val="en-US"/>
        </w:rPr>
        <w:t>) is divided into five zones, with zones 2a and 2b having material qualities that are similar. Each zone of the embankment was assigned distinct material properties, with zone 1 primarily consisting of coarse material mixed with fine materials (silt and clay fraction) under various saturated hydraulic conductivities (k</w:t>
      </w:r>
      <w:r w:rsidRPr="00051297">
        <w:rPr>
          <w:rFonts w:eastAsia="Calibri" w:cs="Times New Roman"/>
          <w:szCs w:val="24"/>
          <w:vertAlign w:val="subscript"/>
          <w:lang w:val="en-US"/>
        </w:rPr>
        <w:t>sat</w:t>
      </w:r>
      <w:r w:rsidRPr="00051297">
        <w:rPr>
          <w:rFonts w:eastAsia="Calibri" w:cs="Times New Roman"/>
          <w:szCs w:val="24"/>
          <w:lang w:val="en-US"/>
        </w:rPr>
        <w:t>) and liquid limits (w</w:t>
      </w:r>
      <w:r w:rsidRPr="00051297">
        <w:rPr>
          <w:rFonts w:eastAsia="Calibri" w:cs="Times New Roman"/>
          <w:szCs w:val="24"/>
          <w:vertAlign w:val="subscript"/>
          <w:lang w:val="en-US"/>
        </w:rPr>
        <w:t>L</w:t>
      </w:r>
      <w:r w:rsidRPr="00051297">
        <w:rPr>
          <w:rFonts w:eastAsia="Calibri" w:cs="Times New Roman"/>
          <w:szCs w:val="24"/>
          <w:lang w:val="en-US"/>
        </w:rPr>
        <w:t>) ranging from 25% to 45 %. Cohesive material, fine-grained material, and clay with varying k</w:t>
      </w:r>
      <w:r w:rsidRPr="00051297">
        <w:rPr>
          <w:rFonts w:eastAsia="Calibri" w:cs="Times New Roman"/>
          <w:szCs w:val="24"/>
          <w:vertAlign w:val="subscript"/>
          <w:lang w:val="en-US"/>
        </w:rPr>
        <w:t>sat</w:t>
      </w:r>
      <w:r w:rsidRPr="00051297">
        <w:rPr>
          <w:rFonts w:eastAsia="Calibri" w:cs="Times New Roman"/>
          <w:szCs w:val="24"/>
          <w:lang w:val="en-US"/>
        </w:rPr>
        <w:t xml:space="preserve"> values characterize Zone 2. Zones 2a and 2b are distinguished by non-cohesive soil and filter material (sand and gravel), whereas Zone 4 is distinguished by coarse material with a low fines concentration. </w:t>
      </w:r>
    </w:p>
    <w:p w14:paraId="294E7626" w14:textId="11DEF50F" w:rsidR="00051297" w:rsidRPr="00051297" w:rsidRDefault="00020103" w:rsidP="00051297">
      <w:pPr>
        <w:keepNext/>
        <w:ind w:firstLine="0"/>
        <w:rPr>
          <w:rFonts w:cs="Times New Roman"/>
          <w:szCs w:val="24"/>
        </w:rPr>
      </w:pPr>
      <w:r>
        <w:rPr>
          <w:noProof/>
        </w:rPr>
        <w:drawing>
          <wp:inline distT="0" distB="0" distL="0" distR="0" wp14:anchorId="2123F111" wp14:editId="6E755A7F">
            <wp:extent cx="5939790" cy="1307465"/>
            <wp:effectExtent l="0" t="0" r="3810" b="6985"/>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939790" cy="1307465"/>
                    </a:xfrm>
                    <a:prstGeom prst="rect">
                      <a:avLst/>
                    </a:prstGeom>
                    <a:noFill/>
                    <a:ln>
                      <a:noFill/>
                    </a:ln>
                  </pic:spPr>
                </pic:pic>
              </a:graphicData>
            </a:graphic>
          </wp:inline>
        </w:drawing>
      </w:r>
    </w:p>
    <w:p w14:paraId="42176573" w14:textId="68D703B6" w:rsidR="00051297" w:rsidRPr="00051297" w:rsidRDefault="00051297" w:rsidP="00051297">
      <w:pPr>
        <w:ind w:firstLine="0"/>
        <w:jc w:val="center"/>
        <w:rPr>
          <w:lang w:val="en-US"/>
        </w:rPr>
      </w:pPr>
      <w:bookmarkStart w:id="1520" w:name="_Ref98108936"/>
      <w:bookmarkStart w:id="1521" w:name="_Toc97428316"/>
      <w:bookmarkStart w:id="1522" w:name="_Toc98085992"/>
      <w:bookmarkStart w:id="1523" w:name="_Toc103544190"/>
      <w:bookmarkStart w:id="1524" w:name="_Toc104985516"/>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57</w:t>
      </w:r>
      <w:r w:rsidR="00527861">
        <w:rPr>
          <w:lang w:val="en-US"/>
        </w:rPr>
        <w:fldChar w:fldCharType="end"/>
      </w:r>
      <w:bookmarkEnd w:id="1520"/>
      <w:r w:rsidRPr="00051297">
        <w:rPr>
          <w:lang w:val="en-US"/>
        </w:rPr>
        <w:t xml:space="preserve"> – Embankment geometry</w:t>
      </w:r>
      <w:bookmarkEnd w:id="1521"/>
      <w:bookmarkEnd w:id="1522"/>
      <w:bookmarkEnd w:id="1523"/>
      <w:bookmarkEnd w:id="1524"/>
    </w:p>
    <w:p w14:paraId="169BB7DC" w14:textId="77777777" w:rsidR="00051297" w:rsidRPr="00051297" w:rsidRDefault="00051297" w:rsidP="00051297">
      <w:pPr>
        <w:rPr>
          <w:lang w:val="en-US"/>
        </w:rPr>
      </w:pPr>
      <w:r w:rsidRPr="00051297">
        <w:rPr>
          <w:lang w:val="en-US"/>
        </w:rPr>
        <w:t xml:space="preserve">The possible influence of a dam's quick drawdown on slope stability of an earth-fill embankment with soil parameters specified by hydraulic conductivity was investigated using finite element technique analysis. The steady-state, instantaneous drawdown, 5-days drawdown, 10-days drawdown, and 1m per day decline rate to half of the maximum water level was also tested. The transitory drawdown examples, on the other hand, are the study's main focus. The stability variables were evaluated at the end of the modeling procedure in the second instance, where it is assumed that water in the dam or reservoir is extracted instantly. Particular times of 5, 10, and 13 days were assigned to examples three, four, and five, respectively, to study how the stability </w:t>
      </w:r>
      <w:r w:rsidRPr="00051297">
        <w:rPr>
          <w:lang w:val="en-US"/>
        </w:rPr>
        <w:lastRenderedPageBreak/>
        <w:t>parameters respond to the varying drawdown rates. The extreme situation or worst-case scenario is represented by the instantaneous case. The seepage tests were done at the same time as the stability tests.</w:t>
      </w:r>
    </w:p>
    <w:p w14:paraId="6EE9268C" w14:textId="272F6B5E" w:rsidR="00051297" w:rsidRPr="00051297" w:rsidRDefault="00051297" w:rsidP="00051297">
      <w:pPr>
        <w:rPr>
          <w:rFonts w:eastAsiaTheme="minorEastAsia"/>
          <w:lang w:val="en-US"/>
        </w:rPr>
      </w:pPr>
      <w:r w:rsidRPr="00051297">
        <w:rPr>
          <w:lang w:val="en-US"/>
        </w:rPr>
        <w:t xml:space="preserve">The topic was investigated using a combination of GeoStudio sub-software SEEP/W </w:t>
      </w:r>
      <w:r w:rsidRPr="00051297">
        <w:fldChar w:fldCharType="begin" w:fldLock="1"/>
      </w:r>
      <w:r w:rsidR="00FA5896">
        <w:rPr>
          <w:lang w:val="en-US"/>
        </w:rPr>
        <w:instrText>ADDIN CSL_CITATION {"citationItems":[{"id":"ITEM-1","itemData":{"DOI":"10.25046/aj010102","ISSN":"24156698","abstract":"In the present study a computer model of a pumping well has been developed and calibrated by using two slave programs of Geo-Slope software, i.e. (SIGMA/W and SEEP/W). The model has been used to study the behaviour of watertable and drawdown in an aquifer during pumping. SIGMA/W program was used to compute initial pore-pressure within an aquifer, while SEEP/W program was used to analyze the change in pore-pressure and drawdown during pumping respectively. From the results it is revealed that the vectors displaying the movement of the flow direction towards discharge well due to which decline in watertable occurs and a cone of depression and drawdown curve was formed. Comparison of the experimental and simulated data showed a good agreement among them. The drawdown line has been simulated for each concern depth and at each interval of time, which was further compared with the actual data for the computation of model efficiency. The performance of the model was evaluated on the basis of statistical parameters, i.e. mean error, root mean square error and model efficiency; these results are presented in Table 7. Statistical analysis of all the research data, i.e. RMSE, ME, R.E, and EF was found to be 0.134 m and 0.126 m, 3.05% and 98.86% respectively. Additionally verifiability of the model was also made by comparing observed and simulated values of observation wells (piezometeric heads); such graph is illustrated in Figure 5. The slope of the line was observed to be approximately at 45 degrees; thus the figure indicates no considerable difference between observed and simulated head values for all the observation wells. Consequently, it is concluded that simulated values of piezometeric heads are not much different than the observed ones. The results support the use of SIGMA/W and SEEP/W programs as a tool for investigating and designing pumping well practices.","author":[{"dropping-particle":"","family":"Arshad","given":"Imran","non-dropping-particle":"","parse-names":false,"suffix":""},{"dropping-particle":"","family":"Babar","given":"Muhammed Muneer","non-dropping-particle":"","parse-names":false,"suffix":""},{"dropping-particle":"","family":"Javed","given":"Natasha","non-dropping-particle":"","parse-names":false,"suffix":""}],"container-title":"Advances in Science, Technology and Engineering Systems Journal","id":"ITEM-1","issue":"1","issued":{"date-parts":[["2016","4"]]},"page":"11-18","title":"Numerical Analysis of Drawdown in an Unconfined Aquifer due to Pumping Well by SIGMA/W and SEEP/W Simulations","type":"article-journal","volume":"1"},"uris":["http://www.mendeley.com/documents/?uuid=8021903f-da12-4de6-ab9f-b134030ba8aa"]}],"mendeley":{"formattedCitation":"[275]","plainTextFormattedCitation":"[275]","previouslyFormattedCitation":"[275]"},"properties":{"noteIndex":0},"schema":"https://github.com/citation-style-language/schema/raw/master/csl-citation.json"}</w:instrText>
      </w:r>
      <w:r w:rsidRPr="00051297">
        <w:fldChar w:fldCharType="separate"/>
      </w:r>
      <w:r w:rsidR="0032684D" w:rsidRPr="0032684D">
        <w:rPr>
          <w:noProof/>
          <w:lang w:val="en-US"/>
        </w:rPr>
        <w:t>[275]</w:t>
      </w:r>
      <w:r w:rsidRPr="00051297">
        <w:fldChar w:fldCharType="end"/>
      </w:r>
      <w:r w:rsidRPr="00051297">
        <w:rPr>
          <w:lang w:val="en-US"/>
        </w:rPr>
        <w:t xml:space="preserve"> and SLOPE/W </w:t>
      </w:r>
      <w:r w:rsidRPr="00051297">
        <w:fldChar w:fldCharType="begin" w:fldLock="1"/>
      </w:r>
      <w:r w:rsidR="00FA5896">
        <w:rPr>
          <w:lang w:val="en-US"/>
        </w:rPr>
        <w:instrText>ADDIN CSL_CITATION {"citationItems":[{"id":"ITEM-1","itemData":{"DOI":"10.14419/ijet.v7i4.28.22355","ISSN":"2227-524X","abstract":"There are many factors that influence slope failure such as natural disasters and human activities. Amongst the major causes are the rise of groundwater and infiltration of prolonged and antecedent rainfalls. Together with its geographical condition; high lands and mountains, Malaysia is prone to have landslides especially at the Main Range area where most of the soil is residual soil. This study investigated a slope which had a history of landslide due to circular failure landslide using Slope/W, resistivity and seismic surveys to determine the physical and mechanical properties of the on-site materials. Based on the resistivity survey, the existence of groundwater level has been detected at a depth of 10.0 m from the ground level. Seismic analysis showed that the subsurface area was made up of Weathered Granite Grade VI (sandy soil) which is loose to medium dense. SLOPE/W analysis showed that the factor of safety (FOS) was 0.186 which was unstable for slope stability condition. The assessment showed that the slope condition is still not stable despite slope stabilization measurement using cement grouting. It is proposed that erosion control measures on the slope surface should be implemented to prevent recurrent of slope failure and to ensure slope stability.","author":[{"dropping-particle":"","family":"Omar","given":"RC","non-dropping-particle":"","parse-names":false,"suffix":""},{"dropping-particle":"","family":"Baharuddin","given":"INZ","non-dropping-particle":"","parse-names":false,"suffix":""},{"dropping-particle":"","family":"Taha","given":"Hairin","non-dropping-particle":"","parse-names":false,"suffix":""},{"dropping-particle":"","family":"Roslan","given":"R.","non-dropping-particle":"","parse-names":false,"suffix":""},{"dropping-particle":"","family":"NK","given":"Hazwani","non-dropping-particle":"","parse-names":false,"suffix":""},{"dropping-particle":"","family":"MF","given":"Muzad","non-dropping-particle":"","parse-names":false,"suffix":""}],"container-title":"International Journal of Engineering &amp; Technology","id":"ITEM-1","issue":"4.35","issued":{"date-parts":[["2018","11"]]},"page":"172","title":"Slope Stability Analysis of Granitic Residual Soil Using SLOPE/W, Resistivity and Seismic","type":"article-journal","volume":"7"},"uris":["http://www.mendeley.com/documents/?uuid=42ffc041-d948-4afd-8020-92492a5c24cf"]}],"mendeley":{"formattedCitation":"[276]","plainTextFormattedCitation":"[276]","previouslyFormattedCitation":"[276]"},"properties":{"noteIndex":0},"schema":"https://github.com/citation-style-language/schema/raw/master/csl-citation.json"}</w:instrText>
      </w:r>
      <w:r w:rsidRPr="00051297">
        <w:fldChar w:fldCharType="separate"/>
      </w:r>
      <w:r w:rsidR="0032684D" w:rsidRPr="0032684D">
        <w:rPr>
          <w:noProof/>
          <w:lang w:val="en-US"/>
        </w:rPr>
        <w:t>[276]</w:t>
      </w:r>
      <w:r w:rsidRPr="00051297">
        <w:fldChar w:fldCharType="end"/>
      </w:r>
      <w:r w:rsidRPr="00051297">
        <w:rPr>
          <w:lang w:val="en-US"/>
        </w:rPr>
        <w:t>. SEEP/W, which is based on FEM, was utilized for the seepage analysis in two-dimensional sections, while SLOPE/W was used for the embankment slope stability study based on slip surfaces, pore-water pressure, soil parameters, and loading conditions. Other parameters such as the geometry of the embankment were kept constant in all the drawdown instances while modifying the hydraulic conductivity values in zone 1 to capture the effect of the hydraulic conductivity values. In that situation, seepage analysis (both steady-state and transient) and slope stability analysis were used in tandem.</w:t>
      </w:r>
    </w:p>
    <w:p w14:paraId="0178A879" w14:textId="345014D5" w:rsidR="00051297" w:rsidRPr="00051297" w:rsidRDefault="00051297" w:rsidP="00141AA5">
      <w:pPr>
        <w:pStyle w:val="4"/>
        <w:rPr>
          <w:rFonts w:eastAsiaTheme="minorEastAsia" w:cs="Times New Roman"/>
          <w:szCs w:val="24"/>
          <w:lang w:val="en-US"/>
        </w:rPr>
      </w:pPr>
      <w:bookmarkStart w:id="1525" w:name="_Toc103544033"/>
      <w:bookmarkStart w:id="1526" w:name="_Toc104985358"/>
      <w:r w:rsidRPr="00051297">
        <w:rPr>
          <w:lang w:val="en-US"/>
        </w:rPr>
        <w:t>Seepage analysis procedures</w:t>
      </w:r>
      <w:bookmarkEnd w:id="1525"/>
      <w:bookmarkEnd w:id="1526"/>
    </w:p>
    <w:p w14:paraId="0CE3D4BF" w14:textId="77777777" w:rsidR="00051297" w:rsidRPr="00051297" w:rsidRDefault="00051297" w:rsidP="00051297">
      <w:pPr>
        <w:rPr>
          <w:lang w:val="en-US"/>
        </w:rPr>
      </w:pPr>
      <w:r w:rsidRPr="00051297">
        <w:rPr>
          <w:lang w:val="en-US"/>
        </w:rPr>
        <w:t xml:space="preserve">The simulation of a slope's drawdown behavior began with the establishment of a long-term steady-state utilizing Steady-state analysis. The established steady-state was then employed as a parent for the transient flow analysis, which utilized seepage-induced pore pressures from the previously completed steady-state study. As previously stated, the analysis included a variety of drawdown rates as well as isotropic hydraulic conductivity values. Throughout the transient seepage assessments, the variation in water level during the drawdown process was modeled using a linear function that was given as a boundary condition on the upstream face of the embankment. The slope stability assessments were utilized as parents to the transient seepage analyses. During the transient flow assessments, established flow parameters such as pore water pressures were used as key inputs to the stability analysis with SLOPE/W. </w:t>
      </w:r>
    </w:p>
    <w:p w14:paraId="1B654C00" w14:textId="5E79291A" w:rsidR="00051297" w:rsidRPr="00051297" w:rsidRDefault="00051297" w:rsidP="00141AA5">
      <w:pPr>
        <w:pStyle w:val="4"/>
        <w:rPr>
          <w:rFonts w:eastAsiaTheme="minorEastAsia" w:cs="Times New Roman"/>
          <w:szCs w:val="24"/>
          <w:lang w:val="en-US"/>
        </w:rPr>
      </w:pPr>
      <w:bookmarkStart w:id="1527" w:name="_Toc103544034"/>
      <w:bookmarkStart w:id="1528" w:name="_Toc104985359"/>
      <w:r w:rsidRPr="00051297">
        <w:rPr>
          <w:lang w:val="en-US"/>
        </w:rPr>
        <w:t>Slope stability analysis procedures</w:t>
      </w:r>
      <w:bookmarkEnd w:id="1527"/>
      <w:bookmarkEnd w:id="1528"/>
    </w:p>
    <w:p w14:paraId="18216C37" w14:textId="77777777" w:rsidR="00051297" w:rsidRPr="00051297" w:rsidRDefault="00051297" w:rsidP="00051297">
      <w:pPr>
        <w:tabs>
          <w:tab w:val="left" w:pos="851"/>
        </w:tabs>
        <w:rPr>
          <w:lang w:val="en-US"/>
        </w:rPr>
      </w:pPr>
      <w:r w:rsidRPr="00051297">
        <w:rPr>
          <w:lang w:val="en-US"/>
        </w:rPr>
        <w:t xml:space="preserve">The slope stability analysis in this section of the study was likewise performed using the SLOPE/W sub-unit of the GeoStudio software, as previously mentioned. To do so, the Morgenstern–Price analysis approach was employed to establish a separate analysis for each of the slope stability studies under the general limit equilibrium (GLE). </w:t>
      </w:r>
    </w:p>
    <w:p w14:paraId="55412B65" w14:textId="19790949" w:rsidR="00051297" w:rsidRPr="00051297" w:rsidRDefault="00051297" w:rsidP="00141AA5">
      <w:pPr>
        <w:pStyle w:val="4"/>
        <w:rPr>
          <w:lang w:val="en-US"/>
        </w:rPr>
      </w:pPr>
      <w:bookmarkStart w:id="1529" w:name="_Toc103544035"/>
      <w:bookmarkStart w:id="1530" w:name="_Toc104985360"/>
      <w:r w:rsidRPr="00051297">
        <w:rPr>
          <w:lang w:val="en-US"/>
        </w:rPr>
        <w:t>General study approach</w:t>
      </w:r>
      <w:bookmarkEnd w:id="1529"/>
      <w:bookmarkEnd w:id="1530"/>
    </w:p>
    <w:p w14:paraId="402AA6BC" w14:textId="77777777" w:rsidR="00051297" w:rsidRPr="00051297" w:rsidRDefault="00051297" w:rsidP="00051297">
      <w:pPr>
        <w:rPr>
          <w:lang w:val="en-US"/>
        </w:rPr>
      </w:pPr>
      <w:r w:rsidRPr="00051297">
        <w:rPr>
          <w:lang w:val="en-US"/>
        </w:rPr>
        <w:t xml:space="preserve">Unlike the normal approach of a dam design that focuses on the available current flow characteristics, the developed workflow in this study considers some of the factors that may affect the flow characteristics sooner or later. The combination of the Digital Elevation Model (DEM), Landsat images as well as soil data, offers an opportunity to comprehensively integrate the catchment characteristics in the process of stormwater runoff quantification. At the same time, the relationship between climate and precipitation offers an opportunity to integrate the climatic factors into the model. </w:t>
      </w:r>
    </w:p>
    <w:p w14:paraId="3F4B3EC8" w14:textId="15F33570" w:rsidR="00051297" w:rsidRPr="00051297" w:rsidRDefault="00051297" w:rsidP="00051297">
      <w:pPr>
        <w:rPr>
          <w:lang w:val="en-US"/>
        </w:rPr>
      </w:pPr>
      <w:r w:rsidRPr="00051297">
        <w:rPr>
          <w:lang w:val="en-US"/>
        </w:rPr>
        <w:lastRenderedPageBreak/>
        <w:t xml:space="preserve">From </w:t>
      </w:r>
      <w:r w:rsidRPr="00051297">
        <w:rPr>
          <w:lang w:val="en-US"/>
        </w:rPr>
        <w:fldChar w:fldCharType="begin"/>
      </w:r>
      <w:r w:rsidRPr="00051297">
        <w:rPr>
          <w:lang w:val="en-US"/>
        </w:rPr>
        <w:instrText xml:space="preserve"> REF _Ref98108993 \h </w:instrText>
      </w:r>
      <w:r w:rsidRPr="00051297">
        <w:rPr>
          <w:lang w:val="en-US"/>
        </w:rPr>
      </w:r>
      <w:r w:rsidRPr="00051297">
        <w:rPr>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58</w:t>
      </w:r>
      <w:r w:rsidRPr="00051297">
        <w:rPr>
          <w:lang w:val="en-US"/>
        </w:rPr>
        <w:fldChar w:fldCharType="end"/>
      </w:r>
      <w:r w:rsidRPr="00051297">
        <w:rPr>
          <w:lang w:val="en-US"/>
        </w:rPr>
        <w:t xml:space="preserve">, it can be observed that the land use/land cover map is merged with the soil properties to form a land use-soil map which is then used for Curve Number computations. The developed Curve Number is an important input in the workflow (model) as the developed approach uses the SCS-Curve Number method for runoff quantification. Then from the quantified runoff, the dam capacity configuration and design of its associated structures such as retain wall, spillway as well as weir are achieved. </w:t>
      </w:r>
    </w:p>
    <w:p w14:paraId="44B4593F" w14:textId="77777777" w:rsidR="00051297" w:rsidRPr="00051297" w:rsidRDefault="00051297" w:rsidP="00051297">
      <w:pPr>
        <w:rPr>
          <w:lang w:val="en-US"/>
        </w:rPr>
      </w:pPr>
      <w:r w:rsidRPr="00051297">
        <w:rPr>
          <w:lang w:val="en-US"/>
        </w:rPr>
        <w:t>Also, stability analysis according to the design load is an integral part of the developed workflow. Generally, through this approach, a dam is designed to be adaptable to the change in land surface characteristics and climatic conditions.</w:t>
      </w:r>
    </w:p>
    <w:p w14:paraId="55D09084" w14:textId="58463ED5" w:rsidR="00051297" w:rsidRPr="00C5519D" w:rsidRDefault="00C5519D" w:rsidP="00051297">
      <w:pPr>
        <w:keepNext/>
        <w:ind w:firstLine="0"/>
        <w:jc w:val="center"/>
        <w:rPr>
          <w:rFonts w:cs="Times New Roman"/>
          <w:szCs w:val="24"/>
          <w:lang w:val="en-US"/>
        </w:rPr>
      </w:pPr>
      <w:r w:rsidRPr="00051297">
        <w:rPr>
          <w:rFonts w:cs="Times New Roman"/>
          <w:szCs w:val="24"/>
        </w:rPr>
        <w:object w:dxaOrig="10876" w:dyaOrig="12810" w14:anchorId="01E56452">
          <v:shape id="_x0000_i1027" type="#_x0000_t75" style="width:402pt;height:469.2pt" o:ole="">
            <v:imagedata r:id="rId235" o:title=""/>
          </v:shape>
          <o:OLEObject Type="Embed" ProgID="Visio.Drawing.15" ShapeID="_x0000_i1027" DrawAspect="Content" ObjectID="_1715623133" r:id="rId236"/>
        </w:object>
      </w:r>
    </w:p>
    <w:p w14:paraId="3D44EE7F" w14:textId="31B7A324" w:rsidR="00051297" w:rsidRPr="00051297" w:rsidRDefault="00051297" w:rsidP="00051297">
      <w:pPr>
        <w:ind w:firstLine="0"/>
        <w:jc w:val="center"/>
        <w:rPr>
          <w:lang w:val="en-US"/>
        </w:rPr>
      </w:pPr>
      <w:bookmarkStart w:id="1531" w:name="_Ref98108993"/>
      <w:bookmarkStart w:id="1532" w:name="_Toc97428317"/>
      <w:bookmarkStart w:id="1533" w:name="_Toc98085993"/>
      <w:bookmarkStart w:id="1534" w:name="_Toc103544191"/>
      <w:bookmarkStart w:id="1535" w:name="_Toc104985517"/>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58</w:t>
      </w:r>
      <w:r w:rsidR="00527861">
        <w:rPr>
          <w:lang w:val="en-US"/>
        </w:rPr>
        <w:fldChar w:fldCharType="end"/>
      </w:r>
      <w:bookmarkEnd w:id="1531"/>
      <w:r w:rsidRPr="00051297">
        <w:t xml:space="preserve"> </w:t>
      </w:r>
      <w:r w:rsidRPr="00051297">
        <w:rPr>
          <w:lang w:val="en-US"/>
        </w:rPr>
        <w:t>– General workflow</w:t>
      </w:r>
      <w:bookmarkEnd w:id="1532"/>
      <w:bookmarkEnd w:id="1533"/>
      <w:bookmarkEnd w:id="1534"/>
      <w:bookmarkEnd w:id="1535"/>
    </w:p>
    <w:p w14:paraId="187E501C" w14:textId="4134F218" w:rsidR="00051297" w:rsidRPr="00051297" w:rsidRDefault="00051297" w:rsidP="00141AA5">
      <w:pPr>
        <w:pStyle w:val="3"/>
        <w:rPr>
          <w:rFonts w:eastAsia="Calibri"/>
          <w:iCs/>
        </w:rPr>
      </w:pPr>
      <w:bookmarkStart w:id="1536" w:name="_Toc97504893"/>
      <w:bookmarkStart w:id="1537" w:name="_Toc103544036"/>
      <w:bookmarkStart w:id="1538" w:name="_Toc104985361"/>
      <w:r w:rsidRPr="00051297">
        <w:rPr>
          <w:rFonts w:eastAsia="Calibri"/>
        </w:rPr>
        <w:lastRenderedPageBreak/>
        <w:t>Results and discussion</w:t>
      </w:r>
      <w:bookmarkEnd w:id="1536"/>
      <w:bookmarkEnd w:id="1537"/>
      <w:bookmarkEnd w:id="1538"/>
    </w:p>
    <w:p w14:paraId="40D41112" w14:textId="77777777" w:rsidR="00051297" w:rsidRPr="00051297" w:rsidRDefault="00051297" w:rsidP="00051297">
      <w:pPr>
        <w:rPr>
          <w:rFonts w:cs="Times New Roman"/>
          <w:szCs w:val="24"/>
          <w:lang w:val="en-US"/>
        </w:rPr>
      </w:pPr>
      <w:r w:rsidRPr="00051297">
        <w:rPr>
          <w:rFonts w:cs="Times New Roman"/>
          <w:szCs w:val="24"/>
          <w:lang w:val="en-US"/>
        </w:rPr>
        <w:t>In this section, the results retrieved from the seepage and slope stability analysis of the Chardara dam embankment are presented.</w:t>
      </w:r>
    </w:p>
    <w:p w14:paraId="229FC3A5" w14:textId="59508669" w:rsidR="00051297" w:rsidRPr="00051297" w:rsidRDefault="00051297" w:rsidP="00141AA5">
      <w:pPr>
        <w:pStyle w:val="4"/>
        <w:rPr>
          <w:rFonts w:eastAsia="Calibri"/>
        </w:rPr>
      </w:pPr>
      <w:bookmarkStart w:id="1539" w:name="_Toc97504894"/>
      <w:bookmarkStart w:id="1540" w:name="_Toc103544037"/>
      <w:bookmarkStart w:id="1541" w:name="_Toc104985362"/>
      <w:r w:rsidRPr="00051297">
        <w:rPr>
          <w:rFonts w:eastAsia="Calibri"/>
        </w:rPr>
        <w:t>Seepage analysis</w:t>
      </w:r>
      <w:bookmarkEnd w:id="1539"/>
      <w:bookmarkEnd w:id="1540"/>
      <w:bookmarkEnd w:id="1541"/>
    </w:p>
    <w:p w14:paraId="66215E31" w14:textId="77777777" w:rsidR="00051297" w:rsidRPr="00051297" w:rsidRDefault="00051297" w:rsidP="00051297">
      <w:pPr>
        <w:rPr>
          <w:rFonts w:cs="Times New Roman"/>
          <w:szCs w:val="24"/>
          <w:lang w:val="en-US"/>
        </w:rPr>
      </w:pPr>
      <w:r w:rsidRPr="00051297">
        <w:rPr>
          <w:rFonts w:cs="Times New Roman"/>
          <w:szCs w:val="24"/>
          <w:lang w:val="en-US"/>
        </w:rPr>
        <w:t>During impoundment and operation, all types of embankment fill dams are confronted with seepage bodies. As a result, seepage control is critical during the design phase to avoid uplift pressures, downstream slope instability, plumbing through the embankment and/or foundation, and probable suffusion and erosion processes.</w:t>
      </w:r>
    </w:p>
    <w:p w14:paraId="2927620E" w14:textId="2E2CBA37" w:rsidR="00051297" w:rsidRPr="00051297" w:rsidRDefault="00051297" w:rsidP="00141AA5">
      <w:pPr>
        <w:pStyle w:val="5"/>
        <w:rPr>
          <w:rFonts w:eastAsia="Calibri"/>
          <w:lang w:val="en-US"/>
        </w:rPr>
      </w:pPr>
      <w:bookmarkStart w:id="1542" w:name="_Toc103544038"/>
      <w:bookmarkStart w:id="1543" w:name="_Toc104985363"/>
      <w:r w:rsidRPr="00051297">
        <w:rPr>
          <w:rFonts w:eastAsia="Calibri"/>
          <w:lang w:val="en-US"/>
        </w:rPr>
        <w:t>Steady-state</w:t>
      </w:r>
      <w:bookmarkEnd w:id="1542"/>
      <w:bookmarkEnd w:id="1543"/>
    </w:p>
    <w:p w14:paraId="66E98E46" w14:textId="77777777" w:rsidR="00051297" w:rsidRPr="00051297" w:rsidRDefault="00051297" w:rsidP="00051297">
      <w:pPr>
        <w:tabs>
          <w:tab w:val="left" w:pos="993"/>
        </w:tabs>
        <w:rPr>
          <w:lang w:val="en-US"/>
        </w:rPr>
      </w:pPr>
      <w:r w:rsidRPr="00051297">
        <w:rPr>
          <w:lang w:val="en-US"/>
        </w:rPr>
        <w:t>This is a condition in which the pressure at any location in the reservoir remains constant across time. Therefore, in this section, the steady-state seepage results are presented from the four different investigated cases based on reservoir operating levels.</w:t>
      </w:r>
    </w:p>
    <w:p w14:paraId="2903EF71"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Normal operating level</w:t>
      </w:r>
    </w:p>
    <w:p w14:paraId="17059DFE" w14:textId="79456E22" w:rsidR="00051297" w:rsidRPr="00051297" w:rsidRDefault="00051297" w:rsidP="00051297">
      <w:pPr>
        <w:tabs>
          <w:tab w:val="left" w:pos="993"/>
        </w:tabs>
        <w:rPr>
          <w:rFonts w:eastAsia="Calibri" w:cs="Times New Roman"/>
          <w:szCs w:val="24"/>
        </w:rPr>
      </w:pPr>
      <w:r w:rsidRPr="00051297">
        <w:rPr>
          <w:rFonts w:cs="Times New Roman"/>
          <w:szCs w:val="24"/>
          <w:lang w:val="en-US"/>
        </w:rPr>
        <w:fldChar w:fldCharType="begin"/>
      </w:r>
      <w:r w:rsidRPr="00051297">
        <w:rPr>
          <w:rFonts w:cs="Times New Roman"/>
          <w:szCs w:val="24"/>
          <w:lang w:val="en-US"/>
        </w:rPr>
        <w:instrText xml:space="preserve"> REF _Ref98109015 \h </w:instrText>
      </w:r>
      <w:r w:rsidRPr="00051297">
        <w:rPr>
          <w:rFonts w:cs="Times New Roman"/>
          <w:szCs w:val="24"/>
          <w:lang w:val="en-US"/>
        </w:rPr>
      </w:r>
      <w:r w:rsidRPr="00051297">
        <w:rPr>
          <w:rFonts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59</w:t>
      </w:r>
      <w:r w:rsidRPr="00051297">
        <w:rPr>
          <w:rFonts w:cs="Times New Roman"/>
          <w:szCs w:val="24"/>
          <w:lang w:val="en-US"/>
        </w:rPr>
        <w:fldChar w:fldCharType="end"/>
      </w:r>
      <w:r w:rsidRPr="00051297">
        <w:rPr>
          <w:rFonts w:cs="Times New Roman"/>
          <w:szCs w:val="24"/>
          <w:lang w:val="en-US"/>
        </w:rPr>
        <w:t xml:space="preserve"> presents the seepage results under steady-state flow conditions when the embankment was subjected to the normal operating reservoir level. It can be observed that the seepage line is safely carried away from the first zone to the downstream toe. It is important to note that the seepage line or saturation line, or phreatic line, is formed when water stands against an earth-fill embankment, whereby it is the point below which positive hydrostatic pressures exist. Moreover, Seepage forces, pore water pressures, and hydraulic gradients are all caused by seepage through the dam and foundation. If these stresses are not confined to permitted levels, piping and embankment sloughing or sliding can occur, resulting in dam failure </w:t>
      </w:r>
      <w:r w:rsidRPr="00051297">
        <w:rPr>
          <w:rFonts w:cs="Times New Roman"/>
          <w:szCs w:val="24"/>
        </w:rPr>
        <w:fldChar w:fldCharType="begin" w:fldLock="1"/>
      </w:r>
      <w:r w:rsidR="0044426E">
        <w:rPr>
          <w:rFonts w:cs="Times New Roman"/>
          <w:szCs w:val="24"/>
          <w:lang w:val="en-US"/>
        </w:rPr>
        <w:instrText>ADDIN CSL_CITATION {"citationItems":[{"id":"ITEM-1","itemData":{"DOI":"10.9734/CJAST/2017/28538","ISSN":"24571024","abstract":"All earthfill dams have seepage from water percolating slowly through the dam and its foundation. Many seepage problems and failure of earth-fill dams have occurred because of inadequate seepage control measures. This study was reviewed the conditions, causes, and effects of seepage and control measures in the earth dam. Types of earth dams such as homogeneous embankment, zoned embankment and diaphragm embankment well were highlighted. Seepage conditions, such as rapid water level decreases or the water falling below the level expected with normal use (sudden drawdown condition), wet spots and aquatic vegetation (like cattails) below the dam; causes, such as poor compaction of environment soil, poor foundation and abutment preparation, Rodent holes, Rooted tree roots and wood and so no and effects due to piping, internal erosion, solutioning, internal pressure and saturation and uplift, heave and blowout were highlighted. This study also examines the control measures included cut-offs; upstream clay blanket; filter blanket; seepage drains; berms and loading berm; upstream and downstream slope protections; And relief well. Besides, in order to keep continuous watch on the health of dam and monitor that is, take curative Original Research Article Omofunmi et al.; CJAST, 22(5): 1-11, 2017; Article no.BJAST.28538 2 steps before failure occurs., instruments such as pore pressure, settlement gauges, horizontal movement devices, and seismic activity measurements should be embedded into the dam were mentioned.","author":[{"dropping-particle":"","family":"Omofunmi","given":"O","non-dropping-particle":"","parse-names":false,"suffix":""},{"dropping-particle":"","family":"Kolo","given":"J","non-dropping-particle":"","parse-names":false,"suffix":""},{"dropping-particle":"","family":"Oladipo","given":"A","non-dropping-particle":"","parse-names":false,"suffix":""},{"dropping-particle":"","family":"Diabana","given":"P","non-dropping-particle":"","parse-names":false,"suffix":""},{"dropping-particle":"","family":"Ojo","given":"A","non-dropping-particle":"","parse-names":false,"suffix":""}],"container-title":"Current Journal of Applied Science and Technology","id":"ITEM-1","issue":"5","issued":{"date-parts":[["2017","7"]]},"page":"1-11","title":"A Review on Effects and Control of Seepage through Earth-fill Dam","type":"article-journal","volume":"22"},"uris":["http://www.mendeley.com/documents/?uuid=e7ec54aa-a917-47c0-bb7a-ec023fa6a3d3"]}],"mendeley":{"formattedCitation":"[280]","plainTextFormattedCitation":"[280]","previouslyFormattedCitation":"[280]"},"properties":{"noteIndex":0},"schema":"https://github.com/citation-style-language/schema/raw/master/csl-citation.json"}</w:instrText>
      </w:r>
      <w:r w:rsidRPr="00051297">
        <w:rPr>
          <w:rFonts w:cs="Times New Roman"/>
          <w:szCs w:val="24"/>
        </w:rPr>
        <w:fldChar w:fldCharType="separate"/>
      </w:r>
      <w:r w:rsidR="00FA5896" w:rsidRPr="00FA5896">
        <w:rPr>
          <w:rFonts w:cs="Times New Roman"/>
          <w:noProof/>
          <w:szCs w:val="24"/>
        </w:rPr>
        <w:t>[280]</w:t>
      </w:r>
      <w:r w:rsidRPr="00051297">
        <w:rPr>
          <w:rFonts w:cs="Times New Roman"/>
          <w:szCs w:val="24"/>
        </w:rPr>
        <w:fldChar w:fldCharType="end"/>
      </w:r>
      <w:r w:rsidRPr="00051297">
        <w:rPr>
          <w:rFonts w:cs="Times New Roman"/>
          <w:szCs w:val="24"/>
        </w:rPr>
        <w:t>.</w:t>
      </w:r>
    </w:p>
    <w:p w14:paraId="4D8AC7E1" w14:textId="2F1F638C" w:rsidR="00051297" w:rsidRPr="00051297" w:rsidRDefault="001542F9" w:rsidP="00293959">
      <w:pPr>
        <w:keepNext/>
        <w:ind w:firstLine="0"/>
        <w:rPr>
          <w:rFonts w:cs="Times New Roman"/>
          <w:szCs w:val="24"/>
        </w:rPr>
      </w:pPr>
      <w:r>
        <w:rPr>
          <w:noProof/>
        </w:rPr>
        <w:drawing>
          <wp:inline distT="0" distB="0" distL="0" distR="0" wp14:anchorId="305FDBC8" wp14:editId="271D9EB1">
            <wp:extent cx="5939790" cy="1267460"/>
            <wp:effectExtent l="0" t="0" r="3810" b="889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39790" cy="1267460"/>
                    </a:xfrm>
                    <a:prstGeom prst="rect">
                      <a:avLst/>
                    </a:prstGeom>
                    <a:noFill/>
                    <a:ln>
                      <a:noFill/>
                    </a:ln>
                  </pic:spPr>
                </pic:pic>
              </a:graphicData>
            </a:graphic>
          </wp:inline>
        </w:drawing>
      </w:r>
    </w:p>
    <w:p w14:paraId="6022DBD4" w14:textId="7CE96D37" w:rsidR="00051297" w:rsidRPr="00051297" w:rsidRDefault="00051297" w:rsidP="00051297">
      <w:pPr>
        <w:ind w:firstLine="0"/>
        <w:jc w:val="center"/>
        <w:rPr>
          <w:lang w:val="en-US"/>
        </w:rPr>
      </w:pPr>
      <w:bookmarkStart w:id="1544" w:name="_Ref98109015"/>
      <w:bookmarkStart w:id="1545" w:name="_Toc97428318"/>
      <w:bookmarkStart w:id="1546" w:name="_Toc98085994"/>
      <w:bookmarkStart w:id="1547" w:name="_Toc103544192"/>
      <w:bookmarkStart w:id="1548" w:name="_Toc104985518"/>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59</w:t>
      </w:r>
      <w:r w:rsidR="00527861">
        <w:rPr>
          <w:lang w:val="en-US"/>
        </w:rPr>
        <w:fldChar w:fldCharType="end"/>
      </w:r>
      <w:bookmarkEnd w:id="1544"/>
      <w:r w:rsidRPr="00051297">
        <w:rPr>
          <w:lang w:val="en-US"/>
        </w:rPr>
        <w:t xml:space="preserve"> – Steady-state seepage based on normal operating reservoir level</w:t>
      </w:r>
      <w:bookmarkEnd w:id="1545"/>
      <w:bookmarkEnd w:id="1546"/>
      <w:bookmarkEnd w:id="1547"/>
      <w:bookmarkEnd w:id="1548"/>
    </w:p>
    <w:p w14:paraId="34582CBB"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Reduced reservoir</w:t>
      </w:r>
      <w:r w:rsidRPr="00051297">
        <w:rPr>
          <w:rFonts w:cs="Times New Roman"/>
          <w:szCs w:val="24"/>
        </w:rPr>
        <w:t xml:space="preserve"> </w:t>
      </w:r>
      <w:r w:rsidRPr="00051297">
        <w:rPr>
          <w:rFonts w:eastAsia="Calibri" w:cs="Times New Roman"/>
          <w:szCs w:val="24"/>
        </w:rPr>
        <w:t>operating level</w:t>
      </w:r>
    </w:p>
    <w:p w14:paraId="35B8DE2C" w14:textId="3BE04076" w:rsidR="00051297" w:rsidRPr="00051297" w:rsidRDefault="00051297" w:rsidP="00051297">
      <w:pPr>
        <w:tabs>
          <w:tab w:val="left" w:pos="993"/>
        </w:tabs>
        <w:rPr>
          <w:rFonts w:eastAsia="Calibri" w:cs="Times New Roman"/>
          <w:szCs w:val="24"/>
          <w:lang w:val="en-US"/>
        </w:rPr>
      </w:pPr>
      <w:r w:rsidRPr="00051297">
        <w:rPr>
          <w:rFonts w:cs="Times New Roman"/>
          <w:szCs w:val="24"/>
          <w:lang w:val="en-US"/>
        </w:rPr>
        <w:t xml:space="preserve">Apart from the seepage analysis based on the current (normal) operating reservoir level, the embankment was also subjected to a long-term seepage analysis, with the reservoir level operating at approximately half of the embankment. </w:t>
      </w:r>
      <w:r w:rsidRPr="00051297">
        <w:rPr>
          <w:rFonts w:cs="Times New Roman"/>
          <w:szCs w:val="24"/>
          <w:lang w:val="en-US"/>
        </w:rPr>
        <w:fldChar w:fldCharType="begin"/>
      </w:r>
      <w:r w:rsidRPr="00051297">
        <w:rPr>
          <w:rFonts w:cs="Times New Roman"/>
          <w:szCs w:val="24"/>
          <w:lang w:val="en-US"/>
        </w:rPr>
        <w:instrText xml:space="preserve"> REF _Ref98109035 \h </w:instrText>
      </w:r>
      <w:r w:rsidRPr="00051297">
        <w:rPr>
          <w:rFonts w:cs="Times New Roman"/>
          <w:szCs w:val="24"/>
          <w:lang w:val="en-US"/>
        </w:rPr>
      </w:r>
      <w:r w:rsidRPr="00051297">
        <w:rPr>
          <w:rFonts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60</w:t>
      </w:r>
      <w:r w:rsidRPr="00051297">
        <w:rPr>
          <w:rFonts w:cs="Times New Roman"/>
          <w:szCs w:val="24"/>
          <w:lang w:val="en-US"/>
        </w:rPr>
        <w:fldChar w:fldCharType="end"/>
      </w:r>
      <w:r w:rsidRPr="00051297">
        <w:rPr>
          <w:rFonts w:cs="Times New Roman"/>
          <w:szCs w:val="24"/>
          <w:lang w:val="en-US"/>
        </w:rPr>
        <w:t xml:space="preserve"> shows the seepage results when the embankment was subjected to the reduced operating reservoir level under steady-state flow circumstances. From the Figure, it can also be observed that the embankment was also able to safely carry the seepage line to the downstream toe under the specified conditions.</w:t>
      </w:r>
    </w:p>
    <w:p w14:paraId="1DC185D7" w14:textId="03EE2A74" w:rsidR="00051297" w:rsidRPr="00051297" w:rsidRDefault="001542F9" w:rsidP="00293959">
      <w:pPr>
        <w:keepNext/>
        <w:spacing w:line="240" w:lineRule="auto"/>
        <w:ind w:firstLine="0"/>
        <w:rPr>
          <w:rFonts w:cs="Times New Roman"/>
          <w:szCs w:val="24"/>
        </w:rPr>
      </w:pPr>
      <w:r>
        <w:rPr>
          <w:noProof/>
        </w:rPr>
        <w:lastRenderedPageBreak/>
        <w:drawing>
          <wp:inline distT="0" distB="0" distL="0" distR="0" wp14:anchorId="7F778D58" wp14:editId="365DBD26">
            <wp:extent cx="5939790" cy="1190625"/>
            <wp:effectExtent l="0" t="0" r="3810" b="9525"/>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39790" cy="1190625"/>
                    </a:xfrm>
                    <a:prstGeom prst="rect">
                      <a:avLst/>
                    </a:prstGeom>
                    <a:noFill/>
                    <a:ln>
                      <a:noFill/>
                    </a:ln>
                  </pic:spPr>
                </pic:pic>
              </a:graphicData>
            </a:graphic>
          </wp:inline>
        </w:drawing>
      </w:r>
    </w:p>
    <w:p w14:paraId="24383CF5" w14:textId="0323097C" w:rsidR="00051297" w:rsidRPr="00051297" w:rsidRDefault="00051297" w:rsidP="00051297">
      <w:pPr>
        <w:ind w:firstLine="0"/>
        <w:jc w:val="center"/>
        <w:rPr>
          <w:lang w:val="en-US"/>
        </w:rPr>
      </w:pPr>
      <w:bookmarkStart w:id="1549" w:name="_Ref98109035"/>
      <w:bookmarkStart w:id="1550" w:name="_Toc97428319"/>
      <w:bookmarkStart w:id="1551" w:name="_Toc98085995"/>
      <w:bookmarkStart w:id="1552" w:name="_Toc103544193"/>
      <w:bookmarkStart w:id="1553" w:name="_Toc104985519"/>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60</w:t>
      </w:r>
      <w:r w:rsidR="00527861">
        <w:rPr>
          <w:lang w:val="en-US"/>
        </w:rPr>
        <w:fldChar w:fldCharType="end"/>
      </w:r>
      <w:bookmarkEnd w:id="1549"/>
      <w:r w:rsidRPr="00051297">
        <w:rPr>
          <w:lang w:val="en-US"/>
        </w:rPr>
        <w:t xml:space="preserve"> – Steady-state seepage based on the reduced operating level</w:t>
      </w:r>
      <w:bookmarkEnd w:id="1550"/>
      <w:bookmarkEnd w:id="1551"/>
      <w:bookmarkEnd w:id="1552"/>
      <w:bookmarkEnd w:id="1553"/>
    </w:p>
    <w:p w14:paraId="1C875128"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Reservoir</w:t>
      </w:r>
      <w:r w:rsidRPr="00051297">
        <w:rPr>
          <w:rFonts w:cs="Times New Roman"/>
          <w:szCs w:val="24"/>
        </w:rPr>
        <w:t xml:space="preserve"> </w:t>
      </w:r>
      <w:r w:rsidRPr="00051297">
        <w:rPr>
          <w:rFonts w:eastAsia="Calibri" w:cs="Times New Roman"/>
          <w:szCs w:val="24"/>
        </w:rPr>
        <w:t>operating at embankment height</w:t>
      </w:r>
    </w:p>
    <w:p w14:paraId="0E413052" w14:textId="3144A6EF" w:rsidR="00051297" w:rsidRPr="00051297" w:rsidRDefault="00051297" w:rsidP="00051297">
      <w:pPr>
        <w:tabs>
          <w:tab w:val="left" w:pos="993"/>
        </w:tabs>
        <w:rPr>
          <w:rFonts w:eastAsia="Calibri" w:cs="Times New Roman"/>
          <w:szCs w:val="24"/>
          <w:lang w:val="en-US"/>
        </w:rPr>
      </w:pPr>
      <w:r w:rsidRPr="00051297">
        <w:rPr>
          <w:rFonts w:cs="Times New Roman"/>
          <w:szCs w:val="24"/>
          <w:lang w:val="en-US"/>
        </w:rPr>
        <w:t xml:space="preserve">The embankment was also subjected to a long-term seepage analysis with the reservoir level operating at the maximum embankment height. The passage of seepage water below the phreatic line lowers the effective weight of the soil, lowering its shear strength as a result of increasing intergranular pressure in earth fill material </w:t>
      </w:r>
      <w:r w:rsidRPr="00051297">
        <w:rPr>
          <w:rFonts w:cs="Times New Roman"/>
          <w:szCs w:val="24"/>
        </w:rPr>
        <w:fldChar w:fldCharType="begin" w:fldLock="1"/>
      </w:r>
      <w:r w:rsidR="0044426E">
        <w:rPr>
          <w:rFonts w:cs="Times New Roman"/>
          <w:szCs w:val="24"/>
          <w:lang w:val="en-US"/>
        </w:rPr>
        <w:instrText>ADDIN CSL_CITATION {"citationItems":[{"id":"ITEM-1","itemData":{"DOI":"10.1061/(ASCE)CF.1943-5509.0001232","ISSN":"0887-3828","abstract":"Seepage is always expected in earthen dams because they are made of porous materials. However, it should be always under control and its amount and pore-water pressures should be kept below acceptable limits. This can be satisfied by installing internal drains. This study reviews the characteristics of blanket, chimney, and toe drains and assesses their suitability and effectiveness for various material types and geometric characteristics in separate cases. Numerical simulations are conducted for steady-state seepage through a homogeneous and simple zoned earthen dam using the finite-element method. It is found that the seepage rate increases and the phreatic line shortens with an increase in the blanket drain length; the phreatic line becomes steeper within the core if the chimney drain material is relatively coarse; and the seepage rate becomes higher when the height of the toe drain is increased. The thickness of the blanket drain and the material gradation of the toe drain are found ineffective in the seepage behavior of the dams considered.","author":[{"dropping-particle":"","family":"Calamak","given":"Melih","non-dropping-particle":"","parse-names":false,"suffix":""},{"dropping-particle":"","family":"Yilmaz","given":"Ahsen Nur","non-dropping-particle":"","parse-names":false,"suffix":""},{"dropping-particle":"","family":"Yanmaz","given":"A. Melih","non-dropping-particle":"","parse-names":false,"suffix":""}],"container-title":"Journal of Performance of Constructed Facilities","id":"ITEM-1","issue":"6","issued":{"date-parts":[["2018","12"]]},"page":"04018085","title":"Performance Evaluation of Internal Drains of Earthen Dams","type":"article-journal","volume":"32"},"uris":["http://www.mendeley.com/documents/?uuid=6fd3dfd0-d440-4e73-9a8d-cc53107e1027","http://www.mendeley.com/documents/?uuid=b5c86309-b042-4716-b7b3-2ae7bd19cf73","http://www.mendeley.com/documents/?uuid=d5f0ace7-a166-4fad-a531-d6b28b9dbc6f"]}],"mendeley":{"formattedCitation":"[306]","plainTextFormattedCitation":"[306]","previouslyFormattedCitation":"[306]"},"properties":{"noteIndex":0},"schema":"https://github.com/citation-style-language/schema/raw/master/csl-citation.json"}</w:instrText>
      </w:r>
      <w:r w:rsidRPr="00051297">
        <w:rPr>
          <w:rFonts w:cs="Times New Roman"/>
          <w:szCs w:val="24"/>
        </w:rPr>
        <w:fldChar w:fldCharType="separate"/>
      </w:r>
      <w:r w:rsidR="00FA5896" w:rsidRPr="00FA5896">
        <w:rPr>
          <w:rFonts w:cs="Times New Roman"/>
          <w:noProof/>
          <w:szCs w:val="24"/>
          <w:lang w:val="en-US"/>
        </w:rPr>
        <w:t>[306]</w:t>
      </w:r>
      <w:r w:rsidRPr="00051297">
        <w:rPr>
          <w:rFonts w:cs="Times New Roman"/>
          <w:szCs w:val="24"/>
        </w:rPr>
        <w:fldChar w:fldCharType="end"/>
      </w:r>
      <w:r w:rsidRPr="00051297">
        <w:rPr>
          <w:rFonts w:cs="Times New Roman"/>
          <w:szCs w:val="24"/>
          <w:lang w:val="en-US"/>
        </w:rPr>
        <w:t xml:space="preserve">. </w:t>
      </w:r>
      <w:r w:rsidRPr="00051297">
        <w:rPr>
          <w:rFonts w:cs="Times New Roman"/>
          <w:szCs w:val="24"/>
          <w:lang w:val="en-US"/>
        </w:rPr>
        <w:fldChar w:fldCharType="begin"/>
      </w:r>
      <w:r w:rsidRPr="00051297">
        <w:rPr>
          <w:rFonts w:cs="Times New Roman"/>
          <w:szCs w:val="24"/>
          <w:lang w:val="en-US"/>
        </w:rPr>
        <w:instrText xml:space="preserve"> REF _Ref98109081 \h </w:instrText>
      </w:r>
      <w:r w:rsidRPr="00051297">
        <w:rPr>
          <w:rFonts w:cs="Times New Roman"/>
          <w:szCs w:val="24"/>
          <w:lang w:val="en-US"/>
        </w:rPr>
      </w:r>
      <w:r w:rsidRPr="00051297">
        <w:rPr>
          <w:rFonts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61</w:t>
      </w:r>
      <w:r w:rsidRPr="00051297">
        <w:rPr>
          <w:rFonts w:cs="Times New Roman"/>
          <w:szCs w:val="24"/>
          <w:lang w:val="en-US"/>
        </w:rPr>
        <w:fldChar w:fldCharType="end"/>
      </w:r>
      <w:r w:rsidRPr="00051297">
        <w:rPr>
          <w:rFonts w:cs="Times New Roman"/>
          <w:szCs w:val="24"/>
          <w:lang w:val="en-US"/>
        </w:rPr>
        <w:t xml:space="preserve"> depicts seepage outcomes under steady-state flow conditions when the embankment was subjected to the reservoir at the embankment height.</w:t>
      </w:r>
    </w:p>
    <w:p w14:paraId="75E76385" w14:textId="5B2E1D58" w:rsidR="00051297" w:rsidRPr="00051297" w:rsidRDefault="003D1675" w:rsidP="00293959">
      <w:pPr>
        <w:keepNext/>
        <w:spacing w:line="240" w:lineRule="auto"/>
        <w:ind w:firstLine="0"/>
        <w:rPr>
          <w:rFonts w:cs="Times New Roman"/>
          <w:szCs w:val="24"/>
        </w:rPr>
      </w:pPr>
      <w:r>
        <w:rPr>
          <w:noProof/>
        </w:rPr>
        <w:drawing>
          <wp:inline distT="0" distB="0" distL="0" distR="0" wp14:anchorId="3BDED67F" wp14:editId="452E3445">
            <wp:extent cx="5939790" cy="1187450"/>
            <wp:effectExtent l="0" t="0" r="381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939790" cy="1187450"/>
                    </a:xfrm>
                    <a:prstGeom prst="rect">
                      <a:avLst/>
                    </a:prstGeom>
                    <a:noFill/>
                    <a:ln>
                      <a:noFill/>
                    </a:ln>
                  </pic:spPr>
                </pic:pic>
              </a:graphicData>
            </a:graphic>
          </wp:inline>
        </w:drawing>
      </w:r>
    </w:p>
    <w:p w14:paraId="48E1EC30" w14:textId="47A3E575" w:rsidR="00051297" w:rsidRPr="00051297" w:rsidRDefault="00051297" w:rsidP="00051297">
      <w:pPr>
        <w:ind w:firstLine="0"/>
        <w:jc w:val="center"/>
        <w:rPr>
          <w:lang w:val="en-US"/>
        </w:rPr>
      </w:pPr>
      <w:bookmarkStart w:id="1554" w:name="_Ref98109081"/>
      <w:bookmarkStart w:id="1555" w:name="_Toc97428320"/>
      <w:bookmarkStart w:id="1556" w:name="_Toc98085996"/>
      <w:bookmarkStart w:id="1557" w:name="_Toc103544194"/>
      <w:bookmarkStart w:id="1558" w:name="_Toc104985520"/>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61</w:t>
      </w:r>
      <w:r w:rsidR="00527861">
        <w:rPr>
          <w:lang w:val="en-US"/>
        </w:rPr>
        <w:fldChar w:fldCharType="end"/>
      </w:r>
      <w:bookmarkEnd w:id="1554"/>
      <w:r w:rsidRPr="00051297">
        <w:rPr>
          <w:lang w:val="en-US"/>
        </w:rPr>
        <w:t xml:space="preserve"> – Steady-state seepage under embankment height level</w:t>
      </w:r>
      <w:bookmarkEnd w:id="1555"/>
      <w:bookmarkEnd w:id="1556"/>
      <w:bookmarkEnd w:id="1557"/>
      <w:bookmarkEnd w:id="1558"/>
    </w:p>
    <w:p w14:paraId="1E2EC57B"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Reservoir operating under overflow condition</w:t>
      </w:r>
    </w:p>
    <w:p w14:paraId="035AC393" w14:textId="06576033" w:rsidR="00051297" w:rsidRPr="00051297" w:rsidRDefault="00051297" w:rsidP="00051297">
      <w:pPr>
        <w:tabs>
          <w:tab w:val="left" w:pos="993"/>
        </w:tabs>
        <w:rPr>
          <w:rFonts w:eastAsia="Calibri" w:cs="Times New Roman"/>
          <w:szCs w:val="24"/>
          <w:lang w:val="en-US"/>
        </w:rPr>
      </w:pPr>
      <w:r w:rsidRPr="00051297">
        <w:rPr>
          <w:rFonts w:cs="Times New Roman"/>
          <w:szCs w:val="24"/>
          <w:lang w:val="en-US"/>
        </w:rPr>
        <w:t xml:space="preserve">With the reservoir level functioning at the overflow position, the embankment was also subjected to a long-term seepage analysis. </w:t>
      </w:r>
      <w:r w:rsidRPr="00051297">
        <w:rPr>
          <w:rFonts w:cs="Times New Roman"/>
          <w:szCs w:val="24"/>
          <w:lang w:val="en-US"/>
        </w:rPr>
        <w:fldChar w:fldCharType="begin"/>
      </w:r>
      <w:r w:rsidRPr="00051297">
        <w:rPr>
          <w:rFonts w:cs="Times New Roman"/>
          <w:szCs w:val="24"/>
          <w:lang w:val="en-US"/>
        </w:rPr>
        <w:instrText xml:space="preserve"> REF _Ref98109099 \h </w:instrText>
      </w:r>
      <w:r w:rsidRPr="00051297">
        <w:rPr>
          <w:rFonts w:cs="Times New Roman"/>
          <w:szCs w:val="24"/>
          <w:lang w:val="en-US"/>
        </w:rPr>
      </w:r>
      <w:r w:rsidRPr="00051297">
        <w:rPr>
          <w:rFonts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62</w:t>
      </w:r>
      <w:r w:rsidRPr="00051297">
        <w:rPr>
          <w:rFonts w:cs="Times New Roman"/>
          <w:szCs w:val="24"/>
          <w:lang w:val="en-US"/>
        </w:rPr>
        <w:fldChar w:fldCharType="end"/>
      </w:r>
      <w:r w:rsidRPr="00051297">
        <w:rPr>
          <w:rFonts w:cs="Times New Roman"/>
          <w:szCs w:val="24"/>
          <w:lang w:val="en-US"/>
        </w:rPr>
        <w:t xml:space="preserve"> shows seepage results when the embankment was exposed to the reservoir operating under steady-state overflow conditions. The long-term steady-state seepage line enters the embankment through the third zone in this case, skipping the first two zones.</w:t>
      </w:r>
    </w:p>
    <w:p w14:paraId="4C0D813E" w14:textId="0D68FA9F" w:rsidR="00051297" w:rsidRPr="00051297" w:rsidRDefault="003D1675" w:rsidP="00293959">
      <w:pPr>
        <w:keepNext/>
        <w:spacing w:line="240" w:lineRule="auto"/>
        <w:ind w:firstLine="0"/>
        <w:rPr>
          <w:rFonts w:cs="Times New Roman"/>
          <w:szCs w:val="24"/>
        </w:rPr>
      </w:pPr>
      <w:r>
        <w:rPr>
          <w:noProof/>
        </w:rPr>
        <w:drawing>
          <wp:inline distT="0" distB="0" distL="0" distR="0" wp14:anchorId="1DE4E14A" wp14:editId="18981043">
            <wp:extent cx="5939790" cy="1202690"/>
            <wp:effectExtent l="0" t="0" r="381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39790" cy="1202690"/>
                    </a:xfrm>
                    <a:prstGeom prst="rect">
                      <a:avLst/>
                    </a:prstGeom>
                    <a:noFill/>
                    <a:ln>
                      <a:noFill/>
                    </a:ln>
                  </pic:spPr>
                </pic:pic>
              </a:graphicData>
            </a:graphic>
          </wp:inline>
        </w:drawing>
      </w:r>
    </w:p>
    <w:p w14:paraId="3D24131F" w14:textId="545BA006" w:rsidR="00051297" w:rsidRPr="00051297" w:rsidRDefault="00051297" w:rsidP="00051297">
      <w:pPr>
        <w:ind w:firstLine="0"/>
        <w:jc w:val="center"/>
        <w:rPr>
          <w:rFonts w:cs="Times New Roman"/>
          <w:szCs w:val="24"/>
          <w:lang w:val="en-US"/>
        </w:rPr>
      </w:pPr>
      <w:bookmarkStart w:id="1559" w:name="_Ref98109099"/>
      <w:bookmarkStart w:id="1560" w:name="_Toc97428321"/>
      <w:bookmarkStart w:id="1561" w:name="_Toc98085997"/>
      <w:bookmarkStart w:id="1562" w:name="_Toc103544195"/>
      <w:bookmarkStart w:id="1563" w:name="_Toc104985521"/>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62</w:t>
      </w:r>
      <w:r w:rsidR="00527861">
        <w:rPr>
          <w:lang w:val="en-US"/>
        </w:rPr>
        <w:fldChar w:fldCharType="end"/>
      </w:r>
      <w:bookmarkEnd w:id="1559"/>
      <w:r w:rsidRPr="00051297">
        <w:rPr>
          <w:lang w:val="en-US"/>
        </w:rPr>
        <w:t xml:space="preserve"> – Steady-state seepage under overflow level</w:t>
      </w:r>
      <w:bookmarkEnd w:id="1560"/>
      <w:bookmarkEnd w:id="1561"/>
      <w:bookmarkEnd w:id="1562"/>
      <w:bookmarkEnd w:id="1563"/>
    </w:p>
    <w:p w14:paraId="2BFE5FCF" w14:textId="132092E6" w:rsidR="00051297" w:rsidRPr="00051297" w:rsidRDefault="00051297" w:rsidP="00141AA5">
      <w:pPr>
        <w:pStyle w:val="5"/>
        <w:rPr>
          <w:rFonts w:eastAsia="Calibri"/>
          <w:lang w:val="en-US"/>
        </w:rPr>
      </w:pPr>
      <w:bookmarkStart w:id="1564" w:name="_Toc103544039"/>
      <w:bookmarkStart w:id="1565" w:name="_Toc104985364"/>
      <w:r w:rsidRPr="00051297">
        <w:rPr>
          <w:rFonts w:eastAsia="Calibri"/>
          <w:lang w:val="en-US"/>
        </w:rPr>
        <w:t>Instantaneous drawdown</w:t>
      </w:r>
      <w:bookmarkEnd w:id="1564"/>
      <w:bookmarkEnd w:id="1565"/>
    </w:p>
    <w:p w14:paraId="58AE4FFB" w14:textId="77777777" w:rsidR="00051297" w:rsidRPr="00051297" w:rsidRDefault="00051297" w:rsidP="00051297">
      <w:pPr>
        <w:tabs>
          <w:tab w:val="left" w:pos="993"/>
        </w:tabs>
        <w:rPr>
          <w:lang w:val="en-US"/>
        </w:rPr>
      </w:pPr>
      <w:r w:rsidRPr="00051297">
        <w:rPr>
          <w:lang w:val="en-US"/>
        </w:rPr>
        <w:t>A zero-pressure head boundary condition at the toe of the upstream slope and a potential seepage face boundary condition down the upstream slope to the height of the original reservoir level were used to mimic the instantaneous drawdown.</w:t>
      </w:r>
    </w:p>
    <w:p w14:paraId="323F2A79"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The normal operating reservoir level</w:t>
      </w:r>
    </w:p>
    <w:p w14:paraId="3C4D3913" w14:textId="67E769D7" w:rsidR="00051297" w:rsidRPr="00051297" w:rsidRDefault="00051297" w:rsidP="00051297">
      <w:pPr>
        <w:tabs>
          <w:tab w:val="left" w:pos="993"/>
        </w:tabs>
        <w:rPr>
          <w:rFonts w:eastAsia="Calibri" w:cs="Times New Roman"/>
          <w:szCs w:val="24"/>
          <w:lang w:val="en-US"/>
        </w:rPr>
      </w:pPr>
      <w:r w:rsidRPr="00051297">
        <w:rPr>
          <w:rFonts w:cs="Times New Roman"/>
          <w:szCs w:val="24"/>
          <w:lang w:val="en-US"/>
        </w:rPr>
        <w:lastRenderedPageBreak/>
        <w:t xml:space="preserve">The embankment was also subjected to an instantaneous drawdown seepage analysis while the reservoir was at the normal operating level. Figure 5.83 depicts seepage outcomes when the embankment was exposed to a reservoir that was running at instantaneous flow conditions and normal operating reservoir level. Even after the water in the reservoir has been completely drained, the pore-water pressures in the embankment remain quite high, as seen by the piezometric lines in </w:t>
      </w:r>
      <w:r w:rsidRPr="00051297">
        <w:rPr>
          <w:rFonts w:cs="Times New Roman"/>
          <w:szCs w:val="24"/>
          <w:lang w:val="en-US"/>
        </w:rPr>
        <w:fldChar w:fldCharType="begin"/>
      </w:r>
      <w:r w:rsidRPr="00051297">
        <w:rPr>
          <w:rFonts w:cs="Times New Roman"/>
          <w:szCs w:val="24"/>
          <w:lang w:val="en-US"/>
        </w:rPr>
        <w:instrText xml:space="preserve"> REF _Ref98109117 \h </w:instrText>
      </w:r>
      <w:r w:rsidRPr="00051297">
        <w:rPr>
          <w:rFonts w:cs="Times New Roman"/>
          <w:szCs w:val="24"/>
          <w:lang w:val="en-US"/>
        </w:rPr>
      </w:r>
      <w:r w:rsidRPr="00051297">
        <w:rPr>
          <w:rFonts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63</w:t>
      </w:r>
      <w:r w:rsidRPr="00051297">
        <w:rPr>
          <w:rFonts w:cs="Times New Roman"/>
          <w:szCs w:val="24"/>
          <w:lang w:val="en-US"/>
        </w:rPr>
        <w:fldChar w:fldCharType="end"/>
      </w:r>
      <w:r w:rsidRPr="00051297">
        <w:rPr>
          <w:rFonts w:cs="Times New Roman"/>
          <w:szCs w:val="24"/>
          <w:lang w:val="en-US"/>
        </w:rPr>
        <w:t>.</w:t>
      </w:r>
    </w:p>
    <w:p w14:paraId="799374ED" w14:textId="6EA32D53" w:rsidR="00051297" w:rsidRPr="00051297" w:rsidRDefault="003D1675" w:rsidP="00051297">
      <w:pPr>
        <w:keepNext/>
        <w:ind w:firstLine="0"/>
        <w:rPr>
          <w:rFonts w:cs="Times New Roman"/>
          <w:szCs w:val="24"/>
        </w:rPr>
      </w:pPr>
      <w:r>
        <w:rPr>
          <w:noProof/>
        </w:rPr>
        <w:drawing>
          <wp:inline distT="0" distB="0" distL="0" distR="0" wp14:anchorId="4B69EB87" wp14:editId="1CB4A1F9">
            <wp:extent cx="5939790" cy="1311910"/>
            <wp:effectExtent l="0" t="0" r="3810" b="254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939790" cy="1311910"/>
                    </a:xfrm>
                    <a:prstGeom prst="rect">
                      <a:avLst/>
                    </a:prstGeom>
                    <a:noFill/>
                    <a:ln>
                      <a:noFill/>
                    </a:ln>
                  </pic:spPr>
                </pic:pic>
              </a:graphicData>
            </a:graphic>
          </wp:inline>
        </w:drawing>
      </w:r>
    </w:p>
    <w:p w14:paraId="28F99EF0" w14:textId="71547FCF" w:rsidR="00051297" w:rsidRPr="00051297" w:rsidRDefault="00051297" w:rsidP="00051297">
      <w:pPr>
        <w:ind w:firstLine="0"/>
        <w:jc w:val="center"/>
        <w:rPr>
          <w:rFonts w:eastAsia="Calibri" w:cs="Times New Roman"/>
          <w:szCs w:val="24"/>
          <w:lang w:val="en-US"/>
        </w:rPr>
      </w:pPr>
      <w:bookmarkStart w:id="1566" w:name="_Ref98109117"/>
      <w:bookmarkStart w:id="1567" w:name="_Toc97428322"/>
      <w:bookmarkStart w:id="1568" w:name="_Toc98085998"/>
      <w:bookmarkStart w:id="1569" w:name="_Toc103544196"/>
      <w:bookmarkStart w:id="1570" w:name="_Toc104985522"/>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63</w:t>
      </w:r>
      <w:r w:rsidR="00527861">
        <w:rPr>
          <w:rFonts w:eastAsia="Calibri" w:cs="Times New Roman"/>
          <w:szCs w:val="24"/>
          <w:lang w:val="en-US"/>
        </w:rPr>
        <w:fldChar w:fldCharType="end"/>
      </w:r>
      <w:bookmarkEnd w:id="1566"/>
      <w:r w:rsidRPr="00051297">
        <w:rPr>
          <w:lang w:val="en-US"/>
        </w:rPr>
        <w:t xml:space="preserve"> </w:t>
      </w:r>
      <w:r w:rsidRPr="00051297">
        <w:rPr>
          <w:rFonts w:eastAsia="Calibri" w:cs="Times New Roman"/>
          <w:szCs w:val="24"/>
          <w:lang w:val="en-US"/>
        </w:rPr>
        <w:t>– Instantaneous drawdown seepage under normal operating reservoir level</w:t>
      </w:r>
      <w:bookmarkEnd w:id="1567"/>
      <w:bookmarkEnd w:id="1568"/>
      <w:bookmarkEnd w:id="1569"/>
      <w:bookmarkEnd w:id="1570"/>
    </w:p>
    <w:p w14:paraId="0B5313F7"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Reduced reservoir</w:t>
      </w:r>
      <w:r w:rsidRPr="00051297">
        <w:rPr>
          <w:rFonts w:cs="Times New Roman"/>
          <w:szCs w:val="24"/>
        </w:rPr>
        <w:t xml:space="preserve"> </w:t>
      </w:r>
      <w:r w:rsidRPr="00051297">
        <w:rPr>
          <w:rFonts w:eastAsia="Calibri" w:cs="Times New Roman"/>
          <w:szCs w:val="24"/>
        </w:rPr>
        <w:t>operating level</w:t>
      </w:r>
    </w:p>
    <w:p w14:paraId="0D3195BE" w14:textId="26CE1CDE" w:rsidR="00051297" w:rsidRPr="00051297" w:rsidRDefault="00051297" w:rsidP="00051297">
      <w:pPr>
        <w:rPr>
          <w:rFonts w:eastAsia="Calibri" w:cs="Times New Roman"/>
          <w:szCs w:val="24"/>
          <w:lang w:val="en-US"/>
        </w:rPr>
      </w:pPr>
      <w:r w:rsidRPr="00051297">
        <w:rPr>
          <w:rFonts w:cs="Times New Roman"/>
          <w:szCs w:val="24"/>
          <w:lang w:val="en-US"/>
        </w:rPr>
        <w:t xml:space="preserve">From the instantaneous drawdown rate, the water level in the reservoir was also reduced to approximately half of the embankment and analyzed in terms of seepage flow. </w:t>
      </w:r>
      <w:r w:rsidRPr="00051297">
        <w:rPr>
          <w:rFonts w:cs="Times New Roman"/>
          <w:szCs w:val="24"/>
          <w:lang w:val="en-US"/>
        </w:rPr>
        <w:fldChar w:fldCharType="begin"/>
      </w:r>
      <w:r w:rsidRPr="00051297">
        <w:rPr>
          <w:rFonts w:cs="Times New Roman"/>
          <w:szCs w:val="24"/>
          <w:lang w:val="en-US"/>
        </w:rPr>
        <w:instrText xml:space="preserve"> REF _Ref98109125 \h </w:instrText>
      </w:r>
      <w:r w:rsidRPr="00051297">
        <w:rPr>
          <w:rFonts w:cs="Times New Roman"/>
          <w:szCs w:val="24"/>
          <w:lang w:val="en-US"/>
        </w:rPr>
      </w:r>
      <w:r w:rsidRPr="00051297">
        <w:rPr>
          <w:rFonts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64</w:t>
      </w:r>
      <w:r w:rsidRPr="00051297">
        <w:rPr>
          <w:rFonts w:cs="Times New Roman"/>
          <w:szCs w:val="24"/>
          <w:lang w:val="en-US"/>
        </w:rPr>
        <w:fldChar w:fldCharType="end"/>
      </w:r>
      <w:r w:rsidRPr="00051297">
        <w:rPr>
          <w:rFonts w:cs="Times New Roman"/>
          <w:szCs w:val="24"/>
          <w:lang w:val="en-US"/>
        </w:rPr>
        <w:t xml:space="preserve"> </w:t>
      </w:r>
      <w:r w:rsidRPr="00051297">
        <w:rPr>
          <w:rFonts w:cs="Times New Roman"/>
          <w:noProof/>
          <w:szCs w:val="24"/>
          <w:lang w:val="en-US"/>
        </w:rPr>
        <w:t>displays seepage results when the embankment was exposed to a reservoir that was operating at a reduced operational reservoir level and instantaneous flow conditions. The embankment was able to securely transmit the seepage to the downstream toe despite the comparatively high pore-water pressures following the drawdown as determined by the phreatic lines.</w:t>
      </w:r>
    </w:p>
    <w:p w14:paraId="424A578A" w14:textId="064005A2" w:rsidR="00051297" w:rsidRPr="00051297" w:rsidRDefault="00B3748B" w:rsidP="00051297">
      <w:pPr>
        <w:keepNext/>
        <w:ind w:firstLine="0"/>
        <w:rPr>
          <w:rFonts w:cs="Times New Roman"/>
          <w:szCs w:val="24"/>
        </w:rPr>
      </w:pPr>
      <w:r>
        <w:rPr>
          <w:noProof/>
        </w:rPr>
        <w:drawing>
          <wp:inline distT="0" distB="0" distL="0" distR="0" wp14:anchorId="299344C6" wp14:editId="58B699CF">
            <wp:extent cx="5939790" cy="1176020"/>
            <wp:effectExtent l="0" t="0" r="3810" b="508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939790" cy="1176020"/>
                    </a:xfrm>
                    <a:prstGeom prst="rect">
                      <a:avLst/>
                    </a:prstGeom>
                    <a:noFill/>
                    <a:ln>
                      <a:noFill/>
                    </a:ln>
                  </pic:spPr>
                </pic:pic>
              </a:graphicData>
            </a:graphic>
          </wp:inline>
        </w:drawing>
      </w:r>
    </w:p>
    <w:p w14:paraId="390D27D8" w14:textId="31F893E9" w:rsidR="00051297" w:rsidRPr="00051297" w:rsidRDefault="00051297" w:rsidP="00051297">
      <w:pPr>
        <w:ind w:firstLine="0"/>
        <w:jc w:val="center"/>
        <w:rPr>
          <w:rFonts w:eastAsia="Calibri" w:cs="Times New Roman"/>
          <w:szCs w:val="24"/>
          <w:lang w:val="en-US"/>
        </w:rPr>
      </w:pPr>
      <w:bookmarkStart w:id="1571" w:name="_Ref98109125"/>
      <w:bookmarkStart w:id="1572" w:name="_Toc97428323"/>
      <w:bookmarkStart w:id="1573" w:name="_Toc98085999"/>
      <w:bookmarkStart w:id="1574" w:name="_Toc103544197"/>
      <w:bookmarkStart w:id="1575" w:name="_Toc104985523"/>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64</w:t>
      </w:r>
      <w:r w:rsidR="00527861">
        <w:rPr>
          <w:rFonts w:eastAsia="Calibri" w:cs="Times New Roman"/>
          <w:szCs w:val="24"/>
          <w:lang w:val="en-US"/>
        </w:rPr>
        <w:fldChar w:fldCharType="end"/>
      </w:r>
      <w:bookmarkEnd w:id="1571"/>
      <w:r w:rsidRPr="00051297">
        <w:rPr>
          <w:lang w:val="en-US"/>
        </w:rPr>
        <w:t xml:space="preserve"> </w:t>
      </w:r>
      <w:r w:rsidRPr="00051297">
        <w:rPr>
          <w:rFonts w:eastAsia="Calibri" w:cs="Times New Roman"/>
          <w:szCs w:val="24"/>
          <w:lang w:val="en-US"/>
        </w:rPr>
        <w:t>– Instantaneous drawdown seepage under reduced reservoir operating level</w:t>
      </w:r>
      <w:bookmarkEnd w:id="1572"/>
      <w:bookmarkEnd w:id="1573"/>
      <w:bookmarkEnd w:id="1574"/>
      <w:bookmarkEnd w:id="1575"/>
    </w:p>
    <w:p w14:paraId="48BE53B9"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Reservoir</w:t>
      </w:r>
      <w:r w:rsidRPr="00051297">
        <w:rPr>
          <w:rFonts w:cs="Times New Roman"/>
          <w:szCs w:val="24"/>
        </w:rPr>
        <w:t xml:space="preserve"> </w:t>
      </w:r>
      <w:r w:rsidRPr="00051297">
        <w:rPr>
          <w:rFonts w:eastAsia="Calibri" w:cs="Times New Roman"/>
          <w:szCs w:val="24"/>
        </w:rPr>
        <w:t>operating at embankment height</w:t>
      </w:r>
    </w:p>
    <w:p w14:paraId="489EBA45" w14:textId="29631682" w:rsidR="00051297" w:rsidRPr="00051297" w:rsidRDefault="00051297" w:rsidP="00051297">
      <w:pPr>
        <w:rPr>
          <w:rFonts w:eastAsia="Calibri" w:cs="Times New Roman"/>
          <w:szCs w:val="24"/>
          <w:lang w:val="en-US"/>
        </w:rPr>
      </w:pPr>
      <w:r w:rsidRPr="00051297">
        <w:rPr>
          <w:rFonts w:cs="Times New Roman"/>
          <w:szCs w:val="24"/>
          <w:lang w:val="en-US"/>
        </w:rPr>
        <w:t xml:space="preserve">The water level in the reservoir was likewise adjusted to match the embankment height and then examined in terms of seepage flow using the five (5) days drawdown rate. </w:t>
      </w:r>
      <w:r w:rsidRPr="00051297">
        <w:rPr>
          <w:rFonts w:cs="Times New Roman"/>
          <w:szCs w:val="24"/>
          <w:lang w:val="en-US"/>
        </w:rPr>
        <w:fldChar w:fldCharType="begin"/>
      </w:r>
      <w:r w:rsidRPr="00051297">
        <w:rPr>
          <w:rFonts w:cs="Times New Roman"/>
          <w:szCs w:val="24"/>
          <w:lang w:val="en-US"/>
        </w:rPr>
        <w:instrText xml:space="preserve"> REF _Ref98109139 \h </w:instrText>
      </w:r>
      <w:r w:rsidRPr="00051297">
        <w:rPr>
          <w:rFonts w:cs="Times New Roman"/>
          <w:szCs w:val="24"/>
          <w:lang w:val="en-US"/>
        </w:rPr>
      </w:r>
      <w:r w:rsidRPr="00051297">
        <w:rPr>
          <w:rFonts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65</w:t>
      </w:r>
      <w:r w:rsidRPr="00051297">
        <w:rPr>
          <w:rFonts w:cs="Times New Roman"/>
          <w:szCs w:val="24"/>
          <w:lang w:val="en-US"/>
        </w:rPr>
        <w:fldChar w:fldCharType="end"/>
      </w:r>
      <w:r w:rsidRPr="00051297">
        <w:rPr>
          <w:rFonts w:cs="Times New Roman"/>
          <w:noProof/>
          <w:szCs w:val="24"/>
          <w:lang w:val="en-US"/>
        </w:rPr>
        <w:t xml:space="preserve"> displays seepage results when the embankment was exposed to a reservoir that was operating at embankment height reservoir level and instantaneous flow condition. From </w:t>
      </w:r>
      <w:r w:rsidRPr="00051297">
        <w:rPr>
          <w:rFonts w:cs="Times New Roman"/>
          <w:noProof/>
          <w:szCs w:val="24"/>
          <w:lang w:val="en-US"/>
        </w:rPr>
        <w:fldChar w:fldCharType="begin"/>
      </w:r>
      <w:r w:rsidRPr="00051297">
        <w:rPr>
          <w:rFonts w:cs="Times New Roman"/>
          <w:noProof/>
          <w:szCs w:val="24"/>
          <w:lang w:val="en-US"/>
        </w:rPr>
        <w:instrText xml:space="preserve"> REF _Ref98109139 \h </w:instrText>
      </w:r>
      <w:r w:rsidRPr="00051297">
        <w:rPr>
          <w:rFonts w:cs="Times New Roman"/>
          <w:noProof/>
          <w:szCs w:val="24"/>
          <w:lang w:val="en-US"/>
        </w:rPr>
      </w:r>
      <w:r w:rsidRPr="00051297">
        <w:rPr>
          <w:rFonts w:cs="Times New Roman"/>
          <w:noProof/>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65</w:t>
      </w:r>
      <w:r w:rsidRPr="00051297">
        <w:rPr>
          <w:rFonts w:cs="Times New Roman"/>
          <w:noProof/>
          <w:szCs w:val="24"/>
          <w:lang w:val="en-US"/>
        </w:rPr>
        <w:fldChar w:fldCharType="end"/>
      </w:r>
      <w:r w:rsidRPr="00051297">
        <w:rPr>
          <w:rFonts w:cs="Times New Roman"/>
          <w:noProof/>
          <w:szCs w:val="24"/>
          <w:lang w:val="en-US"/>
        </w:rPr>
        <w:t>, it can be observed that there was a significant struggle of the embankment to dissipate the pore-water pressure after the drawdown, especially in the first zone of the embankment as depicted by the phreatic lines.</w:t>
      </w:r>
    </w:p>
    <w:p w14:paraId="0C5CCFA6" w14:textId="598664FE" w:rsidR="00051297" w:rsidRPr="00051297" w:rsidRDefault="00B3748B" w:rsidP="00B3748B">
      <w:pPr>
        <w:keepNext/>
        <w:ind w:firstLine="0"/>
        <w:rPr>
          <w:rFonts w:cs="Times New Roman"/>
          <w:szCs w:val="24"/>
        </w:rPr>
      </w:pPr>
      <w:r>
        <w:rPr>
          <w:noProof/>
        </w:rPr>
        <w:lastRenderedPageBreak/>
        <w:drawing>
          <wp:inline distT="0" distB="0" distL="0" distR="0" wp14:anchorId="2E91CD2A" wp14:editId="7037778F">
            <wp:extent cx="5939790" cy="1166495"/>
            <wp:effectExtent l="0" t="0" r="381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39790" cy="1166495"/>
                    </a:xfrm>
                    <a:prstGeom prst="rect">
                      <a:avLst/>
                    </a:prstGeom>
                    <a:noFill/>
                    <a:ln>
                      <a:noFill/>
                    </a:ln>
                  </pic:spPr>
                </pic:pic>
              </a:graphicData>
            </a:graphic>
          </wp:inline>
        </w:drawing>
      </w:r>
    </w:p>
    <w:p w14:paraId="5F96B9F7" w14:textId="23F97F0A" w:rsidR="00051297" w:rsidRPr="00051297" w:rsidRDefault="00051297" w:rsidP="00051297">
      <w:pPr>
        <w:ind w:firstLine="0"/>
        <w:jc w:val="center"/>
        <w:rPr>
          <w:rFonts w:eastAsia="Calibri" w:cs="Times New Roman"/>
          <w:szCs w:val="24"/>
          <w:lang w:val="en-US"/>
        </w:rPr>
      </w:pPr>
      <w:bookmarkStart w:id="1576" w:name="_Ref98109139"/>
      <w:bookmarkStart w:id="1577" w:name="_Toc97428324"/>
      <w:bookmarkStart w:id="1578" w:name="_Toc98086000"/>
      <w:bookmarkStart w:id="1579" w:name="_Toc103544198"/>
      <w:bookmarkStart w:id="1580" w:name="_Toc104985524"/>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65</w:t>
      </w:r>
      <w:r w:rsidR="00527861">
        <w:rPr>
          <w:rFonts w:eastAsia="Calibri" w:cs="Times New Roman"/>
          <w:szCs w:val="24"/>
          <w:lang w:val="en-US"/>
        </w:rPr>
        <w:fldChar w:fldCharType="end"/>
      </w:r>
      <w:bookmarkEnd w:id="1576"/>
      <w:r w:rsidRPr="00051297">
        <w:rPr>
          <w:lang w:val="en-US"/>
        </w:rPr>
        <w:t xml:space="preserve"> </w:t>
      </w:r>
      <w:r w:rsidRPr="00051297">
        <w:rPr>
          <w:rFonts w:eastAsia="Calibri" w:cs="Times New Roman"/>
          <w:szCs w:val="24"/>
          <w:lang w:val="en-US"/>
        </w:rPr>
        <w:t>– Instantaneous drawdown seepage under embankment height operating level</w:t>
      </w:r>
      <w:bookmarkEnd w:id="1577"/>
      <w:bookmarkEnd w:id="1578"/>
      <w:bookmarkEnd w:id="1579"/>
      <w:bookmarkEnd w:id="1580"/>
    </w:p>
    <w:p w14:paraId="34692E72"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Reservoir operating under overflow condition</w:t>
      </w:r>
    </w:p>
    <w:p w14:paraId="42278C9A" w14:textId="7688AF81" w:rsidR="00051297" w:rsidRPr="00051297" w:rsidRDefault="00051297" w:rsidP="00051297">
      <w:pPr>
        <w:rPr>
          <w:rFonts w:eastAsia="Calibri" w:cs="Times New Roman"/>
          <w:szCs w:val="24"/>
          <w:lang w:val="en-US"/>
        </w:rPr>
      </w:pPr>
      <w:r w:rsidRPr="00051297">
        <w:rPr>
          <w:rFonts w:cs="Times New Roman"/>
          <w:szCs w:val="24"/>
          <w:lang w:val="en-US"/>
        </w:rPr>
        <w:t xml:space="preserve">The reservoir's water level was raised to an overflow condition, and the seepage flow was measured using the instantaneous drawdown rate. </w:t>
      </w:r>
      <w:r w:rsidRPr="00051297">
        <w:rPr>
          <w:rFonts w:cs="Times New Roman"/>
          <w:szCs w:val="24"/>
          <w:lang w:val="en-US"/>
        </w:rPr>
        <w:fldChar w:fldCharType="begin"/>
      </w:r>
      <w:r w:rsidRPr="00051297">
        <w:rPr>
          <w:rFonts w:cs="Times New Roman"/>
          <w:szCs w:val="24"/>
          <w:lang w:val="en-US"/>
        </w:rPr>
        <w:instrText xml:space="preserve"> REF _Ref98109179 \h </w:instrText>
      </w:r>
      <w:r w:rsidRPr="00051297">
        <w:rPr>
          <w:rFonts w:cs="Times New Roman"/>
          <w:szCs w:val="24"/>
          <w:lang w:val="en-US"/>
        </w:rPr>
      </w:r>
      <w:r w:rsidRPr="00051297">
        <w:rPr>
          <w:rFonts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66</w:t>
      </w:r>
      <w:r w:rsidRPr="00051297">
        <w:rPr>
          <w:rFonts w:cs="Times New Roman"/>
          <w:szCs w:val="24"/>
          <w:lang w:val="en-US"/>
        </w:rPr>
        <w:fldChar w:fldCharType="end"/>
      </w:r>
      <w:r w:rsidRPr="00051297">
        <w:rPr>
          <w:rFonts w:cs="Times New Roman"/>
          <w:noProof/>
          <w:szCs w:val="24"/>
          <w:lang w:val="en-US"/>
        </w:rPr>
        <w:t xml:space="preserve"> depicts seepage outcomes when the embankment was exposed to a reservoir that was running at instantaneous flow conditions and overflow operating reservoir level. A similar phenomenon can be observed; whereby,</w:t>
      </w:r>
      <w:r w:rsidRPr="00051297">
        <w:rPr>
          <w:rFonts w:cs="Times New Roman"/>
          <w:szCs w:val="24"/>
          <w:lang w:val="en-US"/>
        </w:rPr>
        <w:t xml:space="preserve"> </w:t>
      </w:r>
      <w:r w:rsidRPr="00051297">
        <w:rPr>
          <w:rFonts w:cs="Times New Roman"/>
          <w:noProof/>
          <w:szCs w:val="24"/>
          <w:lang w:val="en-US"/>
        </w:rPr>
        <w:fldChar w:fldCharType="begin"/>
      </w:r>
      <w:r w:rsidRPr="00051297">
        <w:rPr>
          <w:rFonts w:cs="Times New Roman"/>
          <w:szCs w:val="24"/>
          <w:lang w:val="en-US"/>
        </w:rPr>
        <w:instrText xml:space="preserve"> REF _Ref98109179 \h </w:instrText>
      </w:r>
      <w:r w:rsidRPr="00051297">
        <w:rPr>
          <w:rFonts w:cs="Times New Roman"/>
          <w:noProof/>
          <w:szCs w:val="24"/>
          <w:lang w:val="en-US"/>
        </w:rPr>
      </w:r>
      <w:r w:rsidRPr="00051297">
        <w:rPr>
          <w:rFonts w:cs="Times New Roman"/>
          <w:noProof/>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66</w:t>
      </w:r>
      <w:r w:rsidRPr="00051297">
        <w:rPr>
          <w:rFonts w:cs="Times New Roman"/>
          <w:noProof/>
          <w:szCs w:val="24"/>
          <w:lang w:val="en-US"/>
        </w:rPr>
        <w:fldChar w:fldCharType="end"/>
      </w:r>
      <w:r w:rsidRPr="00051297">
        <w:rPr>
          <w:rFonts w:cs="Times New Roman"/>
          <w:noProof/>
          <w:szCs w:val="24"/>
          <w:lang w:val="en-US"/>
        </w:rPr>
        <w:t xml:space="preserve"> shows that the embankment struggled to dissipate the pore-water pressure following the drawdown, particularly in the first zone as represented by the phreatic lines.</w:t>
      </w:r>
    </w:p>
    <w:p w14:paraId="0249CAD6" w14:textId="031B8551" w:rsidR="00051297" w:rsidRPr="00051297" w:rsidRDefault="00776CA9" w:rsidP="00776CA9">
      <w:pPr>
        <w:keepNext/>
        <w:ind w:firstLine="0"/>
        <w:rPr>
          <w:rFonts w:cs="Times New Roman"/>
          <w:szCs w:val="24"/>
        </w:rPr>
      </w:pPr>
      <w:r>
        <w:rPr>
          <w:noProof/>
        </w:rPr>
        <w:drawing>
          <wp:inline distT="0" distB="0" distL="0" distR="0" wp14:anchorId="3AB9CCA8" wp14:editId="1AF28F3B">
            <wp:extent cx="5939790" cy="1180465"/>
            <wp:effectExtent l="0" t="0" r="3810" b="63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939790" cy="1180465"/>
                    </a:xfrm>
                    <a:prstGeom prst="rect">
                      <a:avLst/>
                    </a:prstGeom>
                    <a:noFill/>
                    <a:ln>
                      <a:noFill/>
                    </a:ln>
                  </pic:spPr>
                </pic:pic>
              </a:graphicData>
            </a:graphic>
          </wp:inline>
        </w:drawing>
      </w:r>
    </w:p>
    <w:p w14:paraId="63F733E1" w14:textId="5958A662" w:rsidR="00051297" w:rsidRPr="00051297" w:rsidRDefault="00051297" w:rsidP="00051297">
      <w:pPr>
        <w:ind w:firstLine="0"/>
        <w:jc w:val="center"/>
        <w:rPr>
          <w:lang w:val="en-US"/>
        </w:rPr>
      </w:pPr>
      <w:bookmarkStart w:id="1581" w:name="_Ref98109179"/>
      <w:bookmarkStart w:id="1582" w:name="_Toc97428325"/>
      <w:bookmarkStart w:id="1583" w:name="_Toc98086001"/>
      <w:bookmarkStart w:id="1584" w:name="_Toc103544199"/>
      <w:bookmarkStart w:id="1585" w:name="_Toc104985525"/>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66</w:t>
      </w:r>
      <w:r w:rsidR="00527861">
        <w:rPr>
          <w:lang w:val="en-US"/>
        </w:rPr>
        <w:fldChar w:fldCharType="end"/>
      </w:r>
      <w:bookmarkEnd w:id="1581"/>
      <w:r w:rsidRPr="00051297">
        <w:rPr>
          <w:lang w:val="en-US"/>
        </w:rPr>
        <w:t xml:space="preserve"> – Instantaneous drawdown seepage under overflow condition</w:t>
      </w:r>
      <w:bookmarkEnd w:id="1582"/>
      <w:bookmarkEnd w:id="1583"/>
      <w:bookmarkEnd w:id="1584"/>
      <w:bookmarkEnd w:id="1585"/>
    </w:p>
    <w:p w14:paraId="1D8E2B2A" w14:textId="56CC09B2" w:rsidR="00051297" w:rsidRPr="00051297" w:rsidRDefault="00051297" w:rsidP="00141AA5">
      <w:pPr>
        <w:pStyle w:val="5"/>
        <w:rPr>
          <w:rFonts w:eastAsia="Calibri"/>
          <w:lang w:val="en-US"/>
        </w:rPr>
      </w:pPr>
      <w:bookmarkStart w:id="1586" w:name="_Toc103544040"/>
      <w:bookmarkStart w:id="1587" w:name="_Toc104985365"/>
      <w:r w:rsidRPr="00051297">
        <w:rPr>
          <w:rFonts w:eastAsia="Calibri"/>
          <w:lang w:val="en-US"/>
        </w:rPr>
        <w:t>Rapid drawdown five (5) days</w:t>
      </w:r>
      <w:bookmarkEnd w:id="1586"/>
      <w:bookmarkEnd w:id="1587"/>
    </w:p>
    <w:p w14:paraId="721AAE5D" w14:textId="77777777" w:rsidR="00051297" w:rsidRPr="00051297" w:rsidRDefault="00051297" w:rsidP="00051297">
      <w:pPr>
        <w:tabs>
          <w:tab w:val="left" w:pos="993"/>
        </w:tabs>
        <w:rPr>
          <w:lang w:val="en-US"/>
        </w:rPr>
      </w:pPr>
      <w:r w:rsidRPr="00051297">
        <w:rPr>
          <w:lang w:val="en-US"/>
        </w:rPr>
        <w:t>In this part of the study, 5 days head function boundary condition was used to define the changing water level of the reservoir. This boundary condition was applied to the embankment's upstream slope to the point signifying the reservoir's highest level. To allow flow to exit the upstream side of the domain, the potential seepage face review option was also enabled.</w:t>
      </w:r>
    </w:p>
    <w:p w14:paraId="04A02A43"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The normal operating reservoir level</w:t>
      </w:r>
    </w:p>
    <w:p w14:paraId="0F820537" w14:textId="39413EEB"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While the reservoir was at the normal operating levels, five (5) days drawdown rate seepage analysis was performed on the embankment. When the embankment was exposed to the reservoir that was running under normal operating reservoir level and 5 days drawdown rate, seepage results are depicted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_Ref98109213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67</w:t>
      </w:r>
      <w:r w:rsidRPr="00051297">
        <w:rPr>
          <w:rFonts w:eastAsia="Calibri" w:cs="Times New Roman"/>
          <w:szCs w:val="24"/>
          <w:lang w:val="en-US"/>
        </w:rPr>
        <w:fldChar w:fldCharType="end"/>
      </w:r>
      <w:r w:rsidRPr="00051297">
        <w:rPr>
          <w:rFonts w:eastAsia="Calibri" w:cs="Times New Roman"/>
          <w:szCs w:val="24"/>
          <w:lang w:val="en-US"/>
        </w:rPr>
        <w:t xml:space="preserve">. From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_Ref98109213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67</w:t>
      </w:r>
      <w:r w:rsidRPr="00051297">
        <w:rPr>
          <w:rFonts w:eastAsia="Calibri" w:cs="Times New Roman"/>
          <w:szCs w:val="24"/>
          <w:lang w:val="en-US"/>
        </w:rPr>
        <w:fldChar w:fldCharType="end"/>
      </w:r>
      <w:r w:rsidRPr="00051297">
        <w:rPr>
          <w:rFonts w:eastAsia="Calibri" w:cs="Times New Roman"/>
          <w:szCs w:val="24"/>
          <w:lang w:val="en-US"/>
        </w:rPr>
        <w:t xml:space="preserve">, it can be observed that the phreatic lines cross the first, second, and third zones of the embankment while safely carrying the seepage within the embankment to the downstream toe. Moreover, based on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_Ref98109213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67</w:t>
      </w:r>
      <w:r w:rsidRPr="00051297">
        <w:rPr>
          <w:rFonts w:eastAsia="Calibri" w:cs="Times New Roman"/>
          <w:szCs w:val="24"/>
          <w:lang w:val="en-US"/>
        </w:rPr>
        <w:fldChar w:fldCharType="end"/>
      </w:r>
      <w:r w:rsidRPr="00051297">
        <w:rPr>
          <w:rFonts w:eastAsia="Calibri" w:cs="Times New Roman"/>
          <w:szCs w:val="24"/>
          <w:lang w:val="en-US"/>
        </w:rPr>
        <w:t>, there was a significant struggle in terms of pore-water pressure dissipation after the reservoir drawdown within five (5) days.</w:t>
      </w:r>
    </w:p>
    <w:p w14:paraId="0A0EBD4A" w14:textId="5F16C1EC" w:rsidR="00051297" w:rsidRPr="00051297" w:rsidRDefault="00776CA9" w:rsidP="00293959">
      <w:pPr>
        <w:keepNext/>
        <w:spacing w:line="240" w:lineRule="auto"/>
        <w:ind w:firstLine="0"/>
        <w:rPr>
          <w:rFonts w:cs="Times New Roman"/>
          <w:szCs w:val="24"/>
        </w:rPr>
      </w:pPr>
      <w:r>
        <w:rPr>
          <w:noProof/>
        </w:rPr>
        <w:lastRenderedPageBreak/>
        <w:drawing>
          <wp:inline distT="0" distB="0" distL="0" distR="0" wp14:anchorId="5A8096A1" wp14:editId="666D7BA9">
            <wp:extent cx="5939790" cy="1297305"/>
            <wp:effectExtent l="0" t="0" r="381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39790" cy="1297305"/>
                    </a:xfrm>
                    <a:prstGeom prst="rect">
                      <a:avLst/>
                    </a:prstGeom>
                    <a:noFill/>
                    <a:ln>
                      <a:noFill/>
                    </a:ln>
                  </pic:spPr>
                </pic:pic>
              </a:graphicData>
            </a:graphic>
          </wp:inline>
        </w:drawing>
      </w:r>
    </w:p>
    <w:p w14:paraId="72807D19" w14:textId="329B666E" w:rsidR="00051297" w:rsidRPr="00051297" w:rsidRDefault="00051297" w:rsidP="00051297">
      <w:pPr>
        <w:tabs>
          <w:tab w:val="left" w:pos="993"/>
        </w:tabs>
        <w:ind w:firstLine="0"/>
        <w:jc w:val="center"/>
        <w:rPr>
          <w:rFonts w:eastAsia="Calibri" w:cs="Times New Roman"/>
          <w:szCs w:val="24"/>
          <w:lang w:val="en-US"/>
        </w:rPr>
      </w:pPr>
      <w:bookmarkStart w:id="1588" w:name="_Ref98109213"/>
      <w:bookmarkStart w:id="1589" w:name="_Toc97428326"/>
      <w:bookmarkStart w:id="1590" w:name="_Toc98086002"/>
      <w:bookmarkStart w:id="1591" w:name="_Toc103544200"/>
      <w:bookmarkStart w:id="1592" w:name="_Toc104985526"/>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67</w:t>
      </w:r>
      <w:r w:rsidR="00527861">
        <w:rPr>
          <w:rFonts w:eastAsia="Calibri" w:cs="Times New Roman"/>
          <w:szCs w:val="24"/>
          <w:lang w:val="en-US"/>
        </w:rPr>
        <w:fldChar w:fldCharType="end"/>
      </w:r>
      <w:bookmarkEnd w:id="1588"/>
      <w:r w:rsidRPr="00051297">
        <w:rPr>
          <w:lang w:val="en-US"/>
        </w:rPr>
        <w:t xml:space="preserve"> </w:t>
      </w:r>
      <w:r w:rsidRPr="00051297">
        <w:rPr>
          <w:rFonts w:eastAsia="Calibri" w:cs="Times New Roman"/>
          <w:szCs w:val="24"/>
          <w:lang w:val="en-US"/>
        </w:rPr>
        <w:t>– Rapid drawdown (5 days) seepage under normal operating level</w:t>
      </w:r>
      <w:bookmarkEnd w:id="1589"/>
      <w:bookmarkEnd w:id="1590"/>
      <w:bookmarkEnd w:id="1591"/>
      <w:bookmarkEnd w:id="1592"/>
    </w:p>
    <w:p w14:paraId="464C1148"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Reduced reservoir</w:t>
      </w:r>
      <w:r w:rsidRPr="00051297">
        <w:rPr>
          <w:rFonts w:cs="Times New Roman"/>
          <w:szCs w:val="24"/>
        </w:rPr>
        <w:t xml:space="preserve"> </w:t>
      </w:r>
      <w:r w:rsidRPr="00051297">
        <w:rPr>
          <w:rFonts w:eastAsia="Calibri" w:cs="Times New Roman"/>
          <w:szCs w:val="24"/>
        </w:rPr>
        <w:t>operating level</w:t>
      </w:r>
    </w:p>
    <w:p w14:paraId="6F3FD1E4" w14:textId="7250CDA0"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Five (5) days drawdown rate seepage analysis was done on the embankment while the reservoir was at decreased operational levels (half of the embankment).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_Ref98109267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68</w:t>
      </w:r>
      <w:r w:rsidRPr="00051297">
        <w:rPr>
          <w:rFonts w:eastAsia="Calibri" w:cs="Times New Roman"/>
          <w:szCs w:val="24"/>
          <w:lang w:val="en-US"/>
        </w:rPr>
        <w:fldChar w:fldCharType="end"/>
      </w:r>
      <w:r w:rsidRPr="00051297">
        <w:rPr>
          <w:rFonts w:eastAsia="Calibri" w:cs="Times New Roman"/>
          <w:szCs w:val="24"/>
          <w:lang w:val="en-US"/>
        </w:rPr>
        <w:t xml:space="preserve"> shows the seepage results when the embankment was exposed to a reservoir with a reduced operational reservoir level and 5 days drawdown rate.</w:t>
      </w:r>
      <w:r w:rsidRPr="00051297">
        <w:rPr>
          <w:rFonts w:cs="Times New Roman"/>
          <w:szCs w:val="24"/>
          <w:lang w:val="en-US"/>
        </w:rPr>
        <w:t xml:space="preserve"> </w:t>
      </w:r>
      <w:r w:rsidRPr="00051297">
        <w:rPr>
          <w:rFonts w:eastAsia="Calibri" w:cs="Times New Roman"/>
          <w:szCs w:val="24"/>
          <w:lang w:val="en-US"/>
        </w:rPr>
        <w:t>Despite the relatively high pore-water pressures following the drawdown as measured by the phreatic lines, the embankment was able to securely convey the seepage to the downstream toe under the 5 days drawdown.</w:t>
      </w:r>
    </w:p>
    <w:p w14:paraId="7E6416C1" w14:textId="62D94386" w:rsidR="00051297" w:rsidRPr="00051297" w:rsidRDefault="00F92538" w:rsidP="00051297">
      <w:pPr>
        <w:keepNext/>
        <w:ind w:firstLine="0"/>
        <w:rPr>
          <w:rFonts w:cs="Times New Roman"/>
          <w:szCs w:val="24"/>
        </w:rPr>
      </w:pPr>
      <w:r>
        <w:rPr>
          <w:noProof/>
        </w:rPr>
        <w:drawing>
          <wp:inline distT="0" distB="0" distL="0" distR="0" wp14:anchorId="78A5135B" wp14:editId="112DE933">
            <wp:extent cx="5908675" cy="1173480"/>
            <wp:effectExtent l="0" t="0" r="0" b="762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r="524"/>
                    <a:stretch/>
                  </pic:blipFill>
                  <pic:spPr bwMode="auto">
                    <a:xfrm>
                      <a:off x="0" y="0"/>
                      <a:ext cx="5908675" cy="1173480"/>
                    </a:xfrm>
                    <a:prstGeom prst="rect">
                      <a:avLst/>
                    </a:prstGeom>
                    <a:noFill/>
                    <a:ln>
                      <a:noFill/>
                    </a:ln>
                    <a:extLst>
                      <a:ext uri="{53640926-AAD7-44D8-BBD7-CCE9431645EC}">
                        <a14:shadowObscured xmlns:a14="http://schemas.microsoft.com/office/drawing/2010/main"/>
                      </a:ext>
                    </a:extLst>
                  </pic:spPr>
                </pic:pic>
              </a:graphicData>
            </a:graphic>
          </wp:inline>
        </w:drawing>
      </w:r>
    </w:p>
    <w:p w14:paraId="60C9DEED" w14:textId="36F5CAC9" w:rsidR="00051297" w:rsidRPr="00051297" w:rsidRDefault="00051297" w:rsidP="00051297">
      <w:pPr>
        <w:tabs>
          <w:tab w:val="left" w:pos="993"/>
        </w:tabs>
        <w:rPr>
          <w:rFonts w:eastAsia="Calibri" w:cs="Times New Roman"/>
          <w:szCs w:val="24"/>
          <w:lang w:val="en-US"/>
        </w:rPr>
      </w:pPr>
      <w:bookmarkStart w:id="1593" w:name="_Ref98109267"/>
      <w:bookmarkStart w:id="1594" w:name="_Toc97428327"/>
      <w:bookmarkStart w:id="1595" w:name="_Toc98086003"/>
      <w:bookmarkStart w:id="1596" w:name="_Toc103544201"/>
      <w:bookmarkStart w:id="1597" w:name="_Toc104985527"/>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68</w:t>
      </w:r>
      <w:r w:rsidR="00527861">
        <w:rPr>
          <w:rFonts w:eastAsia="Calibri" w:cs="Times New Roman"/>
          <w:szCs w:val="24"/>
          <w:lang w:val="en-US"/>
        </w:rPr>
        <w:fldChar w:fldCharType="end"/>
      </w:r>
      <w:bookmarkEnd w:id="1593"/>
      <w:r w:rsidRPr="00051297">
        <w:rPr>
          <w:lang w:val="en-US"/>
        </w:rPr>
        <w:t xml:space="preserve"> </w:t>
      </w:r>
      <w:r w:rsidRPr="00051297">
        <w:rPr>
          <w:rFonts w:eastAsia="Calibri" w:cs="Times New Roman"/>
          <w:szCs w:val="24"/>
          <w:lang w:val="en-US"/>
        </w:rPr>
        <w:t>– Rapid drawdown (5 days) seepage under reduced reservoir operating level</w:t>
      </w:r>
      <w:bookmarkEnd w:id="1594"/>
      <w:bookmarkEnd w:id="1595"/>
      <w:bookmarkEnd w:id="1596"/>
      <w:bookmarkEnd w:id="1597"/>
    </w:p>
    <w:p w14:paraId="3B7A0AD5"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Reservoir</w:t>
      </w:r>
      <w:r w:rsidRPr="00051297">
        <w:rPr>
          <w:rFonts w:cs="Times New Roman"/>
          <w:szCs w:val="24"/>
        </w:rPr>
        <w:t xml:space="preserve"> </w:t>
      </w:r>
      <w:r w:rsidRPr="00051297">
        <w:rPr>
          <w:rFonts w:eastAsia="Calibri" w:cs="Times New Roman"/>
          <w:szCs w:val="24"/>
        </w:rPr>
        <w:t>operating at embankment height</w:t>
      </w:r>
    </w:p>
    <w:p w14:paraId="53FE53F6" w14:textId="2EB710F7"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The reservoir's water level was also altered to match the embankment height, and the seepage flow was measured using the five (5) days drawdown rate.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_Ref98109284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69</w:t>
      </w:r>
      <w:r w:rsidRPr="00051297">
        <w:rPr>
          <w:rFonts w:eastAsia="Calibri" w:cs="Times New Roman"/>
          <w:szCs w:val="24"/>
          <w:lang w:val="en-US"/>
        </w:rPr>
        <w:fldChar w:fldCharType="end"/>
      </w:r>
      <w:r w:rsidRPr="00051297">
        <w:rPr>
          <w:rFonts w:eastAsia="Calibri" w:cs="Times New Roman"/>
          <w:szCs w:val="24"/>
          <w:lang w:val="en-US"/>
        </w:rPr>
        <w:t xml:space="preserve"> depicts the seepage results when the embankment was exposed to a reservoir with a 5 days drawdown rate and an embankment height operating reservoir level.</w:t>
      </w:r>
      <w:r w:rsidRPr="00051297">
        <w:rPr>
          <w:rFonts w:cs="Times New Roman"/>
          <w:szCs w:val="24"/>
          <w:lang w:val="en-US"/>
        </w:rPr>
        <w:t xml:space="preserve"> </w:t>
      </w:r>
      <w:r w:rsidR="005B11E8">
        <w:rPr>
          <w:rFonts w:eastAsia="Calibri" w:cs="Times New Roman"/>
          <w:szCs w:val="24"/>
          <w:lang w:val="en-US"/>
        </w:rPr>
        <w:fldChar w:fldCharType="begin"/>
      </w:r>
      <w:r w:rsidR="005B11E8">
        <w:rPr>
          <w:rFonts w:cs="Times New Roman"/>
          <w:szCs w:val="24"/>
          <w:lang w:val="en-US"/>
        </w:rPr>
        <w:instrText xml:space="preserve"> REF _Ref98109284 \h </w:instrText>
      </w:r>
      <w:r w:rsidR="005B11E8">
        <w:rPr>
          <w:rFonts w:eastAsia="Calibri" w:cs="Times New Roman"/>
          <w:szCs w:val="24"/>
          <w:lang w:val="en-US"/>
        </w:rPr>
      </w:r>
      <w:r w:rsidR="005B11E8">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69</w:t>
      </w:r>
      <w:r w:rsidR="005B11E8">
        <w:rPr>
          <w:rFonts w:eastAsia="Calibri" w:cs="Times New Roman"/>
          <w:szCs w:val="24"/>
          <w:lang w:val="en-US"/>
        </w:rPr>
        <w:fldChar w:fldCharType="end"/>
      </w:r>
      <w:r w:rsidRPr="00051297">
        <w:rPr>
          <w:rFonts w:eastAsia="Calibri" w:cs="Times New Roman"/>
          <w:szCs w:val="24"/>
          <w:lang w:val="en-US"/>
        </w:rPr>
        <w:t xml:space="preserve"> shows that the embankment struggled to dissipate the pore-water pressure following the drawdown, particularly in the first zone, as represented by the phreatic lines. However, because the drawdown rate was reduced from instantaneous to 5 days, the pore-pressure dissipation process was improved, notably during the early days of the reservoir decline.</w:t>
      </w:r>
    </w:p>
    <w:p w14:paraId="5EE7E240" w14:textId="68EDBE70" w:rsidR="00051297" w:rsidRPr="00051297" w:rsidRDefault="00F92538" w:rsidP="00051297">
      <w:pPr>
        <w:keepNext/>
        <w:ind w:firstLine="0"/>
        <w:rPr>
          <w:rFonts w:cs="Times New Roman"/>
          <w:szCs w:val="24"/>
        </w:rPr>
      </w:pPr>
      <w:r>
        <w:rPr>
          <w:noProof/>
        </w:rPr>
        <w:drawing>
          <wp:inline distT="0" distB="0" distL="0" distR="0" wp14:anchorId="5E00E7BA" wp14:editId="29580519">
            <wp:extent cx="5939790" cy="1189355"/>
            <wp:effectExtent l="0" t="0" r="381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939790" cy="1189355"/>
                    </a:xfrm>
                    <a:prstGeom prst="rect">
                      <a:avLst/>
                    </a:prstGeom>
                    <a:noFill/>
                    <a:ln>
                      <a:noFill/>
                    </a:ln>
                  </pic:spPr>
                </pic:pic>
              </a:graphicData>
            </a:graphic>
          </wp:inline>
        </w:drawing>
      </w:r>
    </w:p>
    <w:p w14:paraId="00DFA1F2" w14:textId="356E55C3" w:rsidR="00051297" w:rsidRPr="00051297" w:rsidRDefault="00051297" w:rsidP="00051297">
      <w:pPr>
        <w:tabs>
          <w:tab w:val="left" w:pos="993"/>
        </w:tabs>
        <w:ind w:firstLine="0"/>
        <w:jc w:val="center"/>
        <w:rPr>
          <w:rFonts w:eastAsia="Calibri" w:cs="Times New Roman"/>
          <w:i/>
          <w:iCs/>
          <w:szCs w:val="24"/>
          <w:lang w:val="en-US"/>
        </w:rPr>
      </w:pPr>
      <w:bookmarkStart w:id="1598" w:name="_Ref98109284"/>
      <w:bookmarkStart w:id="1599" w:name="_Toc97428328"/>
      <w:bookmarkStart w:id="1600" w:name="_Toc98086004"/>
      <w:bookmarkStart w:id="1601" w:name="_Toc103544202"/>
      <w:bookmarkStart w:id="1602" w:name="_Toc104985528"/>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69</w:t>
      </w:r>
      <w:r w:rsidR="00527861">
        <w:rPr>
          <w:rFonts w:eastAsia="Calibri" w:cs="Times New Roman"/>
          <w:szCs w:val="24"/>
          <w:lang w:val="en-US"/>
        </w:rPr>
        <w:fldChar w:fldCharType="end"/>
      </w:r>
      <w:bookmarkEnd w:id="1598"/>
      <w:r w:rsidRPr="00051297">
        <w:rPr>
          <w:lang w:val="en-US"/>
        </w:rPr>
        <w:t xml:space="preserve"> </w:t>
      </w:r>
      <w:r w:rsidRPr="00051297">
        <w:rPr>
          <w:rFonts w:eastAsia="Calibri" w:cs="Times New Roman"/>
          <w:szCs w:val="24"/>
          <w:lang w:val="en-US"/>
        </w:rPr>
        <w:t>– Rapid drawdown (5 days) seepage under embankment height reservoir operating level</w:t>
      </w:r>
      <w:bookmarkEnd w:id="1599"/>
      <w:bookmarkEnd w:id="1600"/>
      <w:bookmarkEnd w:id="1601"/>
      <w:bookmarkEnd w:id="1602"/>
    </w:p>
    <w:p w14:paraId="2A15E596" w14:textId="6560A229" w:rsidR="00051297" w:rsidRPr="00F92538" w:rsidRDefault="00051297" w:rsidP="00F92538">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lastRenderedPageBreak/>
        <w:t>Reservoir operating under overflow condition</w:t>
      </w:r>
    </w:p>
    <w:p w14:paraId="25158466" w14:textId="4C306069"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The reservoir's water level was raised until it overflowed, and the seepage flow was computed using a five-day drawdown rate.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_Ref98109297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70</w:t>
      </w:r>
      <w:r w:rsidRPr="00051297">
        <w:rPr>
          <w:rFonts w:eastAsia="Calibri" w:cs="Times New Roman"/>
          <w:szCs w:val="24"/>
          <w:lang w:val="en-US"/>
        </w:rPr>
        <w:fldChar w:fldCharType="end"/>
      </w:r>
      <w:r w:rsidRPr="00051297">
        <w:rPr>
          <w:rFonts w:eastAsia="Calibri" w:cs="Times New Roman"/>
          <w:szCs w:val="24"/>
          <w:lang w:val="en-US"/>
        </w:rPr>
        <w:t xml:space="preserve">  shows the seepage results when the embankment was exposed to a reservoir with 5 days drawdown rate and overflow operating reservoir level.</w:t>
      </w:r>
      <w:r w:rsidRPr="00051297">
        <w:rPr>
          <w:rFonts w:cs="Times New Roman"/>
          <w:szCs w:val="24"/>
          <w:lang w:val="en-US"/>
        </w:rPr>
        <w:t xml:space="preserve"> </w:t>
      </w:r>
      <w:r w:rsidRPr="00051297">
        <w:rPr>
          <w:rFonts w:eastAsia="Calibri" w:cs="Times New Roman"/>
          <w:szCs w:val="24"/>
          <w:lang w:val="en-US"/>
        </w:rPr>
        <w:fldChar w:fldCharType="begin"/>
      </w:r>
      <w:r w:rsidRPr="00051297">
        <w:rPr>
          <w:rFonts w:cs="Times New Roman"/>
          <w:szCs w:val="24"/>
          <w:lang w:val="en-US"/>
        </w:rPr>
        <w:instrText xml:space="preserve"> REF _Ref98109297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70</w:t>
      </w:r>
      <w:r w:rsidRPr="00051297">
        <w:rPr>
          <w:rFonts w:eastAsia="Calibri" w:cs="Times New Roman"/>
          <w:szCs w:val="24"/>
          <w:lang w:val="en-US"/>
        </w:rPr>
        <w:fldChar w:fldCharType="end"/>
      </w:r>
      <w:r w:rsidRPr="00051297">
        <w:rPr>
          <w:rFonts w:eastAsia="Calibri" w:cs="Times New Roman"/>
          <w:szCs w:val="24"/>
          <w:lang w:val="en-US"/>
        </w:rPr>
        <w:t xml:space="preserve"> depicts a similar phenomenon, in which the embankment struggled to disperse pore-water pressure following the drawdown, particularly in the first zone, as depicted by the phreatic lines.</w:t>
      </w:r>
    </w:p>
    <w:p w14:paraId="4584F12B" w14:textId="50802C0B" w:rsidR="00051297" w:rsidRPr="00051297" w:rsidRDefault="00703CF5" w:rsidP="00293959">
      <w:pPr>
        <w:keepNext/>
        <w:spacing w:line="240" w:lineRule="auto"/>
        <w:ind w:firstLine="0"/>
        <w:rPr>
          <w:rFonts w:cs="Times New Roman"/>
          <w:szCs w:val="24"/>
        </w:rPr>
      </w:pPr>
      <w:r>
        <w:rPr>
          <w:noProof/>
        </w:rPr>
        <w:drawing>
          <wp:inline distT="0" distB="0" distL="0" distR="0" wp14:anchorId="3CEB699A" wp14:editId="30C85312">
            <wp:extent cx="5939790" cy="1178560"/>
            <wp:effectExtent l="0" t="0" r="3810" b="254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39790" cy="1178560"/>
                    </a:xfrm>
                    <a:prstGeom prst="rect">
                      <a:avLst/>
                    </a:prstGeom>
                    <a:noFill/>
                    <a:ln>
                      <a:noFill/>
                    </a:ln>
                  </pic:spPr>
                </pic:pic>
              </a:graphicData>
            </a:graphic>
          </wp:inline>
        </w:drawing>
      </w:r>
    </w:p>
    <w:p w14:paraId="1824D1FB" w14:textId="2A2C4620" w:rsidR="00051297" w:rsidRPr="00051297" w:rsidRDefault="00051297" w:rsidP="00051297">
      <w:pPr>
        <w:ind w:firstLine="0"/>
        <w:jc w:val="center"/>
        <w:rPr>
          <w:lang w:val="en-US"/>
        </w:rPr>
      </w:pPr>
      <w:bookmarkStart w:id="1603" w:name="_Ref98109297"/>
      <w:bookmarkStart w:id="1604" w:name="_Toc97428329"/>
      <w:bookmarkStart w:id="1605" w:name="_Toc98086005"/>
      <w:bookmarkStart w:id="1606" w:name="_Toc103544203"/>
      <w:bookmarkStart w:id="1607" w:name="_Toc104985529"/>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70</w:t>
      </w:r>
      <w:r w:rsidR="00527861">
        <w:rPr>
          <w:lang w:val="en-US"/>
        </w:rPr>
        <w:fldChar w:fldCharType="end"/>
      </w:r>
      <w:bookmarkEnd w:id="1603"/>
      <w:r w:rsidRPr="00051297">
        <w:rPr>
          <w:lang w:val="en-US"/>
        </w:rPr>
        <w:t xml:space="preserve"> – Rapid drawdown (5 days) seepage under overflow reservoir operating level</w:t>
      </w:r>
      <w:bookmarkEnd w:id="1604"/>
      <w:bookmarkEnd w:id="1605"/>
      <w:bookmarkEnd w:id="1606"/>
      <w:bookmarkEnd w:id="1607"/>
    </w:p>
    <w:p w14:paraId="579853C3" w14:textId="43DDEC75" w:rsidR="00051297" w:rsidRPr="00051297" w:rsidRDefault="00051297" w:rsidP="00141AA5">
      <w:pPr>
        <w:pStyle w:val="5"/>
        <w:rPr>
          <w:rFonts w:eastAsia="Calibri"/>
          <w:lang w:val="en-US"/>
        </w:rPr>
      </w:pPr>
      <w:bookmarkStart w:id="1608" w:name="_Toc103544041"/>
      <w:bookmarkStart w:id="1609" w:name="_Toc104985366"/>
      <w:r w:rsidRPr="00051297">
        <w:rPr>
          <w:rFonts w:eastAsia="Calibri"/>
          <w:lang w:val="en-US"/>
        </w:rPr>
        <w:t>Rapid drawdown (10 days)</w:t>
      </w:r>
      <w:bookmarkEnd w:id="1608"/>
      <w:bookmarkEnd w:id="1609"/>
    </w:p>
    <w:p w14:paraId="09D247EB" w14:textId="77777777"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A head function boundary condition of 10 days was employed to determine the changing water level of the reservoir in this section of the study. This boundary condition was applied to the upstream slope of the embankment to the point when the reservoir's greatest level was reached. The prospective seepage face review option was also activated to allow flow to depart the upstream side of the domain.</w:t>
      </w:r>
    </w:p>
    <w:p w14:paraId="631DC14F"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The normal operating reservoir level</w:t>
      </w:r>
    </w:p>
    <w:p w14:paraId="078DE3B9" w14:textId="18A6AE99"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Moreover, on the embankment, a ten (10) day drawdown rate seepage analysis was done when the reservoir was at normal operating levels. The seepage results when the embankment was exposed to a reservoir with a 10 days drawdown rate and normal operating reservoir level are shown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_Ref98109324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71</w:t>
      </w:r>
      <w:r w:rsidRPr="00051297">
        <w:rPr>
          <w:rFonts w:eastAsia="Calibri" w:cs="Times New Roman"/>
          <w:szCs w:val="24"/>
          <w:lang w:val="en-US"/>
        </w:rPr>
        <w:fldChar w:fldCharType="end"/>
      </w:r>
      <w:r w:rsidRPr="00051297">
        <w:rPr>
          <w:rFonts w:eastAsia="Calibri" w:cs="Times New Roman"/>
          <w:szCs w:val="24"/>
          <w:lang w:val="en-US"/>
        </w:rPr>
        <w:t>.</w:t>
      </w:r>
      <w:r w:rsidRPr="00051297">
        <w:rPr>
          <w:rFonts w:cs="Times New Roman"/>
          <w:szCs w:val="24"/>
          <w:lang w:val="en-US"/>
        </w:rPr>
        <w:t xml:space="preserve"> </w:t>
      </w:r>
      <w:r w:rsidRPr="00051297">
        <w:rPr>
          <w:rFonts w:eastAsia="Calibri" w:cs="Times New Roman"/>
          <w:szCs w:val="24"/>
          <w:lang w:val="en-US"/>
        </w:rPr>
        <w:t xml:space="preserve">The phreatic lines cross the first, second, and third zones of the embankment while safely transporting the seepage within the embankment to the downstream toe, as shown in </w:t>
      </w:r>
      <w:r w:rsidR="0024068D">
        <w:rPr>
          <w:rFonts w:eastAsia="Calibri" w:cs="Times New Roman"/>
          <w:szCs w:val="24"/>
          <w:lang w:val="en-US"/>
        </w:rPr>
        <w:fldChar w:fldCharType="begin"/>
      </w:r>
      <w:r w:rsidR="0024068D">
        <w:rPr>
          <w:rFonts w:eastAsia="Calibri" w:cs="Times New Roman"/>
          <w:szCs w:val="24"/>
          <w:lang w:val="en-US"/>
        </w:rPr>
        <w:instrText xml:space="preserve"> REF _Ref98109324 \h </w:instrText>
      </w:r>
      <w:r w:rsidR="0024068D">
        <w:rPr>
          <w:rFonts w:eastAsia="Calibri" w:cs="Times New Roman"/>
          <w:szCs w:val="24"/>
          <w:lang w:val="en-US"/>
        </w:rPr>
      </w:r>
      <w:r w:rsidR="0024068D">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71</w:t>
      </w:r>
      <w:r w:rsidR="0024068D">
        <w:rPr>
          <w:rFonts w:eastAsia="Calibri" w:cs="Times New Roman"/>
          <w:szCs w:val="24"/>
          <w:lang w:val="en-US"/>
        </w:rPr>
        <w:fldChar w:fldCharType="end"/>
      </w:r>
      <w:r w:rsidRPr="00051297">
        <w:rPr>
          <w:rFonts w:eastAsia="Calibri" w:cs="Times New Roman"/>
          <w:szCs w:val="24"/>
          <w:lang w:val="en-US"/>
        </w:rPr>
        <w:t>. Furthermore, the figure shows that there was a substantial struggle in terms of pore-water pressure dissipation when the reservoir was drawdown in ten (10) days. In this case, it can also be observed that the struggle in terms of pore-water pressure dissipation was experienced in all the first three zones.</w:t>
      </w:r>
    </w:p>
    <w:p w14:paraId="6965D286" w14:textId="275C3C1D" w:rsidR="00051297" w:rsidRPr="00051297" w:rsidRDefault="00C40D5F" w:rsidP="00293959">
      <w:pPr>
        <w:keepNext/>
        <w:spacing w:line="240" w:lineRule="auto"/>
        <w:ind w:firstLine="0"/>
        <w:rPr>
          <w:rFonts w:cs="Times New Roman"/>
          <w:szCs w:val="24"/>
        </w:rPr>
      </w:pPr>
      <w:r>
        <w:rPr>
          <w:noProof/>
        </w:rPr>
        <w:drawing>
          <wp:inline distT="0" distB="0" distL="0" distR="0" wp14:anchorId="36C48FD9" wp14:editId="10279BDB">
            <wp:extent cx="5939790" cy="1293495"/>
            <wp:effectExtent l="0" t="0" r="3810" b="190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39790" cy="1293495"/>
                    </a:xfrm>
                    <a:prstGeom prst="rect">
                      <a:avLst/>
                    </a:prstGeom>
                    <a:noFill/>
                    <a:ln>
                      <a:noFill/>
                    </a:ln>
                  </pic:spPr>
                </pic:pic>
              </a:graphicData>
            </a:graphic>
          </wp:inline>
        </w:drawing>
      </w:r>
    </w:p>
    <w:p w14:paraId="024A3FDE" w14:textId="19084149" w:rsidR="00051297" w:rsidRPr="00051297" w:rsidRDefault="00051297" w:rsidP="00051297">
      <w:pPr>
        <w:tabs>
          <w:tab w:val="left" w:pos="993"/>
        </w:tabs>
        <w:ind w:firstLine="0"/>
        <w:jc w:val="center"/>
        <w:rPr>
          <w:rFonts w:eastAsia="Calibri" w:cs="Times New Roman"/>
          <w:szCs w:val="24"/>
          <w:lang w:val="en-US"/>
        </w:rPr>
      </w:pPr>
      <w:bookmarkStart w:id="1610" w:name="_Ref98109324"/>
      <w:bookmarkStart w:id="1611" w:name="_Toc97428330"/>
      <w:bookmarkStart w:id="1612" w:name="_Toc98086006"/>
      <w:bookmarkStart w:id="1613" w:name="_Toc103544204"/>
      <w:bookmarkStart w:id="1614" w:name="_Toc104985530"/>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71</w:t>
      </w:r>
      <w:r w:rsidR="00527861">
        <w:rPr>
          <w:rFonts w:eastAsia="Calibri" w:cs="Times New Roman"/>
          <w:szCs w:val="24"/>
          <w:lang w:val="en-US"/>
        </w:rPr>
        <w:fldChar w:fldCharType="end"/>
      </w:r>
      <w:bookmarkEnd w:id="1610"/>
      <w:r w:rsidRPr="00051297">
        <w:rPr>
          <w:lang w:val="en-US"/>
        </w:rPr>
        <w:t xml:space="preserve"> </w:t>
      </w:r>
      <w:r w:rsidRPr="00051297">
        <w:rPr>
          <w:rFonts w:eastAsia="Calibri" w:cs="Times New Roman"/>
          <w:szCs w:val="24"/>
          <w:lang w:val="en-US"/>
        </w:rPr>
        <w:t>– Rapid drawdown (10 days) seepage under normal operating level</w:t>
      </w:r>
      <w:bookmarkEnd w:id="1611"/>
      <w:bookmarkEnd w:id="1612"/>
      <w:bookmarkEnd w:id="1613"/>
      <w:bookmarkEnd w:id="1614"/>
    </w:p>
    <w:p w14:paraId="7580CB50"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lastRenderedPageBreak/>
        <w:t>Reduced reservoir</w:t>
      </w:r>
      <w:r w:rsidRPr="00051297">
        <w:rPr>
          <w:rFonts w:cs="Times New Roman"/>
          <w:szCs w:val="24"/>
        </w:rPr>
        <w:t xml:space="preserve"> </w:t>
      </w:r>
      <w:r w:rsidRPr="00051297">
        <w:rPr>
          <w:rFonts w:eastAsia="Calibri" w:cs="Times New Roman"/>
          <w:szCs w:val="24"/>
        </w:rPr>
        <w:t>operating level</w:t>
      </w:r>
    </w:p>
    <w:p w14:paraId="6904A796" w14:textId="3EB59AEF"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While the reservoir was at reduced operational levels, ten (10) days drawdown rate seepage analysis was performed on the embankment (half of the embankment).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_Ref98109341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72</w:t>
      </w:r>
      <w:r w:rsidRPr="00051297">
        <w:rPr>
          <w:rFonts w:eastAsia="Calibri" w:cs="Times New Roman"/>
          <w:szCs w:val="24"/>
          <w:lang w:val="en-US"/>
        </w:rPr>
        <w:fldChar w:fldCharType="end"/>
      </w:r>
      <w:r w:rsidRPr="00051297">
        <w:rPr>
          <w:rFonts w:eastAsia="Calibri" w:cs="Times New Roman"/>
          <w:szCs w:val="24"/>
          <w:lang w:val="en-US"/>
        </w:rPr>
        <w:t xml:space="preserve"> depicts the seepage results after the embankment was exposed to a reservoir with a 10 days drawdown rate and reduced operational reservoir level. A similar phenomenon is observed (as for 5 days drawdown rate) in the sense that,</w:t>
      </w:r>
      <w:r w:rsidRPr="00051297">
        <w:rPr>
          <w:rFonts w:cs="Times New Roman"/>
          <w:szCs w:val="24"/>
          <w:lang w:val="en-US"/>
        </w:rPr>
        <w:t xml:space="preserve"> </w:t>
      </w:r>
      <w:r w:rsidRPr="00051297">
        <w:rPr>
          <w:rFonts w:eastAsia="Calibri" w:cs="Times New Roman"/>
          <w:szCs w:val="24"/>
          <w:lang w:val="en-US"/>
        </w:rPr>
        <w:t>despite relatively high pore-water pressures as determined by the phreatic lines following the drawdown, the embankment was able to securely transmit the seepage to the downstream toe under the ten (10) days drawdown.</w:t>
      </w:r>
    </w:p>
    <w:p w14:paraId="729E0912" w14:textId="165D9264" w:rsidR="00051297" w:rsidRPr="00051297" w:rsidRDefault="00742564" w:rsidP="00051297">
      <w:pPr>
        <w:keepNext/>
        <w:ind w:firstLine="0"/>
        <w:rPr>
          <w:rFonts w:cs="Times New Roman"/>
          <w:szCs w:val="24"/>
        </w:rPr>
      </w:pPr>
      <w:r>
        <w:rPr>
          <w:noProof/>
        </w:rPr>
        <w:drawing>
          <wp:inline distT="0" distB="0" distL="0" distR="0" wp14:anchorId="2E02A253" wp14:editId="5A92CA84">
            <wp:extent cx="5939790" cy="1177925"/>
            <wp:effectExtent l="0" t="0" r="3810" b="317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39790" cy="1177925"/>
                    </a:xfrm>
                    <a:prstGeom prst="rect">
                      <a:avLst/>
                    </a:prstGeom>
                    <a:noFill/>
                    <a:ln>
                      <a:noFill/>
                    </a:ln>
                  </pic:spPr>
                </pic:pic>
              </a:graphicData>
            </a:graphic>
          </wp:inline>
        </w:drawing>
      </w:r>
    </w:p>
    <w:p w14:paraId="33CEE0BD" w14:textId="6E1B0D1D" w:rsidR="00051297" w:rsidRPr="00051297" w:rsidRDefault="00051297" w:rsidP="00051297">
      <w:pPr>
        <w:ind w:firstLine="0"/>
        <w:jc w:val="center"/>
        <w:rPr>
          <w:lang w:val="en-US"/>
        </w:rPr>
      </w:pPr>
      <w:bookmarkStart w:id="1615" w:name="_Ref98109341"/>
      <w:bookmarkStart w:id="1616" w:name="_Toc97428331"/>
      <w:bookmarkStart w:id="1617" w:name="_Toc98086007"/>
      <w:bookmarkStart w:id="1618" w:name="_Toc103544205"/>
      <w:bookmarkStart w:id="1619" w:name="_Toc104985531"/>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72</w:t>
      </w:r>
      <w:r w:rsidR="00527861">
        <w:rPr>
          <w:lang w:val="en-US"/>
        </w:rPr>
        <w:fldChar w:fldCharType="end"/>
      </w:r>
      <w:bookmarkEnd w:id="1615"/>
      <w:r w:rsidRPr="00051297">
        <w:rPr>
          <w:lang w:val="en-US"/>
        </w:rPr>
        <w:t xml:space="preserve"> – Rapid drawdown (10 days) seepage under reduced reservoir operating level</w:t>
      </w:r>
      <w:bookmarkEnd w:id="1616"/>
      <w:bookmarkEnd w:id="1617"/>
      <w:bookmarkEnd w:id="1618"/>
      <w:bookmarkEnd w:id="1619"/>
    </w:p>
    <w:p w14:paraId="22908D67"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Reservoir</w:t>
      </w:r>
      <w:r w:rsidRPr="00051297">
        <w:rPr>
          <w:rFonts w:cs="Times New Roman"/>
          <w:szCs w:val="24"/>
        </w:rPr>
        <w:t xml:space="preserve"> </w:t>
      </w:r>
      <w:r w:rsidRPr="00051297">
        <w:rPr>
          <w:rFonts w:eastAsia="Calibri" w:cs="Times New Roman"/>
          <w:szCs w:val="24"/>
        </w:rPr>
        <w:t>operating at embankment height</w:t>
      </w:r>
    </w:p>
    <w:p w14:paraId="1E8D5A9F" w14:textId="6EA9649D"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The reservoir's water level was also changed to match the embankment's height, and the seepage flow was computed using a ten-day decline rate.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_Ref98109361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73</w:t>
      </w:r>
      <w:r w:rsidRPr="00051297">
        <w:rPr>
          <w:rFonts w:eastAsia="Calibri" w:cs="Times New Roman"/>
          <w:szCs w:val="24"/>
          <w:lang w:val="en-US"/>
        </w:rPr>
        <w:fldChar w:fldCharType="end"/>
      </w:r>
      <w:r w:rsidRPr="00051297">
        <w:rPr>
          <w:rFonts w:eastAsia="Calibri" w:cs="Times New Roman"/>
          <w:szCs w:val="24"/>
          <w:lang w:val="en-US"/>
        </w:rPr>
        <w:t xml:space="preserve"> shows seepage after the embankment was exposed to a reservoir with 10 days drawdown rate and embankment height operating reservoir level. Based on the phreatic lines, we can understand that the dissipation of pore-water pressures from the third zone of the embankment was much easier than that of the first zone. The phenomenon is thought to be linked to changes in permeability rates between embankment zones.</w:t>
      </w:r>
    </w:p>
    <w:p w14:paraId="2FDA5410" w14:textId="674060BB" w:rsidR="00051297" w:rsidRPr="00051297" w:rsidRDefault="004A08DF" w:rsidP="00051297">
      <w:pPr>
        <w:keepNext/>
        <w:ind w:firstLine="0"/>
        <w:rPr>
          <w:rFonts w:cs="Times New Roman"/>
          <w:szCs w:val="24"/>
        </w:rPr>
      </w:pPr>
      <w:r>
        <w:rPr>
          <w:noProof/>
        </w:rPr>
        <w:drawing>
          <wp:inline distT="0" distB="0" distL="0" distR="0" wp14:anchorId="7EB490EF" wp14:editId="4C701F5E">
            <wp:extent cx="5939790" cy="1167765"/>
            <wp:effectExtent l="0" t="0" r="381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939790" cy="1167765"/>
                    </a:xfrm>
                    <a:prstGeom prst="rect">
                      <a:avLst/>
                    </a:prstGeom>
                    <a:noFill/>
                    <a:ln>
                      <a:noFill/>
                    </a:ln>
                  </pic:spPr>
                </pic:pic>
              </a:graphicData>
            </a:graphic>
          </wp:inline>
        </w:drawing>
      </w:r>
    </w:p>
    <w:p w14:paraId="65D7BC88" w14:textId="50631D77" w:rsidR="00051297" w:rsidRPr="00051297" w:rsidRDefault="00051297" w:rsidP="00051297">
      <w:pPr>
        <w:ind w:firstLine="0"/>
        <w:jc w:val="center"/>
        <w:rPr>
          <w:lang w:val="en-US"/>
        </w:rPr>
      </w:pPr>
      <w:bookmarkStart w:id="1620" w:name="_Ref98109361"/>
      <w:bookmarkStart w:id="1621" w:name="_Toc97428332"/>
      <w:bookmarkStart w:id="1622" w:name="_Toc98086008"/>
      <w:bookmarkStart w:id="1623" w:name="_Toc103544206"/>
      <w:bookmarkStart w:id="1624" w:name="_Toc104985532"/>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73</w:t>
      </w:r>
      <w:r w:rsidR="00527861">
        <w:rPr>
          <w:lang w:val="en-US"/>
        </w:rPr>
        <w:fldChar w:fldCharType="end"/>
      </w:r>
      <w:bookmarkEnd w:id="1620"/>
      <w:r w:rsidRPr="00051297">
        <w:rPr>
          <w:lang w:val="en-US"/>
        </w:rPr>
        <w:t xml:space="preserve"> – Rapid drawdown (10 days) seepage under embankment height reservoir operating level</w:t>
      </w:r>
      <w:bookmarkEnd w:id="1621"/>
      <w:bookmarkEnd w:id="1622"/>
      <w:bookmarkEnd w:id="1623"/>
      <w:bookmarkEnd w:id="1624"/>
    </w:p>
    <w:p w14:paraId="20689BA1"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Reservoir operating under overflow condition</w:t>
      </w:r>
    </w:p>
    <w:p w14:paraId="68272A61" w14:textId="5F992FB8"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Furthermore, the reservoir's water level was raised until it overflowed, and the seepage flow was computed using a ten (10) day decline rate.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_Ref98109381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74</w:t>
      </w:r>
      <w:r w:rsidRPr="00051297">
        <w:rPr>
          <w:rFonts w:eastAsia="Calibri" w:cs="Times New Roman"/>
          <w:szCs w:val="24"/>
          <w:lang w:val="en-US"/>
        </w:rPr>
        <w:fldChar w:fldCharType="end"/>
      </w:r>
      <w:r w:rsidRPr="00051297">
        <w:rPr>
          <w:rFonts w:eastAsia="Calibri" w:cs="Times New Roman"/>
          <w:szCs w:val="24"/>
          <w:lang w:val="en-US"/>
        </w:rPr>
        <w:t xml:space="preserve"> shows seepage after the embankment was exposed to a reservoir with a 10 days drawdown rate and overflow operating reservoir level.</w:t>
      </w:r>
      <w:r w:rsidRPr="00051297">
        <w:rPr>
          <w:rFonts w:cs="Times New Roman"/>
          <w:szCs w:val="24"/>
          <w:lang w:val="en-US"/>
        </w:rPr>
        <w:t xml:space="preserve"> </w:t>
      </w:r>
      <w:r w:rsidRPr="00051297">
        <w:rPr>
          <w:rFonts w:eastAsia="Calibri" w:cs="Times New Roman"/>
          <w:szCs w:val="24"/>
          <w:lang w:val="en-US"/>
        </w:rPr>
        <w:fldChar w:fldCharType="begin"/>
      </w:r>
      <w:r w:rsidRPr="00051297">
        <w:rPr>
          <w:rFonts w:cs="Times New Roman"/>
          <w:szCs w:val="24"/>
          <w:lang w:val="en-US"/>
        </w:rPr>
        <w:instrText xml:space="preserve"> REF _Ref98109381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74</w:t>
      </w:r>
      <w:r w:rsidRPr="00051297">
        <w:rPr>
          <w:rFonts w:eastAsia="Calibri" w:cs="Times New Roman"/>
          <w:szCs w:val="24"/>
          <w:lang w:val="en-US"/>
        </w:rPr>
        <w:fldChar w:fldCharType="end"/>
      </w:r>
      <w:r w:rsidRPr="00051297">
        <w:rPr>
          <w:rFonts w:eastAsia="Calibri" w:cs="Times New Roman"/>
          <w:szCs w:val="24"/>
          <w:lang w:val="en-US"/>
        </w:rPr>
        <w:t xml:space="preserve"> displays a similar phenomenon in which the embankment struggled to </w:t>
      </w:r>
      <w:r w:rsidRPr="00051297">
        <w:rPr>
          <w:rFonts w:eastAsia="Calibri" w:cs="Times New Roman"/>
          <w:szCs w:val="24"/>
          <w:lang w:val="en-US"/>
        </w:rPr>
        <w:lastRenderedPageBreak/>
        <w:t>disperse pore-water pressure following the drawdown, especially in the first zone, with some improvements in the third zone as depicted by the phreatic lines.</w:t>
      </w:r>
    </w:p>
    <w:p w14:paraId="4191C299" w14:textId="5710861A" w:rsidR="00051297" w:rsidRPr="00051297" w:rsidRDefault="004A08DF" w:rsidP="004A08DF">
      <w:pPr>
        <w:keepNext/>
        <w:ind w:firstLine="0"/>
        <w:rPr>
          <w:rFonts w:cs="Times New Roman"/>
          <w:szCs w:val="24"/>
        </w:rPr>
      </w:pPr>
      <w:r>
        <w:rPr>
          <w:noProof/>
        </w:rPr>
        <w:drawing>
          <wp:inline distT="0" distB="0" distL="0" distR="0" wp14:anchorId="0DF226A8" wp14:editId="047024D4">
            <wp:extent cx="5939790" cy="1174115"/>
            <wp:effectExtent l="0" t="0" r="3810" b="6985"/>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939790" cy="1174115"/>
                    </a:xfrm>
                    <a:prstGeom prst="rect">
                      <a:avLst/>
                    </a:prstGeom>
                    <a:noFill/>
                    <a:ln>
                      <a:noFill/>
                    </a:ln>
                  </pic:spPr>
                </pic:pic>
              </a:graphicData>
            </a:graphic>
          </wp:inline>
        </w:drawing>
      </w:r>
    </w:p>
    <w:p w14:paraId="0FE34EFD" w14:textId="7652DDC2" w:rsidR="00051297" w:rsidRPr="00051297" w:rsidRDefault="00051297" w:rsidP="00051297">
      <w:pPr>
        <w:ind w:firstLine="0"/>
        <w:jc w:val="center"/>
        <w:rPr>
          <w:lang w:val="en-US"/>
        </w:rPr>
      </w:pPr>
      <w:bookmarkStart w:id="1625" w:name="_Ref98109381"/>
      <w:bookmarkStart w:id="1626" w:name="_Toc97428333"/>
      <w:bookmarkStart w:id="1627" w:name="_Toc98086009"/>
      <w:bookmarkStart w:id="1628" w:name="_Toc103544207"/>
      <w:bookmarkStart w:id="1629" w:name="_Toc104985533"/>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74</w:t>
      </w:r>
      <w:r w:rsidR="00527861">
        <w:rPr>
          <w:lang w:val="en-US"/>
        </w:rPr>
        <w:fldChar w:fldCharType="end"/>
      </w:r>
      <w:bookmarkEnd w:id="1625"/>
      <w:r w:rsidRPr="00051297">
        <w:rPr>
          <w:lang w:val="en-US"/>
        </w:rPr>
        <w:t xml:space="preserve"> – Rapid drawdown (10 days) seepage under overflow reservoir operating level</w:t>
      </w:r>
      <w:bookmarkEnd w:id="1626"/>
      <w:bookmarkEnd w:id="1627"/>
      <w:bookmarkEnd w:id="1628"/>
      <w:bookmarkEnd w:id="1629"/>
    </w:p>
    <w:p w14:paraId="1E59E680" w14:textId="1DAA5DD4" w:rsidR="00051297" w:rsidRPr="00051297" w:rsidRDefault="00051297" w:rsidP="00141AA5">
      <w:pPr>
        <w:pStyle w:val="5"/>
        <w:rPr>
          <w:rFonts w:eastAsia="Calibri"/>
          <w:lang w:val="en-US"/>
        </w:rPr>
      </w:pPr>
      <w:bookmarkStart w:id="1630" w:name="_Toc103544042"/>
      <w:bookmarkStart w:id="1631" w:name="_Toc104985367"/>
      <w:r w:rsidRPr="00051297">
        <w:rPr>
          <w:rFonts w:eastAsia="Calibri"/>
          <w:lang w:val="en-US"/>
        </w:rPr>
        <w:t>Rapid drawdown (1 m per day)</w:t>
      </w:r>
      <w:bookmarkEnd w:id="1630"/>
      <w:bookmarkEnd w:id="1631"/>
      <w:r w:rsidRPr="00051297">
        <w:rPr>
          <w:rFonts w:eastAsia="Calibri"/>
          <w:lang w:val="en-US"/>
        </w:rPr>
        <w:t xml:space="preserve"> </w:t>
      </w:r>
    </w:p>
    <w:p w14:paraId="79EC84E1" w14:textId="77777777"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In this section of the study, a 1 m per day head function boundary condition was used to determine the changing water level of the reservoir. This boundary condition was applied to the embankment's upstream slope until the reservoir's maximum level was attained. To allow flow to leave the upstream side of the domain, the potential seepage face review option was also enabled.</w:t>
      </w:r>
    </w:p>
    <w:p w14:paraId="01B2976A"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The normal operating reservoir level</w:t>
      </w:r>
    </w:p>
    <w:p w14:paraId="3B6771BC" w14:textId="0BD920BB"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The first case under the 1 m per day drawdown rate was to subject the embankment to a normal operating reservoir level.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_Ref98109424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75</w:t>
      </w:r>
      <w:r w:rsidRPr="00051297">
        <w:rPr>
          <w:rFonts w:eastAsia="Calibri" w:cs="Times New Roman"/>
          <w:szCs w:val="24"/>
          <w:lang w:val="en-US"/>
        </w:rPr>
        <w:fldChar w:fldCharType="end"/>
      </w:r>
      <w:r w:rsidRPr="00051297">
        <w:rPr>
          <w:rFonts w:eastAsia="Calibri" w:cs="Times New Roman"/>
          <w:szCs w:val="24"/>
          <w:lang w:val="en-US"/>
        </w:rPr>
        <w:t xml:space="preserve"> depicts the seepage results when the embankment was exposed to a reservoir with a 1 m per day drawdown rate and the normal operational reservoir level.</w:t>
      </w:r>
      <w:r w:rsidRPr="00051297">
        <w:rPr>
          <w:rFonts w:cs="Times New Roman"/>
          <w:szCs w:val="24"/>
          <w:lang w:val="en-US"/>
        </w:rPr>
        <w:t xml:space="preserve"> </w:t>
      </w:r>
      <w:r w:rsidRPr="00051297">
        <w:rPr>
          <w:rFonts w:eastAsia="Calibri" w:cs="Times New Roman"/>
          <w:szCs w:val="24"/>
          <w:lang w:val="en-US"/>
        </w:rPr>
        <w:t xml:space="preserve">As illustrated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_Ref98109424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75</w:t>
      </w:r>
      <w:r w:rsidRPr="00051297">
        <w:rPr>
          <w:rFonts w:eastAsia="Calibri" w:cs="Times New Roman"/>
          <w:szCs w:val="24"/>
          <w:lang w:val="en-US"/>
        </w:rPr>
        <w:fldChar w:fldCharType="end"/>
      </w:r>
      <w:r w:rsidRPr="00051297">
        <w:rPr>
          <w:rFonts w:eastAsia="Calibri" w:cs="Times New Roman"/>
          <w:szCs w:val="24"/>
          <w:lang w:val="en-US"/>
        </w:rPr>
        <w:t>, the phreatic lines cross the first, second, and third zones of the embankment, safely delivering seepage within the embankment to the downstream toe. Furthermore, the figure demonstrates that when the reservoir was drained using a 1 m per day drawdown rate, there was a significant struggle in terms of pore-water pressure dissipation. In this scenario, it's also worth noting that the first three zones all struggled with pore-water pressure dissipation as observed from instantaneous, five (5), ten (10) days drawdown rates.</w:t>
      </w:r>
    </w:p>
    <w:p w14:paraId="0A8303EE" w14:textId="715119EC" w:rsidR="00051297" w:rsidRPr="00051297" w:rsidRDefault="00737DA9" w:rsidP="00051297">
      <w:pPr>
        <w:keepNext/>
        <w:ind w:firstLine="0"/>
        <w:rPr>
          <w:rFonts w:cs="Times New Roman"/>
          <w:szCs w:val="24"/>
        </w:rPr>
      </w:pPr>
      <w:r>
        <w:rPr>
          <w:noProof/>
        </w:rPr>
        <w:drawing>
          <wp:inline distT="0" distB="0" distL="0" distR="0" wp14:anchorId="464FAC88" wp14:editId="5D419E06">
            <wp:extent cx="5939790" cy="1336675"/>
            <wp:effectExtent l="0" t="0" r="381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39790" cy="1336675"/>
                    </a:xfrm>
                    <a:prstGeom prst="rect">
                      <a:avLst/>
                    </a:prstGeom>
                    <a:noFill/>
                    <a:ln>
                      <a:noFill/>
                    </a:ln>
                  </pic:spPr>
                </pic:pic>
              </a:graphicData>
            </a:graphic>
          </wp:inline>
        </w:drawing>
      </w:r>
    </w:p>
    <w:p w14:paraId="5F3A88A4" w14:textId="263E9E34" w:rsidR="00051297" w:rsidRPr="00051297" w:rsidRDefault="00051297" w:rsidP="00051297">
      <w:pPr>
        <w:ind w:firstLine="0"/>
        <w:jc w:val="center"/>
        <w:rPr>
          <w:lang w:val="en-US"/>
        </w:rPr>
      </w:pPr>
      <w:bookmarkStart w:id="1632" w:name="_Ref98109424"/>
      <w:bookmarkStart w:id="1633" w:name="_Toc97428334"/>
      <w:bookmarkStart w:id="1634" w:name="_Toc98086010"/>
      <w:bookmarkStart w:id="1635" w:name="_Toc103544208"/>
      <w:bookmarkStart w:id="1636" w:name="_Toc104985534"/>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75</w:t>
      </w:r>
      <w:r w:rsidR="00527861">
        <w:rPr>
          <w:lang w:val="en-US"/>
        </w:rPr>
        <w:fldChar w:fldCharType="end"/>
      </w:r>
      <w:bookmarkEnd w:id="1632"/>
      <w:r w:rsidRPr="00051297">
        <w:rPr>
          <w:lang w:val="en-US"/>
        </w:rPr>
        <w:t xml:space="preserve"> – Rapid drawdown (1 m per day) seepage under normal operating level</w:t>
      </w:r>
      <w:bookmarkEnd w:id="1633"/>
      <w:bookmarkEnd w:id="1634"/>
      <w:bookmarkEnd w:id="1635"/>
      <w:bookmarkEnd w:id="1636"/>
    </w:p>
    <w:p w14:paraId="6398EAD8"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Reduced reservoir</w:t>
      </w:r>
      <w:r w:rsidRPr="00051297">
        <w:rPr>
          <w:rFonts w:cs="Times New Roman"/>
          <w:szCs w:val="24"/>
        </w:rPr>
        <w:t xml:space="preserve"> </w:t>
      </w:r>
      <w:r w:rsidRPr="00051297">
        <w:rPr>
          <w:rFonts w:eastAsia="Calibri" w:cs="Times New Roman"/>
          <w:szCs w:val="24"/>
        </w:rPr>
        <w:t>operating level</w:t>
      </w:r>
    </w:p>
    <w:p w14:paraId="7C76568D" w14:textId="4376C45E"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The second case under the 1 m per day drawdown rate was to subject the embankment to a reduced operating reservoir level.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_Ref98109490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76</w:t>
      </w:r>
      <w:r w:rsidRPr="00051297">
        <w:rPr>
          <w:rFonts w:eastAsia="Calibri" w:cs="Times New Roman"/>
          <w:szCs w:val="24"/>
          <w:lang w:val="en-US"/>
        </w:rPr>
        <w:fldChar w:fldCharType="end"/>
      </w:r>
      <w:r w:rsidRPr="00051297">
        <w:rPr>
          <w:rFonts w:eastAsia="Calibri" w:cs="Times New Roman"/>
          <w:szCs w:val="24"/>
          <w:lang w:val="en-US"/>
        </w:rPr>
        <w:t xml:space="preserve"> depicts the seepage results after the embankment was exposed to a reservoir with a 1 m per day drawdown rate and reduced operational reservoir level.</w:t>
      </w:r>
      <w:r w:rsidRPr="00051297">
        <w:rPr>
          <w:rFonts w:cs="Times New Roman"/>
          <w:szCs w:val="24"/>
          <w:lang w:val="en-US"/>
        </w:rPr>
        <w:t xml:space="preserve"> </w:t>
      </w:r>
      <w:r w:rsidRPr="00051297">
        <w:rPr>
          <w:rFonts w:eastAsia="Calibri" w:cs="Times New Roman"/>
          <w:szCs w:val="24"/>
          <w:lang w:val="en-US"/>
        </w:rPr>
        <w:t xml:space="preserve">Under the 1 m per day drawdown, the embankment was able to securely convey the seepage </w:t>
      </w:r>
      <w:r w:rsidRPr="00051297">
        <w:rPr>
          <w:rFonts w:eastAsia="Calibri" w:cs="Times New Roman"/>
          <w:szCs w:val="24"/>
          <w:lang w:val="en-US"/>
        </w:rPr>
        <w:lastRenderedPageBreak/>
        <w:t>to the downstream toe despite relatively high pore-water pressures as indicated by the phreatic lines following the drawdown (as for the instantaneous, 5 days, and 10 days drawdown rates).</w:t>
      </w:r>
    </w:p>
    <w:p w14:paraId="62E3699D" w14:textId="6239648A" w:rsidR="00051297" w:rsidRPr="00051297" w:rsidRDefault="00737DA9" w:rsidP="00051297">
      <w:pPr>
        <w:keepNext/>
        <w:ind w:firstLine="0"/>
        <w:rPr>
          <w:rFonts w:cs="Times New Roman"/>
          <w:szCs w:val="24"/>
        </w:rPr>
      </w:pPr>
      <w:r>
        <w:rPr>
          <w:noProof/>
        </w:rPr>
        <w:drawing>
          <wp:inline distT="0" distB="0" distL="0" distR="0" wp14:anchorId="3E539BB7" wp14:editId="3958312F">
            <wp:extent cx="5939790" cy="1189355"/>
            <wp:effectExtent l="0" t="0" r="381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39790" cy="1189355"/>
                    </a:xfrm>
                    <a:prstGeom prst="rect">
                      <a:avLst/>
                    </a:prstGeom>
                    <a:noFill/>
                    <a:ln>
                      <a:noFill/>
                    </a:ln>
                  </pic:spPr>
                </pic:pic>
              </a:graphicData>
            </a:graphic>
          </wp:inline>
        </w:drawing>
      </w:r>
    </w:p>
    <w:p w14:paraId="495798C2" w14:textId="7EA495F1" w:rsidR="00051297" w:rsidRPr="00051297" w:rsidRDefault="00051297" w:rsidP="00051297">
      <w:pPr>
        <w:tabs>
          <w:tab w:val="left" w:pos="993"/>
        </w:tabs>
        <w:ind w:firstLine="0"/>
        <w:jc w:val="center"/>
        <w:rPr>
          <w:rFonts w:eastAsia="Calibri" w:cs="Times New Roman"/>
          <w:szCs w:val="24"/>
          <w:lang w:val="en-US"/>
        </w:rPr>
      </w:pPr>
      <w:bookmarkStart w:id="1637" w:name="_Ref98109490"/>
      <w:bookmarkStart w:id="1638" w:name="_Toc97428335"/>
      <w:bookmarkStart w:id="1639" w:name="_Toc98086011"/>
      <w:bookmarkStart w:id="1640" w:name="_Toc103544209"/>
      <w:bookmarkStart w:id="1641" w:name="_Toc104985535"/>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76</w:t>
      </w:r>
      <w:r w:rsidR="00527861">
        <w:rPr>
          <w:rFonts w:eastAsia="Calibri" w:cs="Times New Roman"/>
          <w:szCs w:val="24"/>
          <w:lang w:val="en-US"/>
        </w:rPr>
        <w:fldChar w:fldCharType="end"/>
      </w:r>
      <w:bookmarkEnd w:id="1637"/>
      <w:r w:rsidRPr="00051297">
        <w:rPr>
          <w:lang w:val="en-US"/>
        </w:rPr>
        <w:t xml:space="preserve"> </w:t>
      </w:r>
      <w:r w:rsidRPr="00051297">
        <w:rPr>
          <w:rFonts w:eastAsia="Calibri" w:cs="Times New Roman"/>
          <w:szCs w:val="24"/>
          <w:lang w:val="en-US"/>
        </w:rPr>
        <w:t>– Rapid drawdown (1 m per day) seepage under reduced reservoir operating level</w:t>
      </w:r>
      <w:bookmarkEnd w:id="1638"/>
      <w:bookmarkEnd w:id="1639"/>
      <w:bookmarkEnd w:id="1640"/>
      <w:bookmarkEnd w:id="1641"/>
    </w:p>
    <w:p w14:paraId="408C1375"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Reservoir</w:t>
      </w:r>
      <w:r w:rsidRPr="00051297">
        <w:rPr>
          <w:rFonts w:cs="Times New Roman"/>
          <w:szCs w:val="24"/>
        </w:rPr>
        <w:t xml:space="preserve"> </w:t>
      </w:r>
      <w:r w:rsidRPr="00051297">
        <w:rPr>
          <w:rFonts w:eastAsia="Calibri" w:cs="Times New Roman"/>
          <w:szCs w:val="24"/>
        </w:rPr>
        <w:t>operating at embankment height</w:t>
      </w:r>
    </w:p>
    <w:p w14:paraId="58D34632" w14:textId="10313966"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The third case under the 1 m per day drawdown rate was to subject the embankment to an operating reservoir level similar to the embankment height.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_Ref98109516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77</w:t>
      </w:r>
      <w:r w:rsidRPr="00051297">
        <w:rPr>
          <w:rFonts w:eastAsia="Calibri" w:cs="Times New Roman"/>
          <w:szCs w:val="24"/>
          <w:lang w:val="en-US"/>
        </w:rPr>
        <w:fldChar w:fldCharType="end"/>
      </w:r>
      <w:r w:rsidRPr="00051297">
        <w:rPr>
          <w:rFonts w:eastAsia="Calibri" w:cs="Times New Roman"/>
          <w:szCs w:val="24"/>
          <w:lang w:val="en-US"/>
        </w:rPr>
        <w:t xml:space="preserve"> shows seepage after the embankment was exposed to a reservoir with a 1 m per day drawdown rate and embankment height operating reservoir level. As observed from the 1o days drawdown rate, the dissipation of pore-water pressures from the third zone of the embankment was easier than that of the first zone, based on the phreatic lines; whereby, this phenomenon is once again thought to be linked to changes in permeability rates between embankment zones.</w:t>
      </w:r>
    </w:p>
    <w:p w14:paraId="3C38CC13" w14:textId="176ED510" w:rsidR="00051297" w:rsidRPr="00051297" w:rsidRDefault="00737DA9" w:rsidP="00051297">
      <w:pPr>
        <w:keepNext/>
        <w:spacing w:after="240"/>
        <w:ind w:firstLine="0"/>
        <w:rPr>
          <w:rFonts w:cs="Times New Roman"/>
          <w:szCs w:val="24"/>
        </w:rPr>
      </w:pPr>
      <w:r>
        <w:rPr>
          <w:noProof/>
        </w:rPr>
        <w:drawing>
          <wp:inline distT="0" distB="0" distL="0" distR="0" wp14:anchorId="09CBE05F" wp14:editId="0763AC39">
            <wp:extent cx="5939790" cy="1170940"/>
            <wp:effectExtent l="0" t="0" r="381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39790" cy="1170940"/>
                    </a:xfrm>
                    <a:prstGeom prst="rect">
                      <a:avLst/>
                    </a:prstGeom>
                    <a:noFill/>
                    <a:ln>
                      <a:noFill/>
                    </a:ln>
                  </pic:spPr>
                </pic:pic>
              </a:graphicData>
            </a:graphic>
          </wp:inline>
        </w:drawing>
      </w:r>
    </w:p>
    <w:p w14:paraId="69F9BB8F" w14:textId="2E9AF61C" w:rsidR="00051297" w:rsidRPr="00051297" w:rsidRDefault="00051297" w:rsidP="00051297">
      <w:pPr>
        <w:tabs>
          <w:tab w:val="left" w:pos="993"/>
        </w:tabs>
        <w:ind w:firstLine="0"/>
        <w:jc w:val="center"/>
        <w:rPr>
          <w:rFonts w:eastAsia="Calibri" w:cs="Times New Roman"/>
          <w:szCs w:val="24"/>
          <w:lang w:val="en-US"/>
        </w:rPr>
      </w:pPr>
      <w:bookmarkStart w:id="1642" w:name="_Ref98109516"/>
      <w:bookmarkStart w:id="1643" w:name="_Toc97428336"/>
      <w:bookmarkStart w:id="1644" w:name="_Toc98086012"/>
      <w:bookmarkStart w:id="1645" w:name="_Toc103544210"/>
      <w:bookmarkStart w:id="1646" w:name="_Toc104985536"/>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77</w:t>
      </w:r>
      <w:r w:rsidR="00527861">
        <w:rPr>
          <w:rFonts w:eastAsia="Calibri" w:cs="Times New Roman"/>
          <w:szCs w:val="24"/>
          <w:lang w:val="en-US"/>
        </w:rPr>
        <w:fldChar w:fldCharType="end"/>
      </w:r>
      <w:bookmarkEnd w:id="1642"/>
      <w:r w:rsidRPr="00051297">
        <w:rPr>
          <w:lang w:val="en-US"/>
        </w:rPr>
        <w:t xml:space="preserve"> </w:t>
      </w:r>
      <w:r w:rsidRPr="00051297">
        <w:rPr>
          <w:rFonts w:eastAsia="Calibri" w:cs="Times New Roman"/>
          <w:szCs w:val="24"/>
          <w:lang w:val="en-US"/>
        </w:rPr>
        <w:t>– Rapid drawdown (1m per day) seepage under embankment height reservoir operating level</w:t>
      </w:r>
      <w:bookmarkEnd w:id="1643"/>
      <w:bookmarkEnd w:id="1644"/>
      <w:bookmarkEnd w:id="1645"/>
      <w:bookmarkEnd w:id="1646"/>
    </w:p>
    <w:p w14:paraId="2C9D41CE"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Reservoir operating under overflow condition</w:t>
      </w:r>
    </w:p>
    <w:p w14:paraId="27F2420C" w14:textId="08EA2B2F"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The fourth case under the 1 m per day drawdown rate was to subject the embankment to an overflow operating reservoir level.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_Ref98109548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78</w:t>
      </w:r>
      <w:r w:rsidRPr="00051297">
        <w:rPr>
          <w:rFonts w:eastAsia="Calibri" w:cs="Times New Roman"/>
          <w:szCs w:val="24"/>
          <w:lang w:val="en-US"/>
        </w:rPr>
        <w:fldChar w:fldCharType="end"/>
      </w:r>
      <w:r w:rsidRPr="00051297">
        <w:rPr>
          <w:rFonts w:eastAsia="Calibri" w:cs="Times New Roman"/>
          <w:szCs w:val="24"/>
          <w:lang w:val="en-US"/>
        </w:rPr>
        <w:t xml:space="preserve"> shows seepage after the embankment was exposed to a reservoir with a 1 m per day drawdown rate and overflow operating reservoir level. The embankment did not have enough time to disperse pore-water pressures from the embankment following the drawdown, as can be seen in the picture.</w:t>
      </w:r>
    </w:p>
    <w:p w14:paraId="13DC8168" w14:textId="64FD5EDC" w:rsidR="00051297" w:rsidRPr="00051297" w:rsidRDefault="00737DA9" w:rsidP="00293959">
      <w:pPr>
        <w:keepNext/>
        <w:spacing w:line="240" w:lineRule="auto"/>
        <w:ind w:firstLine="0"/>
        <w:rPr>
          <w:rFonts w:cs="Times New Roman"/>
          <w:szCs w:val="24"/>
        </w:rPr>
      </w:pPr>
      <w:r>
        <w:rPr>
          <w:noProof/>
        </w:rPr>
        <w:drawing>
          <wp:inline distT="0" distB="0" distL="0" distR="0" wp14:anchorId="674B444A" wp14:editId="15D2B983">
            <wp:extent cx="5939790" cy="1174750"/>
            <wp:effectExtent l="0" t="0" r="3810" b="635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39790" cy="1174750"/>
                    </a:xfrm>
                    <a:prstGeom prst="rect">
                      <a:avLst/>
                    </a:prstGeom>
                    <a:noFill/>
                    <a:ln>
                      <a:noFill/>
                    </a:ln>
                  </pic:spPr>
                </pic:pic>
              </a:graphicData>
            </a:graphic>
          </wp:inline>
        </w:drawing>
      </w:r>
    </w:p>
    <w:p w14:paraId="0D5D2B5B" w14:textId="187566C8" w:rsidR="00051297" w:rsidRPr="00051297" w:rsidRDefault="00051297" w:rsidP="00051297">
      <w:pPr>
        <w:ind w:firstLine="0"/>
        <w:jc w:val="center"/>
        <w:rPr>
          <w:lang w:val="en-US"/>
        </w:rPr>
      </w:pPr>
      <w:bookmarkStart w:id="1647" w:name="_Ref98109548"/>
      <w:bookmarkStart w:id="1648" w:name="_Toc97428337"/>
      <w:bookmarkStart w:id="1649" w:name="_Toc98086013"/>
      <w:bookmarkStart w:id="1650" w:name="_Toc103544211"/>
      <w:bookmarkStart w:id="1651" w:name="_Toc104985537"/>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78</w:t>
      </w:r>
      <w:r w:rsidR="00527861">
        <w:rPr>
          <w:lang w:val="en-US"/>
        </w:rPr>
        <w:fldChar w:fldCharType="end"/>
      </w:r>
      <w:bookmarkEnd w:id="1647"/>
      <w:r w:rsidRPr="00051297">
        <w:rPr>
          <w:lang w:val="en-US"/>
        </w:rPr>
        <w:t xml:space="preserve"> – Rapid drawdown (1 m per day) seepage under overflow reservoir operating level</w:t>
      </w:r>
      <w:bookmarkEnd w:id="1648"/>
      <w:bookmarkEnd w:id="1649"/>
      <w:bookmarkEnd w:id="1650"/>
      <w:bookmarkEnd w:id="1651"/>
    </w:p>
    <w:p w14:paraId="4A54FADB" w14:textId="1CFB38C7" w:rsidR="00051297" w:rsidRPr="00051297" w:rsidRDefault="00051297" w:rsidP="00141AA5">
      <w:pPr>
        <w:pStyle w:val="4"/>
      </w:pPr>
      <w:bookmarkStart w:id="1652" w:name="_Toc97504895"/>
      <w:bookmarkStart w:id="1653" w:name="_Toc103544043"/>
      <w:bookmarkStart w:id="1654" w:name="_Toc104985368"/>
      <w:r w:rsidRPr="00051297">
        <w:lastRenderedPageBreak/>
        <w:t>Slope stability</w:t>
      </w:r>
      <w:bookmarkEnd w:id="1652"/>
      <w:bookmarkEnd w:id="1653"/>
      <w:bookmarkEnd w:id="1654"/>
    </w:p>
    <w:p w14:paraId="39287143" w14:textId="77777777" w:rsidR="00051297" w:rsidRPr="00051297" w:rsidRDefault="00051297" w:rsidP="00051297">
      <w:pPr>
        <w:rPr>
          <w:rFonts w:cs="Times New Roman"/>
          <w:szCs w:val="24"/>
          <w:lang w:val="en-US"/>
        </w:rPr>
      </w:pPr>
      <w:r w:rsidRPr="00051297">
        <w:rPr>
          <w:rFonts w:cs="Times New Roman"/>
          <w:szCs w:val="24"/>
          <w:lang w:val="en-US"/>
        </w:rPr>
        <w:t>In this part of the study, different aspects of slope stability are investigated based on the operating reservoir levels. It is also worth noting that slope stability can be termed as the inclined slope's capacity to resist its weight as well as external forces without shifting. To maintain slope stability, soil/rock mechanics, geotechnical engineering, and engineering geology principles are applied. The creation of complex constitutive models, awareness of laboratory and in-situ testing constraints, and the development of new equipment techniques to assess the slope's response have all emerged from slope behavior case studies. When the slope's stability conditions are not met, the slope's soil or rock mass may experience gradual or catastrophic downhill movement. A landslide can be triggered by an earthquake, heavy rains that exceed pore water pressure or deterioration of the ground's mechanical properties. Slope failures wreak havoc on human infrastructure each year, resulting in a wave of casualties.</w:t>
      </w:r>
    </w:p>
    <w:p w14:paraId="5F8DD8AD" w14:textId="7FC5126F" w:rsidR="00051297" w:rsidRPr="00051297" w:rsidRDefault="00051297" w:rsidP="00141AA5">
      <w:pPr>
        <w:pStyle w:val="5"/>
        <w:rPr>
          <w:rFonts w:eastAsia="Calibri"/>
          <w:lang w:val="en-US"/>
        </w:rPr>
      </w:pPr>
      <w:bookmarkStart w:id="1655" w:name="_Toc103544044"/>
      <w:bookmarkStart w:id="1656" w:name="_Toc104985369"/>
      <w:r w:rsidRPr="00051297">
        <w:rPr>
          <w:rFonts w:eastAsia="Calibri"/>
          <w:lang w:val="en-US"/>
        </w:rPr>
        <w:t>Steady-state</w:t>
      </w:r>
      <w:bookmarkEnd w:id="1655"/>
      <w:bookmarkEnd w:id="1656"/>
    </w:p>
    <w:p w14:paraId="5FBE4DAC" w14:textId="77777777"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In this part of the study, the embankment slope stability analysis was carried out under long-term steady-state conditions at different operating levels of the reservoir (normal or current level, reduced level, embankment height level, as well as the overflow level).</w:t>
      </w:r>
    </w:p>
    <w:p w14:paraId="22B69DBF"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The normal operating reservoir level</w:t>
      </w:r>
    </w:p>
    <w:p w14:paraId="52CE6F31" w14:textId="1E109327"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Based on the steady-state condition slope stability analysis, the first case was to subject the reservoir to a normal operating level and investigate the retrieved factor of safety values.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_Ref98109569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79</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a long-term steady-state and normal operating reservoir level. From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_Ref98109569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79</w:t>
      </w:r>
      <w:r w:rsidRPr="00051297">
        <w:rPr>
          <w:rFonts w:eastAsia="Calibri" w:cs="Times New Roman"/>
          <w:szCs w:val="24"/>
          <w:lang w:val="en-US"/>
        </w:rPr>
        <w:fldChar w:fldCharType="end"/>
      </w:r>
      <w:r w:rsidRPr="00051297">
        <w:rPr>
          <w:rFonts w:eastAsia="Calibri" w:cs="Times New Roman"/>
          <w:szCs w:val="24"/>
          <w:lang w:val="en-US"/>
        </w:rPr>
        <w:t>, it can be observed that a factor of safety value of 3.576 was achieved. The retrieved factor of safety value suggests that under steady-state and normal water level operating conditions, the embankment is relatively safe from potential slope failure. This judgment is based on the fact that many guidelines would recommend 1.5 as a minimum factor of safety value to ensure that the embankment is safe from potential failure.</w:t>
      </w:r>
    </w:p>
    <w:p w14:paraId="548C9D97" w14:textId="50327C74" w:rsidR="00051297" w:rsidRPr="00051297" w:rsidRDefault="006A417E" w:rsidP="00293959">
      <w:pPr>
        <w:keepNext/>
        <w:ind w:firstLine="0"/>
        <w:rPr>
          <w:rFonts w:cs="Times New Roman"/>
          <w:szCs w:val="24"/>
        </w:rPr>
      </w:pPr>
      <w:r>
        <w:rPr>
          <w:noProof/>
        </w:rPr>
        <w:drawing>
          <wp:inline distT="0" distB="0" distL="0" distR="0" wp14:anchorId="54BEBE6A" wp14:editId="50238FE9">
            <wp:extent cx="5939790" cy="1323975"/>
            <wp:effectExtent l="0" t="0" r="3810" b="952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939790" cy="1323975"/>
                    </a:xfrm>
                    <a:prstGeom prst="rect">
                      <a:avLst/>
                    </a:prstGeom>
                    <a:noFill/>
                    <a:ln>
                      <a:noFill/>
                    </a:ln>
                  </pic:spPr>
                </pic:pic>
              </a:graphicData>
            </a:graphic>
          </wp:inline>
        </w:drawing>
      </w:r>
    </w:p>
    <w:p w14:paraId="31868E30" w14:textId="4DD5BE4E" w:rsidR="00051297" w:rsidRPr="00051297" w:rsidRDefault="00051297" w:rsidP="00051297">
      <w:pPr>
        <w:tabs>
          <w:tab w:val="left" w:pos="993"/>
        </w:tabs>
        <w:ind w:firstLine="0"/>
        <w:jc w:val="center"/>
        <w:rPr>
          <w:rFonts w:eastAsia="Calibri" w:cs="Times New Roman"/>
          <w:szCs w:val="24"/>
          <w:lang w:val="en-US"/>
        </w:rPr>
      </w:pPr>
      <w:bookmarkStart w:id="1657" w:name="_Ref98109569"/>
      <w:bookmarkStart w:id="1658" w:name="_Toc97428338"/>
      <w:bookmarkStart w:id="1659" w:name="_Toc98086014"/>
      <w:bookmarkStart w:id="1660" w:name="_Toc103544212"/>
      <w:bookmarkStart w:id="1661" w:name="_Toc104985538"/>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79</w:t>
      </w:r>
      <w:r w:rsidR="00527861">
        <w:rPr>
          <w:rFonts w:eastAsia="Calibri" w:cs="Times New Roman"/>
          <w:szCs w:val="24"/>
          <w:lang w:val="en-US"/>
        </w:rPr>
        <w:fldChar w:fldCharType="end"/>
      </w:r>
      <w:bookmarkEnd w:id="1657"/>
      <w:r w:rsidRPr="00051297">
        <w:rPr>
          <w:lang w:val="en-US"/>
        </w:rPr>
        <w:t xml:space="preserve"> </w:t>
      </w:r>
      <w:r w:rsidRPr="00051297">
        <w:rPr>
          <w:rFonts w:eastAsia="Calibri" w:cs="Times New Roman"/>
          <w:szCs w:val="24"/>
          <w:lang w:val="en-US"/>
        </w:rPr>
        <w:t>– Steady-state slope stability under normal operating reservoir level</w:t>
      </w:r>
      <w:bookmarkEnd w:id="1658"/>
      <w:bookmarkEnd w:id="1659"/>
      <w:bookmarkEnd w:id="1660"/>
      <w:bookmarkEnd w:id="1661"/>
    </w:p>
    <w:p w14:paraId="1209833C"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Reduced reservoir</w:t>
      </w:r>
      <w:r w:rsidRPr="00051297">
        <w:rPr>
          <w:rFonts w:cs="Times New Roman"/>
          <w:szCs w:val="24"/>
        </w:rPr>
        <w:t xml:space="preserve"> </w:t>
      </w:r>
      <w:r w:rsidRPr="00051297">
        <w:rPr>
          <w:rFonts w:eastAsia="Calibri" w:cs="Times New Roman"/>
          <w:szCs w:val="24"/>
        </w:rPr>
        <w:t>operating level</w:t>
      </w:r>
    </w:p>
    <w:p w14:paraId="11FC4654" w14:textId="1F1F15D1"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Another important slope stability case investigated in the study was when the reservoir's long-term water level has reduced to half of the embankment. After the embankment was exposed </w:t>
      </w:r>
      <w:r w:rsidRPr="00051297">
        <w:rPr>
          <w:rFonts w:eastAsia="Calibri" w:cs="Times New Roman"/>
          <w:szCs w:val="24"/>
          <w:lang w:val="en-US"/>
        </w:rPr>
        <w:lastRenderedPageBreak/>
        <w:t xml:space="preserve">to a long-term steady-state and reduced operating reservoir level, the slope stability results are shown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_Ref98109643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80</w:t>
      </w:r>
      <w:r w:rsidRPr="00051297">
        <w:rPr>
          <w:rFonts w:eastAsia="Calibri" w:cs="Times New Roman"/>
          <w:szCs w:val="24"/>
          <w:lang w:val="en-US"/>
        </w:rPr>
        <w:fldChar w:fldCharType="end"/>
      </w:r>
      <w:r w:rsidRPr="00051297">
        <w:rPr>
          <w:rFonts w:eastAsia="Calibri" w:cs="Times New Roman"/>
          <w:szCs w:val="24"/>
          <w:lang w:val="en-US"/>
        </w:rPr>
        <w:t xml:space="preserve">. From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_Ref98109643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80</w:t>
      </w:r>
      <w:r w:rsidRPr="00051297">
        <w:rPr>
          <w:rFonts w:eastAsia="Calibri" w:cs="Times New Roman"/>
          <w:szCs w:val="24"/>
          <w:lang w:val="en-US"/>
        </w:rPr>
        <w:fldChar w:fldCharType="end"/>
      </w:r>
      <w:r w:rsidRPr="00051297">
        <w:rPr>
          <w:rFonts w:eastAsia="Calibri" w:cs="Times New Roman"/>
          <w:szCs w:val="24"/>
          <w:lang w:val="en-US"/>
        </w:rPr>
        <w:t>, we can see that the 3.259 factor of safety value was achieved from the combination of reduced water level and long-term steady-state operating conditions. The retrieved factor of safety from reduced water level is approximately 8.9% less than that was achieved from the normal operating water level. These results reveal further that when reservoir long-term water level reduces, then the long-term factor of safety value under long-term steady-state conditions also reduces.</w:t>
      </w:r>
    </w:p>
    <w:p w14:paraId="1622BA78" w14:textId="402BC33E" w:rsidR="00051297" w:rsidRPr="00051297" w:rsidRDefault="006A417E" w:rsidP="00051297">
      <w:pPr>
        <w:keepNext/>
        <w:ind w:firstLine="0"/>
        <w:rPr>
          <w:rFonts w:cs="Times New Roman"/>
          <w:szCs w:val="24"/>
        </w:rPr>
      </w:pPr>
      <w:r>
        <w:rPr>
          <w:noProof/>
        </w:rPr>
        <w:drawing>
          <wp:inline distT="0" distB="0" distL="0" distR="0" wp14:anchorId="41111CA1" wp14:editId="7F54B5C2">
            <wp:extent cx="5939790" cy="1341755"/>
            <wp:effectExtent l="0" t="0" r="381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39790" cy="1341755"/>
                    </a:xfrm>
                    <a:prstGeom prst="rect">
                      <a:avLst/>
                    </a:prstGeom>
                    <a:noFill/>
                    <a:ln>
                      <a:noFill/>
                    </a:ln>
                  </pic:spPr>
                </pic:pic>
              </a:graphicData>
            </a:graphic>
          </wp:inline>
        </w:drawing>
      </w:r>
    </w:p>
    <w:p w14:paraId="4D5838AD" w14:textId="01A352D4" w:rsidR="00051297" w:rsidRPr="00051297" w:rsidRDefault="00051297" w:rsidP="00051297">
      <w:pPr>
        <w:tabs>
          <w:tab w:val="left" w:pos="993"/>
        </w:tabs>
        <w:ind w:firstLine="0"/>
        <w:jc w:val="center"/>
        <w:rPr>
          <w:rFonts w:eastAsia="Calibri" w:cs="Times New Roman"/>
          <w:szCs w:val="24"/>
          <w:lang w:val="en-US"/>
        </w:rPr>
      </w:pPr>
      <w:bookmarkStart w:id="1662" w:name="_Ref98109643"/>
      <w:bookmarkStart w:id="1663" w:name="_Toc97428339"/>
      <w:bookmarkStart w:id="1664" w:name="_Toc98086015"/>
      <w:bookmarkStart w:id="1665" w:name="_Toc103544213"/>
      <w:bookmarkStart w:id="1666" w:name="_Toc104985539"/>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80</w:t>
      </w:r>
      <w:r w:rsidR="00527861">
        <w:rPr>
          <w:rFonts w:eastAsia="Calibri" w:cs="Times New Roman"/>
          <w:szCs w:val="24"/>
          <w:lang w:val="en-US"/>
        </w:rPr>
        <w:fldChar w:fldCharType="end"/>
      </w:r>
      <w:bookmarkEnd w:id="1662"/>
      <w:r w:rsidRPr="00051297">
        <w:rPr>
          <w:lang w:val="en-US"/>
        </w:rPr>
        <w:t xml:space="preserve"> </w:t>
      </w:r>
      <w:r w:rsidRPr="00051297">
        <w:rPr>
          <w:rFonts w:eastAsia="Calibri" w:cs="Times New Roman"/>
          <w:szCs w:val="24"/>
          <w:lang w:val="en-US"/>
        </w:rPr>
        <w:t>– Steady-state slope stability under reduced reservoir operation level</w:t>
      </w:r>
      <w:bookmarkEnd w:id="1663"/>
      <w:bookmarkEnd w:id="1664"/>
      <w:bookmarkEnd w:id="1665"/>
      <w:bookmarkEnd w:id="1666"/>
    </w:p>
    <w:p w14:paraId="4C832FB2"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Reservoir</w:t>
      </w:r>
      <w:r w:rsidRPr="00051297">
        <w:rPr>
          <w:rFonts w:cs="Times New Roman"/>
          <w:szCs w:val="24"/>
        </w:rPr>
        <w:t xml:space="preserve"> </w:t>
      </w:r>
      <w:r w:rsidRPr="00051297">
        <w:rPr>
          <w:rFonts w:eastAsia="Calibri" w:cs="Times New Roman"/>
          <w:szCs w:val="24"/>
        </w:rPr>
        <w:t>operating at embankment height</w:t>
      </w:r>
    </w:p>
    <w:p w14:paraId="5FC99A40" w14:textId="1EA18EF2"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Then the reservoir water level was increased to match the embankment height and investigate the state of slope stability under the long-term steady-state scenario. After the embankment was exposed to a long-term steady-state and embankment height operational reservoir level, the slope stability results are shown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_Ref98109671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81</w:t>
      </w:r>
      <w:r w:rsidRPr="00051297">
        <w:rPr>
          <w:rFonts w:eastAsia="Calibri" w:cs="Times New Roman"/>
          <w:szCs w:val="24"/>
          <w:lang w:val="en-US"/>
        </w:rPr>
        <w:fldChar w:fldCharType="end"/>
      </w:r>
      <w:r w:rsidRPr="00051297">
        <w:rPr>
          <w:rFonts w:eastAsia="Calibri" w:cs="Times New Roman"/>
          <w:szCs w:val="24"/>
          <w:lang w:val="en-US"/>
        </w:rPr>
        <w:t xml:space="preserve">. From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_Ref98109671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81</w:t>
      </w:r>
      <w:r w:rsidRPr="00051297">
        <w:rPr>
          <w:rFonts w:eastAsia="Calibri" w:cs="Times New Roman"/>
          <w:szCs w:val="24"/>
          <w:lang w:val="en-US"/>
        </w:rPr>
        <w:fldChar w:fldCharType="end"/>
      </w:r>
      <w:r w:rsidRPr="00051297">
        <w:rPr>
          <w:rFonts w:eastAsia="Calibri" w:cs="Times New Roman"/>
          <w:szCs w:val="24"/>
          <w:lang w:val="en-US"/>
        </w:rPr>
        <w:t>, we can see that a 3.369 factor of safety value was retrieved from the long-term steady-state conditions. The retrieved factor of safety value is equivalent to 5.8% less than the 3.576 retrieved from the normal operating reservoir level.</w:t>
      </w:r>
    </w:p>
    <w:p w14:paraId="542F7A3E" w14:textId="451768CD" w:rsidR="00051297" w:rsidRPr="00051297" w:rsidRDefault="006A417E" w:rsidP="00051297">
      <w:pPr>
        <w:keepNext/>
        <w:ind w:firstLine="0"/>
        <w:rPr>
          <w:rFonts w:cs="Times New Roman"/>
          <w:szCs w:val="24"/>
        </w:rPr>
      </w:pPr>
      <w:r>
        <w:rPr>
          <w:noProof/>
        </w:rPr>
        <w:drawing>
          <wp:inline distT="0" distB="0" distL="0" distR="0" wp14:anchorId="586287C8" wp14:editId="6FCDC4B1">
            <wp:extent cx="5939790" cy="1351280"/>
            <wp:effectExtent l="0" t="0" r="3810" b="127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39790" cy="1351280"/>
                    </a:xfrm>
                    <a:prstGeom prst="rect">
                      <a:avLst/>
                    </a:prstGeom>
                    <a:noFill/>
                    <a:ln>
                      <a:noFill/>
                    </a:ln>
                  </pic:spPr>
                </pic:pic>
              </a:graphicData>
            </a:graphic>
          </wp:inline>
        </w:drawing>
      </w:r>
    </w:p>
    <w:p w14:paraId="3C717311" w14:textId="5FF9B5B6" w:rsidR="00051297" w:rsidRPr="00051297" w:rsidRDefault="00051297" w:rsidP="00051297">
      <w:pPr>
        <w:tabs>
          <w:tab w:val="left" w:pos="993"/>
        </w:tabs>
        <w:ind w:firstLine="0"/>
        <w:jc w:val="center"/>
        <w:rPr>
          <w:rFonts w:eastAsia="Calibri" w:cs="Times New Roman"/>
          <w:szCs w:val="24"/>
          <w:lang w:val="en-US"/>
        </w:rPr>
      </w:pPr>
      <w:bookmarkStart w:id="1667" w:name="_Ref98109671"/>
      <w:bookmarkStart w:id="1668" w:name="_Toc97428340"/>
      <w:bookmarkStart w:id="1669" w:name="_Toc98086016"/>
      <w:bookmarkStart w:id="1670" w:name="_Toc103544214"/>
      <w:bookmarkStart w:id="1671" w:name="_Toc104985540"/>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81</w:t>
      </w:r>
      <w:r w:rsidR="00527861">
        <w:rPr>
          <w:rFonts w:eastAsia="Calibri" w:cs="Times New Roman"/>
          <w:szCs w:val="24"/>
          <w:lang w:val="en-US"/>
        </w:rPr>
        <w:fldChar w:fldCharType="end"/>
      </w:r>
      <w:bookmarkEnd w:id="1667"/>
      <w:r w:rsidRPr="00051297">
        <w:rPr>
          <w:lang w:val="en-US"/>
        </w:rPr>
        <w:t xml:space="preserve"> </w:t>
      </w:r>
      <w:r w:rsidRPr="00051297">
        <w:rPr>
          <w:rFonts w:eastAsia="Calibri" w:cs="Times New Roman"/>
          <w:szCs w:val="24"/>
          <w:lang w:val="en-US"/>
        </w:rPr>
        <w:t>– Steady-state slope stability under embankment height reservoir level</w:t>
      </w:r>
      <w:bookmarkEnd w:id="1668"/>
      <w:bookmarkEnd w:id="1669"/>
      <w:bookmarkEnd w:id="1670"/>
      <w:bookmarkEnd w:id="1671"/>
    </w:p>
    <w:p w14:paraId="67582525"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Reservoir operating under overflow condition</w:t>
      </w:r>
    </w:p>
    <w:p w14:paraId="3B95F1B4" w14:textId="181AEE0E"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The reservoir water level was then adjusted to an overflow level, and the state of slope stability was investigated in a long-term steady-state condition. After the embankment was exposed to a long-term steady-state and overflow operational reservoir level, the slope stability results are shown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_Ref98109711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82</w:t>
      </w:r>
      <w:r w:rsidRPr="00051297">
        <w:rPr>
          <w:rFonts w:eastAsia="Calibri" w:cs="Times New Roman"/>
          <w:szCs w:val="24"/>
          <w:lang w:val="en-US"/>
        </w:rPr>
        <w:fldChar w:fldCharType="end"/>
      </w:r>
      <w:r w:rsidRPr="00051297">
        <w:rPr>
          <w:rFonts w:eastAsia="Calibri" w:cs="Times New Roman"/>
          <w:szCs w:val="24"/>
          <w:lang w:val="en-US"/>
        </w:rPr>
        <w:t>.</w:t>
      </w:r>
      <w:r w:rsidRPr="00051297">
        <w:rPr>
          <w:rFonts w:cs="Times New Roman"/>
          <w:szCs w:val="24"/>
          <w:lang w:val="en-US"/>
        </w:rPr>
        <w:t xml:space="preserve"> </w:t>
      </w:r>
      <w:r w:rsidRPr="00051297">
        <w:rPr>
          <w:rFonts w:eastAsia="Calibri" w:cs="Times New Roman"/>
          <w:szCs w:val="24"/>
          <w:lang w:val="en-US"/>
        </w:rPr>
        <w:fldChar w:fldCharType="begin"/>
      </w:r>
      <w:r w:rsidRPr="00051297">
        <w:rPr>
          <w:rFonts w:cs="Times New Roman"/>
          <w:szCs w:val="24"/>
          <w:lang w:val="en-US"/>
        </w:rPr>
        <w:instrText xml:space="preserve"> REF _Ref98109711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82</w:t>
      </w:r>
      <w:r w:rsidRPr="00051297">
        <w:rPr>
          <w:rFonts w:eastAsia="Calibri" w:cs="Times New Roman"/>
          <w:szCs w:val="24"/>
          <w:lang w:val="en-US"/>
        </w:rPr>
        <w:fldChar w:fldCharType="end"/>
      </w:r>
      <w:r w:rsidRPr="00051297">
        <w:rPr>
          <w:rFonts w:eastAsia="Calibri" w:cs="Times New Roman"/>
          <w:szCs w:val="24"/>
          <w:lang w:val="en-US"/>
        </w:rPr>
        <w:t xml:space="preserve"> shows that the long-term steady-state conditions yielded a factor of safety value of 3.369. The calculated factor of safety value is 5.8% lower than the 3.576 calculated from the usual operational reservoir level.</w:t>
      </w:r>
    </w:p>
    <w:p w14:paraId="02666A80" w14:textId="14D4F63B" w:rsidR="00051297" w:rsidRPr="00051297" w:rsidRDefault="001A2456" w:rsidP="00293959">
      <w:pPr>
        <w:keepNext/>
        <w:spacing w:line="240" w:lineRule="auto"/>
        <w:ind w:firstLine="0"/>
        <w:rPr>
          <w:rFonts w:cs="Times New Roman"/>
          <w:szCs w:val="24"/>
        </w:rPr>
      </w:pPr>
      <w:r>
        <w:rPr>
          <w:noProof/>
        </w:rPr>
        <w:lastRenderedPageBreak/>
        <w:drawing>
          <wp:inline distT="0" distB="0" distL="0" distR="0" wp14:anchorId="10AB70B8" wp14:editId="43FFA5D3">
            <wp:extent cx="5939790" cy="1360170"/>
            <wp:effectExtent l="0" t="0" r="381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39790" cy="1360170"/>
                    </a:xfrm>
                    <a:prstGeom prst="rect">
                      <a:avLst/>
                    </a:prstGeom>
                    <a:noFill/>
                    <a:ln>
                      <a:noFill/>
                    </a:ln>
                  </pic:spPr>
                </pic:pic>
              </a:graphicData>
            </a:graphic>
          </wp:inline>
        </w:drawing>
      </w:r>
    </w:p>
    <w:p w14:paraId="2E105764" w14:textId="2EB37B1C" w:rsidR="00051297" w:rsidRPr="00051297" w:rsidRDefault="00051297" w:rsidP="00051297">
      <w:pPr>
        <w:ind w:firstLine="0"/>
        <w:jc w:val="center"/>
        <w:rPr>
          <w:lang w:val="en-US"/>
        </w:rPr>
      </w:pPr>
      <w:bookmarkStart w:id="1672" w:name="_Ref98109711"/>
      <w:bookmarkStart w:id="1673" w:name="_Toc97428341"/>
      <w:bookmarkStart w:id="1674" w:name="_Toc98086017"/>
      <w:bookmarkStart w:id="1675" w:name="_Toc103544215"/>
      <w:bookmarkStart w:id="1676" w:name="_Toc104985541"/>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82</w:t>
      </w:r>
      <w:r w:rsidR="00527861">
        <w:rPr>
          <w:lang w:val="en-US"/>
        </w:rPr>
        <w:fldChar w:fldCharType="end"/>
      </w:r>
      <w:bookmarkEnd w:id="1672"/>
      <w:r w:rsidRPr="00051297">
        <w:rPr>
          <w:lang w:val="en-US"/>
        </w:rPr>
        <w:t xml:space="preserve"> – Steady-state slope stability under overflow reservoir level</w:t>
      </w:r>
      <w:bookmarkEnd w:id="1673"/>
      <w:bookmarkEnd w:id="1674"/>
      <w:bookmarkEnd w:id="1675"/>
      <w:bookmarkEnd w:id="1676"/>
    </w:p>
    <w:p w14:paraId="43F55539" w14:textId="163CC378" w:rsidR="00051297" w:rsidRPr="00051297" w:rsidRDefault="00051297" w:rsidP="00141AA5">
      <w:pPr>
        <w:pStyle w:val="5"/>
        <w:rPr>
          <w:rFonts w:eastAsia="Calibri"/>
          <w:lang w:val="en-US"/>
        </w:rPr>
      </w:pPr>
      <w:bookmarkStart w:id="1677" w:name="_Toc103544045"/>
      <w:bookmarkStart w:id="1678" w:name="_Toc104985370"/>
      <w:r w:rsidRPr="00051297">
        <w:rPr>
          <w:rFonts w:eastAsia="Calibri"/>
          <w:lang w:val="en-US"/>
        </w:rPr>
        <w:t>Instantaneous drawdown</w:t>
      </w:r>
      <w:bookmarkEnd w:id="1677"/>
      <w:bookmarkEnd w:id="1678"/>
    </w:p>
    <w:p w14:paraId="35D33789" w14:textId="77777777"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After the slope stability analysis under the steady-state condition, the embankment was subjected to rapid drawdown loading conditions, including the instantaneous drawdown case under different reservoir operating levels.</w:t>
      </w:r>
    </w:p>
    <w:p w14:paraId="030655B8"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The normal operating reservoir level</w:t>
      </w:r>
    </w:p>
    <w:p w14:paraId="25132A3E" w14:textId="1DF03BD6"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After the embankment was exposed to an instantaneous drawdown rate and normal operational reservoir level, the slope stability findings are shown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_Ref98109737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83</w:t>
      </w:r>
      <w:r w:rsidRPr="00051297">
        <w:rPr>
          <w:rFonts w:eastAsia="Calibri" w:cs="Times New Roman"/>
          <w:szCs w:val="24"/>
          <w:lang w:val="en-US"/>
        </w:rPr>
        <w:fldChar w:fldCharType="end"/>
      </w:r>
      <w:r w:rsidRPr="00051297">
        <w:rPr>
          <w:rFonts w:eastAsia="Calibri" w:cs="Times New Roman"/>
          <w:szCs w:val="24"/>
          <w:lang w:val="en-US"/>
        </w:rPr>
        <w:t>. It can be observed that a minimum factor of safety value of 0.979 was retrieved from the combination of instantaneous drawdown and normal operating reservoir level. From the minimum factor of safety value, it is definitely that the embankment fails after the drawdown. As previously mentioned, a minimum factor of safety value of 1.5 is always recommended to ensure the embankment is safe enough from potential failure.</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52CE2EFF" w14:textId="77777777" w:rsidTr="001E2AC7">
        <w:tc>
          <w:tcPr>
            <w:tcW w:w="9350" w:type="dxa"/>
          </w:tcPr>
          <w:p w14:paraId="3CA7B2A3" w14:textId="77777777" w:rsidR="00051297" w:rsidRDefault="009330D7" w:rsidP="001E2AC7">
            <w:pPr>
              <w:spacing w:line="240" w:lineRule="auto"/>
              <w:ind w:firstLine="0"/>
              <w:rPr>
                <w:szCs w:val="24"/>
              </w:rPr>
            </w:pPr>
            <w:r>
              <w:rPr>
                <w:noProof/>
              </w:rPr>
              <w:drawing>
                <wp:inline distT="0" distB="0" distL="0" distR="0" wp14:anchorId="2201F811" wp14:editId="41895C4E">
                  <wp:extent cx="5819093" cy="1318846"/>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854071" cy="1326774"/>
                          </a:xfrm>
                          <a:prstGeom prst="rect">
                            <a:avLst/>
                          </a:prstGeom>
                          <a:noFill/>
                          <a:ln>
                            <a:noFill/>
                          </a:ln>
                        </pic:spPr>
                      </pic:pic>
                    </a:graphicData>
                  </a:graphic>
                </wp:inline>
              </w:drawing>
            </w:r>
          </w:p>
          <w:p w14:paraId="6B48616B" w14:textId="139AAAE6" w:rsidR="009330D7" w:rsidRPr="009330D7" w:rsidRDefault="009330D7" w:rsidP="001E2AC7">
            <w:pPr>
              <w:spacing w:line="240" w:lineRule="auto"/>
              <w:ind w:firstLine="0"/>
              <w:jc w:val="center"/>
              <w:rPr>
                <w:szCs w:val="24"/>
                <w:lang w:val="en-US"/>
              </w:rPr>
            </w:pPr>
            <w:r>
              <w:rPr>
                <w:szCs w:val="24"/>
                <w:lang w:val="en-US"/>
              </w:rPr>
              <w:t>(a)</w:t>
            </w:r>
          </w:p>
        </w:tc>
      </w:tr>
      <w:tr w:rsidR="00051297" w:rsidRPr="00051297" w14:paraId="1DFE1257" w14:textId="77777777" w:rsidTr="001E2AC7">
        <w:tc>
          <w:tcPr>
            <w:tcW w:w="9350" w:type="dxa"/>
          </w:tcPr>
          <w:p w14:paraId="2F634E00" w14:textId="34E87F69" w:rsidR="00051297" w:rsidRDefault="001E2AC7" w:rsidP="001E2AC7">
            <w:pPr>
              <w:keepNext/>
              <w:spacing w:line="240" w:lineRule="auto"/>
              <w:ind w:firstLine="0"/>
              <w:jc w:val="center"/>
              <w:rPr>
                <w:szCs w:val="24"/>
              </w:rPr>
            </w:pPr>
            <w:r>
              <w:rPr>
                <w:noProof/>
              </w:rPr>
              <w:drawing>
                <wp:inline distT="0" distB="0" distL="0" distR="0" wp14:anchorId="566CA0A1" wp14:editId="2EC3D2A0">
                  <wp:extent cx="1666406" cy="221826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666406" cy="2218267"/>
                          </a:xfrm>
                          <a:prstGeom prst="rect">
                            <a:avLst/>
                          </a:prstGeom>
                        </pic:spPr>
                      </pic:pic>
                    </a:graphicData>
                  </a:graphic>
                </wp:inline>
              </w:drawing>
            </w:r>
          </w:p>
          <w:p w14:paraId="4AEDC07B" w14:textId="7425AA5C" w:rsidR="009330D7" w:rsidRPr="009330D7" w:rsidRDefault="009330D7" w:rsidP="001E2AC7">
            <w:pPr>
              <w:keepNext/>
              <w:spacing w:line="240" w:lineRule="auto"/>
              <w:ind w:firstLine="0"/>
              <w:jc w:val="center"/>
              <w:rPr>
                <w:szCs w:val="24"/>
                <w:lang w:val="en-US"/>
              </w:rPr>
            </w:pPr>
            <w:r>
              <w:rPr>
                <w:szCs w:val="24"/>
                <w:lang w:val="en-US"/>
              </w:rPr>
              <w:t>(b)</w:t>
            </w:r>
          </w:p>
        </w:tc>
      </w:tr>
    </w:tbl>
    <w:p w14:paraId="37125D69" w14:textId="60EC9E46" w:rsidR="00051297" w:rsidRPr="00051297" w:rsidRDefault="00051297" w:rsidP="00051297">
      <w:pPr>
        <w:tabs>
          <w:tab w:val="left" w:pos="993"/>
        </w:tabs>
        <w:ind w:firstLine="0"/>
        <w:jc w:val="center"/>
        <w:rPr>
          <w:rFonts w:eastAsia="Calibri" w:cs="Times New Roman"/>
          <w:szCs w:val="24"/>
          <w:lang w:val="en-US"/>
        </w:rPr>
      </w:pPr>
      <w:bookmarkStart w:id="1679" w:name="_Ref98109737"/>
      <w:bookmarkStart w:id="1680" w:name="_Toc97428342"/>
      <w:bookmarkStart w:id="1681" w:name="_Toc98086018"/>
      <w:bookmarkStart w:id="1682" w:name="_Toc103544216"/>
      <w:bookmarkStart w:id="1683" w:name="_Toc104985542"/>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83</w:t>
      </w:r>
      <w:r w:rsidR="00527861">
        <w:rPr>
          <w:rFonts w:eastAsia="Calibri" w:cs="Times New Roman"/>
          <w:szCs w:val="24"/>
          <w:lang w:val="en-US"/>
        </w:rPr>
        <w:fldChar w:fldCharType="end"/>
      </w:r>
      <w:bookmarkEnd w:id="1679"/>
      <w:r w:rsidRPr="00051297">
        <w:rPr>
          <w:lang w:val="en-US"/>
        </w:rPr>
        <w:t xml:space="preserve"> </w:t>
      </w:r>
      <w:r w:rsidRPr="00051297">
        <w:rPr>
          <w:rFonts w:eastAsia="Calibri" w:cs="Times New Roman"/>
          <w:szCs w:val="24"/>
          <w:lang w:val="en-US"/>
        </w:rPr>
        <w:t>– Instantaneous slope stability under normal operating reservoir level</w:t>
      </w:r>
      <w:bookmarkEnd w:id="1680"/>
      <w:bookmarkEnd w:id="1681"/>
      <w:bookmarkEnd w:id="1682"/>
      <w:r w:rsidR="009330D7">
        <w:rPr>
          <w:rFonts w:eastAsia="Calibri" w:cs="Times New Roman"/>
          <w:szCs w:val="24"/>
          <w:lang w:val="en-US"/>
        </w:rPr>
        <w:t>: a) embankment with slip surface; b) graph of factor of safety values</w:t>
      </w:r>
      <w:bookmarkEnd w:id="1683"/>
    </w:p>
    <w:p w14:paraId="56965BC3"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lastRenderedPageBreak/>
        <w:t>Reduced reservoir</w:t>
      </w:r>
      <w:r w:rsidRPr="00051297">
        <w:rPr>
          <w:rFonts w:cs="Times New Roman"/>
          <w:szCs w:val="24"/>
        </w:rPr>
        <w:t xml:space="preserve"> </w:t>
      </w:r>
      <w:r w:rsidRPr="00051297">
        <w:rPr>
          <w:rFonts w:eastAsia="Calibri" w:cs="Times New Roman"/>
          <w:szCs w:val="24"/>
        </w:rPr>
        <w:t>operating level</w:t>
      </w:r>
    </w:p>
    <w:p w14:paraId="614B20C7" w14:textId="78681A1D"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 xml:space="preserve">The slope stability results are displayed in </w:t>
      </w:r>
      <w:r w:rsidRPr="00051297">
        <w:rPr>
          <w:rFonts w:eastAsia="Calibri" w:cs="Times New Roman"/>
          <w:szCs w:val="24"/>
          <w:lang w:val="en-US"/>
        </w:rPr>
        <w:fldChar w:fldCharType="begin"/>
      </w:r>
      <w:r w:rsidRPr="00051297">
        <w:rPr>
          <w:rFonts w:eastAsia="Calibri" w:cs="Times New Roman"/>
          <w:szCs w:val="24"/>
          <w:lang w:val="en-US"/>
        </w:rPr>
        <w:instrText xml:space="preserve"> REF _Ref98109761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84</w:t>
      </w:r>
      <w:r w:rsidRPr="00051297">
        <w:rPr>
          <w:rFonts w:eastAsia="Calibri" w:cs="Times New Roman"/>
          <w:szCs w:val="24"/>
          <w:lang w:val="en-US"/>
        </w:rPr>
        <w:fldChar w:fldCharType="end"/>
      </w:r>
      <w:r w:rsidRPr="00051297">
        <w:rPr>
          <w:rFonts w:eastAsia="Calibri" w:cs="Times New Roman"/>
          <w:szCs w:val="24"/>
          <w:lang w:val="en-US"/>
        </w:rPr>
        <w:t xml:space="preserve"> after the embankment was exposed to an instantaneous drawdown rate and reduced operational reservoir level. The instantaneous drawdown rate from the lowered operational water level resulted in a minimal factor of safety value of 2.318, which is roughly 28.9% lower than the 3.259 factor of safety value obtained from the combination of steady-state condition and reduced reservoir water operating level. The phenomenon proves further that there is a significant relationship between the loading condition and the state of slope stability of an embankment.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0D347DCE" w14:textId="77777777" w:rsidTr="00D20B01">
        <w:tc>
          <w:tcPr>
            <w:tcW w:w="9350" w:type="dxa"/>
          </w:tcPr>
          <w:p w14:paraId="169D27C3" w14:textId="32561EDD" w:rsidR="00051297" w:rsidRDefault="00162A2B" w:rsidP="00A44A2E">
            <w:pPr>
              <w:spacing w:line="240" w:lineRule="auto"/>
              <w:ind w:firstLine="0"/>
              <w:rPr>
                <w:noProof/>
                <w:szCs w:val="24"/>
              </w:rPr>
            </w:pPr>
            <w:r>
              <w:rPr>
                <w:noProof/>
              </w:rPr>
              <w:drawing>
                <wp:inline distT="0" distB="0" distL="0" distR="0" wp14:anchorId="3CCFA1FE" wp14:editId="1B210FA0">
                  <wp:extent cx="5939790" cy="1343660"/>
                  <wp:effectExtent l="0" t="0" r="3810" b="889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939790" cy="1343660"/>
                          </a:xfrm>
                          <a:prstGeom prst="rect">
                            <a:avLst/>
                          </a:prstGeom>
                          <a:noFill/>
                          <a:ln>
                            <a:noFill/>
                          </a:ln>
                        </pic:spPr>
                      </pic:pic>
                    </a:graphicData>
                  </a:graphic>
                </wp:inline>
              </w:drawing>
            </w:r>
          </w:p>
          <w:p w14:paraId="1A356370" w14:textId="38D22C38" w:rsidR="00162A2B" w:rsidRPr="00162A2B" w:rsidRDefault="00162A2B" w:rsidP="00162A2B">
            <w:pPr>
              <w:spacing w:line="240" w:lineRule="auto"/>
              <w:ind w:firstLine="0"/>
              <w:jc w:val="center"/>
              <w:rPr>
                <w:szCs w:val="24"/>
                <w:lang w:val="en-US"/>
              </w:rPr>
            </w:pPr>
            <w:r>
              <w:rPr>
                <w:noProof/>
                <w:szCs w:val="24"/>
                <w:lang w:val="en-US"/>
              </w:rPr>
              <w:t>(a)</w:t>
            </w:r>
          </w:p>
        </w:tc>
      </w:tr>
      <w:tr w:rsidR="00051297" w:rsidRPr="00051297" w14:paraId="566DB753" w14:textId="77777777" w:rsidTr="00D20B01">
        <w:tc>
          <w:tcPr>
            <w:tcW w:w="9350" w:type="dxa"/>
          </w:tcPr>
          <w:p w14:paraId="09F2CA5A" w14:textId="19FC059A" w:rsidR="00051297" w:rsidRDefault="00162A2B" w:rsidP="00A44A2E">
            <w:pPr>
              <w:keepNext/>
              <w:spacing w:line="240" w:lineRule="auto"/>
              <w:ind w:firstLine="0"/>
              <w:jc w:val="center"/>
              <w:rPr>
                <w:noProof/>
                <w:szCs w:val="24"/>
              </w:rPr>
            </w:pPr>
            <w:r w:rsidRPr="00162A2B">
              <w:rPr>
                <w:noProof/>
                <w:szCs w:val="24"/>
              </w:rPr>
              <w:drawing>
                <wp:inline distT="0" distB="0" distL="0" distR="0" wp14:anchorId="486710D3" wp14:editId="5E61271E">
                  <wp:extent cx="2347546" cy="3286564"/>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349073" cy="3288702"/>
                          </a:xfrm>
                          <a:prstGeom prst="rect">
                            <a:avLst/>
                          </a:prstGeom>
                          <a:noFill/>
                          <a:ln>
                            <a:noFill/>
                          </a:ln>
                        </pic:spPr>
                      </pic:pic>
                    </a:graphicData>
                  </a:graphic>
                </wp:inline>
              </w:drawing>
            </w:r>
          </w:p>
          <w:p w14:paraId="31CB1191" w14:textId="5A552FFD" w:rsidR="00162A2B" w:rsidRPr="00162A2B" w:rsidRDefault="00162A2B" w:rsidP="00A44A2E">
            <w:pPr>
              <w:keepNext/>
              <w:spacing w:line="240" w:lineRule="auto"/>
              <w:ind w:firstLine="0"/>
              <w:jc w:val="center"/>
              <w:rPr>
                <w:szCs w:val="24"/>
                <w:lang w:val="en-US"/>
              </w:rPr>
            </w:pPr>
            <w:r>
              <w:rPr>
                <w:noProof/>
                <w:szCs w:val="24"/>
                <w:lang w:val="en-US"/>
              </w:rPr>
              <w:t>(b)</w:t>
            </w:r>
          </w:p>
        </w:tc>
      </w:tr>
    </w:tbl>
    <w:p w14:paraId="0D1D35E1" w14:textId="7BE10F91" w:rsidR="009330D7" w:rsidRPr="00051297" w:rsidRDefault="00051297" w:rsidP="009330D7">
      <w:pPr>
        <w:tabs>
          <w:tab w:val="left" w:pos="993"/>
        </w:tabs>
        <w:ind w:firstLine="0"/>
        <w:jc w:val="center"/>
        <w:rPr>
          <w:rFonts w:eastAsia="Calibri" w:cs="Times New Roman"/>
          <w:szCs w:val="24"/>
          <w:lang w:val="en-US"/>
        </w:rPr>
      </w:pPr>
      <w:bookmarkStart w:id="1684" w:name="_Ref98109761"/>
      <w:bookmarkStart w:id="1685" w:name="_Toc97428343"/>
      <w:bookmarkStart w:id="1686" w:name="_Toc98086019"/>
      <w:bookmarkStart w:id="1687" w:name="_Toc103544217"/>
      <w:bookmarkStart w:id="1688" w:name="_Toc104985543"/>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84</w:t>
      </w:r>
      <w:r w:rsidR="00527861">
        <w:rPr>
          <w:rFonts w:eastAsia="Calibri" w:cs="Times New Roman"/>
          <w:szCs w:val="24"/>
          <w:lang w:val="en-US"/>
        </w:rPr>
        <w:fldChar w:fldCharType="end"/>
      </w:r>
      <w:bookmarkEnd w:id="1684"/>
      <w:r w:rsidRPr="00051297">
        <w:rPr>
          <w:lang w:val="en-US"/>
        </w:rPr>
        <w:t xml:space="preserve"> </w:t>
      </w:r>
      <w:r w:rsidRPr="00051297">
        <w:rPr>
          <w:rFonts w:eastAsia="Calibri" w:cs="Times New Roman"/>
          <w:szCs w:val="24"/>
          <w:lang w:val="en-US"/>
        </w:rPr>
        <w:t>– Instantaneous slope stability under reduced reservoir operating level</w:t>
      </w:r>
      <w:bookmarkEnd w:id="1685"/>
      <w:bookmarkEnd w:id="1686"/>
      <w:bookmarkEnd w:id="1687"/>
      <w:r w:rsidR="009330D7">
        <w:rPr>
          <w:rFonts w:eastAsia="Calibri" w:cs="Times New Roman"/>
          <w:szCs w:val="24"/>
          <w:lang w:val="en-US"/>
        </w:rPr>
        <w:t>:</w:t>
      </w:r>
      <w:r w:rsidR="009330D7" w:rsidRPr="009330D7">
        <w:rPr>
          <w:rFonts w:eastAsia="Calibri" w:cs="Times New Roman"/>
          <w:szCs w:val="24"/>
          <w:lang w:val="en-US"/>
        </w:rPr>
        <w:t xml:space="preserve"> </w:t>
      </w:r>
      <w:r w:rsidR="009330D7">
        <w:rPr>
          <w:rFonts w:eastAsia="Calibri" w:cs="Times New Roman"/>
          <w:szCs w:val="24"/>
          <w:lang w:val="en-US"/>
        </w:rPr>
        <w:t>a) embankment with slip surface; b) graph of factor of safety values</w:t>
      </w:r>
      <w:bookmarkEnd w:id="1688"/>
    </w:p>
    <w:p w14:paraId="4A1EC837" w14:textId="34A8BF8C" w:rsidR="00051297" w:rsidRPr="00051297" w:rsidRDefault="00051297" w:rsidP="00051297">
      <w:pPr>
        <w:tabs>
          <w:tab w:val="left" w:pos="993"/>
        </w:tabs>
        <w:ind w:firstLine="0"/>
        <w:jc w:val="center"/>
        <w:rPr>
          <w:rFonts w:eastAsia="Calibri" w:cs="Times New Roman"/>
          <w:szCs w:val="24"/>
          <w:lang w:val="en-US"/>
        </w:rPr>
      </w:pPr>
    </w:p>
    <w:p w14:paraId="19F3B063"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Reservoir</w:t>
      </w:r>
      <w:r w:rsidRPr="00051297">
        <w:rPr>
          <w:rFonts w:cs="Times New Roman"/>
          <w:szCs w:val="24"/>
        </w:rPr>
        <w:t xml:space="preserve"> </w:t>
      </w:r>
      <w:r w:rsidRPr="00051297">
        <w:rPr>
          <w:rFonts w:eastAsia="Calibri" w:cs="Times New Roman"/>
          <w:szCs w:val="24"/>
        </w:rPr>
        <w:t>operating at embankment height</w:t>
      </w:r>
    </w:p>
    <w:p w14:paraId="34C2879A" w14:textId="27EA3105"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_Ref98109778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rFonts w:eastAsia="Calibri" w:cs="Times New Roman"/>
          <w:szCs w:val="24"/>
          <w:lang w:val="en-US"/>
        </w:rPr>
        <w:t xml:space="preserve">Figure </w:t>
      </w:r>
      <w:r w:rsidR="004870F1">
        <w:rPr>
          <w:rFonts w:eastAsia="Calibri" w:cs="Times New Roman"/>
          <w:noProof/>
          <w:szCs w:val="24"/>
          <w:lang w:val="en-US"/>
        </w:rPr>
        <w:t>5</w:t>
      </w:r>
      <w:r w:rsidR="004870F1">
        <w:rPr>
          <w:rFonts w:eastAsia="Calibri" w:cs="Times New Roman"/>
          <w:szCs w:val="24"/>
          <w:lang w:val="en-US"/>
        </w:rPr>
        <w:t>.</w:t>
      </w:r>
      <w:r w:rsidR="004870F1">
        <w:rPr>
          <w:rFonts w:eastAsia="Calibri" w:cs="Times New Roman"/>
          <w:noProof/>
          <w:szCs w:val="24"/>
          <w:lang w:val="en-US"/>
        </w:rPr>
        <w:t>85</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an instantaneous drawdown rate and embankment height operating reservoir level. The combination of instantaneous drawdown and operating reservoir level embankment height generated a minimal factor of safety value of 0.612, as can be observed. Based on the minimum factor of safety value, </w:t>
      </w:r>
      <w:r w:rsidRPr="00051297">
        <w:rPr>
          <w:rFonts w:eastAsia="Calibri" w:cs="Times New Roman"/>
          <w:szCs w:val="24"/>
          <w:lang w:val="en-US"/>
        </w:rPr>
        <w:lastRenderedPageBreak/>
        <w:t>the embankment will surely fall fully after the drawdown. Furthermore, because a minimum factor of safety of 1.5 is always recommended to ensure that an embankment is safe against future failure, the returned minimal factor of safety is a symptom of total failure.</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107980EF" w14:textId="77777777" w:rsidTr="00D20B01">
        <w:tc>
          <w:tcPr>
            <w:tcW w:w="9350" w:type="dxa"/>
          </w:tcPr>
          <w:p w14:paraId="378C42B9" w14:textId="4F97B966" w:rsidR="00051297" w:rsidRDefault="002D02B8" w:rsidP="00A44A2E">
            <w:pPr>
              <w:spacing w:line="240" w:lineRule="auto"/>
              <w:ind w:firstLine="0"/>
              <w:rPr>
                <w:szCs w:val="24"/>
              </w:rPr>
            </w:pPr>
            <w:r>
              <w:rPr>
                <w:noProof/>
              </w:rPr>
              <w:drawing>
                <wp:inline distT="0" distB="0" distL="0" distR="0" wp14:anchorId="689A3A6A" wp14:editId="50269A5D">
                  <wp:extent cx="5939790" cy="1337945"/>
                  <wp:effectExtent l="0" t="0" r="381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39790" cy="1337945"/>
                          </a:xfrm>
                          <a:prstGeom prst="rect">
                            <a:avLst/>
                          </a:prstGeom>
                          <a:noFill/>
                          <a:ln>
                            <a:noFill/>
                          </a:ln>
                        </pic:spPr>
                      </pic:pic>
                    </a:graphicData>
                  </a:graphic>
                </wp:inline>
              </w:drawing>
            </w:r>
          </w:p>
          <w:p w14:paraId="25D8FD48" w14:textId="4DABDC10" w:rsidR="002D02B8" w:rsidRPr="002D02B8" w:rsidRDefault="002D02B8" w:rsidP="002D02B8">
            <w:pPr>
              <w:spacing w:line="240" w:lineRule="auto"/>
              <w:ind w:firstLine="0"/>
              <w:jc w:val="center"/>
              <w:rPr>
                <w:szCs w:val="24"/>
                <w:lang w:val="en-US"/>
              </w:rPr>
            </w:pPr>
            <w:r>
              <w:rPr>
                <w:szCs w:val="24"/>
                <w:lang w:val="en-US"/>
              </w:rPr>
              <w:t>(a)</w:t>
            </w:r>
          </w:p>
        </w:tc>
      </w:tr>
      <w:tr w:rsidR="00051297" w:rsidRPr="00051297" w14:paraId="5554EBB1" w14:textId="77777777" w:rsidTr="00D20B01">
        <w:tc>
          <w:tcPr>
            <w:tcW w:w="9350" w:type="dxa"/>
          </w:tcPr>
          <w:p w14:paraId="07DB52B9" w14:textId="31892F6B" w:rsidR="00051297" w:rsidRDefault="00CD749A" w:rsidP="00A44A2E">
            <w:pPr>
              <w:keepNext/>
              <w:spacing w:line="240" w:lineRule="auto"/>
              <w:ind w:firstLine="0"/>
              <w:jc w:val="center"/>
              <w:rPr>
                <w:noProof/>
              </w:rPr>
            </w:pPr>
            <w:r w:rsidRPr="00B52473">
              <w:rPr>
                <w:rFonts w:eastAsia="Times New Roman"/>
                <w:noProof/>
                <w:szCs w:val="24"/>
              </w:rPr>
              <mc:AlternateContent>
                <mc:Choice Requires="wps">
                  <w:drawing>
                    <wp:anchor distT="45720" distB="45720" distL="114300" distR="114300" simplePos="0" relativeHeight="251699200" behindDoc="0" locked="0" layoutInCell="1" allowOverlap="1" wp14:anchorId="738D71C8" wp14:editId="73FCD446">
                      <wp:simplePos x="0" y="0"/>
                      <wp:positionH relativeFrom="column">
                        <wp:posOffset>2287359</wp:posOffset>
                      </wp:positionH>
                      <wp:positionV relativeFrom="paragraph">
                        <wp:posOffset>1586209</wp:posOffset>
                      </wp:positionV>
                      <wp:extent cx="1586230" cy="793629"/>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230" cy="793629"/>
                              </a:xfrm>
                              <a:prstGeom prst="rect">
                                <a:avLst/>
                              </a:prstGeom>
                              <a:noFill/>
                              <a:ln w="9525">
                                <a:noFill/>
                                <a:miter lim="800000"/>
                                <a:headEnd/>
                                <a:tailEnd/>
                              </a:ln>
                            </wps:spPr>
                            <wps:txbx>
                              <w:txbxContent>
                                <w:p w14:paraId="2CC93408" w14:textId="77777777" w:rsidR="00CD749A" w:rsidRPr="00B52473" w:rsidRDefault="00CD749A" w:rsidP="00CD749A">
                                  <w:pPr>
                                    <w:ind w:firstLine="0"/>
                                    <w:jc w:val="center"/>
                                    <w:rPr>
                                      <w:lang w:val="en-US"/>
                                    </w:rPr>
                                  </w:pPr>
                                  <w:r>
                                    <w:rPr>
                                      <w:lang w:val="en-US"/>
                                    </w:rPr>
                                    <w:t>Hypothetical region after failure: Minimum FS = 0.901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8D71C8" id="_x0000_s1041" type="#_x0000_t202" style="position:absolute;left:0;text-align:left;margin-left:180.1pt;margin-top:124.9pt;width:124.9pt;height:62.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" filled="f" stroked="f">
                      <v:textbox>
                        <w:txbxContent>
                          <w:p w14:paraId="2CC93408" w14:textId="77777777" w:rsidR="00CD749A" w:rsidRPr="00B52473" w:rsidRDefault="00CD749A" w:rsidP="00CD749A">
                            <w:pPr>
                              <w:ind w:firstLine="0"/>
                              <w:jc w:val="center"/>
                              <w:rPr>
                                <w:lang w:val="en-US"/>
                              </w:rPr>
                            </w:pPr>
                            <w:r>
                              <w:rPr>
                                <w:lang w:val="en-US"/>
                              </w:rPr>
                              <w:t>Hypothetical region after failure: Minimum FS = 0.901</w:t>
                            </w:r>
                          </w:p>
                        </w:txbxContent>
                      </v:textbox>
                    </v:shape>
                  </w:pict>
                </mc:Fallback>
              </mc:AlternateContent>
            </w:r>
            <w:r>
              <w:rPr>
                <w:rFonts w:eastAsia="Times New Roman"/>
                <w:noProof/>
                <w:szCs w:val="24"/>
              </w:rPr>
              <mc:AlternateContent>
                <mc:Choice Requires="wps">
                  <w:drawing>
                    <wp:anchor distT="0" distB="0" distL="114300" distR="114300" simplePos="0" relativeHeight="251697152" behindDoc="0" locked="0" layoutInCell="1" allowOverlap="1" wp14:anchorId="331A2E4A" wp14:editId="45687040">
                      <wp:simplePos x="0" y="0"/>
                      <wp:positionH relativeFrom="column">
                        <wp:posOffset>2252620</wp:posOffset>
                      </wp:positionH>
                      <wp:positionV relativeFrom="paragraph">
                        <wp:posOffset>1411569</wp:posOffset>
                      </wp:positionV>
                      <wp:extent cx="1654074" cy="1003320"/>
                      <wp:effectExtent l="0" t="0" r="22860" b="25400"/>
                      <wp:wrapNone/>
                      <wp:docPr id="44" name="Rectangle 44"/>
                      <wp:cNvGraphicFramePr/>
                      <a:graphic xmlns:a="http://schemas.openxmlformats.org/drawingml/2006/main">
                        <a:graphicData uri="http://schemas.microsoft.com/office/word/2010/wordprocessingShape">
                          <wps:wsp>
                            <wps:cNvSpPr/>
                            <wps:spPr>
                              <a:xfrm>
                                <a:off x="0" y="0"/>
                                <a:ext cx="1654074" cy="10033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DD2622E" id="Rectangle 44" o:spid="_x0000_s1026" style="position:absolute;margin-left:177.35pt;margin-top:111.15pt;width:130.25pt;height:7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" filled="f" strokecolor="red" strokeweight="1pt"/>
                  </w:pict>
                </mc:Fallback>
              </mc:AlternateContent>
            </w:r>
            <w:r w:rsidR="002D02B8" w:rsidRPr="002D02B8">
              <w:rPr>
                <w:noProof/>
              </w:rPr>
              <w:drawing>
                <wp:inline distT="0" distB="0" distL="0" distR="0" wp14:anchorId="67C0097D" wp14:editId="52A7139A">
                  <wp:extent cx="2365130" cy="3311182"/>
                  <wp:effectExtent l="0" t="0" r="0" b="381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372482" cy="3321475"/>
                          </a:xfrm>
                          <a:prstGeom prst="rect">
                            <a:avLst/>
                          </a:prstGeom>
                          <a:noFill/>
                          <a:ln>
                            <a:noFill/>
                          </a:ln>
                        </pic:spPr>
                      </pic:pic>
                    </a:graphicData>
                  </a:graphic>
                </wp:inline>
              </w:drawing>
            </w:r>
          </w:p>
          <w:p w14:paraId="20541922" w14:textId="6BC31009" w:rsidR="002D02B8" w:rsidRPr="002D02B8" w:rsidRDefault="002D02B8" w:rsidP="00A44A2E">
            <w:pPr>
              <w:keepNext/>
              <w:spacing w:line="240" w:lineRule="auto"/>
              <w:ind w:firstLine="0"/>
              <w:jc w:val="center"/>
              <w:rPr>
                <w:szCs w:val="24"/>
                <w:lang w:val="en-US"/>
              </w:rPr>
            </w:pPr>
            <w:r>
              <w:rPr>
                <w:noProof/>
                <w:lang w:val="en-US"/>
              </w:rPr>
              <w:t>(b)</w:t>
            </w:r>
          </w:p>
        </w:tc>
      </w:tr>
    </w:tbl>
    <w:p w14:paraId="35E2C3F0" w14:textId="0D219905" w:rsidR="00051297" w:rsidRPr="00051297" w:rsidRDefault="00051297" w:rsidP="00C333EC">
      <w:pPr>
        <w:tabs>
          <w:tab w:val="left" w:pos="993"/>
        </w:tabs>
        <w:ind w:firstLine="0"/>
        <w:jc w:val="center"/>
        <w:rPr>
          <w:rFonts w:eastAsia="Calibri" w:cs="Times New Roman"/>
          <w:szCs w:val="24"/>
          <w:lang w:val="en-US"/>
        </w:rPr>
      </w:pPr>
      <w:bookmarkStart w:id="1689" w:name="_Ref98109778"/>
      <w:bookmarkStart w:id="1690" w:name="_Toc97428344"/>
      <w:bookmarkStart w:id="1691" w:name="_Toc98086020"/>
      <w:bookmarkStart w:id="1692" w:name="_Toc103544218"/>
      <w:bookmarkStart w:id="1693" w:name="_Toc104985544"/>
      <w:r w:rsidRPr="00051297">
        <w:rPr>
          <w:rFonts w:eastAsia="Calibri" w:cs="Times New Roman"/>
          <w:szCs w:val="24"/>
          <w:lang w:val="en-US"/>
        </w:rPr>
        <w:t xml:space="preserve">Figure </w:t>
      </w:r>
      <w:r w:rsidR="00527861">
        <w:rPr>
          <w:rFonts w:eastAsia="Calibri" w:cs="Times New Roman"/>
          <w:szCs w:val="24"/>
          <w:lang w:val="en-US"/>
        </w:rPr>
        <w:fldChar w:fldCharType="begin"/>
      </w:r>
      <w:r w:rsidR="00527861">
        <w:rPr>
          <w:rFonts w:eastAsia="Calibri" w:cs="Times New Roman"/>
          <w:szCs w:val="24"/>
          <w:lang w:val="en-US"/>
        </w:rPr>
        <w:instrText xml:space="preserve"> STYLEREF 1 \s </w:instrText>
      </w:r>
      <w:r w:rsidR="00527861">
        <w:rPr>
          <w:rFonts w:eastAsia="Calibri" w:cs="Times New Roman"/>
          <w:szCs w:val="24"/>
          <w:lang w:val="en-US"/>
        </w:rPr>
        <w:fldChar w:fldCharType="separate"/>
      </w:r>
      <w:r w:rsidR="004870F1">
        <w:rPr>
          <w:rFonts w:eastAsia="Calibri" w:cs="Times New Roman"/>
          <w:noProof/>
          <w:szCs w:val="24"/>
          <w:lang w:val="en-US"/>
        </w:rPr>
        <w:t>5</w:t>
      </w:r>
      <w:r w:rsidR="00527861">
        <w:rPr>
          <w:rFonts w:eastAsia="Calibri" w:cs="Times New Roman"/>
          <w:szCs w:val="24"/>
          <w:lang w:val="en-US"/>
        </w:rPr>
        <w:fldChar w:fldCharType="end"/>
      </w:r>
      <w:r w:rsidR="00527861">
        <w:rPr>
          <w:rFonts w:eastAsia="Calibri" w:cs="Times New Roman"/>
          <w:szCs w:val="24"/>
          <w:lang w:val="en-US"/>
        </w:rPr>
        <w:t>.</w:t>
      </w:r>
      <w:r w:rsidR="00527861">
        <w:rPr>
          <w:rFonts w:eastAsia="Calibri" w:cs="Times New Roman"/>
          <w:szCs w:val="24"/>
          <w:lang w:val="en-US"/>
        </w:rPr>
        <w:fldChar w:fldCharType="begin"/>
      </w:r>
      <w:r w:rsidR="00527861">
        <w:rPr>
          <w:rFonts w:eastAsia="Calibri" w:cs="Times New Roman"/>
          <w:szCs w:val="24"/>
          <w:lang w:val="en-US"/>
        </w:rPr>
        <w:instrText xml:space="preserve"> SEQ Figure \* ARABIC \s 1 </w:instrText>
      </w:r>
      <w:r w:rsidR="00527861">
        <w:rPr>
          <w:rFonts w:eastAsia="Calibri" w:cs="Times New Roman"/>
          <w:szCs w:val="24"/>
          <w:lang w:val="en-US"/>
        </w:rPr>
        <w:fldChar w:fldCharType="separate"/>
      </w:r>
      <w:r w:rsidR="004870F1">
        <w:rPr>
          <w:rFonts w:eastAsia="Calibri" w:cs="Times New Roman"/>
          <w:noProof/>
          <w:szCs w:val="24"/>
          <w:lang w:val="en-US"/>
        </w:rPr>
        <w:t>85</w:t>
      </w:r>
      <w:r w:rsidR="00527861">
        <w:rPr>
          <w:rFonts w:eastAsia="Calibri" w:cs="Times New Roman"/>
          <w:szCs w:val="24"/>
          <w:lang w:val="en-US"/>
        </w:rPr>
        <w:fldChar w:fldCharType="end"/>
      </w:r>
      <w:bookmarkEnd w:id="1689"/>
      <w:r w:rsidRPr="00051297">
        <w:rPr>
          <w:lang w:val="en-US"/>
        </w:rPr>
        <w:t xml:space="preserve"> </w:t>
      </w:r>
      <w:r w:rsidRPr="00051297">
        <w:rPr>
          <w:rFonts w:eastAsia="Calibri" w:cs="Times New Roman"/>
          <w:szCs w:val="24"/>
          <w:lang w:val="en-US"/>
        </w:rPr>
        <w:t>– Instantaneous slope stability under embankment height operating level</w:t>
      </w:r>
      <w:bookmarkEnd w:id="1690"/>
      <w:bookmarkEnd w:id="1691"/>
      <w:bookmarkEnd w:id="1692"/>
      <w:r w:rsidR="00C333EC">
        <w:rPr>
          <w:rFonts w:eastAsia="Calibri" w:cs="Times New Roman"/>
          <w:szCs w:val="24"/>
          <w:lang w:val="en-US"/>
        </w:rPr>
        <w:t>:</w:t>
      </w:r>
      <w:r w:rsidR="00C333EC" w:rsidRPr="009330D7">
        <w:rPr>
          <w:rFonts w:eastAsia="Calibri" w:cs="Times New Roman"/>
          <w:szCs w:val="24"/>
          <w:lang w:val="en-US"/>
        </w:rPr>
        <w:t xml:space="preserve"> </w:t>
      </w:r>
      <w:r w:rsidR="00C333EC">
        <w:rPr>
          <w:rFonts w:eastAsia="Calibri" w:cs="Times New Roman"/>
          <w:szCs w:val="24"/>
          <w:lang w:val="en-US"/>
        </w:rPr>
        <w:t>a) embankment with slip surface; b) graph of factor of safety values</w:t>
      </w:r>
      <w:bookmarkEnd w:id="1693"/>
    </w:p>
    <w:p w14:paraId="57839179" w14:textId="77777777" w:rsidR="00051297" w:rsidRPr="00051297" w:rsidRDefault="00051297" w:rsidP="00051297">
      <w:pPr>
        <w:numPr>
          <w:ilvl w:val="0"/>
          <w:numId w:val="30"/>
        </w:numPr>
        <w:tabs>
          <w:tab w:val="left" w:pos="993"/>
        </w:tabs>
        <w:ind w:left="0" w:firstLine="709"/>
        <w:contextualSpacing/>
        <w:rPr>
          <w:rFonts w:eastAsia="Calibri" w:cs="Times New Roman"/>
          <w:szCs w:val="24"/>
          <w:lang w:val="en-US"/>
        </w:rPr>
      </w:pPr>
      <w:r w:rsidRPr="00051297">
        <w:rPr>
          <w:rFonts w:eastAsia="Calibri" w:cs="Times New Roman"/>
          <w:szCs w:val="24"/>
          <w:lang w:val="en-US"/>
        </w:rPr>
        <w:t>Reservoir operating under overflow condition</w:t>
      </w:r>
    </w:p>
    <w:p w14:paraId="6D70AD24" w14:textId="587058E9"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_Ref98109797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86</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an instantaneous drawdown rate and overflow operating reservoir level.</w:t>
      </w:r>
      <w:r w:rsidRPr="00051297">
        <w:rPr>
          <w:rFonts w:cs="Times New Roman"/>
          <w:szCs w:val="24"/>
          <w:lang w:val="en-US"/>
        </w:rPr>
        <w:t xml:space="preserve"> </w:t>
      </w:r>
      <w:r w:rsidRPr="00051297">
        <w:rPr>
          <w:rFonts w:eastAsia="Calibri" w:cs="Times New Roman"/>
          <w:szCs w:val="24"/>
          <w:lang w:val="en-US"/>
        </w:rPr>
        <w:t>The combination of instantaneous drawdown and reservoir operating under overflow conditions generated a minimal factor of safety value of 0.56, as can be observed. Based on the minimum factor of safety value, the embankment will surely fall fully after the drawdown. Furthermore, because a minimum factor of safety of 1.5 is always recommended to ensure that an embankment is safe against probable failure, the retrieved minimal factor of safety is a signal of total failure; whereby it is 8.5% less than the minimum factor of safety obtained from the reservoir operating at the embankment height.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580FAEB4" w14:textId="77777777" w:rsidTr="00D20B01">
        <w:tc>
          <w:tcPr>
            <w:tcW w:w="9350" w:type="dxa"/>
          </w:tcPr>
          <w:p w14:paraId="3622DC7F" w14:textId="4C0713E8" w:rsidR="00051297" w:rsidRDefault="003214C2" w:rsidP="001E2AC7">
            <w:pPr>
              <w:spacing w:line="240" w:lineRule="auto"/>
              <w:ind w:firstLine="0"/>
              <w:rPr>
                <w:noProof/>
                <w:szCs w:val="24"/>
              </w:rPr>
            </w:pPr>
            <w:r>
              <w:rPr>
                <w:noProof/>
              </w:rPr>
              <w:lastRenderedPageBreak/>
              <w:drawing>
                <wp:inline distT="0" distB="0" distL="0" distR="0" wp14:anchorId="55985C57" wp14:editId="6EA7D84E">
                  <wp:extent cx="5939790" cy="1360805"/>
                  <wp:effectExtent l="0" t="0" r="381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939790" cy="1360805"/>
                          </a:xfrm>
                          <a:prstGeom prst="rect">
                            <a:avLst/>
                          </a:prstGeom>
                          <a:noFill/>
                          <a:ln>
                            <a:noFill/>
                          </a:ln>
                        </pic:spPr>
                      </pic:pic>
                    </a:graphicData>
                  </a:graphic>
                </wp:inline>
              </w:drawing>
            </w:r>
          </w:p>
          <w:p w14:paraId="16AF2448" w14:textId="3604CD64" w:rsidR="003214C2" w:rsidRPr="003214C2" w:rsidRDefault="003214C2" w:rsidP="001E2AC7">
            <w:pPr>
              <w:spacing w:line="240" w:lineRule="auto"/>
              <w:ind w:firstLine="0"/>
              <w:jc w:val="center"/>
              <w:rPr>
                <w:szCs w:val="24"/>
                <w:lang w:val="en-US"/>
              </w:rPr>
            </w:pPr>
            <w:r>
              <w:rPr>
                <w:noProof/>
                <w:szCs w:val="24"/>
                <w:lang w:val="en-US"/>
              </w:rPr>
              <w:t>(a)</w:t>
            </w:r>
          </w:p>
        </w:tc>
      </w:tr>
      <w:tr w:rsidR="00051297" w:rsidRPr="00051297" w14:paraId="6D28FCA5" w14:textId="77777777" w:rsidTr="00D20B01">
        <w:tc>
          <w:tcPr>
            <w:tcW w:w="9350" w:type="dxa"/>
          </w:tcPr>
          <w:p w14:paraId="6CAE1358" w14:textId="582801BF" w:rsidR="00051297" w:rsidRPr="00051297" w:rsidRDefault="00BA4A6B" w:rsidP="001E2AC7">
            <w:pPr>
              <w:keepNext/>
              <w:spacing w:line="240" w:lineRule="auto"/>
              <w:ind w:firstLine="0"/>
              <w:jc w:val="center"/>
              <w:rPr>
                <w:szCs w:val="24"/>
              </w:rPr>
            </w:pPr>
            <w:r>
              <w:rPr>
                <w:rFonts w:eastAsia="Times New Roman"/>
                <w:noProof/>
                <w:szCs w:val="24"/>
              </w:rPr>
              <mc:AlternateContent>
                <mc:Choice Requires="wps">
                  <w:drawing>
                    <wp:anchor distT="0" distB="0" distL="114300" distR="114300" simplePos="0" relativeHeight="251701248" behindDoc="0" locked="0" layoutInCell="1" allowOverlap="1" wp14:anchorId="52BCBDED" wp14:editId="38220E9D">
                      <wp:simplePos x="0" y="0"/>
                      <wp:positionH relativeFrom="column">
                        <wp:posOffset>2115416</wp:posOffset>
                      </wp:positionH>
                      <wp:positionV relativeFrom="paragraph">
                        <wp:posOffset>1729394</wp:posOffset>
                      </wp:positionV>
                      <wp:extent cx="2012026" cy="1213658"/>
                      <wp:effectExtent l="0" t="0" r="26670" b="24765"/>
                      <wp:wrapNone/>
                      <wp:docPr id="47" name="Rectangle 47"/>
                      <wp:cNvGraphicFramePr/>
                      <a:graphic xmlns:a="http://schemas.openxmlformats.org/drawingml/2006/main">
                        <a:graphicData uri="http://schemas.microsoft.com/office/word/2010/wordprocessingShape">
                          <wps:wsp>
                            <wps:cNvSpPr/>
                            <wps:spPr>
                              <a:xfrm>
                                <a:off x="0" y="0"/>
                                <a:ext cx="2012026" cy="121365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8872484" id="Rectangle 47" o:spid="_x0000_s1026" style="position:absolute;margin-left:166.55pt;margin-top:136.15pt;width:158.45pt;height:95.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" filled="f" strokecolor="red" strokeweight="1pt"/>
                  </w:pict>
                </mc:Fallback>
              </mc:AlternateContent>
            </w:r>
            <w:r w:rsidRPr="00B52473">
              <w:rPr>
                <w:rFonts w:eastAsia="Times New Roman"/>
                <w:noProof/>
                <w:szCs w:val="24"/>
              </w:rPr>
              <mc:AlternateContent>
                <mc:Choice Requires="wps">
                  <w:drawing>
                    <wp:anchor distT="45720" distB="45720" distL="114300" distR="114300" simplePos="0" relativeHeight="251702272" behindDoc="0" locked="0" layoutInCell="1" allowOverlap="1" wp14:anchorId="7B2D0CA4" wp14:editId="0D9774A1">
                      <wp:simplePos x="0" y="0"/>
                      <wp:positionH relativeFrom="column">
                        <wp:posOffset>2204720</wp:posOffset>
                      </wp:positionH>
                      <wp:positionV relativeFrom="paragraph">
                        <wp:posOffset>2065655</wp:posOffset>
                      </wp:positionV>
                      <wp:extent cx="1586230" cy="793629"/>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230" cy="793629"/>
                              </a:xfrm>
                              <a:prstGeom prst="rect">
                                <a:avLst/>
                              </a:prstGeom>
                              <a:noFill/>
                              <a:ln w="9525">
                                <a:noFill/>
                                <a:miter lim="800000"/>
                                <a:headEnd/>
                                <a:tailEnd/>
                              </a:ln>
                            </wps:spPr>
                            <wps:txbx>
                              <w:txbxContent>
                                <w:p w14:paraId="61223497" w14:textId="6B7467DE" w:rsidR="00BA4A6B" w:rsidRPr="00B52473" w:rsidRDefault="00BA4A6B" w:rsidP="00BA4A6B">
                                  <w:pPr>
                                    <w:ind w:firstLine="0"/>
                                    <w:jc w:val="center"/>
                                    <w:rPr>
                                      <w:lang w:val="en-US"/>
                                    </w:rPr>
                                  </w:pPr>
                                  <w:r>
                                    <w:rPr>
                                      <w:lang w:val="en-US"/>
                                    </w:rPr>
                                    <w:t>Hypothetical region after failure: Minimum FS = 0.56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D0CA4" id="_x0000_s1042" type="#_x0000_t202" style="position:absolute;left:0;text-align:left;margin-left:173.6pt;margin-top:162.65pt;width:124.9pt;height:62.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" filled="f" stroked="f">
                      <v:textbox>
                        <w:txbxContent>
                          <w:p w14:paraId="61223497" w14:textId="6B7467DE" w:rsidR="00BA4A6B" w:rsidRPr="00B52473" w:rsidRDefault="00BA4A6B" w:rsidP="00BA4A6B">
                            <w:pPr>
                              <w:ind w:firstLine="0"/>
                              <w:jc w:val="center"/>
                              <w:rPr>
                                <w:lang w:val="en-US"/>
                              </w:rPr>
                            </w:pPr>
                            <w:r>
                              <w:rPr>
                                <w:lang w:val="en-US"/>
                              </w:rPr>
                              <w:t>Hypothetical region after failure: Minimum FS = 0.56</w:t>
                            </w:r>
                          </w:p>
                        </w:txbxContent>
                      </v:textbox>
                    </v:shape>
                  </w:pict>
                </mc:Fallback>
              </mc:AlternateContent>
            </w:r>
            <w:r w:rsidR="003214C2" w:rsidRPr="003214C2">
              <w:rPr>
                <w:noProof/>
                <w:szCs w:val="24"/>
              </w:rPr>
              <w:drawing>
                <wp:inline distT="0" distB="0" distL="0" distR="0" wp14:anchorId="60DBFAE5" wp14:editId="6EEF2CD0">
                  <wp:extent cx="2883877" cy="4037428"/>
                  <wp:effectExtent l="0" t="0" r="0" b="127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883877" cy="4037428"/>
                          </a:xfrm>
                          <a:prstGeom prst="rect">
                            <a:avLst/>
                          </a:prstGeom>
                          <a:noFill/>
                          <a:ln>
                            <a:noFill/>
                          </a:ln>
                        </pic:spPr>
                      </pic:pic>
                    </a:graphicData>
                  </a:graphic>
                </wp:inline>
              </w:drawing>
            </w:r>
          </w:p>
        </w:tc>
      </w:tr>
    </w:tbl>
    <w:p w14:paraId="58713283" w14:textId="62559716" w:rsidR="00051297" w:rsidRPr="00C333EC" w:rsidRDefault="00051297" w:rsidP="00C333EC">
      <w:pPr>
        <w:tabs>
          <w:tab w:val="left" w:pos="993"/>
        </w:tabs>
        <w:ind w:firstLine="0"/>
        <w:jc w:val="center"/>
        <w:rPr>
          <w:rFonts w:eastAsia="Calibri" w:cs="Times New Roman"/>
          <w:szCs w:val="24"/>
          <w:lang w:val="en-US"/>
        </w:rPr>
      </w:pPr>
      <w:bookmarkStart w:id="1694" w:name="_Ref98109797"/>
      <w:bookmarkStart w:id="1695" w:name="_Toc97428345"/>
      <w:bookmarkStart w:id="1696" w:name="_Toc98086021"/>
      <w:bookmarkStart w:id="1697" w:name="_Toc103544219"/>
      <w:bookmarkStart w:id="1698" w:name="_Toc104985545"/>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86</w:t>
      </w:r>
      <w:r w:rsidR="00527861">
        <w:rPr>
          <w:lang w:val="en-US"/>
        </w:rPr>
        <w:fldChar w:fldCharType="end"/>
      </w:r>
      <w:bookmarkEnd w:id="1694"/>
      <w:r w:rsidRPr="00051297">
        <w:rPr>
          <w:lang w:val="en-US"/>
        </w:rPr>
        <w:t xml:space="preserve"> – Instantaneous slope stability under overflow level</w:t>
      </w:r>
      <w:bookmarkEnd w:id="1695"/>
      <w:bookmarkEnd w:id="1696"/>
      <w:bookmarkEnd w:id="1697"/>
      <w:r w:rsidR="00C333EC">
        <w:rPr>
          <w:rFonts w:eastAsia="Calibri" w:cs="Times New Roman"/>
          <w:szCs w:val="24"/>
          <w:lang w:val="en-US"/>
        </w:rPr>
        <w:t>:</w:t>
      </w:r>
      <w:r w:rsidR="00C333EC" w:rsidRPr="009330D7">
        <w:rPr>
          <w:rFonts w:eastAsia="Calibri" w:cs="Times New Roman"/>
          <w:szCs w:val="24"/>
          <w:lang w:val="en-US"/>
        </w:rPr>
        <w:t xml:space="preserve"> </w:t>
      </w:r>
      <w:r w:rsidR="00C333EC">
        <w:rPr>
          <w:rFonts w:eastAsia="Calibri" w:cs="Times New Roman"/>
          <w:szCs w:val="24"/>
          <w:lang w:val="en-US"/>
        </w:rPr>
        <w:t>a) embankment with slip surface; b) graph of factor of safety values</w:t>
      </w:r>
      <w:bookmarkEnd w:id="1698"/>
    </w:p>
    <w:p w14:paraId="09ABAD13" w14:textId="5C1C48B7" w:rsidR="00051297" w:rsidRPr="00051297" w:rsidRDefault="00051297" w:rsidP="00A44A2E">
      <w:pPr>
        <w:pStyle w:val="5"/>
        <w:rPr>
          <w:rFonts w:eastAsia="Calibri"/>
          <w:lang w:val="en-US"/>
        </w:rPr>
      </w:pPr>
      <w:bookmarkStart w:id="1699" w:name="_Toc103544046"/>
      <w:bookmarkStart w:id="1700" w:name="_Toc104985371"/>
      <w:r w:rsidRPr="00051297">
        <w:rPr>
          <w:rFonts w:eastAsia="Calibri"/>
          <w:lang w:val="en-US"/>
        </w:rPr>
        <w:t>Rapid drawdown (5 days)</w:t>
      </w:r>
      <w:bookmarkEnd w:id="1699"/>
      <w:bookmarkEnd w:id="1700"/>
    </w:p>
    <w:p w14:paraId="1A1B7172" w14:textId="77777777"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Moreover, the embankment was subjected to a five (5) days drawdown rate which is a slight reduction of drawdown compared to the instantaneous one. Also, the analysis of slope stability under five (5) days' drawdown was then subjected to different water levels.</w:t>
      </w:r>
    </w:p>
    <w:p w14:paraId="29DBD717"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The normal operating reservoir level</w:t>
      </w:r>
    </w:p>
    <w:p w14:paraId="71D75B6E" w14:textId="57C7578A"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_Ref98109819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87</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5 days drawdown rate and normal operating reservoir level. The combination of a five (5) day drawdown rate and the usual operational reservoir level resulted in a minimal factor of safety value of 1.876, as shown in the figure. The factor of safety value recovered from the 5 days rapid drawdown rate under normal operating reservoir level is around 47.54 % lower than the factor of safety value obtained from the long-term steady-state condition under normal operating reservoir level.</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16438C60" w14:textId="77777777" w:rsidTr="00D20B01">
        <w:tc>
          <w:tcPr>
            <w:tcW w:w="9350" w:type="dxa"/>
          </w:tcPr>
          <w:p w14:paraId="4BF1E3D1" w14:textId="2F8173C6" w:rsidR="00051297" w:rsidRDefault="00832E42" w:rsidP="00A44A2E">
            <w:pPr>
              <w:spacing w:line="240" w:lineRule="auto"/>
              <w:ind w:firstLine="0"/>
              <w:rPr>
                <w:noProof/>
                <w:szCs w:val="24"/>
              </w:rPr>
            </w:pPr>
            <w:r>
              <w:rPr>
                <w:noProof/>
              </w:rPr>
              <w:lastRenderedPageBreak/>
              <w:drawing>
                <wp:inline distT="0" distB="0" distL="0" distR="0" wp14:anchorId="7AB36D66" wp14:editId="7963DA07">
                  <wp:extent cx="5939790" cy="1346835"/>
                  <wp:effectExtent l="0" t="0" r="3810" b="571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39790" cy="1346835"/>
                          </a:xfrm>
                          <a:prstGeom prst="rect">
                            <a:avLst/>
                          </a:prstGeom>
                          <a:noFill/>
                          <a:ln>
                            <a:noFill/>
                          </a:ln>
                        </pic:spPr>
                      </pic:pic>
                    </a:graphicData>
                  </a:graphic>
                </wp:inline>
              </w:drawing>
            </w:r>
          </w:p>
          <w:p w14:paraId="6DDB6F23" w14:textId="620B9E4B" w:rsidR="00832E42" w:rsidRPr="00832E42" w:rsidRDefault="00832E42" w:rsidP="00832E42">
            <w:pPr>
              <w:spacing w:line="240" w:lineRule="auto"/>
              <w:ind w:firstLine="0"/>
              <w:jc w:val="center"/>
              <w:rPr>
                <w:szCs w:val="24"/>
                <w:lang w:val="en-US"/>
              </w:rPr>
            </w:pPr>
            <w:r>
              <w:rPr>
                <w:noProof/>
                <w:szCs w:val="24"/>
                <w:lang w:val="en-US"/>
              </w:rPr>
              <w:t>(a)</w:t>
            </w:r>
          </w:p>
        </w:tc>
      </w:tr>
      <w:tr w:rsidR="00051297" w:rsidRPr="00051297" w14:paraId="4899E159" w14:textId="77777777" w:rsidTr="00D20B01">
        <w:tc>
          <w:tcPr>
            <w:tcW w:w="9350" w:type="dxa"/>
          </w:tcPr>
          <w:p w14:paraId="200DDAA9" w14:textId="6550A4C3" w:rsidR="00051297" w:rsidRDefault="00832E42" w:rsidP="00A44A2E">
            <w:pPr>
              <w:keepNext/>
              <w:spacing w:line="240" w:lineRule="auto"/>
              <w:ind w:firstLine="0"/>
              <w:jc w:val="center"/>
              <w:rPr>
                <w:noProof/>
                <w:szCs w:val="24"/>
              </w:rPr>
            </w:pPr>
            <w:r w:rsidRPr="00832E42">
              <w:rPr>
                <w:noProof/>
                <w:szCs w:val="24"/>
              </w:rPr>
              <w:drawing>
                <wp:inline distT="0" distB="0" distL="0" distR="0" wp14:anchorId="15C47D4A" wp14:editId="6B0FABD0">
                  <wp:extent cx="2981476" cy="4174066"/>
                  <wp:effectExtent l="0" t="0" r="9525"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998819" cy="4198346"/>
                          </a:xfrm>
                          <a:prstGeom prst="rect">
                            <a:avLst/>
                          </a:prstGeom>
                          <a:noFill/>
                          <a:ln>
                            <a:noFill/>
                          </a:ln>
                        </pic:spPr>
                      </pic:pic>
                    </a:graphicData>
                  </a:graphic>
                </wp:inline>
              </w:drawing>
            </w:r>
          </w:p>
          <w:p w14:paraId="386CFFB0" w14:textId="6C9697A4" w:rsidR="00832E42" w:rsidRPr="00832E42" w:rsidRDefault="00832E42" w:rsidP="00A44A2E">
            <w:pPr>
              <w:keepNext/>
              <w:spacing w:line="240" w:lineRule="auto"/>
              <w:ind w:firstLine="0"/>
              <w:jc w:val="center"/>
              <w:rPr>
                <w:szCs w:val="24"/>
                <w:lang w:val="en-US"/>
              </w:rPr>
            </w:pPr>
            <w:r>
              <w:rPr>
                <w:noProof/>
                <w:szCs w:val="24"/>
                <w:lang w:val="en-US"/>
              </w:rPr>
              <w:t>(b)</w:t>
            </w:r>
          </w:p>
        </w:tc>
      </w:tr>
    </w:tbl>
    <w:p w14:paraId="5266E813" w14:textId="6589DECD" w:rsidR="00051297" w:rsidRPr="00C333EC" w:rsidRDefault="00051297" w:rsidP="00C333EC">
      <w:pPr>
        <w:tabs>
          <w:tab w:val="left" w:pos="993"/>
        </w:tabs>
        <w:ind w:firstLine="0"/>
        <w:jc w:val="center"/>
        <w:rPr>
          <w:rFonts w:eastAsia="Calibri" w:cs="Times New Roman"/>
          <w:szCs w:val="24"/>
          <w:lang w:val="en-US"/>
        </w:rPr>
      </w:pPr>
      <w:bookmarkStart w:id="1701" w:name="_Ref98109819"/>
      <w:bookmarkStart w:id="1702" w:name="_Toc97428346"/>
      <w:bookmarkStart w:id="1703" w:name="_Toc98086022"/>
      <w:bookmarkStart w:id="1704" w:name="_Toc103544220"/>
      <w:bookmarkStart w:id="1705" w:name="_Toc104985546"/>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87</w:t>
      </w:r>
      <w:r w:rsidR="00527861">
        <w:rPr>
          <w:lang w:val="en-US"/>
        </w:rPr>
        <w:fldChar w:fldCharType="end"/>
      </w:r>
      <w:bookmarkEnd w:id="1701"/>
      <w:r w:rsidRPr="00051297">
        <w:rPr>
          <w:lang w:val="en-US"/>
        </w:rPr>
        <w:t xml:space="preserve"> – Rapid drawdown (5 days) slope stability under normal operating reservoir level</w:t>
      </w:r>
      <w:bookmarkEnd w:id="1702"/>
      <w:bookmarkEnd w:id="1703"/>
      <w:bookmarkEnd w:id="1704"/>
      <w:r w:rsidR="00C333EC">
        <w:rPr>
          <w:rFonts w:eastAsia="Calibri" w:cs="Times New Roman"/>
          <w:szCs w:val="24"/>
          <w:lang w:val="en-US"/>
        </w:rPr>
        <w:t>:</w:t>
      </w:r>
      <w:r w:rsidR="00C333EC" w:rsidRPr="009330D7">
        <w:rPr>
          <w:rFonts w:eastAsia="Calibri" w:cs="Times New Roman"/>
          <w:szCs w:val="24"/>
          <w:lang w:val="en-US"/>
        </w:rPr>
        <w:t xml:space="preserve"> </w:t>
      </w:r>
      <w:r w:rsidR="00C333EC">
        <w:rPr>
          <w:rFonts w:eastAsia="Calibri" w:cs="Times New Roman"/>
          <w:szCs w:val="24"/>
          <w:lang w:val="en-US"/>
        </w:rPr>
        <w:t>a) embankment with slip surface; b) graph of factor of safety values</w:t>
      </w:r>
      <w:bookmarkEnd w:id="1705"/>
    </w:p>
    <w:p w14:paraId="50E20B73"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Reduced reservoir</w:t>
      </w:r>
      <w:r w:rsidRPr="00051297">
        <w:rPr>
          <w:rFonts w:cs="Times New Roman"/>
          <w:szCs w:val="24"/>
        </w:rPr>
        <w:t xml:space="preserve"> </w:t>
      </w:r>
      <w:r w:rsidRPr="00051297">
        <w:rPr>
          <w:rFonts w:eastAsia="Calibri" w:cs="Times New Roman"/>
          <w:szCs w:val="24"/>
        </w:rPr>
        <w:t>operating level</w:t>
      </w:r>
    </w:p>
    <w:p w14:paraId="0ADE1FDC" w14:textId="33F3EA83"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_Ref98109845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88</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5 days drawdown rate and reduced operating reservoir level.</w:t>
      </w:r>
      <w:r w:rsidRPr="00051297">
        <w:rPr>
          <w:rFonts w:cs="Times New Roman"/>
          <w:szCs w:val="24"/>
          <w:lang w:val="en-US"/>
        </w:rPr>
        <w:t xml:space="preserve"> </w:t>
      </w:r>
      <w:r w:rsidRPr="00051297">
        <w:rPr>
          <w:rFonts w:eastAsia="Calibri" w:cs="Times New Roman"/>
          <w:szCs w:val="24"/>
          <w:lang w:val="en-US"/>
        </w:rPr>
        <w:t>The minimum factor of safety value obtained from the combination of five (5) days drawdown rate and reduced reservoir water operating level was 2.</w:t>
      </w:r>
      <w:r w:rsidR="00832E42">
        <w:rPr>
          <w:rFonts w:eastAsia="Calibri" w:cs="Times New Roman"/>
          <w:szCs w:val="24"/>
          <w:lang w:val="en-US"/>
        </w:rPr>
        <w:t>497</w:t>
      </w:r>
      <w:r w:rsidRPr="00051297">
        <w:rPr>
          <w:rFonts w:eastAsia="Calibri" w:cs="Times New Roman"/>
          <w:szCs w:val="24"/>
          <w:lang w:val="en-US"/>
        </w:rPr>
        <w:t>, which is roughly 2</w:t>
      </w:r>
      <w:r w:rsidR="00832E42">
        <w:rPr>
          <w:rFonts w:eastAsia="Calibri" w:cs="Times New Roman"/>
          <w:szCs w:val="24"/>
          <w:lang w:val="en-US"/>
        </w:rPr>
        <w:t>3</w:t>
      </w:r>
      <w:r w:rsidRPr="00051297">
        <w:rPr>
          <w:rFonts w:eastAsia="Calibri" w:cs="Times New Roman"/>
          <w:szCs w:val="24"/>
          <w:lang w:val="en-US"/>
        </w:rPr>
        <w:t>.</w:t>
      </w:r>
      <w:r w:rsidR="00832E42">
        <w:rPr>
          <w:rFonts w:eastAsia="Calibri" w:cs="Times New Roman"/>
          <w:szCs w:val="24"/>
          <w:lang w:val="en-US"/>
        </w:rPr>
        <w:t>4</w:t>
      </w:r>
      <w:r w:rsidRPr="00051297">
        <w:rPr>
          <w:rFonts w:eastAsia="Calibri" w:cs="Times New Roman"/>
          <w:szCs w:val="24"/>
          <w:lang w:val="en-US"/>
        </w:rPr>
        <w:t>% lower than the 3.259 factor of safety value obtained from the combination of steady-state condition and reduced reservoir water operating level. The phenomena further demonstrate that there is a link between the loading situation and the state of an embankment's slope stability.</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688F6E87" w14:textId="77777777" w:rsidTr="00D20B01">
        <w:tc>
          <w:tcPr>
            <w:tcW w:w="9350" w:type="dxa"/>
          </w:tcPr>
          <w:p w14:paraId="24251076" w14:textId="4433BBF9" w:rsidR="00051297" w:rsidRDefault="00832E42" w:rsidP="001E2AC7">
            <w:pPr>
              <w:ind w:firstLine="0"/>
              <w:jc w:val="center"/>
              <w:rPr>
                <w:noProof/>
                <w:szCs w:val="24"/>
              </w:rPr>
            </w:pPr>
            <w:r>
              <w:rPr>
                <w:noProof/>
              </w:rPr>
              <w:lastRenderedPageBreak/>
              <w:drawing>
                <wp:inline distT="0" distB="0" distL="0" distR="0" wp14:anchorId="11E9D683" wp14:editId="2EF73EA7">
                  <wp:extent cx="5864470" cy="1339161"/>
                  <wp:effectExtent l="0" t="0" r="3175"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876584" cy="1341927"/>
                          </a:xfrm>
                          <a:prstGeom prst="rect">
                            <a:avLst/>
                          </a:prstGeom>
                          <a:noFill/>
                          <a:ln>
                            <a:noFill/>
                          </a:ln>
                        </pic:spPr>
                      </pic:pic>
                    </a:graphicData>
                  </a:graphic>
                </wp:inline>
              </w:drawing>
            </w:r>
          </w:p>
          <w:p w14:paraId="0678EFAD" w14:textId="448D0F44" w:rsidR="00832E42" w:rsidRPr="00832E42" w:rsidRDefault="00832E42" w:rsidP="001E2AC7">
            <w:pPr>
              <w:ind w:firstLine="0"/>
              <w:jc w:val="center"/>
              <w:rPr>
                <w:szCs w:val="24"/>
                <w:lang w:val="en-US"/>
              </w:rPr>
            </w:pPr>
            <w:r>
              <w:rPr>
                <w:noProof/>
                <w:szCs w:val="24"/>
                <w:lang w:val="en-US"/>
              </w:rPr>
              <w:t>(a)</w:t>
            </w:r>
          </w:p>
        </w:tc>
      </w:tr>
      <w:tr w:rsidR="00051297" w:rsidRPr="00051297" w14:paraId="6EECE709" w14:textId="77777777" w:rsidTr="00D20B01">
        <w:tc>
          <w:tcPr>
            <w:tcW w:w="9350" w:type="dxa"/>
          </w:tcPr>
          <w:p w14:paraId="785BAD16" w14:textId="2033F8BF" w:rsidR="00051297" w:rsidRDefault="00C333EC" w:rsidP="001E2AC7">
            <w:pPr>
              <w:keepNext/>
              <w:ind w:firstLine="0"/>
              <w:jc w:val="center"/>
              <w:rPr>
                <w:noProof/>
                <w:szCs w:val="24"/>
              </w:rPr>
            </w:pPr>
            <w:r w:rsidRPr="00C333EC">
              <w:rPr>
                <w:noProof/>
                <w:szCs w:val="24"/>
              </w:rPr>
              <w:drawing>
                <wp:inline distT="0" distB="0" distL="0" distR="0" wp14:anchorId="6DA93557" wp14:editId="688696AD">
                  <wp:extent cx="2812144" cy="3937000"/>
                  <wp:effectExtent l="0" t="0" r="7620" b="635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819100" cy="3946738"/>
                          </a:xfrm>
                          <a:prstGeom prst="rect">
                            <a:avLst/>
                          </a:prstGeom>
                          <a:noFill/>
                          <a:ln>
                            <a:noFill/>
                          </a:ln>
                        </pic:spPr>
                      </pic:pic>
                    </a:graphicData>
                  </a:graphic>
                </wp:inline>
              </w:drawing>
            </w:r>
          </w:p>
          <w:p w14:paraId="61901119" w14:textId="2AEDD8A1" w:rsidR="00C333EC" w:rsidRPr="00C333EC" w:rsidRDefault="00C333EC" w:rsidP="001E2AC7">
            <w:pPr>
              <w:keepNext/>
              <w:ind w:firstLine="0"/>
              <w:jc w:val="center"/>
              <w:rPr>
                <w:szCs w:val="24"/>
                <w:lang w:val="en-US"/>
              </w:rPr>
            </w:pPr>
            <w:r>
              <w:rPr>
                <w:noProof/>
                <w:szCs w:val="24"/>
                <w:lang w:val="en-US"/>
              </w:rPr>
              <w:t>(b)</w:t>
            </w:r>
          </w:p>
        </w:tc>
      </w:tr>
    </w:tbl>
    <w:p w14:paraId="1168473F" w14:textId="1CE2E194" w:rsidR="00051297" w:rsidRPr="00C333EC" w:rsidRDefault="00051297" w:rsidP="00C333EC">
      <w:pPr>
        <w:tabs>
          <w:tab w:val="left" w:pos="993"/>
        </w:tabs>
        <w:ind w:firstLine="0"/>
        <w:jc w:val="center"/>
        <w:rPr>
          <w:rFonts w:eastAsia="Calibri" w:cs="Times New Roman"/>
          <w:szCs w:val="24"/>
          <w:lang w:val="en-US"/>
        </w:rPr>
      </w:pPr>
      <w:bookmarkStart w:id="1706" w:name="_Ref98109845"/>
      <w:bookmarkStart w:id="1707" w:name="_Toc97428347"/>
      <w:bookmarkStart w:id="1708" w:name="_Toc98086023"/>
      <w:bookmarkStart w:id="1709" w:name="_Toc103544221"/>
      <w:bookmarkStart w:id="1710" w:name="_Toc104985547"/>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88</w:t>
      </w:r>
      <w:r w:rsidR="00527861">
        <w:rPr>
          <w:lang w:val="en-US"/>
        </w:rPr>
        <w:fldChar w:fldCharType="end"/>
      </w:r>
      <w:bookmarkEnd w:id="1706"/>
      <w:r w:rsidRPr="00051297">
        <w:rPr>
          <w:lang w:val="en-US"/>
        </w:rPr>
        <w:t xml:space="preserve"> – Rapid drawdown (5 days) slope stability under reduced reservoir operating level</w:t>
      </w:r>
      <w:bookmarkEnd w:id="1707"/>
      <w:bookmarkEnd w:id="1708"/>
      <w:bookmarkEnd w:id="1709"/>
      <w:r w:rsidR="00C333EC">
        <w:rPr>
          <w:rFonts w:eastAsia="Calibri" w:cs="Times New Roman"/>
          <w:szCs w:val="24"/>
          <w:lang w:val="en-US"/>
        </w:rPr>
        <w:t>:</w:t>
      </w:r>
      <w:r w:rsidR="00C333EC" w:rsidRPr="009330D7">
        <w:rPr>
          <w:rFonts w:eastAsia="Calibri" w:cs="Times New Roman"/>
          <w:szCs w:val="24"/>
          <w:lang w:val="en-US"/>
        </w:rPr>
        <w:t xml:space="preserve"> </w:t>
      </w:r>
      <w:r w:rsidR="00C333EC">
        <w:rPr>
          <w:rFonts w:eastAsia="Calibri" w:cs="Times New Roman"/>
          <w:szCs w:val="24"/>
          <w:lang w:val="en-US"/>
        </w:rPr>
        <w:t>a) embankment with slip surface; b) graph of factor of safety values</w:t>
      </w:r>
      <w:bookmarkEnd w:id="1710"/>
    </w:p>
    <w:p w14:paraId="688202D7" w14:textId="77777777" w:rsidR="00051297" w:rsidRPr="00C333EC" w:rsidRDefault="00051297" w:rsidP="00051297">
      <w:pPr>
        <w:numPr>
          <w:ilvl w:val="0"/>
          <w:numId w:val="30"/>
        </w:numPr>
        <w:tabs>
          <w:tab w:val="left" w:pos="993"/>
        </w:tabs>
        <w:ind w:left="0" w:firstLine="709"/>
        <w:contextualSpacing/>
        <w:rPr>
          <w:rFonts w:eastAsia="Calibri" w:cs="Times New Roman"/>
          <w:szCs w:val="24"/>
          <w:lang w:val="en-US"/>
        </w:rPr>
      </w:pPr>
      <w:r w:rsidRPr="00C333EC">
        <w:rPr>
          <w:rFonts w:eastAsia="Calibri" w:cs="Times New Roman"/>
          <w:szCs w:val="24"/>
          <w:lang w:val="en-US"/>
        </w:rPr>
        <w:t>Reservoir</w:t>
      </w:r>
      <w:r w:rsidRPr="00C333EC">
        <w:rPr>
          <w:rFonts w:cs="Times New Roman"/>
          <w:szCs w:val="24"/>
          <w:lang w:val="en-US"/>
        </w:rPr>
        <w:t xml:space="preserve"> </w:t>
      </w:r>
      <w:r w:rsidRPr="00C333EC">
        <w:rPr>
          <w:rFonts w:eastAsia="Calibri" w:cs="Times New Roman"/>
          <w:szCs w:val="24"/>
          <w:lang w:val="en-US"/>
        </w:rPr>
        <w:t>operating at embankment height</w:t>
      </w:r>
    </w:p>
    <w:p w14:paraId="5EB3F2D5" w14:textId="6DC056DF"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_Ref98109858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89</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5 days drawdown rate and embankment height operating reservoir level.</w:t>
      </w:r>
      <w:r w:rsidRPr="00051297">
        <w:rPr>
          <w:rFonts w:cs="Times New Roman"/>
          <w:szCs w:val="24"/>
          <w:lang w:val="en-US"/>
        </w:rPr>
        <w:t xml:space="preserve"> </w:t>
      </w:r>
      <w:r w:rsidRPr="00051297">
        <w:rPr>
          <w:rFonts w:eastAsia="Calibri" w:cs="Times New Roman"/>
          <w:szCs w:val="24"/>
          <w:lang w:val="en-US"/>
        </w:rPr>
        <w:t>The combination of a five (5) days drawdown rate and embankment height operating reservoir level generated a minimal factor of safety value of 0.</w:t>
      </w:r>
      <w:r w:rsidR="00C765D0">
        <w:rPr>
          <w:rFonts w:eastAsia="Calibri" w:cs="Times New Roman"/>
          <w:szCs w:val="24"/>
          <w:lang w:val="en-US"/>
        </w:rPr>
        <w:t>129</w:t>
      </w:r>
      <w:r w:rsidRPr="00051297">
        <w:rPr>
          <w:rFonts w:eastAsia="Calibri" w:cs="Times New Roman"/>
          <w:szCs w:val="24"/>
          <w:lang w:val="en-US"/>
        </w:rPr>
        <w:t>, as can be observed. Based on the minimum factor of safety value, the embankment will surely fall fully after the drawdown. Furthermore, because a minimum factor of safety of 1.5 is always recommended to ensure that an embankment is safe against probable failure, the retrieved minimal factor of safety is a signal of total failure.</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333EC" w14:paraId="5F1CA02B" w14:textId="77777777" w:rsidTr="00C765D0">
        <w:tc>
          <w:tcPr>
            <w:tcW w:w="9344" w:type="dxa"/>
          </w:tcPr>
          <w:p w14:paraId="3B20035C" w14:textId="353148DD" w:rsidR="00C333EC" w:rsidRDefault="00C333EC" w:rsidP="001E2AC7">
            <w:pPr>
              <w:tabs>
                <w:tab w:val="left" w:pos="993"/>
              </w:tabs>
              <w:spacing w:line="240" w:lineRule="auto"/>
              <w:ind w:firstLine="0"/>
              <w:jc w:val="center"/>
              <w:rPr>
                <w:rFonts w:eastAsia="Calibri" w:cs="Times New Roman"/>
                <w:szCs w:val="24"/>
                <w:lang w:val="en-US"/>
              </w:rPr>
            </w:pPr>
            <w:r>
              <w:rPr>
                <w:noProof/>
              </w:rPr>
              <w:lastRenderedPageBreak/>
              <w:drawing>
                <wp:inline distT="0" distB="0" distL="0" distR="0" wp14:anchorId="6E37651F" wp14:editId="42B1F345">
                  <wp:extent cx="5829300" cy="1337361"/>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829522" cy="1337412"/>
                          </a:xfrm>
                          <a:prstGeom prst="rect">
                            <a:avLst/>
                          </a:prstGeom>
                          <a:noFill/>
                          <a:ln>
                            <a:noFill/>
                          </a:ln>
                        </pic:spPr>
                      </pic:pic>
                    </a:graphicData>
                  </a:graphic>
                </wp:inline>
              </w:drawing>
            </w:r>
          </w:p>
          <w:p w14:paraId="2CAF60AD" w14:textId="07B2B5BD" w:rsidR="00C333EC" w:rsidRDefault="00C333EC" w:rsidP="001E2AC7">
            <w:pPr>
              <w:tabs>
                <w:tab w:val="left" w:pos="993"/>
              </w:tabs>
              <w:spacing w:line="240" w:lineRule="auto"/>
              <w:ind w:firstLine="0"/>
              <w:jc w:val="center"/>
              <w:rPr>
                <w:rFonts w:eastAsia="Calibri" w:cs="Times New Roman"/>
                <w:szCs w:val="24"/>
                <w:lang w:val="en-US"/>
              </w:rPr>
            </w:pPr>
            <w:r>
              <w:rPr>
                <w:rFonts w:eastAsia="Calibri" w:cs="Times New Roman"/>
                <w:szCs w:val="24"/>
                <w:lang w:val="en-US"/>
              </w:rPr>
              <w:t>(a)</w:t>
            </w:r>
          </w:p>
        </w:tc>
      </w:tr>
      <w:tr w:rsidR="00C333EC" w14:paraId="7DC56092" w14:textId="77777777" w:rsidTr="00C765D0">
        <w:tc>
          <w:tcPr>
            <w:tcW w:w="9344" w:type="dxa"/>
          </w:tcPr>
          <w:p w14:paraId="20617827" w14:textId="539ABDC3" w:rsidR="00C333EC" w:rsidRDefault="00A8519B" w:rsidP="001E2AC7">
            <w:pPr>
              <w:tabs>
                <w:tab w:val="left" w:pos="993"/>
              </w:tabs>
              <w:spacing w:line="240" w:lineRule="auto"/>
              <w:ind w:firstLine="0"/>
              <w:jc w:val="center"/>
              <w:rPr>
                <w:rFonts w:eastAsia="Calibri" w:cs="Times New Roman"/>
                <w:szCs w:val="24"/>
                <w:lang w:val="en-US"/>
              </w:rPr>
            </w:pPr>
            <w:r w:rsidRPr="00B52473">
              <w:rPr>
                <w:rFonts w:eastAsia="Times New Roman"/>
                <w:noProof/>
                <w:szCs w:val="24"/>
              </w:rPr>
              <mc:AlternateContent>
                <mc:Choice Requires="wps">
                  <w:drawing>
                    <wp:anchor distT="45720" distB="45720" distL="114300" distR="114300" simplePos="0" relativeHeight="251705344" behindDoc="0" locked="0" layoutInCell="1" allowOverlap="1" wp14:anchorId="0F728AED" wp14:editId="3FCE6A7E">
                      <wp:simplePos x="0" y="0"/>
                      <wp:positionH relativeFrom="column">
                        <wp:posOffset>2333694</wp:posOffset>
                      </wp:positionH>
                      <wp:positionV relativeFrom="paragraph">
                        <wp:posOffset>1604645</wp:posOffset>
                      </wp:positionV>
                      <wp:extent cx="1586230" cy="793115"/>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230" cy="793115"/>
                              </a:xfrm>
                              <a:prstGeom prst="rect">
                                <a:avLst/>
                              </a:prstGeom>
                              <a:noFill/>
                              <a:ln w="9525">
                                <a:noFill/>
                                <a:miter lim="800000"/>
                                <a:headEnd/>
                                <a:tailEnd/>
                              </a:ln>
                            </wps:spPr>
                            <wps:txbx>
                              <w:txbxContent>
                                <w:p w14:paraId="415A88F5" w14:textId="7284735E" w:rsidR="00AE1F81" w:rsidRPr="00B52473" w:rsidRDefault="00AE1F81" w:rsidP="00AE1F81">
                                  <w:pPr>
                                    <w:ind w:firstLine="0"/>
                                    <w:jc w:val="center"/>
                                    <w:rPr>
                                      <w:lang w:val="en-US"/>
                                    </w:rPr>
                                  </w:pPr>
                                  <w:r>
                                    <w:rPr>
                                      <w:lang w:val="en-US"/>
                                    </w:rPr>
                                    <w:t>Hypothetical region after failure: Minimum FS = 0.</w:t>
                                  </w:r>
                                  <w:r w:rsidR="00A8519B">
                                    <w:rPr>
                                      <w:lang w:val="en-US"/>
                                    </w:rPr>
                                    <w:t>129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28AED" id="_x0000_s1043" type="#_x0000_t202" style="position:absolute;left:0;text-align:left;margin-left:183.75pt;margin-top:126.35pt;width:124.9pt;height:62.4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" filled="f" stroked="f">
                      <v:textbox>
                        <w:txbxContent>
                          <w:p w14:paraId="415A88F5" w14:textId="7284735E" w:rsidR="00AE1F81" w:rsidRPr="00B52473" w:rsidRDefault="00AE1F81" w:rsidP="00AE1F81">
                            <w:pPr>
                              <w:ind w:firstLine="0"/>
                              <w:jc w:val="center"/>
                              <w:rPr>
                                <w:lang w:val="en-US"/>
                              </w:rPr>
                            </w:pPr>
                            <w:r>
                              <w:rPr>
                                <w:lang w:val="en-US"/>
                              </w:rPr>
                              <w:t>Hypothetical region after failure: Minimum FS = 0.</w:t>
                            </w:r>
                            <w:r w:rsidR="00A8519B">
                              <w:rPr>
                                <w:lang w:val="en-US"/>
                              </w:rPr>
                              <w:t>129</w:t>
                            </w:r>
                          </w:p>
                        </w:txbxContent>
                      </v:textbox>
                    </v:shape>
                  </w:pict>
                </mc:Fallback>
              </mc:AlternateContent>
            </w:r>
            <w:r w:rsidR="00AE1F81">
              <w:rPr>
                <w:rFonts w:eastAsia="Times New Roman"/>
                <w:noProof/>
                <w:szCs w:val="24"/>
              </w:rPr>
              <mc:AlternateContent>
                <mc:Choice Requires="wps">
                  <w:drawing>
                    <wp:anchor distT="0" distB="0" distL="114300" distR="114300" simplePos="0" relativeHeight="251704320" behindDoc="0" locked="0" layoutInCell="1" allowOverlap="1" wp14:anchorId="225EF352" wp14:editId="6CD8481A">
                      <wp:simplePos x="0" y="0"/>
                      <wp:positionH relativeFrom="column">
                        <wp:posOffset>2212323</wp:posOffset>
                      </wp:positionH>
                      <wp:positionV relativeFrom="paragraph">
                        <wp:posOffset>660778</wp:posOffset>
                      </wp:positionV>
                      <wp:extent cx="1733035" cy="2122273"/>
                      <wp:effectExtent l="0" t="0" r="19685" b="11430"/>
                      <wp:wrapNone/>
                      <wp:docPr id="49" name="Rectangle 49"/>
                      <wp:cNvGraphicFramePr/>
                      <a:graphic xmlns:a="http://schemas.openxmlformats.org/drawingml/2006/main">
                        <a:graphicData uri="http://schemas.microsoft.com/office/word/2010/wordprocessingShape">
                          <wps:wsp>
                            <wps:cNvSpPr/>
                            <wps:spPr>
                              <a:xfrm>
                                <a:off x="0" y="0"/>
                                <a:ext cx="1733035" cy="212227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3B2AC35" id="Rectangle 49" o:spid="_x0000_s1026" style="position:absolute;margin-left:174.2pt;margin-top:52.05pt;width:136.45pt;height:167.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" filled="f" strokecolor="red" strokeweight="1pt"/>
                  </w:pict>
                </mc:Fallback>
              </mc:AlternateContent>
            </w:r>
            <w:r w:rsidR="00C765D0" w:rsidRPr="00C765D0">
              <w:rPr>
                <w:rFonts w:eastAsia="Calibri" w:cs="Times New Roman"/>
                <w:noProof/>
                <w:szCs w:val="24"/>
                <w:lang w:val="en-US"/>
              </w:rPr>
              <w:drawing>
                <wp:inline distT="0" distB="0" distL="0" distR="0" wp14:anchorId="2F6F7CBC" wp14:editId="4052EF9A">
                  <wp:extent cx="2470639" cy="3458895"/>
                  <wp:effectExtent l="0" t="0" r="6350" b="825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481359" cy="3473903"/>
                          </a:xfrm>
                          <a:prstGeom prst="rect">
                            <a:avLst/>
                          </a:prstGeom>
                          <a:noFill/>
                          <a:ln>
                            <a:noFill/>
                          </a:ln>
                        </pic:spPr>
                      </pic:pic>
                    </a:graphicData>
                  </a:graphic>
                </wp:inline>
              </w:drawing>
            </w:r>
          </w:p>
          <w:p w14:paraId="68396ADC" w14:textId="6C4B5B7C" w:rsidR="00C765D0" w:rsidRDefault="00C765D0" w:rsidP="001E2AC7">
            <w:pPr>
              <w:tabs>
                <w:tab w:val="left" w:pos="993"/>
              </w:tabs>
              <w:spacing w:line="240" w:lineRule="auto"/>
              <w:ind w:firstLine="0"/>
              <w:jc w:val="center"/>
              <w:rPr>
                <w:rFonts w:eastAsia="Calibri" w:cs="Times New Roman"/>
                <w:szCs w:val="24"/>
                <w:lang w:val="en-US"/>
              </w:rPr>
            </w:pPr>
            <w:r>
              <w:rPr>
                <w:rFonts w:eastAsia="Calibri" w:cs="Times New Roman"/>
                <w:szCs w:val="24"/>
                <w:lang w:val="en-US"/>
              </w:rPr>
              <w:t>(b)</w:t>
            </w:r>
          </w:p>
        </w:tc>
      </w:tr>
    </w:tbl>
    <w:p w14:paraId="62E00522" w14:textId="7C93D4CD" w:rsidR="00051297" w:rsidRPr="00C765D0" w:rsidRDefault="00051297" w:rsidP="00C765D0">
      <w:pPr>
        <w:tabs>
          <w:tab w:val="left" w:pos="993"/>
        </w:tabs>
        <w:ind w:firstLine="0"/>
        <w:jc w:val="center"/>
        <w:rPr>
          <w:rFonts w:eastAsia="Calibri" w:cs="Times New Roman"/>
          <w:szCs w:val="24"/>
          <w:lang w:val="en-US"/>
        </w:rPr>
      </w:pPr>
      <w:bookmarkStart w:id="1711" w:name="_Ref98109858"/>
      <w:bookmarkStart w:id="1712" w:name="_Toc97428348"/>
      <w:bookmarkStart w:id="1713" w:name="_Toc98086024"/>
      <w:bookmarkStart w:id="1714" w:name="_Toc103544222"/>
      <w:bookmarkStart w:id="1715" w:name="_Toc104985548"/>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89</w:t>
      </w:r>
      <w:r w:rsidR="00527861">
        <w:rPr>
          <w:lang w:val="en-US"/>
        </w:rPr>
        <w:fldChar w:fldCharType="end"/>
      </w:r>
      <w:bookmarkEnd w:id="1711"/>
      <w:r w:rsidRPr="00051297">
        <w:rPr>
          <w:lang w:val="en-US"/>
        </w:rPr>
        <w:t xml:space="preserve"> – Rapid drawdown (5 days) slope stability at embankment height</w:t>
      </w:r>
      <w:bookmarkEnd w:id="1712"/>
      <w:bookmarkEnd w:id="1713"/>
      <w:bookmarkEnd w:id="1714"/>
      <w:r w:rsidR="00C765D0">
        <w:rPr>
          <w:rFonts w:eastAsia="Calibri" w:cs="Times New Roman"/>
          <w:szCs w:val="24"/>
          <w:lang w:val="en-US"/>
        </w:rPr>
        <w:t>:</w:t>
      </w:r>
      <w:r w:rsidR="00C765D0" w:rsidRPr="009330D7">
        <w:rPr>
          <w:rFonts w:eastAsia="Calibri" w:cs="Times New Roman"/>
          <w:szCs w:val="24"/>
          <w:lang w:val="en-US"/>
        </w:rPr>
        <w:t xml:space="preserve"> </w:t>
      </w:r>
      <w:r w:rsidR="00C765D0">
        <w:rPr>
          <w:rFonts w:eastAsia="Calibri" w:cs="Times New Roman"/>
          <w:szCs w:val="24"/>
          <w:lang w:val="en-US"/>
        </w:rPr>
        <w:t>a) embankment with slip surface; b) graph of factor of safety values</w:t>
      </w:r>
      <w:bookmarkEnd w:id="1715"/>
    </w:p>
    <w:p w14:paraId="4731E090" w14:textId="77777777" w:rsidR="00051297" w:rsidRPr="00C765D0" w:rsidRDefault="00051297" w:rsidP="00051297">
      <w:pPr>
        <w:numPr>
          <w:ilvl w:val="0"/>
          <w:numId w:val="30"/>
        </w:numPr>
        <w:tabs>
          <w:tab w:val="left" w:pos="993"/>
        </w:tabs>
        <w:ind w:left="0" w:firstLine="709"/>
        <w:contextualSpacing/>
        <w:rPr>
          <w:rFonts w:eastAsia="Calibri" w:cs="Times New Roman"/>
          <w:szCs w:val="24"/>
          <w:lang w:val="en-US"/>
        </w:rPr>
      </w:pPr>
      <w:r w:rsidRPr="00C765D0">
        <w:rPr>
          <w:rFonts w:eastAsia="Calibri" w:cs="Times New Roman"/>
          <w:szCs w:val="24"/>
          <w:lang w:val="en-US"/>
        </w:rPr>
        <w:t>Reservoir operating under overflow condition</w:t>
      </w:r>
    </w:p>
    <w:p w14:paraId="5F80CDC6" w14:textId="48531915"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_Ref98109869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90</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5 days drawdown rate and overflow operating reservoir level.</w:t>
      </w:r>
      <w:r w:rsidRPr="00051297">
        <w:rPr>
          <w:rFonts w:cs="Times New Roman"/>
          <w:szCs w:val="24"/>
          <w:lang w:val="en-US"/>
        </w:rPr>
        <w:t xml:space="preserve"> </w:t>
      </w:r>
      <w:r w:rsidRPr="00051297">
        <w:rPr>
          <w:rFonts w:eastAsia="Calibri" w:cs="Times New Roman"/>
          <w:szCs w:val="24"/>
          <w:lang w:val="en-US"/>
        </w:rPr>
        <w:t>The minimum factor of safety value obtained from a combination of five (5) days drawdown rate and overflow water operating level was 1.536, which was 54.4% lower than the 3.369 factor of safety value obtained from a combination of steady-state condition and overflow reservoir water operating level.</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051297" w:rsidRPr="00051297" w14:paraId="54E2230A" w14:textId="77777777" w:rsidTr="00D20B01">
        <w:tc>
          <w:tcPr>
            <w:tcW w:w="9350" w:type="dxa"/>
          </w:tcPr>
          <w:p w14:paraId="41A1D710" w14:textId="77777777" w:rsidR="00051297" w:rsidRDefault="00C765D0" w:rsidP="00AB2CEA">
            <w:pPr>
              <w:ind w:firstLine="0"/>
              <w:jc w:val="center"/>
              <w:rPr>
                <w:szCs w:val="24"/>
              </w:rPr>
            </w:pPr>
            <w:r>
              <w:rPr>
                <w:noProof/>
              </w:rPr>
              <w:drawing>
                <wp:inline distT="0" distB="0" distL="0" distR="0" wp14:anchorId="0015A029" wp14:editId="32F6926D">
                  <wp:extent cx="5741377" cy="1296935"/>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747660" cy="1298354"/>
                          </a:xfrm>
                          <a:prstGeom prst="rect">
                            <a:avLst/>
                          </a:prstGeom>
                          <a:noFill/>
                          <a:ln>
                            <a:noFill/>
                          </a:ln>
                        </pic:spPr>
                      </pic:pic>
                    </a:graphicData>
                  </a:graphic>
                </wp:inline>
              </w:drawing>
            </w:r>
          </w:p>
          <w:p w14:paraId="6B63207C" w14:textId="07139EA9" w:rsidR="00AB2CEA" w:rsidRPr="00AB2CEA" w:rsidRDefault="00AB2CEA" w:rsidP="00AB2CEA">
            <w:pPr>
              <w:ind w:firstLine="0"/>
              <w:jc w:val="center"/>
              <w:rPr>
                <w:szCs w:val="24"/>
                <w:lang w:val="en-US"/>
              </w:rPr>
            </w:pPr>
            <w:r>
              <w:rPr>
                <w:szCs w:val="24"/>
                <w:lang w:val="en-US"/>
              </w:rPr>
              <w:t>(a)</w:t>
            </w:r>
          </w:p>
        </w:tc>
      </w:tr>
      <w:tr w:rsidR="00051297" w:rsidRPr="00051297" w14:paraId="4AAA18B1" w14:textId="77777777" w:rsidTr="00D20B01">
        <w:tc>
          <w:tcPr>
            <w:tcW w:w="9350" w:type="dxa"/>
          </w:tcPr>
          <w:p w14:paraId="27275736" w14:textId="10332915" w:rsidR="00051297" w:rsidRDefault="00AB2CEA" w:rsidP="00051297">
            <w:pPr>
              <w:keepNext/>
              <w:ind w:firstLine="0"/>
              <w:jc w:val="center"/>
              <w:rPr>
                <w:noProof/>
                <w:szCs w:val="24"/>
              </w:rPr>
            </w:pPr>
            <w:r w:rsidRPr="00AB2CEA">
              <w:rPr>
                <w:noProof/>
                <w:szCs w:val="24"/>
              </w:rPr>
              <w:lastRenderedPageBreak/>
              <w:drawing>
                <wp:inline distT="0" distB="0" distL="0" distR="0" wp14:anchorId="63D1990C" wp14:editId="64A0AF36">
                  <wp:extent cx="2505807" cy="3508130"/>
                  <wp:effectExtent l="0" t="0" r="889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508172" cy="3511441"/>
                          </a:xfrm>
                          <a:prstGeom prst="rect">
                            <a:avLst/>
                          </a:prstGeom>
                          <a:noFill/>
                          <a:ln>
                            <a:noFill/>
                          </a:ln>
                        </pic:spPr>
                      </pic:pic>
                    </a:graphicData>
                  </a:graphic>
                </wp:inline>
              </w:drawing>
            </w:r>
          </w:p>
          <w:p w14:paraId="0267295A" w14:textId="0E784551" w:rsidR="00AB2CEA" w:rsidRPr="00AB2CEA" w:rsidRDefault="00AB2CEA" w:rsidP="00051297">
            <w:pPr>
              <w:keepNext/>
              <w:ind w:firstLine="0"/>
              <w:jc w:val="center"/>
              <w:rPr>
                <w:szCs w:val="24"/>
                <w:lang w:val="en-US"/>
              </w:rPr>
            </w:pPr>
            <w:r>
              <w:rPr>
                <w:noProof/>
                <w:szCs w:val="24"/>
                <w:lang w:val="en-US"/>
              </w:rPr>
              <w:t>(b)</w:t>
            </w:r>
          </w:p>
        </w:tc>
      </w:tr>
    </w:tbl>
    <w:p w14:paraId="7A822494" w14:textId="27194278" w:rsidR="00051297" w:rsidRPr="001B6CEC" w:rsidRDefault="00051297" w:rsidP="001B6CEC">
      <w:pPr>
        <w:tabs>
          <w:tab w:val="left" w:pos="993"/>
        </w:tabs>
        <w:ind w:firstLine="0"/>
        <w:jc w:val="center"/>
        <w:rPr>
          <w:rFonts w:eastAsia="Calibri" w:cs="Times New Roman"/>
          <w:szCs w:val="24"/>
          <w:lang w:val="en-US"/>
        </w:rPr>
      </w:pPr>
      <w:bookmarkStart w:id="1716" w:name="_Ref98109869"/>
      <w:bookmarkStart w:id="1717" w:name="_Toc97428349"/>
      <w:bookmarkStart w:id="1718" w:name="_Toc98086025"/>
      <w:bookmarkStart w:id="1719" w:name="_Toc103544223"/>
      <w:bookmarkStart w:id="1720" w:name="_Toc104985549"/>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90</w:t>
      </w:r>
      <w:r w:rsidR="00527861">
        <w:rPr>
          <w:lang w:val="en-US"/>
        </w:rPr>
        <w:fldChar w:fldCharType="end"/>
      </w:r>
      <w:bookmarkEnd w:id="1716"/>
      <w:r w:rsidRPr="00051297">
        <w:rPr>
          <w:lang w:val="en-US"/>
        </w:rPr>
        <w:t xml:space="preserve"> – Rapid drawdown (5 days) slope stability at the overflow</w:t>
      </w:r>
      <w:bookmarkEnd w:id="1717"/>
      <w:bookmarkEnd w:id="1718"/>
      <w:bookmarkEnd w:id="1719"/>
      <w:r w:rsidR="001B6CEC">
        <w:rPr>
          <w:rFonts w:eastAsia="Calibri" w:cs="Times New Roman"/>
          <w:szCs w:val="24"/>
          <w:lang w:val="en-US"/>
        </w:rPr>
        <w:t>:</w:t>
      </w:r>
      <w:r w:rsidR="001B6CEC" w:rsidRPr="009330D7">
        <w:rPr>
          <w:rFonts w:eastAsia="Calibri" w:cs="Times New Roman"/>
          <w:szCs w:val="24"/>
          <w:lang w:val="en-US"/>
        </w:rPr>
        <w:t xml:space="preserve"> </w:t>
      </w:r>
      <w:r w:rsidR="001B6CEC">
        <w:rPr>
          <w:rFonts w:eastAsia="Calibri" w:cs="Times New Roman"/>
          <w:szCs w:val="24"/>
          <w:lang w:val="en-US"/>
        </w:rPr>
        <w:t>a) embankment with slip surface; b) graph of factor of safety values</w:t>
      </w:r>
      <w:bookmarkEnd w:id="1720"/>
    </w:p>
    <w:p w14:paraId="6DC23048" w14:textId="1605506C" w:rsidR="00051297" w:rsidRPr="00051297" w:rsidRDefault="00051297" w:rsidP="00A44A2E">
      <w:pPr>
        <w:pStyle w:val="5"/>
        <w:rPr>
          <w:rFonts w:eastAsia="Calibri"/>
          <w:lang w:val="en-US"/>
        </w:rPr>
      </w:pPr>
      <w:bookmarkStart w:id="1721" w:name="_Toc103544047"/>
      <w:bookmarkStart w:id="1722" w:name="_Toc104985372"/>
      <w:r w:rsidRPr="00051297">
        <w:rPr>
          <w:rFonts w:eastAsia="Calibri"/>
          <w:lang w:val="en-US"/>
        </w:rPr>
        <w:t>Rapid drawdown (10 days)</w:t>
      </w:r>
      <w:bookmarkEnd w:id="1721"/>
      <w:bookmarkEnd w:id="1722"/>
    </w:p>
    <w:p w14:paraId="4DC3375C" w14:textId="77777777"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Furthermore, the embankment was subjected to 10 days drawdown rate, which is a modest drop from the instantaneous and 5 days drawdown rates. The slope stability analysis was also conducted to varying water levels under 10 days drawdown rate.</w:t>
      </w:r>
    </w:p>
    <w:p w14:paraId="552FB257"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The normal operating reservoir level</w:t>
      </w:r>
    </w:p>
    <w:p w14:paraId="21D99F5B" w14:textId="000BEDB7"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_Ref98109882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91</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10 days drawdown rate and normal operating reservoir level. The combination of ten (10) days' drawdown rate and the usual operational reservoir level resulted in a minimal factor of safety value of 1.986, as shown in the Figure. The factor of safety value recovered from the 10 days rapid drawdown at the normal operational reservoir level is around 44.5% less than the factor of safety value recovered from the long-term steady-state condition at the normal operating reservoir level.</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3CDCA140" w14:textId="77777777" w:rsidTr="00D20B01">
        <w:tc>
          <w:tcPr>
            <w:tcW w:w="9350" w:type="dxa"/>
          </w:tcPr>
          <w:p w14:paraId="670FF98D" w14:textId="2E214F50" w:rsidR="00051297" w:rsidRDefault="00856D6C" w:rsidP="00A44A2E">
            <w:pPr>
              <w:spacing w:line="240" w:lineRule="auto"/>
              <w:ind w:firstLine="0"/>
              <w:rPr>
                <w:noProof/>
                <w:szCs w:val="24"/>
              </w:rPr>
            </w:pPr>
            <w:r>
              <w:rPr>
                <w:noProof/>
              </w:rPr>
              <w:drawing>
                <wp:inline distT="0" distB="0" distL="0" distR="0" wp14:anchorId="607F87C5" wp14:editId="75B82943">
                  <wp:extent cx="5939790" cy="1367155"/>
                  <wp:effectExtent l="0" t="0" r="3810" b="444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939790" cy="1367155"/>
                          </a:xfrm>
                          <a:prstGeom prst="rect">
                            <a:avLst/>
                          </a:prstGeom>
                          <a:noFill/>
                          <a:ln>
                            <a:noFill/>
                          </a:ln>
                        </pic:spPr>
                      </pic:pic>
                    </a:graphicData>
                  </a:graphic>
                </wp:inline>
              </w:drawing>
            </w:r>
          </w:p>
          <w:p w14:paraId="34C3212E" w14:textId="331C3ED4" w:rsidR="00856D6C" w:rsidRPr="00856D6C" w:rsidRDefault="00856D6C" w:rsidP="00856D6C">
            <w:pPr>
              <w:spacing w:line="240" w:lineRule="auto"/>
              <w:ind w:firstLine="0"/>
              <w:jc w:val="center"/>
              <w:rPr>
                <w:szCs w:val="24"/>
                <w:lang w:val="en-US"/>
              </w:rPr>
            </w:pPr>
            <w:r>
              <w:rPr>
                <w:noProof/>
                <w:szCs w:val="24"/>
                <w:lang w:val="en-US"/>
              </w:rPr>
              <w:t>(a)</w:t>
            </w:r>
          </w:p>
        </w:tc>
      </w:tr>
      <w:tr w:rsidR="00051297" w:rsidRPr="00051297" w14:paraId="1242B7F6" w14:textId="77777777" w:rsidTr="00D20B01">
        <w:tc>
          <w:tcPr>
            <w:tcW w:w="9350" w:type="dxa"/>
          </w:tcPr>
          <w:p w14:paraId="156DF81D" w14:textId="60A53D9F" w:rsidR="00051297" w:rsidRDefault="00856D6C" w:rsidP="00A44A2E">
            <w:pPr>
              <w:keepNext/>
              <w:spacing w:line="240" w:lineRule="auto"/>
              <w:ind w:firstLine="0"/>
              <w:jc w:val="center"/>
              <w:rPr>
                <w:noProof/>
                <w:szCs w:val="24"/>
              </w:rPr>
            </w:pPr>
            <w:r w:rsidRPr="00856D6C">
              <w:rPr>
                <w:noProof/>
                <w:szCs w:val="24"/>
              </w:rPr>
              <w:lastRenderedPageBreak/>
              <w:drawing>
                <wp:inline distT="0" distB="0" distL="0" distR="0" wp14:anchorId="0C7143A9" wp14:editId="3095C7B6">
                  <wp:extent cx="2382715" cy="3335801"/>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388316" cy="3343643"/>
                          </a:xfrm>
                          <a:prstGeom prst="rect">
                            <a:avLst/>
                          </a:prstGeom>
                          <a:noFill/>
                          <a:ln>
                            <a:noFill/>
                          </a:ln>
                        </pic:spPr>
                      </pic:pic>
                    </a:graphicData>
                  </a:graphic>
                </wp:inline>
              </w:drawing>
            </w:r>
          </w:p>
          <w:p w14:paraId="7722EF49" w14:textId="0DA241B8" w:rsidR="00856D6C" w:rsidRPr="00856D6C" w:rsidRDefault="00856D6C" w:rsidP="00A44A2E">
            <w:pPr>
              <w:keepNext/>
              <w:spacing w:line="240" w:lineRule="auto"/>
              <w:ind w:firstLine="0"/>
              <w:jc w:val="center"/>
              <w:rPr>
                <w:szCs w:val="24"/>
                <w:lang w:val="en-US"/>
              </w:rPr>
            </w:pPr>
            <w:r>
              <w:rPr>
                <w:noProof/>
                <w:szCs w:val="24"/>
                <w:lang w:val="en-US"/>
              </w:rPr>
              <w:t>(b)</w:t>
            </w:r>
          </w:p>
        </w:tc>
      </w:tr>
    </w:tbl>
    <w:p w14:paraId="24981656" w14:textId="3EB1BE1E" w:rsidR="00051297" w:rsidRPr="001B6CEC" w:rsidRDefault="00051297" w:rsidP="001B6CEC">
      <w:pPr>
        <w:tabs>
          <w:tab w:val="left" w:pos="993"/>
        </w:tabs>
        <w:ind w:firstLine="0"/>
        <w:jc w:val="center"/>
        <w:rPr>
          <w:rFonts w:eastAsia="Calibri" w:cs="Times New Roman"/>
          <w:szCs w:val="24"/>
          <w:lang w:val="en-US"/>
        </w:rPr>
      </w:pPr>
      <w:bookmarkStart w:id="1723" w:name="_Ref98109882"/>
      <w:bookmarkStart w:id="1724" w:name="_Toc97428350"/>
      <w:bookmarkStart w:id="1725" w:name="_Toc98086026"/>
      <w:bookmarkStart w:id="1726" w:name="_Toc103544224"/>
      <w:bookmarkStart w:id="1727" w:name="_Toc104985550"/>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91</w:t>
      </w:r>
      <w:r w:rsidR="00527861">
        <w:rPr>
          <w:lang w:val="en-US"/>
        </w:rPr>
        <w:fldChar w:fldCharType="end"/>
      </w:r>
      <w:bookmarkEnd w:id="1723"/>
      <w:r w:rsidRPr="00051297">
        <w:rPr>
          <w:lang w:val="en-US"/>
        </w:rPr>
        <w:t xml:space="preserve"> – Rapid drawdown (10 days) slope stability normal operating level</w:t>
      </w:r>
      <w:bookmarkEnd w:id="1724"/>
      <w:bookmarkEnd w:id="1725"/>
      <w:bookmarkEnd w:id="1726"/>
      <w:r w:rsidR="001B6CEC">
        <w:rPr>
          <w:rFonts w:eastAsia="Calibri" w:cs="Times New Roman"/>
          <w:szCs w:val="24"/>
          <w:lang w:val="en-US"/>
        </w:rPr>
        <w:t>:</w:t>
      </w:r>
      <w:r w:rsidR="001B6CEC" w:rsidRPr="009330D7">
        <w:rPr>
          <w:rFonts w:eastAsia="Calibri" w:cs="Times New Roman"/>
          <w:szCs w:val="24"/>
          <w:lang w:val="en-US"/>
        </w:rPr>
        <w:t xml:space="preserve"> </w:t>
      </w:r>
      <w:r w:rsidR="001B6CEC">
        <w:rPr>
          <w:rFonts w:eastAsia="Calibri" w:cs="Times New Roman"/>
          <w:szCs w:val="24"/>
          <w:lang w:val="en-US"/>
        </w:rPr>
        <w:t>a) embankment with slip surface; b) graph of factor of safety values</w:t>
      </w:r>
      <w:bookmarkEnd w:id="1727"/>
    </w:p>
    <w:p w14:paraId="799D9D08"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Reduced reservoir</w:t>
      </w:r>
      <w:r w:rsidRPr="00051297">
        <w:rPr>
          <w:rFonts w:cs="Times New Roman"/>
          <w:szCs w:val="24"/>
        </w:rPr>
        <w:t xml:space="preserve"> </w:t>
      </w:r>
      <w:r w:rsidRPr="00051297">
        <w:rPr>
          <w:rFonts w:eastAsia="Calibri" w:cs="Times New Roman"/>
          <w:szCs w:val="24"/>
        </w:rPr>
        <w:t>operating level</w:t>
      </w:r>
    </w:p>
    <w:p w14:paraId="2E9E3A29" w14:textId="69F8AB69"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_Ref98109890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92</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10 days drawdown rate and reduced operating reservoir level.</w:t>
      </w:r>
      <w:r w:rsidRPr="00051297">
        <w:rPr>
          <w:rFonts w:cs="Times New Roman"/>
          <w:szCs w:val="24"/>
          <w:lang w:val="en-US"/>
        </w:rPr>
        <w:t xml:space="preserve"> </w:t>
      </w:r>
      <w:r w:rsidRPr="00051297">
        <w:rPr>
          <w:rFonts w:eastAsia="Calibri" w:cs="Times New Roman"/>
          <w:szCs w:val="24"/>
          <w:lang w:val="en-US"/>
        </w:rPr>
        <w:t>The minimum factor of safety value obtained from the combination of 10 days drawdown rate and reduced reservoir water operating level was 2.497, which is approximately 23.4% less than the 3.259 factor of safety value obtained from the combination of steady-state condition and reduced reservoir water operating level. The phenomenon also shows that there is a link between the loading situation and the slope stability of an embankment.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74328992" w14:textId="77777777" w:rsidTr="00D20B01">
        <w:tc>
          <w:tcPr>
            <w:tcW w:w="9350" w:type="dxa"/>
          </w:tcPr>
          <w:p w14:paraId="07DB6C69" w14:textId="11566184" w:rsidR="00051297" w:rsidRDefault="00536344" w:rsidP="00536344">
            <w:pPr>
              <w:spacing w:after="240" w:line="240" w:lineRule="auto"/>
              <w:ind w:firstLine="0"/>
              <w:jc w:val="center"/>
              <w:rPr>
                <w:noProof/>
                <w:szCs w:val="24"/>
              </w:rPr>
            </w:pPr>
            <w:r>
              <w:rPr>
                <w:noProof/>
              </w:rPr>
              <w:drawing>
                <wp:inline distT="0" distB="0" distL="0" distR="0" wp14:anchorId="543FB6A4" wp14:editId="5644329C">
                  <wp:extent cx="5939790" cy="1339850"/>
                  <wp:effectExtent l="0" t="0" r="381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939790" cy="1339850"/>
                          </a:xfrm>
                          <a:prstGeom prst="rect">
                            <a:avLst/>
                          </a:prstGeom>
                          <a:noFill/>
                          <a:ln>
                            <a:noFill/>
                          </a:ln>
                        </pic:spPr>
                      </pic:pic>
                    </a:graphicData>
                  </a:graphic>
                </wp:inline>
              </w:drawing>
            </w:r>
          </w:p>
          <w:p w14:paraId="072A1349" w14:textId="6068E75A" w:rsidR="00536344" w:rsidRPr="00536344" w:rsidRDefault="00536344" w:rsidP="00536344">
            <w:pPr>
              <w:spacing w:after="240" w:line="240" w:lineRule="auto"/>
              <w:ind w:firstLine="0"/>
              <w:jc w:val="center"/>
              <w:rPr>
                <w:szCs w:val="24"/>
                <w:lang w:val="en-US"/>
              </w:rPr>
            </w:pPr>
            <w:r>
              <w:rPr>
                <w:noProof/>
                <w:szCs w:val="24"/>
                <w:lang w:val="en-US"/>
              </w:rPr>
              <w:t>(a)</w:t>
            </w:r>
          </w:p>
        </w:tc>
      </w:tr>
      <w:tr w:rsidR="00051297" w:rsidRPr="00051297" w14:paraId="6229163D" w14:textId="77777777" w:rsidTr="00D20B01">
        <w:tc>
          <w:tcPr>
            <w:tcW w:w="9350" w:type="dxa"/>
          </w:tcPr>
          <w:p w14:paraId="2370020D" w14:textId="4B5899FC" w:rsidR="00051297" w:rsidRDefault="00536344" w:rsidP="00A44A2E">
            <w:pPr>
              <w:keepNext/>
              <w:spacing w:line="240" w:lineRule="auto"/>
              <w:ind w:firstLine="0"/>
              <w:jc w:val="center"/>
              <w:rPr>
                <w:noProof/>
                <w:szCs w:val="24"/>
              </w:rPr>
            </w:pPr>
            <w:r w:rsidRPr="00536344">
              <w:rPr>
                <w:noProof/>
                <w:szCs w:val="24"/>
              </w:rPr>
              <w:lastRenderedPageBreak/>
              <w:drawing>
                <wp:inline distT="0" distB="0" distL="0" distR="0" wp14:anchorId="6954C611" wp14:editId="29E0F5A7">
                  <wp:extent cx="2373923" cy="3323492"/>
                  <wp:effectExtent l="0" t="0" r="762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379808" cy="3331730"/>
                          </a:xfrm>
                          <a:prstGeom prst="rect">
                            <a:avLst/>
                          </a:prstGeom>
                          <a:noFill/>
                          <a:ln>
                            <a:noFill/>
                          </a:ln>
                        </pic:spPr>
                      </pic:pic>
                    </a:graphicData>
                  </a:graphic>
                </wp:inline>
              </w:drawing>
            </w:r>
          </w:p>
          <w:p w14:paraId="51D48CC4" w14:textId="3A359AE6" w:rsidR="00536344" w:rsidRPr="00536344" w:rsidRDefault="00536344" w:rsidP="00A44A2E">
            <w:pPr>
              <w:keepNext/>
              <w:spacing w:line="240" w:lineRule="auto"/>
              <w:ind w:firstLine="0"/>
              <w:jc w:val="center"/>
              <w:rPr>
                <w:szCs w:val="24"/>
                <w:lang w:val="en-US"/>
              </w:rPr>
            </w:pPr>
            <w:r>
              <w:rPr>
                <w:noProof/>
                <w:szCs w:val="24"/>
                <w:lang w:val="en-US"/>
              </w:rPr>
              <w:t>(b)</w:t>
            </w:r>
          </w:p>
        </w:tc>
      </w:tr>
    </w:tbl>
    <w:p w14:paraId="5D471699" w14:textId="6172790B" w:rsidR="00051297" w:rsidRPr="001B6CEC" w:rsidRDefault="00051297" w:rsidP="001B6CEC">
      <w:pPr>
        <w:tabs>
          <w:tab w:val="left" w:pos="993"/>
        </w:tabs>
        <w:ind w:firstLine="0"/>
        <w:jc w:val="center"/>
        <w:rPr>
          <w:rFonts w:eastAsia="Calibri" w:cs="Times New Roman"/>
          <w:szCs w:val="24"/>
          <w:lang w:val="en-US"/>
        </w:rPr>
      </w:pPr>
      <w:bookmarkStart w:id="1728" w:name="_Ref98109890"/>
      <w:bookmarkStart w:id="1729" w:name="_Toc97428351"/>
      <w:bookmarkStart w:id="1730" w:name="_Toc98086027"/>
      <w:bookmarkStart w:id="1731" w:name="_Toc103544225"/>
      <w:bookmarkStart w:id="1732" w:name="_Toc104985551"/>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92</w:t>
      </w:r>
      <w:r w:rsidR="00527861">
        <w:rPr>
          <w:lang w:val="en-US"/>
        </w:rPr>
        <w:fldChar w:fldCharType="end"/>
      </w:r>
      <w:bookmarkEnd w:id="1728"/>
      <w:r w:rsidRPr="00051297">
        <w:rPr>
          <w:lang w:val="en-US"/>
        </w:rPr>
        <w:t xml:space="preserve"> – Rapid drawdown (10 days) slope stability under reduced reservoir operating level</w:t>
      </w:r>
      <w:bookmarkEnd w:id="1729"/>
      <w:bookmarkEnd w:id="1730"/>
      <w:bookmarkEnd w:id="1731"/>
      <w:r w:rsidR="001B6CEC">
        <w:rPr>
          <w:rFonts w:eastAsia="Calibri" w:cs="Times New Roman"/>
          <w:szCs w:val="24"/>
          <w:lang w:val="en-US"/>
        </w:rPr>
        <w:t>:</w:t>
      </w:r>
      <w:r w:rsidR="001B6CEC" w:rsidRPr="009330D7">
        <w:rPr>
          <w:rFonts w:eastAsia="Calibri" w:cs="Times New Roman"/>
          <w:szCs w:val="24"/>
          <w:lang w:val="en-US"/>
        </w:rPr>
        <w:t xml:space="preserve"> </w:t>
      </w:r>
      <w:r w:rsidR="001B6CEC">
        <w:rPr>
          <w:rFonts w:eastAsia="Calibri" w:cs="Times New Roman"/>
          <w:szCs w:val="24"/>
          <w:lang w:val="en-US"/>
        </w:rPr>
        <w:t>a) embankment with slip surface; b) graph of factor of safety values</w:t>
      </w:r>
      <w:bookmarkEnd w:id="1732"/>
    </w:p>
    <w:p w14:paraId="0B3ACFC4" w14:textId="77777777" w:rsidR="00051297" w:rsidRPr="001B6CEC" w:rsidRDefault="00051297" w:rsidP="00051297">
      <w:pPr>
        <w:numPr>
          <w:ilvl w:val="0"/>
          <w:numId w:val="30"/>
        </w:numPr>
        <w:tabs>
          <w:tab w:val="left" w:pos="993"/>
        </w:tabs>
        <w:ind w:left="0" w:firstLine="709"/>
        <w:contextualSpacing/>
        <w:rPr>
          <w:rFonts w:eastAsia="Calibri" w:cs="Times New Roman"/>
          <w:szCs w:val="24"/>
          <w:lang w:val="en-US"/>
        </w:rPr>
      </w:pPr>
      <w:r w:rsidRPr="001B6CEC">
        <w:rPr>
          <w:rFonts w:eastAsia="Calibri" w:cs="Times New Roman"/>
          <w:szCs w:val="24"/>
          <w:lang w:val="en-US"/>
        </w:rPr>
        <w:t>Reservoir</w:t>
      </w:r>
      <w:r w:rsidRPr="001B6CEC">
        <w:rPr>
          <w:rFonts w:cs="Times New Roman"/>
          <w:szCs w:val="24"/>
          <w:lang w:val="en-US"/>
        </w:rPr>
        <w:t xml:space="preserve"> </w:t>
      </w:r>
      <w:r w:rsidRPr="001B6CEC">
        <w:rPr>
          <w:rFonts w:eastAsia="Calibri" w:cs="Times New Roman"/>
          <w:szCs w:val="24"/>
          <w:lang w:val="en-US"/>
        </w:rPr>
        <w:t>operating at embankment height</w:t>
      </w:r>
    </w:p>
    <w:p w14:paraId="6A41400F" w14:textId="3ACA685A"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_Ref98109900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93</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10 days drawdown rate and embankment height operating reservoir level.</w:t>
      </w:r>
      <w:r w:rsidRPr="00051297">
        <w:rPr>
          <w:rFonts w:cs="Times New Roman"/>
          <w:szCs w:val="24"/>
          <w:lang w:val="en-US"/>
        </w:rPr>
        <w:t xml:space="preserve"> </w:t>
      </w:r>
      <w:r w:rsidRPr="00051297">
        <w:rPr>
          <w:rFonts w:eastAsia="Calibri" w:cs="Times New Roman"/>
          <w:szCs w:val="24"/>
          <w:lang w:val="en-US"/>
        </w:rPr>
        <w:t>As can be seen, the combination of ten (10) days' drawdown rate and the operating reservoir level at embankment height resulted in a minimal factor of safety value of 1.881. The minimum factor of safety value obtained is approximately 44.2% less than the 3.369 factor of safety value obtained from the combination of steady-state condition and reservoir operating at embankment height. The phenomenon also shows that there is a link between the loading situation and the slope stability of an embankment.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07B6B2B2" w14:textId="77777777" w:rsidTr="00D20B01">
        <w:tc>
          <w:tcPr>
            <w:tcW w:w="9350" w:type="dxa"/>
          </w:tcPr>
          <w:p w14:paraId="26B9D0B0" w14:textId="1C68F967" w:rsidR="00051297" w:rsidRDefault="00D24359" w:rsidP="00D24359">
            <w:pPr>
              <w:ind w:firstLine="0"/>
              <w:jc w:val="center"/>
              <w:rPr>
                <w:noProof/>
                <w:szCs w:val="24"/>
              </w:rPr>
            </w:pPr>
            <w:r>
              <w:rPr>
                <w:noProof/>
              </w:rPr>
              <w:drawing>
                <wp:inline distT="0" distB="0" distL="0" distR="0" wp14:anchorId="33FC08F3" wp14:editId="38367666">
                  <wp:extent cx="5939790" cy="1339215"/>
                  <wp:effectExtent l="0" t="0" r="381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939790" cy="1339215"/>
                          </a:xfrm>
                          <a:prstGeom prst="rect">
                            <a:avLst/>
                          </a:prstGeom>
                          <a:noFill/>
                          <a:ln>
                            <a:noFill/>
                          </a:ln>
                        </pic:spPr>
                      </pic:pic>
                    </a:graphicData>
                  </a:graphic>
                </wp:inline>
              </w:drawing>
            </w:r>
          </w:p>
          <w:p w14:paraId="64435F95" w14:textId="5C087428" w:rsidR="00D24359" w:rsidRPr="00D24359" w:rsidRDefault="00D24359" w:rsidP="00D24359">
            <w:pPr>
              <w:ind w:firstLine="0"/>
              <w:jc w:val="center"/>
              <w:rPr>
                <w:szCs w:val="24"/>
                <w:lang w:val="en-US"/>
              </w:rPr>
            </w:pPr>
            <w:r>
              <w:rPr>
                <w:noProof/>
                <w:szCs w:val="24"/>
                <w:lang w:val="en-US"/>
              </w:rPr>
              <w:t>(a)</w:t>
            </w:r>
          </w:p>
        </w:tc>
      </w:tr>
      <w:tr w:rsidR="00051297" w:rsidRPr="00051297" w14:paraId="0E481B15" w14:textId="77777777" w:rsidTr="00D20B01">
        <w:tc>
          <w:tcPr>
            <w:tcW w:w="9350" w:type="dxa"/>
          </w:tcPr>
          <w:p w14:paraId="1BDCD3CD" w14:textId="5866B605" w:rsidR="00051297" w:rsidRDefault="00D24359" w:rsidP="00051297">
            <w:pPr>
              <w:keepNext/>
              <w:ind w:firstLine="0"/>
              <w:jc w:val="center"/>
              <w:rPr>
                <w:noProof/>
                <w:szCs w:val="24"/>
              </w:rPr>
            </w:pPr>
            <w:r w:rsidRPr="00D24359">
              <w:rPr>
                <w:noProof/>
                <w:szCs w:val="24"/>
              </w:rPr>
              <w:lastRenderedPageBreak/>
              <w:drawing>
                <wp:inline distT="0" distB="0" distL="0" distR="0" wp14:anchorId="0C385ADF" wp14:editId="0C3D773C">
                  <wp:extent cx="2409092" cy="3372729"/>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412237" cy="3377132"/>
                          </a:xfrm>
                          <a:prstGeom prst="rect">
                            <a:avLst/>
                          </a:prstGeom>
                          <a:noFill/>
                          <a:ln>
                            <a:noFill/>
                          </a:ln>
                        </pic:spPr>
                      </pic:pic>
                    </a:graphicData>
                  </a:graphic>
                </wp:inline>
              </w:drawing>
            </w:r>
          </w:p>
          <w:p w14:paraId="06F208CB" w14:textId="617D873D" w:rsidR="00D24359" w:rsidRPr="00D24359" w:rsidRDefault="00D24359" w:rsidP="00051297">
            <w:pPr>
              <w:keepNext/>
              <w:ind w:firstLine="0"/>
              <w:jc w:val="center"/>
              <w:rPr>
                <w:szCs w:val="24"/>
                <w:lang w:val="en-US"/>
              </w:rPr>
            </w:pPr>
            <w:r>
              <w:rPr>
                <w:noProof/>
                <w:szCs w:val="24"/>
                <w:lang w:val="en-US"/>
              </w:rPr>
              <w:t>(b)</w:t>
            </w:r>
          </w:p>
        </w:tc>
      </w:tr>
    </w:tbl>
    <w:p w14:paraId="7F43A51B" w14:textId="1E754FCE" w:rsidR="00051297" w:rsidRPr="001B6CEC" w:rsidRDefault="00051297" w:rsidP="001B6CEC">
      <w:pPr>
        <w:tabs>
          <w:tab w:val="left" w:pos="993"/>
        </w:tabs>
        <w:ind w:firstLine="0"/>
        <w:jc w:val="center"/>
        <w:rPr>
          <w:rFonts w:eastAsia="Calibri" w:cs="Times New Roman"/>
          <w:szCs w:val="24"/>
          <w:lang w:val="en-US"/>
        </w:rPr>
      </w:pPr>
      <w:bookmarkStart w:id="1733" w:name="_Ref98109900"/>
      <w:bookmarkStart w:id="1734" w:name="_Toc97428352"/>
      <w:bookmarkStart w:id="1735" w:name="_Toc98086028"/>
      <w:bookmarkStart w:id="1736" w:name="_Toc103544226"/>
      <w:bookmarkStart w:id="1737" w:name="_Toc104985552"/>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93</w:t>
      </w:r>
      <w:r w:rsidR="00527861">
        <w:rPr>
          <w:lang w:val="en-US"/>
        </w:rPr>
        <w:fldChar w:fldCharType="end"/>
      </w:r>
      <w:bookmarkEnd w:id="1733"/>
      <w:r w:rsidRPr="00051297">
        <w:rPr>
          <w:lang w:val="en-US"/>
        </w:rPr>
        <w:t xml:space="preserve"> – Rapid drawdown (10 days) slope stability at embankment height</w:t>
      </w:r>
      <w:bookmarkEnd w:id="1734"/>
      <w:bookmarkEnd w:id="1735"/>
      <w:bookmarkEnd w:id="1736"/>
      <w:r w:rsidR="001B6CEC">
        <w:rPr>
          <w:rFonts w:eastAsia="Calibri" w:cs="Times New Roman"/>
          <w:szCs w:val="24"/>
          <w:lang w:val="en-US"/>
        </w:rPr>
        <w:t>:</w:t>
      </w:r>
      <w:r w:rsidR="001B6CEC" w:rsidRPr="009330D7">
        <w:rPr>
          <w:rFonts w:eastAsia="Calibri" w:cs="Times New Roman"/>
          <w:szCs w:val="24"/>
          <w:lang w:val="en-US"/>
        </w:rPr>
        <w:t xml:space="preserve"> </w:t>
      </w:r>
      <w:r w:rsidR="001B6CEC">
        <w:rPr>
          <w:rFonts w:eastAsia="Calibri" w:cs="Times New Roman"/>
          <w:szCs w:val="24"/>
          <w:lang w:val="en-US"/>
        </w:rPr>
        <w:t>a) embankment with slip surface; b) graph of factor of safety values</w:t>
      </w:r>
      <w:bookmarkEnd w:id="1737"/>
    </w:p>
    <w:p w14:paraId="6121EAA7" w14:textId="77777777" w:rsidR="00051297" w:rsidRPr="001B6CEC" w:rsidRDefault="00051297" w:rsidP="00051297">
      <w:pPr>
        <w:numPr>
          <w:ilvl w:val="0"/>
          <w:numId w:val="30"/>
        </w:numPr>
        <w:tabs>
          <w:tab w:val="left" w:pos="993"/>
        </w:tabs>
        <w:ind w:left="0" w:firstLine="709"/>
        <w:contextualSpacing/>
        <w:rPr>
          <w:rFonts w:eastAsia="Calibri" w:cs="Times New Roman"/>
          <w:szCs w:val="24"/>
          <w:lang w:val="en-US"/>
        </w:rPr>
      </w:pPr>
      <w:r w:rsidRPr="001B6CEC">
        <w:rPr>
          <w:rFonts w:eastAsia="Calibri" w:cs="Times New Roman"/>
          <w:szCs w:val="24"/>
          <w:lang w:val="en-US"/>
        </w:rPr>
        <w:t>Reservoir operating under overflow condition</w:t>
      </w:r>
    </w:p>
    <w:p w14:paraId="6D33ED98" w14:textId="5E85A852"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_Ref98109910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94</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10 days drawdown rate and overflow operating reservoir level.</w:t>
      </w:r>
      <w:r w:rsidRPr="00051297">
        <w:rPr>
          <w:rFonts w:cs="Times New Roman"/>
          <w:szCs w:val="24"/>
          <w:lang w:val="en-US"/>
        </w:rPr>
        <w:t xml:space="preserve"> </w:t>
      </w:r>
      <w:r w:rsidRPr="00051297">
        <w:rPr>
          <w:rFonts w:eastAsia="Calibri" w:cs="Times New Roman"/>
          <w:szCs w:val="24"/>
          <w:lang w:val="en-US"/>
        </w:rPr>
        <w:t>The minimum factor of safety value obtained from the combination of ten (10) days drawdown rate and overflow water operating level was 1.878, which is approximately 44.3% lower than the 3.369 factor of safety value obtained from the combination of steady-state condition and overflow reservoir water operating level.</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2B7E96EA" w14:textId="77777777" w:rsidTr="00D20B01">
        <w:tc>
          <w:tcPr>
            <w:tcW w:w="9350" w:type="dxa"/>
          </w:tcPr>
          <w:p w14:paraId="4E8AE87D" w14:textId="408108F8" w:rsidR="00051297" w:rsidRDefault="00CA7845" w:rsidP="00CA7845">
            <w:pPr>
              <w:spacing w:after="240"/>
              <w:ind w:firstLine="0"/>
              <w:jc w:val="center"/>
              <w:rPr>
                <w:noProof/>
                <w:szCs w:val="24"/>
              </w:rPr>
            </w:pPr>
            <w:r>
              <w:rPr>
                <w:noProof/>
              </w:rPr>
              <w:drawing>
                <wp:inline distT="0" distB="0" distL="0" distR="0" wp14:anchorId="3CB0F890" wp14:editId="51FBB5FA">
                  <wp:extent cx="5939790" cy="1336675"/>
                  <wp:effectExtent l="0" t="0" r="381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939790" cy="1336675"/>
                          </a:xfrm>
                          <a:prstGeom prst="rect">
                            <a:avLst/>
                          </a:prstGeom>
                          <a:noFill/>
                          <a:ln>
                            <a:noFill/>
                          </a:ln>
                        </pic:spPr>
                      </pic:pic>
                    </a:graphicData>
                  </a:graphic>
                </wp:inline>
              </w:drawing>
            </w:r>
          </w:p>
          <w:p w14:paraId="7C2ED3C1" w14:textId="52EA9C08" w:rsidR="00CA7845" w:rsidRPr="00CA7845" w:rsidRDefault="00CA7845" w:rsidP="00CA7845">
            <w:pPr>
              <w:spacing w:after="240"/>
              <w:ind w:firstLine="0"/>
              <w:jc w:val="center"/>
              <w:rPr>
                <w:szCs w:val="24"/>
                <w:lang w:val="en-US"/>
              </w:rPr>
            </w:pPr>
            <w:r>
              <w:rPr>
                <w:noProof/>
                <w:szCs w:val="24"/>
                <w:lang w:val="en-US"/>
              </w:rPr>
              <w:t>(a)</w:t>
            </w:r>
          </w:p>
        </w:tc>
      </w:tr>
      <w:tr w:rsidR="00051297" w:rsidRPr="00051297" w14:paraId="1A9EBF19" w14:textId="77777777" w:rsidTr="00D20B01">
        <w:tc>
          <w:tcPr>
            <w:tcW w:w="9350" w:type="dxa"/>
          </w:tcPr>
          <w:p w14:paraId="4311ED5E" w14:textId="2EF9989D" w:rsidR="00051297" w:rsidRDefault="00CA7845" w:rsidP="00051297">
            <w:pPr>
              <w:keepNext/>
              <w:ind w:firstLine="0"/>
              <w:jc w:val="center"/>
              <w:rPr>
                <w:noProof/>
                <w:szCs w:val="24"/>
              </w:rPr>
            </w:pPr>
            <w:r w:rsidRPr="00CA7845">
              <w:rPr>
                <w:noProof/>
                <w:szCs w:val="24"/>
              </w:rPr>
              <w:lastRenderedPageBreak/>
              <w:drawing>
                <wp:inline distT="0" distB="0" distL="0" distR="0" wp14:anchorId="13D6223C" wp14:editId="72D2BAE6">
                  <wp:extent cx="2593340" cy="3427476"/>
                  <wp:effectExtent l="0" t="0" r="0" b="190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rotWithShape="1">
                          <a:blip r:embed="rId284">
                            <a:extLst>
                              <a:ext uri="{28A0092B-C50C-407E-A947-70E740481C1C}">
                                <a14:useLocalDpi xmlns:a14="http://schemas.microsoft.com/office/drawing/2010/main" val="0"/>
                              </a:ext>
                            </a:extLst>
                          </a:blip>
                          <a:srcRect t="5597"/>
                          <a:stretch/>
                        </pic:blipFill>
                        <pic:spPr bwMode="auto">
                          <a:xfrm>
                            <a:off x="0" y="0"/>
                            <a:ext cx="2598618" cy="3434452"/>
                          </a:xfrm>
                          <a:prstGeom prst="rect">
                            <a:avLst/>
                          </a:prstGeom>
                          <a:noFill/>
                          <a:ln>
                            <a:noFill/>
                          </a:ln>
                          <a:extLst>
                            <a:ext uri="{53640926-AAD7-44D8-BBD7-CCE9431645EC}">
                              <a14:shadowObscured xmlns:a14="http://schemas.microsoft.com/office/drawing/2010/main"/>
                            </a:ext>
                          </a:extLst>
                        </pic:spPr>
                      </pic:pic>
                    </a:graphicData>
                  </a:graphic>
                </wp:inline>
              </w:drawing>
            </w:r>
          </w:p>
          <w:p w14:paraId="327055F7" w14:textId="36965B90" w:rsidR="00CA7845" w:rsidRPr="00CA7845" w:rsidRDefault="00CA7845" w:rsidP="00051297">
            <w:pPr>
              <w:keepNext/>
              <w:ind w:firstLine="0"/>
              <w:jc w:val="center"/>
              <w:rPr>
                <w:szCs w:val="24"/>
                <w:lang w:val="en-US"/>
              </w:rPr>
            </w:pPr>
            <w:r>
              <w:rPr>
                <w:noProof/>
                <w:szCs w:val="24"/>
                <w:lang w:val="en-US"/>
              </w:rPr>
              <w:t>(b)</w:t>
            </w:r>
          </w:p>
        </w:tc>
      </w:tr>
    </w:tbl>
    <w:p w14:paraId="5715D7CE" w14:textId="3FAC91F8" w:rsidR="00051297" w:rsidRPr="001B6CEC" w:rsidRDefault="00051297" w:rsidP="001B6CEC">
      <w:pPr>
        <w:tabs>
          <w:tab w:val="left" w:pos="993"/>
        </w:tabs>
        <w:ind w:firstLine="0"/>
        <w:jc w:val="center"/>
        <w:rPr>
          <w:rFonts w:eastAsia="Calibri" w:cs="Times New Roman"/>
          <w:szCs w:val="24"/>
          <w:lang w:val="en-US"/>
        </w:rPr>
      </w:pPr>
      <w:bookmarkStart w:id="1738" w:name="_Ref98109910"/>
      <w:bookmarkStart w:id="1739" w:name="_Toc97428353"/>
      <w:bookmarkStart w:id="1740" w:name="_Toc98086029"/>
      <w:bookmarkStart w:id="1741" w:name="_Toc103544227"/>
      <w:bookmarkStart w:id="1742" w:name="_Toc104985553"/>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94</w:t>
      </w:r>
      <w:r w:rsidR="00527861">
        <w:rPr>
          <w:lang w:val="en-US"/>
        </w:rPr>
        <w:fldChar w:fldCharType="end"/>
      </w:r>
      <w:bookmarkEnd w:id="1738"/>
      <w:r w:rsidRPr="00051297">
        <w:rPr>
          <w:lang w:val="en-US"/>
        </w:rPr>
        <w:t xml:space="preserve"> – Rapid drawdown (10 days) slope stability at the overflow</w:t>
      </w:r>
      <w:bookmarkEnd w:id="1739"/>
      <w:bookmarkEnd w:id="1740"/>
      <w:bookmarkEnd w:id="1741"/>
      <w:r w:rsidR="001B6CEC">
        <w:rPr>
          <w:rFonts w:eastAsia="Calibri" w:cs="Times New Roman"/>
          <w:szCs w:val="24"/>
          <w:lang w:val="en-US"/>
        </w:rPr>
        <w:t>:</w:t>
      </w:r>
      <w:r w:rsidR="001B6CEC" w:rsidRPr="009330D7">
        <w:rPr>
          <w:rFonts w:eastAsia="Calibri" w:cs="Times New Roman"/>
          <w:szCs w:val="24"/>
          <w:lang w:val="en-US"/>
        </w:rPr>
        <w:t xml:space="preserve"> </w:t>
      </w:r>
      <w:r w:rsidR="001B6CEC">
        <w:rPr>
          <w:rFonts w:eastAsia="Calibri" w:cs="Times New Roman"/>
          <w:szCs w:val="24"/>
          <w:lang w:val="en-US"/>
        </w:rPr>
        <w:t>a) embankment with slip surface; b) graph of factor of safety values</w:t>
      </w:r>
      <w:bookmarkEnd w:id="1742"/>
    </w:p>
    <w:p w14:paraId="7C04DCBD" w14:textId="022229FD" w:rsidR="00051297" w:rsidRPr="00051297" w:rsidRDefault="00051297" w:rsidP="00A44A2E">
      <w:pPr>
        <w:pStyle w:val="5"/>
        <w:rPr>
          <w:rFonts w:eastAsia="Calibri"/>
          <w:lang w:val="en-US"/>
        </w:rPr>
      </w:pPr>
      <w:bookmarkStart w:id="1743" w:name="_Toc103544048"/>
      <w:bookmarkStart w:id="1744" w:name="_Toc104985373"/>
      <w:r w:rsidRPr="00051297">
        <w:rPr>
          <w:rFonts w:eastAsia="Calibri"/>
          <w:lang w:val="en-US"/>
        </w:rPr>
        <w:t>Rapid drawdown (1 m per day)</w:t>
      </w:r>
      <w:bookmarkEnd w:id="1743"/>
      <w:bookmarkEnd w:id="1744"/>
    </w:p>
    <w:p w14:paraId="619535DF" w14:textId="77777777"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t>The embankment was also subjected to a 1 m per day drawdown rate, which is a slight reduction from the instantaneous, 5 days and 10 days drawdown rates. Under a 1 m per day drawdown rate, the slope stability study was also performed at various water levels.</w:t>
      </w:r>
    </w:p>
    <w:p w14:paraId="3440858D"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The normal operating reservoir level</w:t>
      </w:r>
    </w:p>
    <w:p w14:paraId="2A504E63" w14:textId="6702509E"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_Ref98109928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95</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a 1 m per day drawdown rate and normal operating reservoir level.</w:t>
      </w:r>
      <w:r w:rsidRPr="00051297">
        <w:rPr>
          <w:rFonts w:cs="Times New Roman"/>
          <w:szCs w:val="24"/>
          <w:lang w:val="en-US"/>
        </w:rPr>
        <w:t xml:space="preserve"> </w:t>
      </w:r>
      <w:r w:rsidRPr="00051297">
        <w:rPr>
          <w:rFonts w:eastAsia="Calibri" w:cs="Times New Roman"/>
          <w:szCs w:val="24"/>
          <w:lang w:val="en-US"/>
        </w:rPr>
        <w:t>The lowest factor of safety value of 2.221 was obtained by combining a 1 m per day drawdown rate with the normal operational reservoir level, as shown in the Figure. The factor of safety value recovered from the 1 m per day rapid drawdown at the normal operational reservoir level is approximately 37.9% lower than the factor of safety value recovered from the long-term steady-state condition at the normal operational reservoir level.</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417EE80C" w14:textId="77777777" w:rsidTr="00D20B01">
        <w:tc>
          <w:tcPr>
            <w:tcW w:w="9350" w:type="dxa"/>
          </w:tcPr>
          <w:p w14:paraId="6BE96739" w14:textId="64C7A5F4" w:rsidR="00051297" w:rsidRDefault="009562E9" w:rsidP="009562E9">
            <w:pPr>
              <w:spacing w:line="240" w:lineRule="auto"/>
              <w:ind w:firstLine="0"/>
              <w:jc w:val="center"/>
              <w:rPr>
                <w:noProof/>
                <w:szCs w:val="24"/>
              </w:rPr>
            </w:pPr>
            <w:r>
              <w:rPr>
                <w:noProof/>
              </w:rPr>
              <w:drawing>
                <wp:inline distT="0" distB="0" distL="0" distR="0" wp14:anchorId="28A73A30" wp14:editId="1FD2605D">
                  <wp:extent cx="5939790" cy="1339215"/>
                  <wp:effectExtent l="0" t="0" r="381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939790" cy="1339215"/>
                          </a:xfrm>
                          <a:prstGeom prst="rect">
                            <a:avLst/>
                          </a:prstGeom>
                          <a:noFill/>
                          <a:ln>
                            <a:noFill/>
                          </a:ln>
                        </pic:spPr>
                      </pic:pic>
                    </a:graphicData>
                  </a:graphic>
                </wp:inline>
              </w:drawing>
            </w:r>
          </w:p>
          <w:p w14:paraId="65DBEF79" w14:textId="23F36633" w:rsidR="009562E9" w:rsidRPr="009562E9" w:rsidRDefault="009562E9" w:rsidP="009562E9">
            <w:pPr>
              <w:spacing w:line="240" w:lineRule="auto"/>
              <w:ind w:firstLine="0"/>
              <w:jc w:val="center"/>
              <w:rPr>
                <w:szCs w:val="24"/>
                <w:lang w:val="en-US"/>
              </w:rPr>
            </w:pPr>
            <w:r>
              <w:rPr>
                <w:noProof/>
                <w:szCs w:val="24"/>
                <w:lang w:val="en-US"/>
              </w:rPr>
              <w:t>(a)</w:t>
            </w:r>
          </w:p>
        </w:tc>
      </w:tr>
      <w:tr w:rsidR="00051297" w:rsidRPr="00051297" w14:paraId="51F6EC33" w14:textId="77777777" w:rsidTr="00D20B01">
        <w:tc>
          <w:tcPr>
            <w:tcW w:w="9350" w:type="dxa"/>
          </w:tcPr>
          <w:p w14:paraId="08BBFC2D" w14:textId="121F6188" w:rsidR="00051297" w:rsidRDefault="009562E9" w:rsidP="00A44A2E">
            <w:pPr>
              <w:keepNext/>
              <w:spacing w:line="240" w:lineRule="auto"/>
              <w:ind w:firstLine="0"/>
              <w:jc w:val="center"/>
              <w:rPr>
                <w:noProof/>
                <w:szCs w:val="24"/>
              </w:rPr>
            </w:pPr>
            <w:r w:rsidRPr="009562E9">
              <w:rPr>
                <w:noProof/>
                <w:szCs w:val="24"/>
              </w:rPr>
              <w:lastRenderedPageBreak/>
              <w:drawing>
                <wp:inline distT="0" distB="0" distL="0" distR="0" wp14:anchorId="6C18D829" wp14:editId="0B9468AA">
                  <wp:extent cx="2602523" cy="3643532"/>
                  <wp:effectExtent l="0" t="0" r="762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604923" cy="3646892"/>
                          </a:xfrm>
                          <a:prstGeom prst="rect">
                            <a:avLst/>
                          </a:prstGeom>
                          <a:noFill/>
                          <a:ln>
                            <a:noFill/>
                          </a:ln>
                        </pic:spPr>
                      </pic:pic>
                    </a:graphicData>
                  </a:graphic>
                </wp:inline>
              </w:drawing>
            </w:r>
          </w:p>
          <w:p w14:paraId="3C98EE33" w14:textId="4D459520" w:rsidR="009562E9" w:rsidRPr="009562E9" w:rsidRDefault="009562E9" w:rsidP="00A44A2E">
            <w:pPr>
              <w:keepNext/>
              <w:spacing w:line="240" w:lineRule="auto"/>
              <w:ind w:firstLine="0"/>
              <w:jc w:val="center"/>
              <w:rPr>
                <w:szCs w:val="24"/>
                <w:lang w:val="en-US"/>
              </w:rPr>
            </w:pPr>
            <w:r>
              <w:rPr>
                <w:noProof/>
                <w:szCs w:val="24"/>
                <w:lang w:val="en-US"/>
              </w:rPr>
              <w:t>(b)</w:t>
            </w:r>
          </w:p>
        </w:tc>
      </w:tr>
    </w:tbl>
    <w:p w14:paraId="08D039EC" w14:textId="7FF19C05" w:rsidR="00051297" w:rsidRPr="001B6CEC" w:rsidRDefault="00051297" w:rsidP="001B6CEC">
      <w:pPr>
        <w:tabs>
          <w:tab w:val="left" w:pos="993"/>
        </w:tabs>
        <w:ind w:firstLine="0"/>
        <w:jc w:val="center"/>
        <w:rPr>
          <w:rFonts w:eastAsia="Calibri" w:cs="Times New Roman"/>
          <w:szCs w:val="24"/>
          <w:lang w:val="en-US"/>
        </w:rPr>
      </w:pPr>
      <w:bookmarkStart w:id="1745" w:name="_Ref98109928"/>
      <w:bookmarkStart w:id="1746" w:name="_Toc97428354"/>
      <w:bookmarkStart w:id="1747" w:name="_Toc98086030"/>
      <w:bookmarkStart w:id="1748" w:name="_Toc103544228"/>
      <w:bookmarkStart w:id="1749" w:name="_Toc104985554"/>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95</w:t>
      </w:r>
      <w:r w:rsidR="00527861">
        <w:rPr>
          <w:lang w:val="en-US"/>
        </w:rPr>
        <w:fldChar w:fldCharType="end"/>
      </w:r>
      <w:bookmarkEnd w:id="1745"/>
      <w:r w:rsidRPr="00051297">
        <w:rPr>
          <w:lang w:val="en-US"/>
        </w:rPr>
        <w:t xml:space="preserve"> – Rapid drawdown (1 m per day) slope stability normal operating level</w:t>
      </w:r>
      <w:bookmarkEnd w:id="1746"/>
      <w:bookmarkEnd w:id="1747"/>
      <w:bookmarkEnd w:id="1748"/>
      <w:r w:rsidR="001B6CEC">
        <w:rPr>
          <w:rFonts w:eastAsia="Calibri" w:cs="Times New Roman"/>
          <w:szCs w:val="24"/>
          <w:lang w:val="en-US"/>
        </w:rPr>
        <w:t>:</w:t>
      </w:r>
      <w:r w:rsidR="001B6CEC" w:rsidRPr="009330D7">
        <w:rPr>
          <w:rFonts w:eastAsia="Calibri" w:cs="Times New Roman"/>
          <w:szCs w:val="24"/>
          <w:lang w:val="en-US"/>
        </w:rPr>
        <w:t xml:space="preserve"> </w:t>
      </w:r>
      <w:r w:rsidR="001B6CEC">
        <w:rPr>
          <w:rFonts w:eastAsia="Calibri" w:cs="Times New Roman"/>
          <w:szCs w:val="24"/>
          <w:lang w:val="en-US"/>
        </w:rPr>
        <w:t>a) embankment with slip surface; b) graph of factor of safety values</w:t>
      </w:r>
      <w:bookmarkEnd w:id="1749"/>
    </w:p>
    <w:p w14:paraId="374ABA99" w14:textId="77777777" w:rsidR="00051297" w:rsidRPr="00051297" w:rsidRDefault="00051297" w:rsidP="00051297">
      <w:pPr>
        <w:numPr>
          <w:ilvl w:val="0"/>
          <w:numId w:val="30"/>
        </w:numPr>
        <w:tabs>
          <w:tab w:val="left" w:pos="993"/>
        </w:tabs>
        <w:ind w:left="0" w:firstLine="709"/>
        <w:contextualSpacing/>
        <w:rPr>
          <w:rFonts w:eastAsia="Calibri" w:cs="Times New Roman"/>
          <w:szCs w:val="24"/>
        </w:rPr>
      </w:pPr>
      <w:r w:rsidRPr="00051297">
        <w:rPr>
          <w:rFonts w:eastAsia="Calibri" w:cs="Times New Roman"/>
          <w:szCs w:val="24"/>
        </w:rPr>
        <w:t>Reduced reservoir</w:t>
      </w:r>
      <w:r w:rsidRPr="00051297">
        <w:rPr>
          <w:rFonts w:cs="Times New Roman"/>
          <w:szCs w:val="24"/>
        </w:rPr>
        <w:t xml:space="preserve"> </w:t>
      </w:r>
      <w:r w:rsidRPr="00051297">
        <w:rPr>
          <w:rFonts w:eastAsia="Calibri" w:cs="Times New Roman"/>
          <w:szCs w:val="24"/>
        </w:rPr>
        <w:t>operating level</w:t>
      </w:r>
    </w:p>
    <w:p w14:paraId="48E54B56" w14:textId="3B86AD68" w:rsidR="00051297" w:rsidRPr="00051297" w:rsidRDefault="00051297" w:rsidP="00051297">
      <w:pPr>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_Ref98110107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96</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a 1 m per day drawdown rate and reduced operating reservoir level.</w:t>
      </w:r>
      <w:r w:rsidRPr="00051297">
        <w:rPr>
          <w:rFonts w:cs="Times New Roman"/>
          <w:szCs w:val="24"/>
          <w:lang w:val="en-US"/>
        </w:rPr>
        <w:t xml:space="preserve"> </w:t>
      </w:r>
      <w:r w:rsidRPr="00051297">
        <w:rPr>
          <w:rFonts w:eastAsia="Calibri" w:cs="Times New Roman"/>
          <w:szCs w:val="24"/>
          <w:lang w:val="en-US"/>
        </w:rPr>
        <w:t xml:space="preserve">The lowest factor of safety value obtained from the combination of 1 m per day drawdown rate and reduced reservoir water operating level was 2.5, which is about 23.3% less than the 3.259 factor of safety value obtained from the combination of steady-state condition and reduced reservoir water operating level.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3CCABB3A" w14:textId="77777777" w:rsidTr="00D20B01">
        <w:tc>
          <w:tcPr>
            <w:tcW w:w="9350" w:type="dxa"/>
          </w:tcPr>
          <w:p w14:paraId="40790DE9" w14:textId="08CFBF2C" w:rsidR="00051297" w:rsidRDefault="00D82184" w:rsidP="00D82184">
            <w:pPr>
              <w:ind w:firstLine="0"/>
              <w:jc w:val="center"/>
              <w:rPr>
                <w:noProof/>
                <w:szCs w:val="24"/>
              </w:rPr>
            </w:pPr>
            <w:r>
              <w:rPr>
                <w:noProof/>
              </w:rPr>
              <w:drawing>
                <wp:inline distT="0" distB="0" distL="0" distR="0" wp14:anchorId="5E9C9948" wp14:editId="026F745D">
                  <wp:extent cx="5939790" cy="1340485"/>
                  <wp:effectExtent l="0" t="0" r="381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939790" cy="1340485"/>
                          </a:xfrm>
                          <a:prstGeom prst="rect">
                            <a:avLst/>
                          </a:prstGeom>
                          <a:noFill/>
                          <a:ln>
                            <a:noFill/>
                          </a:ln>
                        </pic:spPr>
                      </pic:pic>
                    </a:graphicData>
                  </a:graphic>
                </wp:inline>
              </w:drawing>
            </w:r>
          </w:p>
          <w:p w14:paraId="1F87EE39" w14:textId="39F66B43" w:rsidR="00D82184" w:rsidRPr="00D82184" w:rsidRDefault="00D82184" w:rsidP="00D82184">
            <w:pPr>
              <w:ind w:firstLine="0"/>
              <w:jc w:val="center"/>
              <w:rPr>
                <w:szCs w:val="24"/>
                <w:lang w:val="en-US"/>
              </w:rPr>
            </w:pPr>
            <w:r>
              <w:rPr>
                <w:noProof/>
                <w:szCs w:val="24"/>
                <w:lang w:val="en-US"/>
              </w:rPr>
              <w:t>(a)</w:t>
            </w:r>
          </w:p>
        </w:tc>
      </w:tr>
      <w:tr w:rsidR="00051297" w:rsidRPr="00051297" w14:paraId="0FEE9A80" w14:textId="77777777" w:rsidTr="00D20B01">
        <w:tc>
          <w:tcPr>
            <w:tcW w:w="9350" w:type="dxa"/>
          </w:tcPr>
          <w:p w14:paraId="2CDAD08C" w14:textId="2115FBDB" w:rsidR="00051297" w:rsidRDefault="00D82184" w:rsidP="00051297">
            <w:pPr>
              <w:keepNext/>
              <w:ind w:firstLine="0"/>
              <w:jc w:val="center"/>
              <w:rPr>
                <w:noProof/>
                <w:szCs w:val="24"/>
              </w:rPr>
            </w:pPr>
            <w:r w:rsidRPr="00D82184">
              <w:rPr>
                <w:noProof/>
                <w:szCs w:val="24"/>
              </w:rPr>
              <w:lastRenderedPageBreak/>
              <w:drawing>
                <wp:inline distT="0" distB="0" distL="0" distR="0" wp14:anchorId="27507FE2" wp14:editId="2255FE73">
                  <wp:extent cx="2540977" cy="3557368"/>
                  <wp:effectExtent l="0" t="0" r="0" b="508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542427" cy="3559398"/>
                          </a:xfrm>
                          <a:prstGeom prst="rect">
                            <a:avLst/>
                          </a:prstGeom>
                          <a:noFill/>
                          <a:ln>
                            <a:noFill/>
                          </a:ln>
                        </pic:spPr>
                      </pic:pic>
                    </a:graphicData>
                  </a:graphic>
                </wp:inline>
              </w:drawing>
            </w:r>
          </w:p>
          <w:p w14:paraId="487D7497" w14:textId="1F47CF22" w:rsidR="00D82184" w:rsidRPr="00D82184" w:rsidRDefault="00D82184" w:rsidP="00051297">
            <w:pPr>
              <w:keepNext/>
              <w:ind w:firstLine="0"/>
              <w:jc w:val="center"/>
              <w:rPr>
                <w:szCs w:val="24"/>
                <w:lang w:val="en-US"/>
              </w:rPr>
            </w:pPr>
            <w:r>
              <w:rPr>
                <w:noProof/>
                <w:szCs w:val="24"/>
                <w:lang w:val="en-US"/>
              </w:rPr>
              <w:t>(b)</w:t>
            </w:r>
          </w:p>
        </w:tc>
      </w:tr>
    </w:tbl>
    <w:p w14:paraId="4FA9EB94" w14:textId="2CE8286B" w:rsidR="00051297" w:rsidRPr="001B6CEC" w:rsidRDefault="00051297" w:rsidP="001B6CEC">
      <w:pPr>
        <w:tabs>
          <w:tab w:val="left" w:pos="993"/>
        </w:tabs>
        <w:ind w:firstLine="0"/>
        <w:jc w:val="center"/>
        <w:rPr>
          <w:rFonts w:eastAsia="Calibri" w:cs="Times New Roman"/>
          <w:szCs w:val="24"/>
          <w:lang w:val="en-US"/>
        </w:rPr>
      </w:pPr>
      <w:bookmarkStart w:id="1750" w:name="_Ref98110107"/>
      <w:bookmarkStart w:id="1751" w:name="_Toc97428355"/>
      <w:bookmarkStart w:id="1752" w:name="_Toc98086031"/>
      <w:bookmarkStart w:id="1753" w:name="_Toc103544229"/>
      <w:bookmarkStart w:id="1754" w:name="_Toc104985555"/>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96</w:t>
      </w:r>
      <w:r w:rsidR="00527861">
        <w:rPr>
          <w:lang w:val="en-US"/>
        </w:rPr>
        <w:fldChar w:fldCharType="end"/>
      </w:r>
      <w:bookmarkEnd w:id="1750"/>
      <w:r w:rsidRPr="00051297">
        <w:rPr>
          <w:lang w:val="en-US"/>
        </w:rPr>
        <w:t xml:space="preserve"> – Rapid drawdown (1 m per day) slope stability under reduced reservoir operating level</w:t>
      </w:r>
      <w:bookmarkEnd w:id="1751"/>
      <w:bookmarkEnd w:id="1752"/>
      <w:bookmarkEnd w:id="1753"/>
      <w:r w:rsidR="001B6CEC">
        <w:rPr>
          <w:rFonts w:eastAsia="Calibri" w:cs="Times New Roman"/>
          <w:szCs w:val="24"/>
          <w:lang w:val="en-US"/>
        </w:rPr>
        <w:t>:</w:t>
      </w:r>
      <w:r w:rsidR="001B6CEC" w:rsidRPr="009330D7">
        <w:rPr>
          <w:rFonts w:eastAsia="Calibri" w:cs="Times New Roman"/>
          <w:szCs w:val="24"/>
          <w:lang w:val="en-US"/>
        </w:rPr>
        <w:t xml:space="preserve"> </w:t>
      </w:r>
      <w:r w:rsidR="001B6CEC">
        <w:rPr>
          <w:rFonts w:eastAsia="Calibri" w:cs="Times New Roman"/>
          <w:szCs w:val="24"/>
          <w:lang w:val="en-US"/>
        </w:rPr>
        <w:t>a) embankment with slip surface; b) graph of factor of safety values</w:t>
      </w:r>
      <w:bookmarkEnd w:id="1754"/>
    </w:p>
    <w:p w14:paraId="44BF66C1" w14:textId="77777777" w:rsidR="00051297" w:rsidRPr="001B6CEC" w:rsidRDefault="00051297" w:rsidP="00051297">
      <w:pPr>
        <w:numPr>
          <w:ilvl w:val="0"/>
          <w:numId w:val="30"/>
        </w:numPr>
        <w:tabs>
          <w:tab w:val="left" w:pos="993"/>
        </w:tabs>
        <w:ind w:left="0" w:firstLine="709"/>
        <w:contextualSpacing/>
        <w:rPr>
          <w:rFonts w:eastAsia="Calibri" w:cs="Times New Roman"/>
          <w:szCs w:val="24"/>
          <w:lang w:val="en-US"/>
        </w:rPr>
      </w:pPr>
      <w:r w:rsidRPr="001B6CEC">
        <w:rPr>
          <w:rFonts w:eastAsia="Calibri" w:cs="Times New Roman"/>
          <w:szCs w:val="24"/>
          <w:lang w:val="en-US"/>
        </w:rPr>
        <w:t>Reservoir</w:t>
      </w:r>
      <w:r w:rsidRPr="001B6CEC">
        <w:rPr>
          <w:rFonts w:cs="Times New Roman"/>
          <w:szCs w:val="24"/>
          <w:lang w:val="en-US"/>
        </w:rPr>
        <w:t xml:space="preserve"> </w:t>
      </w:r>
      <w:r w:rsidRPr="001B6CEC">
        <w:rPr>
          <w:rFonts w:eastAsia="Calibri" w:cs="Times New Roman"/>
          <w:szCs w:val="24"/>
          <w:lang w:val="en-US"/>
        </w:rPr>
        <w:t>operating at embankment height</w:t>
      </w:r>
    </w:p>
    <w:p w14:paraId="7DD5D9B8" w14:textId="3E28B292"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_Ref98110131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97</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a 1 m per day drawdown rate and embankment height operating reservoir level.</w:t>
      </w:r>
      <w:r w:rsidRPr="00051297">
        <w:rPr>
          <w:rFonts w:cs="Times New Roman"/>
          <w:szCs w:val="24"/>
          <w:lang w:val="en-US"/>
        </w:rPr>
        <w:t xml:space="preserve"> </w:t>
      </w:r>
      <w:r w:rsidRPr="00051297">
        <w:rPr>
          <w:rFonts w:eastAsia="Calibri" w:cs="Times New Roman"/>
          <w:szCs w:val="24"/>
          <w:lang w:val="en-US"/>
        </w:rPr>
        <w:t>The combination of 1 m per day drawdown rate and operational reservoir level at embankment height resulted in a minimal factor of safety value of 2.133, as can be shown. The minimum factor of safety value obtained is approximately 36.7% less than the 3.369 factor of safety value obtained from the combination of steady-state condition and reservoir operating at embankment height obtained from the combination of steady-state condition and reservoir operating at embankment height.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126CF51C" w14:textId="77777777" w:rsidTr="00D20B01">
        <w:tc>
          <w:tcPr>
            <w:tcW w:w="9350" w:type="dxa"/>
          </w:tcPr>
          <w:p w14:paraId="1621D4E1" w14:textId="6F5F6B5D" w:rsidR="00051297" w:rsidRDefault="009D2C8F" w:rsidP="009D2C8F">
            <w:pPr>
              <w:ind w:firstLine="0"/>
              <w:jc w:val="center"/>
              <w:rPr>
                <w:noProof/>
                <w:szCs w:val="24"/>
              </w:rPr>
            </w:pPr>
            <w:r>
              <w:rPr>
                <w:noProof/>
              </w:rPr>
              <w:drawing>
                <wp:inline distT="0" distB="0" distL="0" distR="0" wp14:anchorId="18F87AD7" wp14:editId="0834DF19">
                  <wp:extent cx="5939790" cy="1348740"/>
                  <wp:effectExtent l="0" t="0" r="3810" b="381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939790" cy="1348740"/>
                          </a:xfrm>
                          <a:prstGeom prst="rect">
                            <a:avLst/>
                          </a:prstGeom>
                          <a:noFill/>
                          <a:ln>
                            <a:noFill/>
                          </a:ln>
                        </pic:spPr>
                      </pic:pic>
                    </a:graphicData>
                  </a:graphic>
                </wp:inline>
              </w:drawing>
            </w:r>
          </w:p>
          <w:p w14:paraId="100E5F5C" w14:textId="41328464" w:rsidR="009D2C8F" w:rsidRPr="009D2C8F" w:rsidRDefault="009D2C8F" w:rsidP="009D2C8F">
            <w:pPr>
              <w:ind w:firstLine="0"/>
              <w:jc w:val="center"/>
              <w:rPr>
                <w:szCs w:val="24"/>
                <w:lang w:val="en-US"/>
              </w:rPr>
            </w:pPr>
            <w:r>
              <w:rPr>
                <w:noProof/>
                <w:szCs w:val="24"/>
                <w:lang w:val="en-US"/>
              </w:rPr>
              <w:t>(a)</w:t>
            </w:r>
          </w:p>
        </w:tc>
      </w:tr>
      <w:tr w:rsidR="00051297" w:rsidRPr="00051297" w14:paraId="2954B635" w14:textId="77777777" w:rsidTr="00D20B01">
        <w:tc>
          <w:tcPr>
            <w:tcW w:w="9350" w:type="dxa"/>
          </w:tcPr>
          <w:p w14:paraId="66E8BCD7" w14:textId="467D7888" w:rsidR="00051297" w:rsidRDefault="009D2C8F" w:rsidP="00051297">
            <w:pPr>
              <w:keepNext/>
              <w:ind w:firstLine="0"/>
              <w:jc w:val="center"/>
              <w:rPr>
                <w:noProof/>
                <w:szCs w:val="24"/>
              </w:rPr>
            </w:pPr>
            <w:r w:rsidRPr="009D2C8F">
              <w:rPr>
                <w:noProof/>
                <w:szCs w:val="24"/>
              </w:rPr>
              <w:lastRenderedPageBreak/>
              <w:drawing>
                <wp:inline distT="0" distB="0" distL="0" distR="0" wp14:anchorId="57D485F8" wp14:editId="4E338BA8">
                  <wp:extent cx="2505808" cy="3508131"/>
                  <wp:effectExtent l="0" t="0" r="889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510401" cy="3514562"/>
                          </a:xfrm>
                          <a:prstGeom prst="rect">
                            <a:avLst/>
                          </a:prstGeom>
                          <a:noFill/>
                          <a:ln>
                            <a:noFill/>
                          </a:ln>
                        </pic:spPr>
                      </pic:pic>
                    </a:graphicData>
                  </a:graphic>
                </wp:inline>
              </w:drawing>
            </w:r>
          </w:p>
          <w:p w14:paraId="7903FED9" w14:textId="6C367D2A" w:rsidR="009D2C8F" w:rsidRPr="009D2C8F" w:rsidRDefault="009D2C8F" w:rsidP="00051297">
            <w:pPr>
              <w:keepNext/>
              <w:ind w:firstLine="0"/>
              <w:jc w:val="center"/>
              <w:rPr>
                <w:szCs w:val="24"/>
                <w:lang w:val="en-US"/>
              </w:rPr>
            </w:pPr>
            <w:r>
              <w:rPr>
                <w:noProof/>
                <w:szCs w:val="24"/>
                <w:lang w:val="en-US"/>
              </w:rPr>
              <w:t>(b)</w:t>
            </w:r>
          </w:p>
        </w:tc>
      </w:tr>
    </w:tbl>
    <w:p w14:paraId="31DECDF8" w14:textId="49B566C3" w:rsidR="00051297" w:rsidRPr="001B6CEC" w:rsidRDefault="00051297" w:rsidP="001B6CEC">
      <w:pPr>
        <w:tabs>
          <w:tab w:val="left" w:pos="993"/>
        </w:tabs>
        <w:ind w:firstLine="0"/>
        <w:jc w:val="center"/>
        <w:rPr>
          <w:rFonts w:eastAsia="Calibri" w:cs="Times New Roman"/>
          <w:szCs w:val="24"/>
          <w:lang w:val="en-US"/>
        </w:rPr>
      </w:pPr>
      <w:bookmarkStart w:id="1755" w:name="_Ref98110131"/>
      <w:bookmarkStart w:id="1756" w:name="_Toc97428356"/>
      <w:bookmarkStart w:id="1757" w:name="_Toc98086032"/>
      <w:bookmarkStart w:id="1758" w:name="_Toc103544230"/>
      <w:bookmarkStart w:id="1759" w:name="_Toc104985556"/>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97</w:t>
      </w:r>
      <w:r w:rsidR="00527861">
        <w:rPr>
          <w:lang w:val="en-US"/>
        </w:rPr>
        <w:fldChar w:fldCharType="end"/>
      </w:r>
      <w:bookmarkEnd w:id="1755"/>
      <w:r w:rsidRPr="00051297">
        <w:rPr>
          <w:lang w:val="en-US"/>
        </w:rPr>
        <w:t xml:space="preserve"> – Rapid drawdown (1 m per day) slope stability at embankment height</w:t>
      </w:r>
      <w:bookmarkEnd w:id="1756"/>
      <w:bookmarkEnd w:id="1757"/>
      <w:bookmarkEnd w:id="1758"/>
      <w:r w:rsidR="001B6CEC">
        <w:rPr>
          <w:rFonts w:eastAsia="Calibri" w:cs="Times New Roman"/>
          <w:szCs w:val="24"/>
          <w:lang w:val="en-US"/>
        </w:rPr>
        <w:t>:</w:t>
      </w:r>
      <w:r w:rsidR="001B6CEC" w:rsidRPr="009330D7">
        <w:rPr>
          <w:rFonts w:eastAsia="Calibri" w:cs="Times New Roman"/>
          <w:szCs w:val="24"/>
          <w:lang w:val="en-US"/>
        </w:rPr>
        <w:t xml:space="preserve"> </w:t>
      </w:r>
      <w:r w:rsidR="001B6CEC">
        <w:rPr>
          <w:rFonts w:eastAsia="Calibri" w:cs="Times New Roman"/>
          <w:szCs w:val="24"/>
          <w:lang w:val="en-US"/>
        </w:rPr>
        <w:t>a) embankment with slip surface; b) graph of factor of safety values</w:t>
      </w:r>
      <w:bookmarkEnd w:id="1759"/>
    </w:p>
    <w:p w14:paraId="4B907E35" w14:textId="77777777" w:rsidR="00051297" w:rsidRPr="001B6CEC" w:rsidRDefault="00051297" w:rsidP="00051297">
      <w:pPr>
        <w:numPr>
          <w:ilvl w:val="0"/>
          <w:numId w:val="30"/>
        </w:numPr>
        <w:tabs>
          <w:tab w:val="left" w:pos="993"/>
        </w:tabs>
        <w:ind w:left="0" w:firstLine="709"/>
        <w:contextualSpacing/>
        <w:rPr>
          <w:rFonts w:eastAsia="Calibri" w:cs="Times New Roman"/>
          <w:szCs w:val="24"/>
          <w:lang w:val="en-US"/>
        </w:rPr>
      </w:pPr>
      <w:r w:rsidRPr="001B6CEC">
        <w:rPr>
          <w:rFonts w:eastAsia="Calibri" w:cs="Times New Roman"/>
          <w:szCs w:val="24"/>
          <w:lang w:val="en-US"/>
        </w:rPr>
        <w:t>Reservoir operating under overflow condition</w:t>
      </w:r>
    </w:p>
    <w:p w14:paraId="01468C4D" w14:textId="37A2B809" w:rsidR="00051297" w:rsidRPr="00051297" w:rsidRDefault="00051297" w:rsidP="00051297">
      <w:pPr>
        <w:tabs>
          <w:tab w:val="left" w:pos="993"/>
        </w:tabs>
        <w:rPr>
          <w:rFonts w:eastAsia="Calibri" w:cs="Times New Roman"/>
          <w:szCs w:val="24"/>
          <w:lang w:val="en-US"/>
        </w:rPr>
      </w:pPr>
      <w:r w:rsidRPr="00051297">
        <w:rPr>
          <w:rFonts w:eastAsia="Calibri" w:cs="Times New Roman"/>
          <w:szCs w:val="24"/>
          <w:lang w:val="en-US"/>
        </w:rPr>
        <w:fldChar w:fldCharType="begin"/>
      </w:r>
      <w:r w:rsidRPr="00051297">
        <w:rPr>
          <w:rFonts w:eastAsia="Calibri" w:cs="Times New Roman"/>
          <w:szCs w:val="24"/>
          <w:lang w:val="en-US"/>
        </w:rPr>
        <w:instrText xml:space="preserve"> REF _Ref98110239 \h </w:instrText>
      </w:r>
      <w:r w:rsidRPr="00051297">
        <w:rPr>
          <w:rFonts w:eastAsia="Calibri" w:cs="Times New Roman"/>
          <w:szCs w:val="24"/>
          <w:lang w:val="en-US"/>
        </w:rPr>
      </w:r>
      <w:r w:rsidRPr="00051297">
        <w:rPr>
          <w:rFonts w:eastAsia="Calibri" w:cs="Times New Roman"/>
          <w:szCs w:val="24"/>
          <w:lang w:val="en-US"/>
        </w:rPr>
        <w:fldChar w:fldCharType="separate"/>
      </w:r>
      <w:r w:rsidR="004870F1" w:rsidRPr="00051297">
        <w:rPr>
          <w:lang w:val="en-US"/>
        </w:rPr>
        <w:t xml:space="preserve">Figure </w:t>
      </w:r>
      <w:r w:rsidR="004870F1">
        <w:rPr>
          <w:noProof/>
          <w:lang w:val="en-US"/>
        </w:rPr>
        <w:t>5</w:t>
      </w:r>
      <w:r w:rsidR="004870F1">
        <w:rPr>
          <w:lang w:val="en-US"/>
        </w:rPr>
        <w:t>.</w:t>
      </w:r>
      <w:r w:rsidR="004870F1">
        <w:rPr>
          <w:noProof/>
          <w:lang w:val="en-US"/>
        </w:rPr>
        <w:t>98</w:t>
      </w:r>
      <w:r w:rsidRPr="00051297">
        <w:rPr>
          <w:rFonts w:eastAsia="Calibri" w:cs="Times New Roman"/>
          <w:szCs w:val="24"/>
          <w:lang w:val="en-US"/>
        </w:rPr>
        <w:fldChar w:fldCharType="end"/>
      </w:r>
      <w:r w:rsidRPr="00051297">
        <w:rPr>
          <w:rFonts w:eastAsia="Calibri" w:cs="Times New Roman"/>
          <w:szCs w:val="24"/>
          <w:lang w:val="en-US"/>
        </w:rPr>
        <w:t xml:space="preserve"> shows slope stability results after the embankment was exposed to a 1 m per day drawdown rate and overflow operating reservoir level.</w:t>
      </w:r>
      <w:r w:rsidRPr="00051297">
        <w:rPr>
          <w:rFonts w:cs="Times New Roman"/>
          <w:szCs w:val="24"/>
          <w:lang w:val="en-US"/>
        </w:rPr>
        <w:t xml:space="preserve"> </w:t>
      </w:r>
      <w:r w:rsidRPr="00051297">
        <w:rPr>
          <w:rFonts w:eastAsia="Calibri" w:cs="Times New Roman"/>
          <w:szCs w:val="24"/>
          <w:lang w:val="en-US"/>
        </w:rPr>
        <w:t>The minimum factor of safety value obtained from a combination of 1 m per day drawdown rate and overflow water operating level was 2.09, which was 38% lower than the 3.369 factor of safety value obtained from a combination of steady-state condition and reduced reservoir water operating level.</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51297" w:rsidRPr="00051297" w14:paraId="16A8B7B8" w14:textId="77777777" w:rsidTr="00D20B01">
        <w:tc>
          <w:tcPr>
            <w:tcW w:w="9350" w:type="dxa"/>
          </w:tcPr>
          <w:p w14:paraId="441CCFE9" w14:textId="697E8804" w:rsidR="00051297" w:rsidRDefault="009D2C8F" w:rsidP="009D2C8F">
            <w:pPr>
              <w:ind w:firstLine="0"/>
              <w:jc w:val="center"/>
              <w:rPr>
                <w:noProof/>
                <w:szCs w:val="24"/>
              </w:rPr>
            </w:pPr>
            <w:r>
              <w:rPr>
                <w:noProof/>
              </w:rPr>
              <w:drawing>
                <wp:inline distT="0" distB="0" distL="0" distR="0" wp14:anchorId="25A4ECF0" wp14:editId="6993E329">
                  <wp:extent cx="5939790" cy="1349375"/>
                  <wp:effectExtent l="0" t="0" r="3810" b="317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939790" cy="1349375"/>
                          </a:xfrm>
                          <a:prstGeom prst="rect">
                            <a:avLst/>
                          </a:prstGeom>
                          <a:noFill/>
                          <a:ln>
                            <a:noFill/>
                          </a:ln>
                        </pic:spPr>
                      </pic:pic>
                    </a:graphicData>
                  </a:graphic>
                </wp:inline>
              </w:drawing>
            </w:r>
          </w:p>
          <w:p w14:paraId="0A811FAC" w14:textId="7D24A078" w:rsidR="009D2C8F" w:rsidRPr="009D2C8F" w:rsidRDefault="009D2C8F" w:rsidP="009D2C8F">
            <w:pPr>
              <w:ind w:firstLine="0"/>
              <w:jc w:val="center"/>
              <w:rPr>
                <w:szCs w:val="24"/>
                <w:lang w:val="en-US"/>
              </w:rPr>
            </w:pPr>
            <w:r>
              <w:rPr>
                <w:noProof/>
                <w:szCs w:val="24"/>
                <w:lang w:val="en-US"/>
              </w:rPr>
              <w:t>(a)</w:t>
            </w:r>
          </w:p>
        </w:tc>
      </w:tr>
      <w:tr w:rsidR="00051297" w:rsidRPr="00051297" w14:paraId="57D4CFD3" w14:textId="77777777" w:rsidTr="00D20B01">
        <w:tc>
          <w:tcPr>
            <w:tcW w:w="9350" w:type="dxa"/>
          </w:tcPr>
          <w:p w14:paraId="6F3A638E" w14:textId="66FB808D" w:rsidR="00051297" w:rsidRDefault="009D2C8F" w:rsidP="00051297">
            <w:pPr>
              <w:keepNext/>
              <w:ind w:firstLine="0"/>
              <w:jc w:val="center"/>
              <w:rPr>
                <w:noProof/>
                <w:szCs w:val="24"/>
              </w:rPr>
            </w:pPr>
            <w:r w:rsidRPr="009D2C8F">
              <w:rPr>
                <w:noProof/>
                <w:szCs w:val="24"/>
              </w:rPr>
              <w:lastRenderedPageBreak/>
              <w:drawing>
                <wp:inline distT="0" distB="0" distL="0" distR="0" wp14:anchorId="5A9B7C7E" wp14:editId="2E542B61">
                  <wp:extent cx="2576146" cy="3606604"/>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580271" cy="3612379"/>
                          </a:xfrm>
                          <a:prstGeom prst="rect">
                            <a:avLst/>
                          </a:prstGeom>
                          <a:noFill/>
                          <a:ln>
                            <a:noFill/>
                          </a:ln>
                        </pic:spPr>
                      </pic:pic>
                    </a:graphicData>
                  </a:graphic>
                </wp:inline>
              </w:drawing>
            </w:r>
          </w:p>
          <w:p w14:paraId="619CCF97" w14:textId="3C17175E" w:rsidR="009D2C8F" w:rsidRPr="009D2C8F" w:rsidRDefault="009D2C8F" w:rsidP="00051297">
            <w:pPr>
              <w:keepNext/>
              <w:ind w:firstLine="0"/>
              <w:jc w:val="center"/>
              <w:rPr>
                <w:szCs w:val="24"/>
                <w:lang w:val="en-US"/>
              </w:rPr>
            </w:pPr>
            <w:r>
              <w:rPr>
                <w:noProof/>
                <w:szCs w:val="24"/>
                <w:lang w:val="en-US"/>
              </w:rPr>
              <w:t>(b)</w:t>
            </w:r>
          </w:p>
        </w:tc>
      </w:tr>
    </w:tbl>
    <w:p w14:paraId="1A35AC78" w14:textId="7F2DF1D9" w:rsidR="00051297" w:rsidRPr="001B6CEC" w:rsidRDefault="00051297" w:rsidP="001B6CEC">
      <w:pPr>
        <w:tabs>
          <w:tab w:val="left" w:pos="993"/>
        </w:tabs>
        <w:ind w:firstLine="0"/>
        <w:jc w:val="center"/>
        <w:rPr>
          <w:rFonts w:eastAsia="Calibri" w:cs="Times New Roman"/>
          <w:szCs w:val="24"/>
          <w:lang w:val="en-US"/>
        </w:rPr>
      </w:pPr>
      <w:bookmarkStart w:id="1760" w:name="_Ref98110239"/>
      <w:bookmarkStart w:id="1761" w:name="_Toc97428357"/>
      <w:bookmarkStart w:id="1762" w:name="_Toc98086033"/>
      <w:bookmarkStart w:id="1763" w:name="_Toc103544231"/>
      <w:bookmarkStart w:id="1764" w:name="_Toc104985557"/>
      <w:r w:rsidRPr="00051297">
        <w:rPr>
          <w:lang w:val="en-US"/>
        </w:rPr>
        <w:t xml:space="preserve">Figure </w:t>
      </w:r>
      <w:r w:rsidR="00527861">
        <w:rPr>
          <w:lang w:val="en-US"/>
        </w:rPr>
        <w:fldChar w:fldCharType="begin"/>
      </w:r>
      <w:r w:rsidR="00527861">
        <w:rPr>
          <w:lang w:val="en-US"/>
        </w:rPr>
        <w:instrText xml:space="preserve"> STYLEREF 1 \s </w:instrText>
      </w:r>
      <w:r w:rsidR="00527861">
        <w:rPr>
          <w:lang w:val="en-US"/>
        </w:rPr>
        <w:fldChar w:fldCharType="separate"/>
      </w:r>
      <w:r w:rsidR="004870F1">
        <w:rPr>
          <w:noProof/>
          <w:lang w:val="en-US"/>
        </w:rPr>
        <w:t>5</w:t>
      </w:r>
      <w:r w:rsidR="00527861">
        <w:rPr>
          <w:lang w:val="en-US"/>
        </w:rPr>
        <w:fldChar w:fldCharType="end"/>
      </w:r>
      <w:r w:rsidR="00527861">
        <w:rPr>
          <w:lang w:val="en-US"/>
        </w:rPr>
        <w:t>.</w:t>
      </w:r>
      <w:r w:rsidR="00527861">
        <w:rPr>
          <w:lang w:val="en-US"/>
        </w:rPr>
        <w:fldChar w:fldCharType="begin"/>
      </w:r>
      <w:r w:rsidR="00527861">
        <w:rPr>
          <w:lang w:val="en-US"/>
        </w:rPr>
        <w:instrText xml:space="preserve"> SEQ Figure \* ARABIC \s 1 </w:instrText>
      </w:r>
      <w:r w:rsidR="00527861">
        <w:rPr>
          <w:lang w:val="en-US"/>
        </w:rPr>
        <w:fldChar w:fldCharType="separate"/>
      </w:r>
      <w:r w:rsidR="004870F1">
        <w:rPr>
          <w:noProof/>
          <w:lang w:val="en-US"/>
        </w:rPr>
        <w:t>98</w:t>
      </w:r>
      <w:r w:rsidR="00527861">
        <w:rPr>
          <w:lang w:val="en-US"/>
        </w:rPr>
        <w:fldChar w:fldCharType="end"/>
      </w:r>
      <w:bookmarkEnd w:id="1760"/>
      <w:r w:rsidRPr="00051297">
        <w:rPr>
          <w:lang w:val="en-US"/>
        </w:rPr>
        <w:t xml:space="preserve"> – Rapid drawdown (1 m per day) slope stability at the overflow</w:t>
      </w:r>
      <w:bookmarkEnd w:id="1761"/>
      <w:bookmarkEnd w:id="1762"/>
      <w:bookmarkEnd w:id="1763"/>
      <w:r w:rsidR="001B6CEC">
        <w:rPr>
          <w:rFonts w:eastAsia="Calibri" w:cs="Times New Roman"/>
          <w:szCs w:val="24"/>
          <w:lang w:val="en-US"/>
        </w:rPr>
        <w:t>:</w:t>
      </w:r>
      <w:r w:rsidR="001B6CEC" w:rsidRPr="009330D7">
        <w:rPr>
          <w:rFonts w:eastAsia="Calibri" w:cs="Times New Roman"/>
          <w:szCs w:val="24"/>
          <w:lang w:val="en-US"/>
        </w:rPr>
        <w:t xml:space="preserve"> </w:t>
      </w:r>
      <w:r w:rsidR="001B6CEC">
        <w:rPr>
          <w:rFonts w:eastAsia="Calibri" w:cs="Times New Roman"/>
          <w:szCs w:val="24"/>
          <w:lang w:val="en-US"/>
        </w:rPr>
        <w:t>a) embankment with slip surface; b) graph of factor of safety values</w:t>
      </w:r>
      <w:bookmarkEnd w:id="1764"/>
    </w:p>
    <w:p w14:paraId="182630C4" w14:textId="7FF2F965" w:rsidR="00051297" w:rsidRPr="00051297" w:rsidRDefault="00051297" w:rsidP="00A44A2E">
      <w:pPr>
        <w:pStyle w:val="5"/>
        <w:rPr>
          <w:rFonts w:eastAsia="Calibri"/>
          <w:lang w:val="en-US"/>
        </w:rPr>
      </w:pPr>
      <w:bookmarkStart w:id="1765" w:name="_Toc103544049"/>
      <w:bookmarkStart w:id="1766" w:name="_Toc104985374"/>
      <w:r w:rsidRPr="00051297">
        <w:rPr>
          <w:rFonts w:eastAsia="Calibri"/>
          <w:lang w:val="en-US"/>
        </w:rPr>
        <w:t>Correlation analysis</w:t>
      </w:r>
      <w:bookmarkEnd w:id="1765"/>
      <w:bookmarkEnd w:id="1766"/>
    </w:p>
    <w:p w14:paraId="0C299963" w14:textId="101432CE" w:rsidR="00051297" w:rsidRPr="00051297" w:rsidRDefault="00051297" w:rsidP="00051297">
      <w:pPr>
        <w:rPr>
          <w:lang w:val="en-US" w:bidi="en-US"/>
        </w:rPr>
      </w:pPr>
      <w:r w:rsidRPr="00051297">
        <w:rPr>
          <w:lang w:val="en-US" w:bidi="en-US"/>
        </w:rPr>
        <w:t xml:space="preserve">Four slope stability variables were used in the correlation study (drawdown days, minimum factor of safety values, and pore-water pressures). </w:t>
      </w:r>
      <w:r w:rsidRPr="00051297">
        <w:rPr>
          <w:lang w:val="en-US" w:bidi="en-US"/>
        </w:rPr>
        <w:fldChar w:fldCharType="begin"/>
      </w:r>
      <w:r w:rsidRPr="00051297">
        <w:rPr>
          <w:lang w:val="en-US" w:bidi="en-US"/>
        </w:rPr>
        <w:instrText xml:space="preserve"> REF _Ref100864595 \h </w:instrText>
      </w:r>
      <w:r w:rsidRPr="00051297">
        <w:rPr>
          <w:lang w:val="en-US" w:bidi="en-US"/>
        </w:rPr>
      </w:r>
      <w:r w:rsidRPr="00051297">
        <w:rPr>
          <w:lang w:val="en-US" w:bidi="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21</w:t>
      </w:r>
      <w:r w:rsidRPr="00051297">
        <w:rPr>
          <w:lang w:val="en-US" w:bidi="en-US"/>
        </w:rPr>
        <w:fldChar w:fldCharType="end"/>
      </w:r>
      <w:r w:rsidRPr="00051297">
        <w:rPr>
          <w:lang w:val="en-US" w:bidi="en-US"/>
        </w:rPr>
        <w:t xml:space="preserve"> shows that there was a strong </w:t>
      </w:r>
      <w:r w:rsidR="00515CD9">
        <w:rPr>
          <w:lang w:val="en-US" w:bidi="en-US"/>
        </w:rPr>
        <w:t>correlation</w:t>
      </w:r>
      <w:r w:rsidRPr="00051297">
        <w:rPr>
          <w:lang w:val="en-US" w:bidi="en-US"/>
        </w:rPr>
        <w:t xml:space="preserve"> </w:t>
      </w:r>
      <w:r w:rsidR="00515CD9">
        <w:rPr>
          <w:lang w:val="en-US" w:bidi="en-US"/>
        </w:rPr>
        <w:t>among</w:t>
      </w:r>
      <w:r w:rsidRPr="00051297">
        <w:rPr>
          <w:lang w:val="en-US" w:bidi="en-US"/>
        </w:rPr>
        <w:t xml:space="preserve"> the components studied, with correlation values ranging from 0.794 to 0.997. The minimum factor of safety values and pore-water pressures have the strongest correlation of -0.997; this occurrence can be attributed to the fact that the degree of pore-water pressure dissipation within the embankment has a significant impact on embankment stability</w:t>
      </w:r>
      <w:r w:rsidRPr="00051297">
        <w:rPr>
          <w:lang w:val="en-US"/>
        </w:rPr>
        <w:t xml:space="preserve">. The phenomenon is reinforced by some results observed in the literature; whereby, according to the study conducted by Mukhlisin and Naam </w:t>
      </w:r>
      <w:r w:rsidRPr="00051297">
        <w:rPr>
          <w:lang w:val="en-US"/>
        </w:rPr>
        <w:fldChar w:fldCharType="begin" w:fldLock="1"/>
      </w:r>
      <w:r w:rsidR="0044426E">
        <w:rPr>
          <w:lang w:val="en-US"/>
        </w:rPr>
        <w:instrText>ADDIN CSL_CITATION {"citationItems":[{"id":"ITEM-1","itemData":{"DOI":"https://doi.org/10.1007/s12594-015-0320-6","author":[{"dropping-particle":"","family":"Mukhlisin","given":"Muhammad","non-dropping-particle":"","parse-names":false,"suffix":""},{"dropping-particle":"","family":"Naam","given":"Syahdatul Isnain","non-dropping-particle":"","parse-names":false,"suffix":""}],"container-title":"Journal of the Geological Society of India","id":"ITEM-1","issued":{"date-parts":[["2015"]]},"page":"337–343","title":"Effect of rock fragments on pore water pressure and slope stability at a hillslope","type":"article-journal","volume":"86"},"uris":["http://www.mendeley.com/documents/?uuid=c7b0cd79-aa25-4e16-a920-dbfc929cfce5"]}],"mendeley":{"formattedCitation":"[307]","plainTextFormattedCitation":"[307]","previouslyFormattedCitation":"[307]"},"properties":{"noteIndex":0},"schema":"https://github.com/citation-style-language/schema/raw/master/csl-citation.json"}</w:instrText>
      </w:r>
      <w:r w:rsidRPr="00051297">
        <w:rPr>
          <w:lang w:val="en-US"/>
        </w:rPr>
        <w:fldChar w:fldCharType="separate"/>
      </w:r>
      <w:r w:rsidR="00FA5896" w:rsidRPr="00FA5896">
        <w:rPr>
          <w:noProof/>
          <w:lang w:val="en-US"/>
        </w:rPr>
        <w:t>[307]</w:t>
      </w:r>
      <w:r w:rsidRPr="00051297">
        <w:rPr>
          <w:lang w:val="en-US"/>
        </w:rPr>
        <w:fldChar w:fldCharType="end"/>
      </w:r>
      <w:r w:rsidRPr="00051297">
        <w:rPr>
          <w:lang w:val="en-US"/>
        </w:rPr>
        <w:t>, it was observed that the slope might become less stable when the pore water pressure rises. The negative correlation is an indication that when the other factors were increasing, the pore-water pressures in the embankment were decreasing and vice versa.</w:t>
      </w:r>
    </w:p>
    <w:p w14:paraId="32EE17B3" w14:textId="40B45360" w:rsidR="00051297" w:rsidRPr="00051297" w:rsidRDefault="00051297" w:rsidP="00051297">
      <w:pPr>
        <w:rPr>
          <w:lang w:val="en-US"/>
        </w:rPr>
      </w:pPr>
      <w:bookmarkStart w:id="1767" w:name="_Ref100864595"/>
      <w:bookmarkStart w:id="1768" w:name="_Toc103544276"/>
      <w:bookmarkStart w:id="1769" w:name="_Toc104985602"/>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21</w:t>
      </w:r>
      <w:r w:rsidRPr="00051297">
        <w:rPr>
          <w:lang w:val="en-US"/>
        </w:rPr>
        <w:fldChar w:fldCharType="end"/>
      </w:r>
      <w:bookmarkEnd w:id="1767"/>
      <w:r w:rsidRPr="00051297">
        <w:rPr>
          <w:lang w:val="en-US"/>
        </w:rPr>
        <w:t xml:space="preserve"> Correlation coefficients among different slope stability factors</w:t>
      </w:r>
      <w:bookmarkEnd w:id="1768"/>
      <w:bookmarkEnd w:id="1769"/>
    </w:p>
    <w:tbl>
      <w:tblPr>
        <w:tblStyle w:val="a8"/>
        <w:tblW w:w="0" w:type="auto"/>
        <w:jc w:val="center"/>
        <w:tblLook w:val="04A0" w:firstRow="1" w:lastRow="0" w:firstColumn="1" w:lastColumn="0" w:noHBand="0" w:noVBand="1"/>
      </w:tblPr>
      <w:tblGrid>
        <w:gridCol w:w="2398"/>
        <w:gridCol w:w="1283"/>
        <w:gridCol w:w="1177"/>
        <w:gridCol w:w="2437"/>
      </w:tblGrid>
      <w:tr w:rsidR="00051297" w:rsidRPr="00051297" w14:paraId="3E4A03EE" w14:textId="77777777" w:rsidTr="00D20B01">
        <w:trPr>
          <w:trHeight w:val="300"/>
          <w:jc w:val="center"/>
        </w:trPr>
        <w:tc>
          <w:tcPr>
            <w:tcW w:w="2398" w:type="dxa"/>
            <w:noWrap/>
            <w:hideMark/>
          </w:tcPr>
          <w:p w14:paraId="730FF25C" w14:textId="77777777" w:rsidR="00051297" w:rsidRPr="00051297" w:rsidRDefault="00051297" w:rsidP="00051297">
            <w:pPr>
              <w:spacing w:line="240" w:lineRule="auto"/>
              <w:ind w:firstLine="0"/>
              <w:jc w:val="center"/>
              <w:rPr>
                <w:lang w:val="en-US"/>
              </w:rPr>
            </w:pPr>
            <w:r w:rsidRPr="00051297">
              <w:rPr>
                <w:lang w:val="en-US"/>
              </w:rPr>
              <w:t> </w:t>
            </w:r>
          </w:p>
        </w:tc>
        <w:tc>
          <w:tcPr>
            <w:tcW w:w="1283" w:type="dxa"/>
            <w:noWrap/>
            <w:hideMark/>
          </w:tcPr>
          <w:p w14:paraId="45D1A670" w14:textId="77777777" w:rsidR="00051297" w:rsidRPr="00051297" w:rsidRDefault="00051297" w:rsidP="00051297">
            <w:pPr>
              <w:spacing w:line="240" w:lineRule="auto"/>
              <w:ind w:firstLine="0"/>
              <w:jc w:val="center"/>
              <w:rPr>
                <w:lang w:val="en-US"/>
              </w:rPr>
            </w:pPr>
            <w:r w:rsidRPr="00051297">
              <w:rPr>
                <w:lang w:val="en-US"/>
              </w:rPr>
              <w:t>Drawdown days</w:t>
            </w:r>
          </w:p>
        </w:tc>
        <w:tc>
          <w:tcPr>
            <w:tcW w:w="1177" w:type="dxa"/>
            <w:noWrap/>
            <w:hideMark/>
          </w:tcPr>
          <w:p w14:paraId="16EAE9A3" w14:textId="77777777" w:rsidR="00051297" w:rsidRPr="00051297" w:rsidRDefault="00051297" w:rsidP="00051297">
            <w:pPr>
              <w:spacing w:line="240" w:lineRule="auto"/>
              <w:ind w:firstLine="0"/>
              <w:jc w:val="center"/>
              <w:rPr>
                <w:lang w:val="en-US"/>
              </w:rPr>
            </w:pPr>
            <w:r w:rsidRPr="00051297">
              <w:rPr>
                <w:lang w:val="en-US"/>
              </w:rPr>
              <w:t>Minimum FS</w:t>
            </w:r>
          </w:p>
        </w:tc>
        <w:tc>
          <w:tcPr>
            <w:tcW w:w="2437" w:type="dxa"/>
            <w:noWrap/>
            <w:hideMark/>
          </w:tcPr>
          <w:p w14:paraId="4D11C89D" w14:textId="77777777" w:rsidR="00051297" w:rsidRPr="00051297" w:rsidRDefault="00051297" w:rsidP="00051297">
            <w:pPr>
              <w:spacing w:line="240" w:lineRule="auto"/>
              <w:ind w:firstLine="0"/>
              <w:jc w:val="center"/>
              <w:rPr>
                <w:lang w:val="en-US"/>
              </w:rPr>
            </w:pPr>
            <w:r w:rsidRPr="00051297">
              <w:rPr>
                <w:lang w:val="en-US"/>
              </w:rPr>
              <w:t>Pore-water pressures</w:t>
            </w:r>
          </w:p>
        </w:tc>
      </w:tr>
      <w:tr w:rsidR="00051297" w:rsidRPr="00051297" w14:paraId="24532C4C" w14:textId="77777777" w:rsidTr="00D20B01">
        <w:trPr>
          <w:trHeight w:val="300"/>
          <w:jc w:val="center"/>
        </w:trPr>
        <w:tc>
          <w:tcPr>
            <w:tcW w:w="2398" w:type="dxa"/>
            <w:noWrap/>
            <w:hideMark/>
          </w:tcPr>
          <w:p w14:paraId="38859395" w14:textId="77777777" w:rsidR="00051297" w:rsidRPr="00051297" w:rsidRDefault="00051297" w:rsidP="00051297">
            <w:pPr>
              <w:spacing w:line="240" w:lineRule="auto"/>
              <w:ind w:firstLine="0"/>
              <w:jc w:val="center"/>
              <w:rPr>
                <w:lang w:val="en-US"/>
              </w:rPr>
            </w:pPr>
            <w:r w:rsidRPr="00051297">
              <w:rPr>
                <w:lang w:val="en-US"/>
              </w:rPr>
              <w:t>Drawdown days</w:t>
            </w:r>
          </w:p>
        </w:tc>
        <w:tc>
          <w:tcPr>
            <w:tcW w:w="1283" w:type="dxa"/>
            <w:noWrap/>
            <w:hideMark/>
          </w:tcPr>
          <w:p w14:paraId="777B97F6" w14:textId="77777777" w:rsidR="00051297" w:rsidRPr="00051297" w:rsidRDefault="00051297" w:rsidP="00051297">
            <w:pPr>
              <w:spacing w:line="240" w:lineRule="auto"/>
              <w:ind w:firstLine="0"/>
              <w:jc w:val="center"/>
              <w:rPr>
                <w:lang w:val="en-US"/>
              </w:rPr>
            </w:pPr>
            <w:r w:rsidRPr="00051297">
              <w:rPr>
                <w:lang w:val="en-US"/>
              </w:rPr>
              <w:t>1</w:t>
            </w:r>
          </w:p>
        </w:tc>
        <w:tc>
          <w:tcPr>
            <w:tcW w:w="1177" w:type="dxa"/>
            <w:noWrap/>
            <w:hideMark/>
          </w:tcPr>
          <w:p w14:paraId="5B81BA97" w14:textId="77777777" w:rsidR="00051297" w:rsidRPr="00051297" w:rsidRDefault="00051297" w:rsidP="00051297">
            <w:pPr>
              <w:spacing w:line="240" w:lineRule="auto"/>
              <w:ind w:firstLine="0"/>
              <w:jc w:val="center"/>
              <w:rPr>
                <w:lang w:val="en-US"/>
              </w:rPr>
            </w:pPr>
          </w:p>
        </w:tc>
        <w:tc>
          <w:tcPr>
            <w:tcW w:w="2437" w:type="dxa"/>
            <w:noWrap/>
            <w:hideMark/>
          </w:tcPr>
          <w:p w14:paraId="1AE0275F" w14:textId="77777777" w:rsidR="00051297" w:rsidRPr="00051297" w:rsidRDefault="00051297" w:rsidP="00051297">
            <w:pPr>
              <w:spacing w:line="240" w:lineRule="auto"/>
              <w:ind w:firstLine="0"/>
              <w:jc w:val="center"/>
              <w:rPr>
                <w:lang w:val="en-US"/>
              </w:rPr>
            </w:pPr>
          </w:p>
        </w:tc>
      </w:tr>
      <w:tr w:rsidR="00051297" w:rsidRPr="00051297" w14:paraId="6F5A1C9D" w14:textId="77777777" w:rsidTr="00D20B01">
        <w:trPr>
          <w:trHeight w:val="300"/>
          <w:jc w:val="center"/>
        </w:trPr>
        <w:tc>
          <w:tcPr>
            <w:tcW w:w="2398" w:type="dxa"/>
            <w:noWrap/>
            <w:hideMark/>
          </w:tcPr>
          <w:p w14:paraId="25D72FB6" w14:textId="77777777" w:rsidR="00051297" w:rsidRPr="00051297" w:rsidRDefault="00051297" w:rsidP="00051297">
            <w:pPr>
              <w:spacing w:line="240" w:lineRule="auto"/>
              <w:ind w:firstLine="0"/>
              <w:jc w:val="center"/>
              <w:rPr>
                <w:lang w:val="en-US"/>
              </w:rPr>
            </w:pPr>
            <w:r w:rsidRPr="00051297">
              <w:rPr>
                <w:lang w:val="en-US"/>
              </w:rPr>
              <w:t>Minimum FS</w:t>
            </w:r>
          </w:p>
        </w:tc>
        <w:tc>
          <w:tcPr>
            <w:tcW w:w="1283" w:type="dxa"/>
            <w:noWrap/>
            <w:hideMark/>
          </w:tcPr>
          <w:p w14:paraId="4B4E1343" w14:textId="77777777" w:rsidR="00051297" w:rsidRPr="00051297" w:rsidRDefault="00051297" w:rsidP="00051297">
            <w:pPr>
              <w:spacing w:line="240" w:lineRule="auto"/>
              <w:ind w:firstLine="0"/>
              <w:jc w:val="center"/>
              <w:rPr>
                <w:lang w:val="en-US"/>
              </w:rPr>
            </w:pPr>
            <w:r w:rsidRPr="00051297">
              <w:rPr>
                <w:lang w:val="en-US"/>
              </w:rPr>
              <w:t>0.794</w:t>
            </w:r>
          </w:p>
        </w:tc>
        <w:tc>
          <w:tcPr>
            <w:tcW w:w="1177" w:type="dxa"/>
            <w:noWrap/>
            <w:hideMark/>
          </w:tcPr>
          <w:p w14:paraId="0D45C962" w14:textId="77777777" w:rsidR="00051297" w:rsidRPr="00051297" w:rsidRDefault="00051297" w:rsidP="00051297">
            <w:pPr>
              <w:spacing w:line="240" w:lineRule="auto"/>
              <w:ind w:firstLine="0"/>
              <w:jc w:val="center"/>
              <w:rPr>
                <w:lang w:val="en-US"/>
              </w:rPr>
            </w:pPr>
            <w:r w:rsidRPr="00051297">
              <w:rPr>
                <w:lang w:val="en-US"/>
              </w:rPr>
              <w:t>1</w:t>
            </w:r>
          </w:p>
        </w:tc>
        <w:tc>
          <w:tcPr>
            <w:tcW w:w="2437" w:type="dxa"/>
            <w:noWrap/>
            <w:hideMark/>
          </w:tcPr>
          <w:p w14:paraId="494B787D" w14:textId="77777777" w:rsidR="00051297" w:rsidRPr="00051297" w:rsidRDefault="00051297" w:rsidP="00051297">
            <w:pPr>
              <w:spacing w:line="240" w:lineRule="auto"/>
              <w:ind w:firstLine="0"/>
              <w:jc w:val="center"/>
              <w:rPr>
                <w:lang w:val="en-US"/>
              </w:rPr>
            </w:pPr>
          </w:p>
        </w:tc>
      </w:tr>
      <w:tr w:rsidR="00051297" w:rsidRPr="00051297" w14:paraId="542B3DEA" w14:textId="77777777" w:rsidTr="00D20B01">
        <w:trPr>
          <w:trHeight w:val="315"/>
          <w:jc w:val="center"/>
        </w:trPr>
        <w:tc>
          <w:tcPr>
            <w:tcW w:w="2398" w:type="dxa"/>
            <w:noWrap/>
            <w:hideMark/>
          </w:tcPr>
          <w:p w14:paraId="6F089EA1" w14:textId="77777777" w:rsidR="00051297" w:rsidRPr="00051297" w:rsidRDefault="00051297" w:rsidP="00051297">
            <w:pPr>
              <w:spacing w:line="240" w:lineRule="auto"/>
              <w:ind w:firstLine="0"/>
              <w:jc w:val="center"/>
              <w:rPr>
                <w:lang w:val="en-US"/>
              </w:rPr>
            </w:pPr>
            <w:r w:rsidRPr="00051297">
              <w:rPr>
                <w:lang w:val="en-US"/>
              </w:rPr>
              <w:t>Pore-water pressures</w:t>
            </w:r>
          </w:p>
        </w:tc>
        <w:tc>
          <w:tcPr>
            <w:tcW w:w="1283" w:type="dxa"/>
            <w:noWrap/>
            <w:hideMark/>
          </w:tcPr>
          <w:p w14:paraId="38BA8066" w14:textId="77777777" w:rsidR="00051297" w:rsidRPr="00051297" w:rsidRDefault="00051297" w:rsidP="00051297">
            <w:pPr>
              <w:spacing w:line="240" w:lineRule="auto"/>
              <w:ind w:firstLine="0"/>
              <w:jc w:val="center"/>
              <w:rPr>
                <w:lang w:val="en-US"/>
              </w:rPr>
            </w:pPr>
            <w:r w:rsidRPr="00051297">
              <w:rPr>
                <w:lang w:val="en-US"/>
              </w:rPr>
              <w:t>-0.807</w:t>
            </w:r>
          </w:p>
        </w:tc>
        <w:tc>
          <w:tcPr>
            <w:tcW w:w="1177" w:type="dxa"/>
            <w:noWrap/>
            <w:hideMark/>
          </w:tcPr>
          <w:p w14:paraId="65DC90E9" w14:textId="77777777" w:rsidR="00051297" w:rsidRPr="00051297" w:rsidRDefault="00051297" w:rsidP="00051297">
            <w:pPr>
              <w:spacing w:line="240" w:lineRule="auto"/>
              <w:ind w:firstLine="0"/>
              <w:jc w:val="center"/>
              <w:rPr>
                <w:lang w:val="en-US"/>
              </w:rPr>
            </w:pPr>
            <w:r w:rsidRPr="00051297">
              <w:rPr>
                <w:lang w:val="en-US"/>
              </w:rPr>
              <w:t>-0.997</w:t>
            </w:r>
          </w:p>
        </w:tc>
        <w:tc>
          <w:tcPr>
            <w:tcW w:w="2437" w:type="dxa"/>
            <w:noWrap/>
            <w:hideMark/>
          </w:tcPr>
          <w:p w14:paraId="59B01BE6" w14:textId="77777777" w:rsidR="00051297" w:rsidRPr="00051297" w:rsidRDefault="00051297" w:rsidP="00051297">
            <w:pPr>
              <w:spacing w:line="240" w:lineRule="auto"/>
              <w:ind w:firstLine="0"/>
              <w:jc w:val="center"/>
              <w:rPr>
                <w:lang w:val="en-US"/>
              </w:rPr>
            </w:pPr>
            <w:r w:rsidRPr="00051297">
              <w:rPr>
                <w:lang w:val="en-US"/>
              </w:rPr>
              <w:t>1</w:t>
            </w:r>
          </w:p>
        </w:tc>
      </w:tr>
    </w:tbl>
    <w:p w14:paraId="19F32169" w14:textId="77777777" w:rsidR="00051297" w:rsidRPr="00051297" w:rsidRDefault="00051297" w:rsidP="00051297">
      <w:pPr>
        <w:rPr>
          <w:lang w:val="en-US"/>
        </w:rPr>
      </w:pPr>
      <w:r w:rsidRPr="00051297">
        <w:rPr>
          <w:lang w:val="en-US"/>
        </w:rPr>
        <w:t>FS = factor of safety</w:t>
      </w:r>
    </w:p>
    <w:p w14:paraId="1F558619" w14:textId="25632A77" w:rsidR="00051297" w:rsidRPr="00051297" w:rsidRDefault="00051297" w:rsidP="00A44A2E">
      <w:pPr>
        <w:pStyle w:val="5"/>
        <w:rPr>
          <w:rFonts w:eastAsia="Calibri"/>
          <w:lang w:val="en-US"/>
        </w:rPr>
      </w:pPr>
      <w:bookmarkStart w:id="1770" w:name="_Toc103544050"/>
      <w:bookmarkStart w:id="1771" w:name="_Toc104985375"/>
      <w:r w:rsidRPr="00051297">
        <w:rPr>
          <w:rFonts w:eastAsia="Calibri"/>
          <w:lang w:val="en-US"/>
        </w:rPr>
        <w:lastRenderedPageBreak/>
        <w:t>Analysis of variance (ANOVA)</w:t>
      </w:r>
      <w:bookmarkEnd w:id="1770"/>
      <w:bookmarkEnd w:id="1771"/>
    </w:p>
    <w:p w14:paraId="2F063577" w14:textId="464FECC7" w:rsidR="00051297" w:rsidRPr="00051297" w:rsidRDefault="00051297" w:rsidP="00051297">
      <w:pPr>
        <w:rPr>
          <w:lang w:val="en-US" w:bidi="en-US"/>
        </w:rPr>
      </w:pPr>
      <w:r w:rsidRPr="00051297">
        <w:rPr>
          <w:lang w:val="en-US" w:bidi="en-US"/>
        </w:rPr>
        <w:t xml:space="preserve">A single-factor ANOVA with an alpha value of 0.05 was performed on the investigated operational water levels under instantaneous drawdown rate; the findings of the ANOVA are summarized in </w:t>
      </w:r>
      <w:r w:rsidRPr="00051297">
        <w:rPr>
          <w:lang w:val="en-US" w:bidi="en-US"/>
        </w:rPr>
        <w:fldChar w:fldCharType="begin"/>
      </w:r>
      <w:r w:rsidRPr="00051297">
        <w:rPr>
          <w:lang w:val="en-US" w:bidi="en-US"/>
        </w:rPr>
        <w:instrText xml:space="preserve"> REF _Ref100864610 \h </w:instrText>
      </w:r>
      <w:r w:rsidRPr="00051297">
        <w:rPr>
          <w:lang w:val="en-US" w:bidi="en-US"/>
        </w:rPr>
      </w:r>
      <w:r w:rsidRPr="00051297">
        <w:rPr>
          <w:lang w:val="en-US" w:bidi="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22</w:t>
      </w:r>
      <w:r w:rsidRPr="00051297">
        <w:rPr>
          <w:lang w:val="en-US" w:bidi="en-US"/>
        </w:rPr>
        <w:fldChar w:fldCharType="end"/>
      </w:r>
      <w:r w:rsidRPr="00051297">
        <w:rPr>
          <w:lang w:val="en-US" w:bidi="en-US"/>
        </w:rPr>
        <w:t>. The factor of safety values based on the investigated operational water levels generated a p-value of 6.81</w:t>
      </w:r>
      <w:r w:rsidRPr="0079595C">
        <w:rPr>
          <w:lang w:val="en-US" w:eastAsia="pl-PL"/>
        </w:rPr>
        <w:t>× 10</w:t>
      </w:r>
      <w:r w:rsidRPr="0079595C">
        <w:rPr>
          <w:vertAlign w:val="superscript"/>
          <w:lang w:val="en-US" w:eastAsia="pl-PL"/>
        </w:rPr>
        <w:t>−</w:t>
      </w:r>
      <w:r w:rsidRPr="00051297">
        <w:rPr>
          <w:vertAlign w:val="superscript"/>
          <w:lang w:val="en-US" w:eastAsia="pl-PL"/>
        </w:rPr>
        <w:t>13</w:t>
      </w:r>
      <w:r w:rsidRPr="00051297">
        <w:rPr>
          <w:lang w:val="en-US" w:bidi="en-US"/>
        </w:rPr>
        <w:t xml:space="preserve">, as shown in the table. The resulting p-value (alpha value) is less than 0.05, showing the statistical significance of the differences. This was an important component of the research since it allowed the researcher to assess if the differences in factor of safety values throughout the operational water levels studied were substantial </w:t>
      </w:r>
      <w:r w:rsidRPr="00051297">
        <w:rPr>
          <w:lang w:val="en-US" w:bidi="en-US"/>
        </w:rPr>
        <w:fldChar w:fldCharType="begin" w:fldLock="1"/>
      </w:r>
      <w:r w:rsidR="0044426E">
        <w:rPr>
          <w:lang w:val="en-US" w:bidi="en-US"/>
        </w:rPr>
        <w:instrText>ADDIN CSL_CITATION {"citationItems":[{"id":"ITEM-1","itemData":{"DOI":"10.1007/s13201-019-1111-9","ISSN":"2190-5487","abstract":"In this paper, an attempt has been made to develop a statistical model based on Internet of Things (IoT) for water quality analysis of river Krishna using different water quality parameters such as pH, conductivity, dissolved oxygen, temperature, biochemical oxygen demand, total dissolved solids and conductivity. These parameters are very important to assess the water quality of the river. The water quality data were collected from six stations of river Krishna in the state of Karnataka. River Krishna is the fourth largest river in India with approximately 1400 km of length and flows from its origin toward Bay of Bengal. In our study, we have considered only stretch of river Krishna flowing in state of Karnataka, i.e., length of about 483 km. In recent years, the mineral-rich river basin is subjected to rapid industrialization, thus polluting the river basin. The river water is bound to get polluted from various pollutants such as the urban waste water, agricultural waste and industrial waste, thus making it unusable for anthropogenic activities. The traditional manual technique that is under use is a very slow process. It requires staff to collect the water samples from the site and take them to the laboratory and then perform the analysis on various water parameters which is costly and time-consuming process. The timely information about water quality is thus unavailable to the people in the river basin area. This creates a perfect opportunity for swift real-time water quality check through analysis of water samples collected from the river Krishna. IoT is one of the ways with which real-time monitoring of water quality of river Krishna can be done in quick time. In this paper, we have emphasized on IoT-based water quality monitoring by applying the statistical analysis for the data collected from the river Krishna. One-way analysis of variance (ANOVA) and two-way ANOVA were applied for the data collected, and found that one-way ANOVA was more effective in carrying out water quality analysis. The hypotheses that are drawn using ANOVA were used for water quality analysis. Further, these analyses can be used to train the IoT system so that it can take the decision whenever there is abnormal change in the reading of any of the water quality parameters.","author":[{"dropping-particle":"","family":"Pujar","given":"Prasad M.","non-dropping-particle":"","parse-names":false,"suffix":""},{"dropping-particle":"","family":"Kenchannavar","given":"Harish H.","non-dropping-particle":"","parse-names":false,"suffix":""},{"dropping-particle":"","family":"Kulkarni","given":"Raviraj M.","non-dropping-particle":"","parse-names":false,"suffix":""},{"dropping-particle":"","family":"Kulkarni","given":"Umakant P.","non-dropping-particle":"","parse-names":false,"suffix":""}],"container-title":"Applied Water Science","id":"ITEM-1","issue":"1","issued":{"date-parts":[["2020","1"]]},"page":"22","title":"Real-time water quality monitoring through Internet of Things and ANOVA-based analysis: a case study on river Krishna","type":"article-journal","volume":"10"},"uris":["http://www.mendeley.com/documents/?uuid=93b0f297-21b0-4ff5-a0e8-1396d805d480"]}],"mendeley":{"formattedCitation":"[308]","plainTextFormattedCitation":"[308]","previouslyFormattedCitation":"[308]"},"properties":{"noteIndex":0},"schema":"https://github.com/citation-style-language/schema/raw/master/csl-citation.json"}</w:instrText>
      </w:r>
      <w:r w:rsidRPr="00051297">
        <w:rPr>
          <w:lang w:val="en-US" w:bidi="en-US"/>
        </w:rPr>
        <w:fldChar w:fldCharType="separate"/>
      </w:r>
      <w:r w:rsidR="00FA5896" w:rsidRPr="00FA5896">
        <w:rPr>
          <w:noProof/>
          <w:lang w:val="en-US" w:bidi="en-US"/>
        </w:rPr>
        <w:t>[308]</w:t>
      </w:r>
      <w:r w:rsidRPr="00051297">
        <w:rPr>
          <w:lang w:val="en-US"/>
        </w:rPr>
        <w:fldChar w:fldCharType="end"/>
      </w:r>
      <w:r w:rsidRPr="00051297">
        <w:rPr>
          <w:lang w:val="en-US" w:bidi="en-US"/>
        </w:rPr>
        <w:t>.</w:t>
      </w:r>
    </w:p>
    <w:p w14:paraId="1C3DDB8B" w14:textId="6DCBE6E8" w:rsidR="00051297" w:rsidRPr="00051297" w:rsidRDefault="00051297" w:rsidP="00051297">
      <w:pPr>
        <w:rPr>
          <w:lang w:val="en-US"/>
        </w:rPr>
      </w:pPr>
      <w:bookmarkStart w:id="1772" w:name="_Ref100864610"/>
      <w:bookmarkStart w:id="1773" w:name="_Toc103544277"/>
      <w:bookmarkStart w:id="1774" w:name="_Toc104985603"/>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22</w:t>
      </w:r>
      <w:r w:rsidRPr="00051297">
        <w:rPr>
          <w:lang w:val="en-US"/>
        </w:rPr>
        <w:fldChar w:fldCharType="end"/>
      </w:r>
      <w:bookmarkEnd w:id="1772"/>
      <w:r w:rsidRPr="00051297">
        <w:rPr>
          <w:lang w:val="en-US"/>
        </w:rPr>
        <w:t xml:space="preserve"> Summary of ANOVA results from instantaneous drawdown</w:t>
      </w:r>
      <w:bookmarkEnd w:id="1773"/>
      <w:bookmarkEnd w:id="1774"/>
    </w:p>
    <w:tbl>
      <w:tblPr>
        <w:tblStyle w:val="a8"/>
        <w:tblW w:w="0" w:type="auto"/>
        <w:jc w:val="center"/>
        <w:tblLook w:val="04A0" w:firstRow="1" w:lastRow="0" w:firstColumn="1" w:lastColumn="0" w:noHBand="0" w:noVBand="1"/>
      </w:tblPr>
      <w:tblGrid>
        <w:gridCol w:w="1817"/>
        <w:gridCol w:w="1060"/>
        <w:gridCol w:w="1126"/>
        <w:gridCol w:w="1126"/>
        <w:gridCol w:w="1046"/>
        <w:gridCol w:w="1183"/>
        <w:gridCol w:w="1129"/>
      </w:tblGrid>
      <w:tr w:rsidR="00051297" w:rsidRPr="001E2AC7" w14:paraId="2CC3FEF7" w14:textId="77777777" w:rsidTr="001E2AC7">
        <w:trPr>
          <w:trHeight w:val="281"/>
          <w:jc w:val="center"/>
        </w:trPr>
        <w:tc>
          <w:tcPr>
            <w:tcW w:w="8487" w:type="dxa"/>
            <w:gridSpan w:val="7"/>
            <w:noWrap/>
            <w:hideMark/>
          </w:tcPr>
          <w:p w14:paraId="0C1C17A6"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ANOVA: Single Factor</w:t>
            </w:r>
          </w:p>
        </w:tc>
      </w:tr>
      <w:tr w:rsidR="00051297" w:rsidRPr="001E2AC7" w14:paraId="3D96084A" w14:textId="77777777" w:rsidTr="001E2AC7">
        <w:trPr>
          <w:trHeight w:val="295"/>
          <w:jc w:val="center"/>
        </w:trPr>
        <w:tc>
          <w:tcPr>
            <w:tcW w:w="8487" w:type="dxa"/>
            <w:gridSpan w:val="7"/>
            <w:noWrap/>
            <w:hideMark/>
          </w:tcPr>
          <w:p w14:paraId="76192464"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SUMMARY</w:t>
            </w:r>
          </w:p>
        </w:tc>
      </w:tr>
      <w:tr w:rsidR="00051297" w:rsidRPr="001E2AC7" w14:paraId="790CD771" w14:textId="77777777" w:rsidTr="001E2AC7">
        <w:trPr>
          <w:trHeight w:val="281"/>
          <w:jc w:val="center"/>
        </w:trPr>
        <w:tc>
          <w:tcPr>
            <w:tcW w:w="1817" w:type="dxa"/>
            <w:noWrap/>
            <w:hideMark/>
          </w:tcPr>
          <w:p w14:paraId="3FC8D161"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Groups</w:t>
            </w:r>
          </w:p>
        </w:tc>
        <w:tc>
          <w:tcPr>
            <w:tcW w:w="1060" w:type="dxa"/>
            <w:noWrap/>
            <w:hideMark/>
          </w:tcPr>
          <w:p w14:paraId="16154F8E"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Count</w:t>
            </w:r>
          </w:p>
        </w:tc>
        <w:tc>
          <w:tcPr>
            <w:tcW w:w="1126" w:type="dxa"/>
            <w:noWrap/>
            <w:hideMark/>
          </w:tcPr>
          <w:p w14:paraId="4A99C1D8"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Sum</w:t>
            </w:r>
          </w:p>
        </w:tc>
        <w:tc>
          <w:tcPr>
            <w:tcW w:w="1126" w:type="dxa"/>
            <w:noWrap/>
            <w:hideMark/>
          </w:tcPr>
          <w:p w14:paraId="07AE4B59"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Average</w:t>
            </w:r>
          </w:p>
        </w:tc>
        <w:tc>
          <w:tcPr>
            <w:tcW w:w="3356" w:type="dxa"/>
            <w:gridSpan w:val="3"/>
            <w:noWrap/>
            <w:hideMark/>
          </w:tcPr>
          <w:p w14:paraId="448D3A92"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Variance</w:t>
            </w:r>
          </w:p>
        </w:tc>
      </w:tr>
      <w:tr w:rsidR="00051297" w:rsidRPr="001E2AC7" w14:paraId="75CF974F" w14:textId="77777777" w:rsidTr="001E2AC7">
        <w:trPr>
          <w:trHeight w:val="281"/>
          <w:jc w:val="center"/>
        </w:trPr>
        <w:tc>
          <w:tcPr>
            <w:tcW w:w="1817" w:type="dxa"/>
            <w:noWrap/>
            <w:hideMark/>
          </w:tcPr>
          <w:p w14:paraId="7CB1F32C"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NORL</w:t>
            </w:r>
          </w:p>
        </w:tc>
        <w:tc>
          <w:tcPr>
            <w:tcW w:w="1060" w:type="dxa"/>
            <w:noWrap/>
            <w:hideMark/>
          </w:tcPr>
          <w:p w14:paraId="51CAD931"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31</w:t>
            </w:r>
          </w:p>
        </w:tc>
        <w:tc>
          <w:tcPr>
            <w:tcW w:w="1126" w:type="dxa"/>
            <w:noWrap/>
            <w:hideMark/>
          </w:tcPr>
          <w:p w14:paraId="6DFB1087"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62.513</w:t>
            </w:r>
          </w:p>
        </w:tc>
        <w:tc>
          <w:tcPr>
            <w:tcW w:w="1126" w:type="dxa"/>
            <w:noWrap/>
            <w:hideMark/>
          </w:tcPr>
          <w:p w14:paraId="53B6022E"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2.017</w:t>
            </w:r>
          </w:p>
        </w:tc>
        <w:tc>
          <w:tcPr>
            <w:tcW w:w="3356" w:type="dxa"/>
            <w:gridSpan w:val="3"/>
            <w:noWrap/>
            <w:hideMark/>
          </w:tcPr>
          <w:p w14:paraId="087E715C"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0.123</w:t>
            </w:r>
          </w:p>
        </w:tc>
      </w:tr>
      <w:tr w:rsidR="00051297" w:rsidRPr="001E2AC7" w14:paraId="4FC392B9" w14:textId="77777777" w:rsidTr="001E2AC7">
        <w:trPr>
          <w:trHeight w:val="281"/>
          <w:jc w:val="center"/>
        </w:trPr>
        <w:tc>
          <w:tcPr>
            <w:tcW w:w="1817" w:type="dxa"/>
            <w:noWrap/>
            <w:hideMark/>
          </w:tcPr>
          <w:p w14:paraId="37EC9714"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MORL- EH</w:t>
            </w:r>
          </w:p>
        </w:tc>
        <w:tc>
          <w:tcPr>
            <w:tcW w:w="1060" w:type="dxa"/>
            <w:noWrap/>
            <w:hideMark/>
          </w:tcPr>
          <w:p w14:paraId="0A6CAAF8"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31</w:t>
            </w:r>
          </w:p>
        </w:tc>
        <w:tc>
          <w:tcPr>
            <w:tcW w:w="1126" w:type="dxa"/>
            <w:noWrap/>
            <w:hideMark/>
          </w:tcPr>
          <w:p w14:paraId="05E79143"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60.708</w:t>
            </w:r>
          </w:p>
        </w:tc>
        <w:tc>
          <w:tcPr>
            <w:tcW w:w="1126" w:type="dxa"/>
            <w:noWrap/>
            <w:hideMark/>
          </w:tcPr>
          <w:p w14:paraId="1FBC6E6A"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1.958</w:t>
            </w:r>
          </w:p>
        </w:tc>
        <w:tc>
          <w:tcPr>
            <w:tcW w:w="3356" w:type="dxa"/>
            <w:gridSpan w:val="3"/>
            <w:noWrap/>
            <w:hideMark/>
          </w:tcPr>
          <w:p w14:paraId="1AE49F64"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0.144</w:t>
            </w:r>
          </w:p>
        </w:tc>
      </w:tr>
      <w:tr w:rsidR="00051297" w:rsidRPr="001E2AC7" w14:paraId="3D4B3418" w14:textId="77777777" w:rsidTr="001E2AC7">
        <w:trPr>
          <w:trHeight w:val="281"/>
          <w:jc w:val="center"/>
        </w:trPr>
        <w:tc>
          <w:tcPr>
            <w:tcW w:w="1817" w:type="dxa"/>
            <w:noWrap/>
            <w:hideMark/>
          </w:tcPr>
          <w:p w14:paraId="1CE0A36B"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MORL-OF</w:t>
            </w:r>
          </w:p>
        </w:tc>
        <w:tc>
          <w:tcPr>
            <w:tcW w:w="1060" w:type="dxa"/>
            <w:noWrap/>
            <w:hideMark/>
          </w:tcPr>
          <w:p w14:paraId="70E9FC09"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31</w:t>
            </w:r>
          </w:p>
        </w:tc>
        <w:tc>
          <w:tcPr>
            <w:tcW w:w="1126" w:type="dxa"/>
            <w:noWrap/>
            <w:hideMark/>
          </w:tcPr>
          <w:p w14:paraId="5B76E000"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60.576</w:t>
            </w:r>
          </w:p>
        </w:tc>
        <w:tc>
          <w:tcPr>
            <w:tcW w:w="1126" w:type="dxa"/>
            <w:noWrap/>
            <w:hideMark/>
          </w:tcPr>
          <w:p w14:paraId="7A7C4E37"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1.954</w:t>
            </w:r>
          </w:p>
        </w:tc>
        <w:tc>
          <w:tcPr>
            <w:tcW w:w="3356" w:type="dxa"/>
            <w:gridSpan w:val="3"/>
            <w:noWrap/>
            <w:hideMark/>
          </w:tcPr>
          <w:p w14:paraId="0DD19B9B"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0.149</w:t>
            </w:r>
          </w:p>
        </w:tc>
      </w:tr>
      <w:tr w:rsidR="00051297" w:rsidRPr="001E2AC7" w14:paraId="449535F5" w14:textId="77777777" w:rsidTr="001E2AC7">
        <w:trPr>
          <w:trHeight w:val="295"/>
          <w:jc w:val="center"/>
        </w:trPr>
        <w:tc>
          <w:tcPr>
            <w:tcW w:w="1817" w:type="dxa"/>
            <w:noWrap/>
            <w:hideMark/>
          </w:tcPr>
          <w:p w14:paraId="091A4BB2"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RORL</w:t>
            </w:r>
          </w:p>
        </w:tc>
        <w:tc>
          <w:tcPr>
            <w:tcW w:w="1060" w:type="dxa"/>
            <w:noWrap/>
            <w:hideMark/>
          </w:tcPr>
          <w:p w14:paraId="50D6B05F"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31</w:t>
            </w:r>
          </w:p>
        </w:tc>
        <w:tc>
          <w:tcPr>
            <w:tcW w:w="1126" w:type="dxa"/>
            <w:noWrap/>
            <w:hideMark/>
          </w:tcPr>
          <w:p w14:paraId="57391C01"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79.869</w:t>
            </w:r>
          </w:p>
        </w:tc>
        <w:tc>
          <w:tcPr>
            <w:tcW w:w="1126" w:type="dxa"/>
            <w:noWrap/>
            <w:hideMark/>
          </w:tcPr>
          <w:p w14:paraId="44F436FE"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2.576</w:t>
            </w:r>
          </w:p>
        </w:tc>
        <w:tc>
          <w:tcPr>
            <w:tcW w:w="3356" w:type="dxa"/>
            <w:gridSpan w:val="3"/>
            <w:noWrap/>
            <w:hideMark/>
          </w:tcPr>
          <w:p w14:paraId="67EE85F0"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0.023</w:t>
            </w:r>
          </w:p>
        </w:tc>
      </w:tr>
      <w:tr w:rsidR="00051297" w:rsidRPr="001E2AC7" w14:paraId="646E7649" w14:textId="77777777" w:rsidTr="001E2AC7">
        <w:trPr>
          <w:trHeight w:val="295"/>
          <w:jc w:val="center"/>
        </w:trPr>
        <w:tc>
          <w:tcPr>
            <w:tcW w:w="8487" w:type="dxa"/>
            <w:gridSpan w:val="7"/>
            <w:noWrap/>
            <w:hideMark/>
          </w:tcPr>
          <w:p w14:paraId="2B43D5D1"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ANOVA</w:t>
            </w:r>
          </w:p>
        </w:tc>
      </w:tr>
      <w:tr w:rsidR="00051297" w:rsidRPr="001E2AC7" w14:paraId="0B15770E" w14:textId="77777777" w:rsidTr="001E2AC7">
        <w:trPr>
          <w:trHeight w:val="281"/>
          <w:jc w:val="center"/>
        </w:trPr>
        <w:tc>
          <w:tcPr>
            <w:tcW w:w="1817" w:type="dxa"/>
            <w:noWrap/>
            <w:hideMark/>
          </w:tcPr>
          <w:p w14:paraId="7CBCB3AB"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Source of Variation</w:t>
            </w:r>
          </w:p>
        </w:tc>
        <w:tc>
          <w:tcPr>
            <w:tcW w:w="1060" w:type="dxa"/>
            <w:noWrap/>
            <w:hideMark/>
          </w:tcPr>
          <w:p w14:paraId="6E45AF90"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SS</w:t>
            </w:r>
          </w:p>
        </w:tc>
        <w:tc>
          <w:tcPr>
            <w:tcW w:w="1126" w:type="dxa"/>
            <w:noWrap/>
            <w:hideMark/>
          </w:tcPr>
          <w:p w14:paraId="026D1EAD"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df</w:t>
            </w:r>
          </w:p>
        </w:tc>
        <w:tc>
          <w:tcPr>
            <w:tcW w:w="1126" w:type="dxa"/>
            <w:noWrap/>
            <w:hideMark/>
          </w:tcPr>
          <w:p w14:paraId="2F3E93F6"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MS</w:t>
            </w:r>
          </w:p>
        </w:tc>
        <w:tc>
          <w:tcPr>
            <w:tcW w:w="1046" w:type="dxa"/>
            <w:noWrap/>
            <w:hideMark/>
          </w:tcPr>
          <w:p w14:paraId="0EBF184B"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F</w:t>
            </w:r>
          </w:p>
        </w:tc>
        <w:tc>
          <w:tcPr>
            <w:tcW w:w="1183" w:type="dxa"/>
            <w:noWrap/>
            <w:hideMark/>
          </w:tcPr>
          <w:p w14:paraId="5413AA25"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P-value</w:t>
            </w:r>
          </w:p>
        </w:tc>
        <w:tc>
          <w:tcPr>
            <w:tcW w:w="1126" w:type="dxa"/>
            <w:noWrap/>
            <w:hideMark/>
          </w:tcPr>
          <w:p w14:paraId="1173306D"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F crit</w:t>
            </w:r>
          </w:p>
        </w:tc>
      </w:tr>
      <w:tr w:rsidR="00051297" w:rsidRPr="001E2AC7" w14:paraId="5E238C33" w14:textId="77777777" w:rsidTr="001E2AC7">
        <w:trPr>
          <w:trHeight w:val="281"/>
          <w:jc w:val="center"/>
        </w:trPr>
        <w:tc>
          <w:tcPr>
            <w:tcW w:w="1817" w:type="dxa"/>
            <w:noWrap/>
            <w:hideMark/>
          </w:tcPr>
          <w:p w14:paraId="51850311"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Between Groups</w:t>
            </w:r>
          </w:p>
        </w:tc>
        <w:tc>
          <w:tcPr>
            <w:tcW w:w="1060" w:type="dxa"/>
            <w:noWrap/>
            <w:hideMark/>
          </w:tcPr>
          <w:p w14:paraId="76D378BE"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8.448</w:t>
            </w:r>
          </w:p>
        </w:tc>
        <w:tc>
          <w:tcPr>
            <w:tcW w:w="1126" w:type="dxa"/>
            <w:noWrap/>
            <w:hideMark/>
          </w:tcPr>
          <w:p w14:paraId="29CBFB80"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3</w:t>
            </w:r>
          </w:p>
        </w:tc>
        <w:tc>
          <w:tcPr>
            <w:tcW w:w="1126" w:type="dxa"/>
            <w:noWrap/>
            <w:hideMark/>
          </w:tcPr>
          <w:p w14:paraId="117C1553"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2.816</w:t>
            </w:r>
          </w:p>
        </w:tc>
        <w:tc>
          <w:tcPr>
            <w:tcW w:w="1046" w:type="dxa"/>
            <w:noWrap/>
            <w:hideMark/>
          </w:tcPr>
          <w:p w14:paraId="604AD0FD"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25.654</w:t>
            </w:r>
          </w:p>
        </w:tc>
        <w:tc>
          <w:tcPr>
            <w:tcW w:w="1183" w:type="dxa"/>
            <w:noWrap/>
            <w:hideMark/>
          </w:tcPr>
          <w:p w14:paraId="314070D3"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6.81</w:t>
            </w:r>
            <w:r w:rsidRPr="001E2AC7">
              <w:rPr>
                <w:sz w:val="22"/>
                <w:szCs w:val="20"/>
                <w:lang w:eastAsia="pl-PL"/>
              </w:rPr>
              <w:t>× 10</w:t>
            </w:r>
            <w:r w:rsidRPr="001E2AC7">
              <w:rPr>
                <w:sz w:val="22"/>
                <w:szCs w:val="20"/>
                <w:vertAlign w:val="superscript"/>
                <w:lang w:eastAsia="pl-PL"/>
              </w:rPr>
              <w:t>−13</w:t>
            </w:r>
          </w:p>
        </w:tc>
        <w:tc>
          <w:tcPr>
            <w:tcW w:w="1126" w:type="dxa"/>
            <w:noWrap/>
            <w:hideMark/>
          </w:tcPr>
          <w:p w14:paraId="10350C3F"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2.680</w:t>
            </w:r>
          </w:p>
        </w:tc>
      </w:tr>
      <w:tr w:rsidR="00051297" w:rsidRPr="001E2AC7" w14:paraId="0357CB20" w14:textId="77777777" w:rsidTr="001E2AC7">
        <w:trPr>
          <w:trHeight w:val="281"/>
          <w:jc w:val="center"/>
        </w:trPr>
        <w:tc>
          <w:tcPr>
            <w:tcW w:w="1817" w:type="dxa"/>
            <w:noWrap/>
            <w:hideMark/>
          </w:tcPr>
          <w:p w14:paraId="14C66D07"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Within Groups</w:t>
            </w:r>
          </w:p>
        </w:tc>
        <w:tc>
          <w:tcPr>
            <w:tcW w:w="1060" w:type="dxa"/>
            <w:noWrap/>
            <w:hideMark/>
          </w:tcPr>
          <w:p w14:paraId="1B51599F"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13.173</w:t>
            </w:r>
          </w:p>
        </w:tc>
        <w:tc>
          <w:tcPr>
            <w:tcW w:w="1126" w:type="dxa"/>
            <w:noWrap/>
            <w:hideMark/>
          </w:tcPr>
          <w:p w14:paraId="1AE7E575"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120</w:t>
            </w:r>
          </w:p>
        </w:tc>
        <w:tc>
          <w:tcPr>
            <w:tcW w:w="1126" w:type="dxa"/>
            <w:noWrap/>
            <w:hideMark/>
          </w:tcPr>
          <w:p w14:paraId="4D5A71ED"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0.1098</w:t>
            </w:r>
          </w:p>
        </w:tc>
        <w:tc>
          <w:tcPr>
            <w:tcW w:w="1046" w:type="dxa"/>
            <w:noWrap/>
            <w:hideMark/>
          </w:tcPr>
          <w:p w14:paraId="21D16252" w14:textId="77777777" w:rsidR="00051297" w:rsidRPr="001E2AC7" w:rsidRDefault="00051297" w:rsidP="00051297">
            <w:pPr>
              <w:spacing w:line="240" w:lineRule="auto"/>
              <w:ind w:firstLine="0"/>
              <w:jc w:val="center"/>
              <w:rPr>
                <w:sz w:val="22"/>
                <w:szCs w:val="20"/>
                <w:lang w:val="en-US"/>
              </w:rPr>
            </w:pPr>
          </w:p>
        </w:tc>
        <w:tc>
          <w:tcPr>
            <w:tcW w:w="1183" w:type="dxa"/>
            <w:noWrap/>
            <w:hideMark/>
          </w:tcPr>
          <w:p w14:paraId="78B5B9BB" w14:textId="77777777" w:rsidR="00051297" w:rsidRPr="001E2AC7" w:rsidRDefault="00051297" w:rsidP="00051297">
            <w:pPr>
              <w:spacing w:line="240" w:lineRule="auto"/>
              <w:ind w:firstLine="0"/>
              <w:jc w:val="center"/>
              <w:rPr>
                <w:sz w:val="22"/>
                <w:szCs w:val="20"/>
                <w:lang w:val="en-US"/>
              </w:rPr>
            </w:pPr>
          </w:p>
        </w:tc>
        <w:tc>
          <w:tcPr>
            <w:tcW w:w="1126" w:type="dxa"/>
            <w:noWrap/>
            <w:hideMark/>
          </w:tcPr>
          <w:p w14:paraId="6EA321E2" w14:textId="77777777" w:rsidR="00051297" w:rsidRPr="001E2AC7" w:rsidRDefault="00051297" w:rsidP="00051297">
            <w:pPr>
              <w:spacing w:line="240" w:lineRule="auto"/>
              <w:ind w:firstLine="0"/>
              <w:jc w:val="center"/>
              <w:rPr>
                <w:sz w:val="22"/>
                <w:szCs w:val="20"/>
                <w:lang w:val="en-US"/>
              </w:rPr>
            </w:pPr>
          </w:p>
        </w:tc>
      </w:tr>
      <w:tr w:rsidR="00051297" w:rsidRPr="001E2AC7" w14:paraId="1E79ECA8" w14:textId="77777777" w:rsidTr="001E2AC7">
        <w:trPr>
          <w:trHeight w:val="295"/>
          <w:jc w:val="center"/>
        </w:trPr>
        <w:tc>
          <w:tcPr>
            <w:tcW w:w="1817" w:type="dxa"/>
            <w:noWrap/>
            <w:hideMark/>
          </w:tcPr>
          <w:p w14:paraId="5A182D04"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Total</w:t>
            </w:r>
          </w:p>
        </w:tc>
        <w:tc>
          <w:tcPr>
            <w:tcW w:w="1060" w:type="dxa"/>
            <w:noWrap/>
            <w:hideMark/>
          </w:tcPr>
          <w:p w14:paraId="6C83DA9A"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21.621</w:t>
            </w:r>
          </w:p>
        </w:tc>
        <w:tc>
          <w:tcPr>
            <w:tcW w:w="1126" w:type="dxa"/>
            <w:noWrap/>
            <w:hideMark/>
          </w:tcPr>
          <w:p w14:paraId="19663238"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123</w:t>
            </w:r>
          </w:p>
        </w:tc>
        <w:tc>
          <w:tcPr>
            <w:tcW w:w="1126" w:type="dxa"/>
            <w:noWrap/>
            <w:hideMark/>
          </w:tcPr>
          <w:p w14:paraId="00A153F5"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 </w:t>
            </w:r>
          </w:p>
        </w:tc>
        <w:tc>
          <w:tcPr>
            <w:tcW w:w="1046" w:type="dxa"/>
            <w:noWrap/>
            <w:hideMark/>
          </w:tcPr>
          <w:p w14:paraId="481E87AA"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 </w:t>
            </w:r>
          </w:p>
        </w:tc>
        <w:tc>
          <w:tcPr>
            <w:tcW w:w="1183" w:type="dxa"/>
            <w:noWrap/>
            <w:hideMark/>
          </w:tcPr>
          <w:p w14:paraId="56475E4C"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 </w:t>
            </w:r>
          </w:p>
        </w:tc>
        <w:tc>
          <w:tcPr>
            <w:tcW w:w="1126" w:type="dxa"/>
            <w:noWrap/>
            <w:hideMark/>
          </w:tcPr>
          <w:p w14:paraId="0AF9713D"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 </w:t>
            </w:r>
          </w:p>
        </w:tc>
      </w:tr>
    </w:tbl>
    <w:p w14:paraId="4678A50C" w14:textId="5DAC2478" w:rsidR="00051297" w:rsidRPr="00051297" w:rsidRDefault="00051297" w:rsidP="00051297">
      <w:pPr>
        <w:rPr>
          <w:lang w:val="en-US"/>
        </w:rPr>
      </w:pPr>
      <w:r w:rsidRPr="00051297">
        <w:rPr>
          <w:lang w:val="en-US" w:bidi="en-US"/>
        </w:rPr>
        <w:t xml:space="preserve">Also, a single-factor ANOVA with an alpha value of 0.05 was performed on the investigated operating water levels under a 5-day drawdown rate; the findings of the ANOVA are summarized in </w:t>
      </w:r>
      <w:r w:rsidRPr="00051297">
        <w:rPr>
          <w:lang w:val="en-US" w:bidi="en-US"/>
        </w:rPr>
        <w:fldChar w:fldCharType="begin"/>
      </w:r>
      <w:r w:rsidRPr="00051297">
        <w:rPr>
          <w:lang w:val="en-US" w:bidi="en-US"/>
        </w:rPr>
        <w:instrText xml:space="preserve"> REF _Ref100864624 \h </w:instrText>
      </w:r>
      <w:r w:rsidRPr="00051297">
        <w:rPr>
          <w:lang w:val="en-US" w:bidi="en-US"/>
        </w:rPr>
      </w:r>
      <w:r w:rsidRPr="00051297">
        <w:rPr>
          <w:lang w:val="en-US" w:bidi="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23</w:t>
      </w:r>
      <w:r w:rsidRPr="00051297">
        <w:rPr>
          <w:lang w:val="en-US" w:bidi="en-US"/>
        </w:rPr>
        <w:fldChar w:fldCharType="end"/>
      </w:r>
      <w:r w:rsidRPr="00051297">
        <w:rPr>
          <w:lang w:val="en-US" w:bidi="en-US"/>
        </w:rPr>
        <w:t>. The factor of safety values based on the investigated operational water levels generated a p-value of 6.56</w:t>
      </w:r>
      <w:r w:rsidRPr="0079595C">
        <w:rPr>
          <w:lang w:val="en-US" w:eastAsia="pl-PL"/>
        </w:rPr>
        <w:t>× 10</w:t>
      </w:r>
      <w:r w:rsidRPr="0079595C">
        <w:rPr>
          <w:vertAlign w:val="superscript"/>
          <w:lang w:val="en-US" w:eastAsia="pl-PL"/>
        </w:rPr>
        <w:t>−</w:t>
      </w:r>
      <w:r w:rsidRPr="00051297">
        <w:rPr>
          <w:vertAlign w:val="superscript"/>
          <w:lang w:val="en-US" w:eastAsia="pl-PL"/>
        </w:rPr>
        <w:t>14</w:t>
      </w:r>
      <w:r w:rsidRPr="00051297">
        <w:rPr>
          <w:lang w:val="en-US" w:bidi="en-US"/>
        </w:rPr>
        <w:t>, as shown in the table. The resulting p-value (alpha value) is less than 0.05, showing the statistical significance of the differences.</w:t>
      </w:r>
    </w:p>
    <w:p w14:paraId="1D60AA28" w14:textId="7AE78C43" w:rsidR="00051297" w:rsidRPr="00051297" w:rsidRDefault="00051297" w:rsidP="00051297">
      <w:pPr>
        <w:rPr>
          <w:lang w:val="en-US"/>
        </w:rPr>
      </w:pPr>
      <w:bookmarkStart w:id="1775" w:name="_Ref100864624"/>
      <w:bookmarkStart w:id="1776" w:name="_Toc103544278"/>
      <w:bookmarkStart w:id="1777" w:name="_Toc104985604"/>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23</w:t>
      </w:r>
      <w:r w:rsidRPr="00051297">
        <w:rPr>
          <w:lang w:val="en-US"/>
        </w:rPr>
        <w:fldChar w:fldCharType="end"/>
      </w:r>
      <w:bookmarkEnd w:id="1775"/>
      <w:r w:rsidRPr="00051297">
        <w:rPr>
          <w:lang w:val="en-US"/>
        </w:rPr>
        <w:t xml:space="preserve"> Summary of ANOVA results from 5 days drawdown</w:t>
      </w:r>
      <w:bookmarkEnd w:id="1776"/>
      <w:bookmarkEnd w:id="1777"/>
      <w:r w:rsidRPr="00051297">
        <w:rPr>
          <w:lang w:val="en-US"/>
        </w:rPr>
        <w:t xml:space="preserve"> </w:t>
      </w:r>
    </w:p>
    <w:tbl>
      <w:tblPr>
        <w:tblStyle w:val="a8"/>
        <w:tblW w:w="0" w:type="auto"/>
        <w:jc w:val="center"/>
        <w:tblLook w:val="04A0" w:firstRow="1" w:lastRow="0" w:firstColumn="1" w:lastColumn="0" w:noHBand="0" w:noVBand="1"/>
      </w:tblPr>
      <w:tblGrid>
        <w:gridCol w:w="1748"/>
        <w:gridCol w:w="1124"/>
        <w:gridCol w:w="1124"/>
        <w:gridCol w:w="1124"/>
        <w:gridCol w:w="954"/>
        <w:gridCol w:w="1197"/>
        <w:gridCol w:w="1126"/>
        <w:gridCol w:w="6"/>
      </w:tblGrid>
      <w:tr w:rsidR="00051297" w:rsidRPr="001E2AC7" w14:paraId="7FEF9140" w14:textId="77777777" w:rsidTr="001E2AC7">
        <w:trPr>
          <w:trHeight w:val="280"/>
          <w:jc w:val="center"/>
        </w:trPr>
        <w:tc>
          <w:tcPr>
            <w:tcW w:w="8401" w:type="dxa"/>
            <w:gridSpan w:val="8"/>
            <w:noWrap/>
            <w:hideMark/>
          </w:tcPr>
          <w:p w14:paraId="206C907B"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ANOVA: Single Factor</w:t>
            </w:r>
          </w:p>
        </w:tc>
      </w:tr>
      <w:tr w:rsidR="00051297" w:rsidRPr="001E2AC7" w14:paraId="4DDA1CC4" w14:textId="77777777" w:rsidTr="001E2AC7">
        <w:trPr>
          <w:trHeight w:val="294"/>
          <w:jc w:val="center"/>
        </w:trPr>
        <w:tc>
          <w:tcPr>
            <w:tcW w:w="8401" w:type="dxa"/>
            <w:gridSpan w:val="8"/>
            <w:noWrap/>
            <w:hideMark/>
          </w:tcPr>
          <w:p w14:paraId="24A44AE6"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SUMMARY</w:t>
            </w:r>
          </w:p>
        </w:tc>
      </w:tr>
      <w:tr w:rsidR="00051297" w:rsidRPr="001E2AC7" w14:paraId="0CE26E77" w14:textId="77777777" w:rsidTr="001E2AC7">
        <w:trPr>
          <w:gridAfter w:val="1"/>
          <w:wAfter w:w="4" w:type="dxa"/>
          <w:trHeight w:val="280"/>
          <w:jc w:val="center"/>
        </w:trPr>
        <w:tc>
          <w:tcPr>
            <w:tcW w:w="1748" w:type="dxa"/>
            <w:noWrap/>
            <w:hideMark/>
          </w:tcPr>
          <w:p w14:paraId="438E626B"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Groups</w:t>
            </w:r>
          </w:p>
        </w:tc>
        <w:tc>
          <w:tcPr>
            <w:tcW w:w="1124" w:type="dxa"/>
            <w:noWrap/>
            <w:hideMark/>
          </w:tcPr>
          <w:p w14:paraId="48628D32"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Count</w:t>
            </w:r>
          </w:p>
        </w:tc>
        <w:tc>
          <w:tcPr>
            <w:tcW w:w="1124" w:type="dxa"/>
            <w:noWrap/>
            <w:hideMark/>
          </w:tcPr>
          <w:p w14:paraId="07CF8757"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Sum</w:t>
            </w:r>
          </w:p>
        </w:tc>
        <w:tc>
          <w:tcPr>
            <w:tcW w:w="1124" w:type="dxa"/>
            <w:noWrap/>
            <w:hideMark/>
          </w:tcPr>
          <w:p w14:paraId="3F87D5B8"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Average</w:t>
            </w:r>
          </w:p>
        </w:tc>
        <w:tc>
          <w:tcPr>
            <w:tcW w:w="3277" w:type="dxa"/>
            <w:gridSpan w:val="3"/>
            <w:noWrap/>
            <w:hideMark/>
          </w:tcPr>
          <w:p w14:paraId="591EC7C3"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Variance</w:t>
            </w:r>
          </w:p>
        </w:tc>
      </w:tr>
      <w:tr w:rsidR="00051297" w:rsidRPr="001E2AC7" w14:paraId="5F99B0D6" w14:textId="77777777" w:rsidTr="001E2AC7">
        <w:trPr>
          <w:gridAfter w:val="1"/>
          <w:wAfter w:w="4" w:type="dxa"/>
          <w:trHeight w:val="280"/>
          <w:jc w:val="center"/>
        </w:trPr>
        <w:tc>
          <w:tcPr>
            <w:tcW w:w="1748" w:type="dxa"/>
            <w:noWrap/>
            <w:hideMark/>
          </w:tcPr>
          <w:p w14:paraId="65B490E9"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NORL</w:t>
            </w:r>
          </w:p>
        </w:tc>
        <w:tc>
          <w:tcPr>
            <w:tcW w:w="1124" w:type="dxa"/>
            <w:noWrap/>
            <w:hideMark/>
          </w:tcPr>
          <w:p w14:paraId="5B283800"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31</w:t>
            </w:r>
          </w:p>
        </w:tc>
        <w:tc>
          <w:tcPr>
            <w:tcW w:w="1124" w:type="dxa"/>
            <w:noWrap/>
            <w:hideMark/>
          </w:tcPr>
          <w:p w14:paraId="30F92D6B"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64.305</w:t>
            </w:r>
          </w:p>
        </w:tc>
        <w:tc>
          <w:tcPr>
            <w:tcW w:w="1124" w:type="dxa"/>
            <w:noWrap/>
            <w:hideMark/>
          </w:tcPr>
          <w:p w14:paraId="62503E68"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2.074</w:t>
            </w:r>
          </w:p>
        </w:tc>
        <w:tc>
          <w:tcPr>
            <w:tcW w:w="3277" w:type="dxa"/>
            <w:gridSpan w:val="3"/>
            <w:noWrap/>
            <w:hideMark/>
          </w:tcPr>
          <w:p w14:paraId="3B770222"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0.086</w:t>
            </w:r>
          </w:p>
        </w:tc>
      </w:tr>
      <w:tr w:rsidR="00051297" w:rsidRPr="001E2AC7" w14:paraId="0AC50664" w14:textId="77777777" w:rsidTr="001E2AC7">
        <w:trPr>
          <w:gridAfter w:val="1"/>
          <w:wAfter w:w="4" w:type="dxa"/>
          <w:trHeight w:val="280"/>
          <w:jc w:val="center"/>
        </w:trPr>
        <w:tc>
          <w:tcPr>
            <w:tcW w:w="1748" w:type="dxa"/>
            <w:noWrap/>
            <w:hideMark/>
          </w:tcPr>
          <w:p w14:paraId="2621DD75"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MORL- EH</w:t>
            </w:r>
          </w:p>
        </w:tc>
        <w:tc>
          <w:tcPr>
            <w:tcW w:w="1124" w:type="dxa"/>
            <w:noWrap/>
            <w:hideMark/>
          </w:tcPr>
          <w:p w14:paraId="7C399190"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31</w:t>
            </w:r>
          </w:p>
        </w:tc>
        <w:tc>
          <w:tcPr>
            <w:tcW w:w="1124" w:type="dxa"/>
            <w:noWrap/>
            <w:hideMark/>
          </w:tcPr>
          <w:p w14:paraId="47924D21"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74.388</w:t>
            </w:r>
          </w:p>
        </w:tc>
        <w:tc>
          <w:tcPr>
            <w:tcW w:w="1124" w:type="dxa"/>
            <w:noWrap/>
            <w:hideMark/>
          </w:tcPr>
          <w:p w14:paraId="52A5C2BA"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2.4</w:t>
            </w:r>
          </w:p>
        </w:tc>
        <w:tc>
          <w:tcPr>
            <w:tcW w:w="3277" w:type="dxa"/>
            <w:gridSpan w:val="3"/>
            <w:noWrap/>
            <w:hideMark/>
          </w:tcPr>
          <w:p w14:paraId="3C2C4E4F"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0.156</w:t>
            </w:r>
          </w:p>
        </w:tc>
      </w:tr>
      <w:tr w:rsidR="00051297" w:rsidRPr="001E2AC7" w14:paraId="12761F33" w14:textId="77777777" w:rsidTr="001E2AC7">
        <w:trPr>
          <w:gridAfter w:val="1"/>
          <w:wAfter w:w="4" w:type="dxa"/>
          <w:trHeight w:val="280"/>
          <w:jc w:val="center"/>
        </w:trPr>
        <w:tc>
          <w:tcPr>
            <w:tcW w:w="1748" w:type="dxa"/>
            <w:noWrap/>
            <w:hideMark/>
          </w:tcPr>
          <w:p w14:paraId="4392EE10"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MORL-OF</w:t>
            </w:r>
          </w:p>
        </w:tc>
        <w:tc>
          <w:tcPr>
            <w:tcW w:w="1124" w:type="dxa"/>
            <w:noWrap/>
            <w:hideMark/>
          </w:tcPr>
          <w:p w14:paraId="76C3BD71"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31</w:t>
            </w:r>
          </w:p>
        </w:tc>
        <w:tc>
          <w:tcPr>
            <w:tcW w:w="1124" w:type="dxa"/>
            <w:noWrap/>
            <w:hideMark/>
          </w:tcPr>
          <w:p w14:paraId="4E478BE4"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62.149</w:t>
            </w:r>
          </w:p>
        </w:tc>
        <w:tc>
          <w:tcPr>
            <w:tcW w:w="1124" w:type="dxa"/>
            <w:noWrap/>
            <w:hideMark/>
          </w:tcPr>
          <w:p w14:paraId="29CE7CC7"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2.005</w:t>
            </w:r>
          </w:p>
        </w:tc>
        <w:tc>
          <w:tcPr>
            <w:tcW w:w="3277" w:type="dxa"/>
            <w:gridSpan w:val="3"/>
            <w:noWrap/>
            <w:hideMark/>
          </w:tcPr>
          <w:p w14:paraId="719594B0"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0.080</w:t>
            </w:r>
          </w:p>
        </w:tc>
      </w:tr>
      <w:tr w:rsidR="00051297" w:rsidRPr="001E2AC7" w14:paraId="7A7A888C" w14:textId="77777777" w:rsidTr="001E2AC7">
        <w:trPr>
          <w:gridAfter w:val="1"/>
          <w:wAfter w:w="4" w:type="dxa"/>
          <w:trHeight w:val="294"/>
          <w:jc w:val="center"/>
        </w:trPr>
        <w:tc>
          <w:tcPr>
            <w:tcW w:w="1748" w:type="dxa"/>
            <w:noWrap/>
            <w:hideMark/>
          </w:tcPr>
          <w:p w14:paraId="5897935C"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RORL</w:t>
            </w:r>
          </w:p>
        </w:tc>
        <w:tc>
          <w:tcPr>
            <w:tcW w:w="1124" w:type="dxa"/>
            <w:noWrap/>
            <w:hideMark/>
          </w:tcPr>
          <w:p w14:paraId="49FD143A"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31</w:t>
            </w:r>
          </w:p>
        </w:tc>
        <w:tc>
          <w:tcPr>
            <w:tcW w:w="1124" w:type="dxa"/>
            <w:noWrap/>
            <w:hideMark/>
          </w:tcPr>
          <w:p w14:paraId="0CFDCCD1"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80.894</w:t>
            </w:r>
          </w:p>
        </w:tc>
        <w:tc>
          <w:tcPr>
            <w:tcW w:w="1124" w:type="dxa"/>
            <w:noWrap/>
            <w:hideMark/>
          </w:tcPr>
          <w:p w14:paraId="7FA715EF"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2.609</w:t>
            </w:r>
          </w:p>
        </w:tc>
        <w:tc>
          <w:tcPr>
            <w:tcW w:w="3277" w:type="dxa"/>
            <w:gridSpan w:val="3"/>
            <w:noWrap/>
            <w:hideMark/>
          </w:tcPr>
          <w:p w14:paraId="480171E0"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0.029</w:t>
            </w:r>
          </w:p>
        </w:tc>
      </w:tr>
      <w:tr w:rsidR="00051297" w:rsidRPr="001E2AC7" w14:paraId="16BCB73A" w14:textId="77777777" w:rsidTr="001E2AC7">
        <w:trPr>
          <w:trHeight w:val="294"/>
          <w:jc w:val="center"/>
        </w:trPr>
        <w:tc>
          <w:tcPr>
            <w:tcW w:w="8401" w:type="dxa"/>
            <w:gridSpan w:val="8"/>
            <w:noWrap/>
            <w:hideMark/>
          </w:tcPr>
          <w:p w14:paraId="49D54B76"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ANOVA</w:t>
            </w:r>
          </w:p>
        </w:tc>
      </w:tr>
      <w:tr w:rsidR="00051297" w:rsidRPr="001E2AC7" w14:paraId="6C5C99BB" w14:textId="77777777" w:rsidTr="001E2AC7">
        <w:trPr>
          <w:gridAfter w:val="1"/>
          <w:wAfter w:w="6" w:type="dxa"/>
          <w:trHeight w:val="280"/>
          <w:jc w:val="center"/>
        </w:trPr>
        <w:tc>
          <w:tcPr>
            <w:tcW w:w="1748" w:type="dxa"/>
            <w:noWrap/>
            <w:hideMark/>
          </w:tcPr>
          <w:p w14:paraId="60CDD8E0"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Source of Variation</w:t>
            </w:r>
          </w:p>
        </w:tc>
        <w:tc>
          <w:tcPr>
            <w:tcW w:w="1124" w:type="dxa"/>
            <w:noWrap/>
            <w:hideMark/>
          </w:tcPr>
          <w:p w14:paraId="5405FB0A"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SS</w:t>
            </w:r>
          </w:p>
        </w:tc>
        <w:tc>
          <w:tcPr>
            <w:tcW w:w="1124" w:type="dxa"/>
            <w:noWrap/>
            <w:hideMark/>
          </w:tcPr>
          <w:p w14:paraId="047C9D88"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df</w:t>
            </w:r>
          </w:p>
        </w:tc>
        <w:tc>
          <w:tcPr>
            <w:tcW w:w="1124" w:type="dxa"/>
            <w:noWrap/>
            <w:hideMark/>
          </w:tcPr>
          <w:p w14:paraId="3BB4174A"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MS</w:t>
            </w:r>
          </w:p>
        </w:tc>
        <w:tc>
          <w:tcPr>
            <w:tcW w:w="954" w:type="dxa"/>
            <w:noWrap/>
            <w:hideMark/>
          </w:tcPr>
          <w:p w14:paraId="06EE4428"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F</w:t>
            </w:r>
          </w:p>
        </w:tc>
        <w:tc>
          <w:tcPr>
            <w:tcW w:w="1197" w:type="dxa"/>
            <w:noWrap/>
            <w:hideMark/>
          </w:tcPr>
          <w:p w14:paraId="7DB976F0"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P-value</w:t>
            </w:r>
          </w:p>
        </w:tc>
        <w:tc>
          <w:tcPr>
            <w:tcW w:w="1124" w:type="dxa"/>
            <w:noWrap/>
            <w:hideMark/>
          </w:tcPr>
          <w:p w14:paraId="4F14CF2C"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F crit</w:t>
            </w:r>
          </w:p>
        </w:tc>
      </w:tr>
      <w:tr w:rsidR="00051297" w:rsidRPr="001E2AC7" w14:paraId="7A32FB39" w14:textId="77777777" w:rsidTr="001E2AC7">
        <w:trPr>
          <w:gridAfter w:val="1"/>
          <w:wAfter w:w="6" w:type="dxa"/>
          <w:trHeight w:val="280"/>
          <w:jc w:val="center"/>
        </w:trPr>
        <w:tc>
          <w:tcPr>
            <w:tcW w:w="1748" w:type="dxa"/>
            <w:noWrap/>
            <w:hideMark/>
          </w:tcPr>
          <w:p w14:paraId="37829777"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Between Groups</w:t>
            </w:r>
          </w:p>
        </w:tc>
        <w:tc>
          <w:tcPr>
            <w:tcW w:w="1124" w:type="dxa"/>
            <w:noWrap/>
            <w:hideMark/>
          </w:tcPr>
          <w:p w14:paraId="27F985E0"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7.4598</w:t>
            </w:r>
          </w:p>
        </w:tc>
        <w:tc>
          <w:tcPr>
            <w:tcW w:w="1124" w:type="dxa"/>
            <w:noWrap/>
            <w:hideMark/>
          </w:tcPr>
          <w:p w14:paraId="2A91AD74"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3</w:t>
            </w:r>
          </w:p>
        </w:tc>
        <w:tc>
          <w:tcPr>
            <w:tcW w:w="1124" w:type="dxa"/>
            <w:noWrap/>
            <w:hideMark/>
          </w:tcPr>
          <w:p w14:paraId="31B81521"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2.487</w:t>
            </w:r>
          </w:p>
        </w:tc>
        <w:tc>
          <w:tcPr>
            <w:tcW w:w="954" w:type="dxa"/>
            <w:noWrap/>
            <w:hideMark/>
          </w:tcPr>
          <w:p w14:paraId="7E0F7298"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28.298</w:t>
            </w:r>
          </w:p>
        </w:tc>
        <w:tc>
          <w:tcPr>
            <w:tcW w:w="1197" w:type="dxa"/>
            <w:noWrap/>
            <w:hideMark/>
          </w:tcPr>
          <w:p w14:paraId="31AC28BB"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6.56</w:t>
            </w:r>
            <w:r w:rsidRPr="001E2AC7">
              <w:rPr>
                <w:sz w:val="22"/>
                <w:szCs w:val="20"/>
                <w:lang w:eastAsia="pl-PL"/>
              </w:rPr>
              <w:t>× 10</w:t>
            </w:r>
            <w:r w:rsidRPr="001E2AC7">
              <w:rPr>
                <w:sz w:val="22"/>
                <w:szCs w:val="20"/>
                <w:vertAlign w:val="superscript"/>
                <w:lang w:eastAsia="pl-PL"/>
              </w:rPr>
              <w:t>−14</w:t>
            </w:r>
          </w:p>
        </w:tc>
        <w:tc>
          <w:tcPr>
            <w:tcW w:w="1124" w:type="dxa"/>
            <w:noWrap/>
            <w:hideMark/>
          </w:tcPr>
          <w:p w14:paraId="34A35CFC"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2.680</w:t>
            </w:r>
          </w:p>
        </w:tc>
      </w:tr>
      <w:tr w:rsidR="00051297" w:rsidRPr="001E2AC7" w14:paraId="16F94C0E" w14:textId="77777777" w:rsidTr="001E2AC7">
        <w:trPr>
          <w:gridAfter w:val="1"/>
          <w:wAfter w:w="6" w:type="dxa"/>
          <w:trHeight w:val="280"/>
          <w:jc w:val="center"/>
        </w:trPr>
        <w:tc>
          <w:tcPr>
            <w:tcW w:w="1748" w:type="dxa"/>
            <w:noWrap/>
            <w:hideMark/>
          </w:tcPr>
          <w:p w14:paraId="10DCA515"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Within Groups</w:t>
            </w:r>
          </w:p>
        </w:tc>
        <w:tc>
          <w:tcPr>
            <w:tcW w:w="1124" w:type="dxa"/>
            <w:noWrap/>
            <w:hideMark/>
          </w:tcPr>
          <w:p w14:paraId="7BB5D557"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10.545</w:t>
            </w:r>
          </w:p>
        </w:tc>
        <w:tc>
          <w:tcPr>
            <w:tcW w:w="1124" w:type="dxa"/>
            <w:noWrap/>
            <w:hideMark/>
          </w:tcPr>
          <w:p w14:paraId="09C66C16"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120</w:t>
            </w:r>
          </w:p>
        </w:tc>
        <w:tc>
          <w:tcPr>
            <w:tcW w:w="1124" w:type="dxa"/>
            <w:noWrap/>
            <w:hideMark/>
          </w:tcPr>
          <w:p w14:paraId="1C2D36AD"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0.0879</w:t>
            </w:r>
          </w:p>
        </w:tc>
        <w:tc>
          <w:tcPr>
            <w:tcW w:w="954" w:type="dxa"/>
            <w:noWrap/>
            <w:hideMark/>
          </w:tcPr>
          <w:p w14:paraId="0D97448C" w14:textId="77777777" w:rsidR="00051297" w:rsidRPr="001E2AC7" w:rsidRDefault="00051297" w:rsidP="00051297">
            <w:pPr>
              <w:spacing w:line="240" w:lineRule="auto"/>
              <w:ind w:firstLine="0"/>
              <w:jc w:val="center"/>
              <w:rPr>
                <w:sz w:val="22"/>
                <w:szCs w:val="20"/>
                <w:lang w:val="en-US"/>
              </w:rPr>
            </w:pPr>
          </w:p>
        </w:tc>
        <w:tc>
          <w:tcPr>
            <w:tcW w:w="1197" w:type="dxa"/>
            <w:noWrap/>
            <w:hideMark/>
          </w:tcPr>
          <w:p w14:paraId="7F2D5D16" w14:textId="77777777" w:rsidR="00051297" w:rsidRPr="001E2AC7" w:rsidRDefault="00051297" w:rsidP="00051297">
            <w:pPr>
              <w:spacing w:line="240" w:lineRule="auto"/>
              <w:ind w:firstLine="0"/>
              <w:jc w:val="center"/>
              <w:rPr>
                <w:sz w:val="22"/>
                <w:szCs w:val="20"/>
                <w:lang w:val="en-US"/>
              </w:rPr>
            </w:pPr>
          </w:p>
        </w:tc>
        <w:tc>
          <w:tcPr>
            <w:tcW w:w="1124" w:type="dxa"/>
            <w:noWrap/>
            <w:hideMark/>
          </w:tcPr>
          <w:p w14:paraId="0A5917F8" w14:textId="77777777" w:rsidR="00051297" w:rsidRPr="001E2AC7" w:rsidRDefault="00051297" w:rsidP="00051297">
            <w:pPr>
              <w:spacing w:line="240" w:lineRule="auto"/>
              <w:ind w:firstLine="0"/>
              <w:jc w:val="center"/>
              <w:rPr>
                <w:sz w:val="22"/>
                <w:szCs w:val="20"/>
                <w:lang w:val="en-US"/>
              </w:rPr>
            </w:pPr>
          </w:p>
        </w:tc>
      </w:tr>
      <w:tr w:rsidR="00051297" w:rsidRPr="001E2AC7" w14:paraId="0EA505F5" w14:textId="77777777" w:rsidTr="001E2AC7">
        <w:trPr>
          <w:gridAfter w:val="1"/>
          <w:wAfter w:w="6" w:type="dxa"/>
          <w:trHeight w:val="294"/>
          <w:jc w:val="center"/>
        </w:trPr>
        <w:tc>
          <w:tcPr>
            <w:tcW w:w="1748" w:type="dxa"/>
            <w:noWrap/>
            <w:hideMark/>
          </w:tcPr>
          <w:p w14:paraId="74E76915"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Total</w:t>
            </w:r>
          </w:p>
        </w:tc>
        <w:tc>
          <w:tcPr>
            <w:tcW w:w="1124" w:type="dxa"/>
            <w:noWrap/>
            <w:hideMark/>
          </w:tcPr>
          <w:p w14:paraId="6CB74D14"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18.005</w:t>
            </w:r>
          </w:p>
        </w:tc>
        <w:tc>
          <w:tcPr>
            <w:tcW w:w="1124" w:type="dxa"/>
            <w:noWrap/>
            <w:hideMark/>
          </w:tcPr>
          <w:p w14:paraId="4F14DB3F"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123</w:t>
            </w:r>
          </w:p>
        </w:tc>
        <w:tc>
          <w:tcPr>
            <w:tcW w:w="1124" w:type="dxa"/>
            <w:noWrap/>
            <w:hideMark/>
          </w:tcPr>
          <w:p w14:paraId="6E2BD7C6"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 </w:t>
            </w:r>
          </w:p>
        </w:tc>
        <w:tc>
          <w:tcPr>
            <w:tcW w:w="954" w:type="dxa"/>
            <w:noWrap/>
            <w:hideMark/>
          </w:tcPr>
          <w:p w14:paraId="2301C99B"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 </w:t>
            </w:r>
          </w:p>
        </w:tc>
        <w:tc>
          <w:tcPr>
            <w:tcW w:w="1197" w:type="dxa"/>
            <w:noWrap/>
            <w:hideMark/>
          </w:tcPr>
          <w:p w14:paraId="16A010C2"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 </w:t>
            </w:r>
          </w:p>
        </w:tc>
        <w:tc>
          <w:tcPr>
            <w:tcW w:w="1124" w:type="dxa"/>
            <w:noWrap/>
            <w:hideMark/>
          </w:tcPr>
          <w:p w14:paraId="15AFA6F7" w14:textId="77777777" w:rsidR="00051297" w:rsidRPr="001E2AC7" w:rsidRDefault="00051297" w:rsidP="00051297">
            <w:pPr>
              <w:spacing w:line="240" w:lineRule="auto"/>
              <w:ind w:firstLine="0"/>
              <w:jc w:val="center"/>
              <w:rPr>
                <w:sz w:val="22"/>
                <w:szCs w:val="20"/>
                <w:lang w:val="en-US"/>
              </w:rPr>
            </w:pPr>
            <w:r w:rsidRPr="001E2AC7">
              <w:rPr>
                <w:sz w:val="22"/>
                <w:szCs w:val="20"/>
                <w:lang w:val="en-US"/>
              </w:rPr>
              <w:t> </w:t>
            </w:r>
          </w:p>
        </w:tc>
      </w:tr>
    </w:tbl>
    <w:p w14:paraId="6BE252A1" w14:textId="722919FE" w:rsidR="00051297" w:rsidRPr="00051297" w:rsidRDefault="00051297" w:rsidP="00051297">
      <w:pPr>
        <w:rPr>
          <w:lang w:val="en-US" w:bidi="en-US"/>
        </w:rPr>
      </w:pPr>
      <w:r w:rsidRPr="00051297">
        <w:rPr>
          <w:lang w:val="en-US" w:bidi="en-US"/>
        </w:rPr>
        <w:lastRenderedPageBreak/>
        <w:t xml:space="preserve">In addition, the analyzed operating water levels were subjected to a single-factor ANOVA with an alpha value of 0.05 and a 10 days drawdown rate; the results of the ANOVA are described in </w:t>
      </w:r>
      <w:r w:rsidRPr="00051297">
        <w:rPr>
          <w:lang w:val="en-US" w:bidi="en-US"/>
        </w:rPr>
        <w:fldChar w:fldCharType="begin"/>
      </w:r>
      <w:r w:rsidRPr="00051297">
        <w:rPr>
          <w:lang w:val="en-US" w:bidi="en-US"/>
        </w:rPr>
        <w:instrText xml:space="preserve"> REF _Ref100864639 \h </w:instrText>
      </w:r>
      <w:r w:rsidRPr="00051297">
        <w:rPr>
          <w:lang w:val="en-US" w:bidi="en-US"/>
        </w:rPr>
      </w:r>
      <w:r w:rsidRPr="00051297">
        <w:rPr>
          <w:lang w:val="en-US" w:bidi="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24</w:t>
      </w:r>
      <w:r w:rsidRPr="00051297">
        <w:rPr>
          <w:lang w:val="en-US" w:bidi="en-US"/>
        </w:rPr>
        <w:fldChar w:fldCharType="end"/>
      </w:r>
      <w:r w:rsidRPr="00051297">
        <w:rPr>
          <w:lang w:val="en-US" w:bidi="en-US"/>
        </w:rPr>
        <w:t>. The factor of safety values based on the investigated operational water levels generated a p-value of 1.06</w:t>
      </w:r>
      <w:r w:rsidRPr="0079595C">
        <w:rPr>
          <w:lang w:val="en-US" w:eastAsia="pl-PL"/>
        </w:rPr>
        <w:t>× 10</w:t>
      </w:r>
      <w:r w:rsidRPr="0079595C">
        <w:rPr>
          <w:vertAlign w:val="superscript"/>
          <w:lang w:val="en-US" w:eastAsia="pl-PL"/>
        </w:rPr>
        <w:t>−</w:t>
      </w:r>
      <w:r w:rsidRPr="00051297">
        <w:rPr>
          <w:vertAlign w:val="superscript"/>
          <w:lang w:val="en-US" w:eastAsia="pl-PL"/>
        </w:rPr>
        <w:t>10</w:t>
      </w:r>
      <w:r w:rsidRPr="00051297">
        <w:rPr>
          <w:lang w:val="en-US" w:bidi="en-US"/>
        </w:rPr>
        <w:t xml:space="preserve">, as shown in the table. The resulting p-value (alpha value) is less than 0.05, showing the statistical significance of the differences. </w:t>
      </w:r>
    </w:p>
    <w:p w14:paraId="6488E764" w14:textId="6C168ADF" w:rsidR="00051297" w:rsidRPr="00051297" w:rsidRDefault="00051297" w:rsidP="00051297">
      <w:pPr>
        <w:rPr>
          <w:lang w:val="en-US"/>
        </w:rPr>
      </w:pPr>
      <w:bookmarkStart w:id="1778" w:name="_Ref100864639"/>
      <w:bookmarkStart w:id="1779" w:name="_Toc103544279"/>
      <w:bookmarkStart w:id="1780" w:name="_Toc104985605"/>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24</w:t>
      </w:r>
      <w:r w:rsidRPr="00051297">
        <w:rPr>
          <w:lang w:val="en-US"/>
        </w:rPr>
        <w:fldChar w:fldCharType="end"/>
      </w:r>
      <w:bookmarkEnd w:id="1778"/>
      <w:r w:rsidRPr="00051297">
        <w:rPr>
          <w:lang w:val="en-US"/>
        </w:rPr>
        <w:t xml:space="preserve">  Summary of ANOVA results from 10 days drawdown</w:t>
      </w:r>
      <w:bookmarkEnd w:id="1779"/>
      <w:bookmarkEnd w:id="1780"/>
    </w:p>
    <w:tbl>
      <w:tblPr>
        <w:tblStyle w:val="a8"/>
        <w:tblW w:w="0" w:type="auto"/>
        <w:jc w:val="center"/>
        <w:tblLook w:val="04A0" w:firstRow="1" w:lastRow="0" w:firstColumn="1" w:lastColumn="0" w:noHBand="0" w:noVBand="1"/>
      </w:tblPr>
      <w:tblGrid>
        <w:gridCol w:w="1735"/>
        <w:gridCol w:w="1116"/>
        <w:gridCol w:w="1116"/>
        <w:gridCol w:w="1116"/>
        <w:gridCol w:w="947"/>
        <w:gridCol w:w="1188"/>
        <w:gridCol w:w="1116"/>
      </w:tblGrid>
      <w:tr w:rsidR="00051297" w:rsidRPr="00051297" w14:paraId="75912B86" w14:textId="77777777" w:rsidTr="00D20B01">
        <w:trPr>
          <w:trHeight w:val="300"/>
          <w:jc w:val="center"/>
        </w:trPr>
        <w:tc>
          <w:tcPr>
            <w:tcW w:w="8334" w:type="dxa"/>
            <w:gridSpan w:val="7"/>
            <w:noWrap/>
            <w:hideMark/>
          </w:tcPr>
          <w:p w14:paraId="7321DFBC" w14:textId="77777777" w:rsidR="00051297" w:rsidRPr="00051297" w:rsidRDefault="00051297" w:rsidP="00051297">
            <w:pPr>
              <w:spacing w:line="240" w:lineRule="auto"/>
              <w:ind w:firstLine="0"/>
              <w:jc w:val="center"/>
              <w:rPr>
                <w:lang w:val="en-US"/>
              </w:rPr>
            </w:pPr>
            <w:r w:rsidRPr="00051297">
              <w:rPr>
                <w:lang w:val="en-US"/>
              </w:rPr>
              <w:t>ANOVA: Single Factor</w:t>
            </w:r>
          </w:p>
        </w:tc>
      </w:tr>
      <w:tr w:rsidR="00051297" w:rsidRPr="00051297" w14:paraId="70D62BFB" w14:textId="77777777" w:rsidTr="00D20B01">
        <w:trPr>
          <w:trHeight w:val="315"/>
          <w:jc w:val="center"/>
        </w:trPr>
        <w:tc>
          <w:tcPr>
            <w:tcW w:w="8334" w:type="dxa"/>
            <w:gridSpan w:val="7"/>
            <w:noWrap/>
            <w:hideMark/>
          </w:tcPr>
          <w:p w14:paraId="5D3FBA2D" w14:textId="77777777" w:rsidR="00051297" w:rsidRPr="00051297" w:rsidRDefault="00051297" w:rsidP="00051297">
            <w:pPr>
              <w:spacing w:line="240" w:lineRule="auto"/>
              <w:ind w:firstLine="0"/>
              <w:jc w:val="center"/>
              <w:rPr>
                <w:lang w:val="en-US"/>
              </w:rPr>
            </w:pPr>
            <w:r w:rsidRPr="00051297">
              <w:rPr>
                <w:lang w:val="en-US"/>
              </w:rPr>
              <w:t>SUMMARY</w:t>
            </w:r>
          </w:p>
        </w:tc>
      </w:tr>
      <w:tr w:rsidR="00051297" w:rsidRPr="00051297" w14:paraId="7527D960" w14:textId="77777777" w:rsidTr="00D20B01">
        <w:trPr>
          <w:trHeight w:val="300"/>
          <w:jc w:val="center"/>
        </w:trPr>
        <w:tc>
          <w:tcPr>
            <w:tcW w:w="1735" w:type="dxa"/>
            <w:noWrap/>
            <w:hideMark/>
          </w:tcPr>
          <w:p w14:paraId="63624201" w14:textId="77777777" w:rsidR="00051297" w:rsidRPr="00051297" w:rsidRDefault="00051297" w:rsidP="00051297">
            <w:pPr>
              <w:spacing w:line="240" w:lineRule="auto"/>
              <w:ind w:firstLine="0"/>
              <w:jc w:val="center"/>
              <w:rPr>
                <w:lang w:val="en-US"/>
              </w:rPr>
            </w:pPr>
            <w:r w:rsidRPr="00051297">
              <w:rPr>
                <w:lang w:val="en-US"/>
              </w:rPr>
              <w:t>Groups</w:t>
            </w:r>
          </w:p>
        </w:tc>
        <w:tc>
          <w:tcPr>
            <w:tcW w:w="1116" w:type="dxa"/>
            <w:noWrap/>
            <w:hideMark/>
          </w:tcPr>
          <w:p w14:paraId="4B8B0A16" w14:textId="77777777" w:rsidR="00051297" w:rsidRPr="00051297" w:rsidRDefault="00051297" w:rsidP="00051297">
            <w:pPr>
              <w:spacing w:line="240" w:lineRule="auto"/>
              <w:ind w:firstLine="0"/>
              <w:jc w:val="center"/>
              <w:rPr>
                <w:lang w:val="en-US"/>
              </w:rPr>
            </w:pPr>
            <w:r w:rsidRPr="00051297">
              <w:rPr>
                <w:lang w:val="en-US"/>
              </w:rPr>
              <w:t>Count</w:t>
            </w:r>
          </w:p>
        </w:tc>
        <w:tc>
          <w:tcPr>
            <w:tcW w:w="1116" w:type="dxa"/>
            <w:noWrap/>
            <w:hideMark/>
          </w:tcPr>
          <w:p w14:paraId="300ED326" w14:textId="77777777" w:rsidR="00051297" w:rsidRPr="00051297" w:rsidRDefault="00051297" w:rsidP="00051297">
            <w:pPr>
              <w:spacing w:line="240" w:lineRule="auto"/>
              <w:ind w:firstLine="0"/>
              <w:jc w:val="center"/>
              <w:rPr>
                <w:lang w:val="en-US"/>
              </w:rPr>
            </w:pPr>
            <w:r w:rsidRPr="00051297">
              <w:rPr>
                <w:lang w:val="en-US"/>
              </w:rPr>
              <w:t>Sum</w:t>
            </w:r>
          </w:p>
        </w:tc>
        <w:tc>
          <w:tcPr>
            <w:tcW w:w="1116" w:type="dxa"/>
            <w:noWrap/>
            <w:hideMark/>
          </w:tcPr>
          <w:p w14:paraId="43C71486" w14:textId="77777777" w:rsidR="00051297" w:rsidRPr="00051297" w:rsidRDefault="00051297" w:rsidP="00051297">
            <w:pPr>
              <w:spacing w:line="240" w:lineRule="auto"/>
              <w:ind w:firstLine="0"/>
              <w:jc w:val="center"/>
              <w:rPr>
                <w:lang w:val="en-US"/>
              </w:rPr>
            </w:pPr>
            <w:r w:rsidRPr="00051297">
              <w:rPr>
                <w:lang w:val="en-US"/>
              </w:rPr>
              <w:t>Average</w:t>
            </w:r>
          </w:p>
        </w:tc>
        <w:tc>
          <w:tcPr>
            <w:tcW w:w="3251" w:type="dxa"/>
            <w:gridSpan w:val="3"/>
            <w:noWrap/>
            <w:hideMark/>
          </w:tcPr>
          <w:p w14:paraId="476B299A" w14:textId="77777777" w:rsidR="00051297" w:rsidRPr="00051297" w:rsidRDefault="00051297" w:rsidP="00051297">
            <w:pPr>
              <w:spacing w:line="240" w:lineRule="auto"/>
              <w:ind w:firstLine="0"/>
              <w:jc w:val="center"/>
              <w:rPr>
                <w:lang w:val="en-US"/>
              </w:rPr>
            </w:pPr>
            <w:r w:rsidRPr="00051297">
              <w:rPr>
                <w:lang w:val="en-US"/>
              </w:rPr>
              <w:t>Variance</w:t>
            </w:r>
          </w:p>
        </w:tc>
      </w:tr>
      <w:tr w:rsidR="00051297" w:rsidRPr="00051297" w14:paraId="02CAAA35" w14:textId="77777777" w:rsidTr="00D20B01">
        <w:trPr>
          <w:trHeight w:val="300"/>
          <w:jc w:val="center"/>
        </w:trPr>
        <w:tc>
          <w:tcPr>
            <w:tcW w:w="1735" w:type="dxa"/>
            <w:noWrap/>
            <w:hideMark/>
          </w:tcPr>
          <w:p w14:paraId="14CB2F50" w14:textId="77777777" w:rsidR="00051297" w:rsidRPr="00051297" w:rsidRDefault="00051297" w:rsidP="00051297">
            <w:pPr>
              <w:spacing w:line="240" w:lineRule="auto"/>
              <w:ind w:firstLine="0"/>
              <w:jc w:val="center"/>
              <w:rPr>
                <w:lang w:val="en-US"/>
              </w:rPr>
            </w:pPr>
            <w:r w:rsidRPr="00051297">
              <w:rPr>
                <w:lang w:val="en-US"/>
              </w:rPr>
              <w:t>NORL</w:t>
            </w:r>
          </w:p>
        </w:tc>
        <w:tc>
          <w:tcPr>
            <w:tcW w:w="1116" w:type="dxa"/>
            <w:noWrap/>
            <w:hideMark/>
          </w:tcPr>
          <w:p w14:paraId="51E2D838" w14:textId="77777777" w:rsidR="00051297" w:rsidRPr="00051297" w:rsidRDefault="00051297" w:rsidP="00051297">
            <w:pPr>
              <w:spacing w:line="240" w:lineRule="auto"/>
              <w:ind w:firstLine="0"/>
              <w:jc w:val="center"/>
              <w:rPr>
                <w:lang w:val="en-US"/>
              </w:rPr>
            </w:pPr>
            <w:r w:rsidRPr="00051297">
              <w:rPr>
                <w:lang w:val="en-US"/>
              </w:rPr>
              <w:t>31</w:t>
            </w:r>
          </w:p>
        </w:tc>
        <w:tc>
          <w:tcPr>
            <w:tcW w:w="1116" w:type="dxa"/>
            <w:noWrap/>
            <w:hideMark/>
          </w:tcPr>
          <w:p w14:paraId="068DB31D" w14:textId="77777777" w:rsidR="00051297" w:rsidRPr="00051297" w:rsidRDefault="00051297" w:rsidP="00051297">
            <w:pPr>
              <w:spacing w:line="240" w:lineRule="auto"/>
              <w:ind w:firstLine="0"/>
              <w:jc w:val="center"/>
              <w:rPr>
                <w:lang w:val="en-US"/>
              </w:rPr>
            </w:pPr>
            <w:r w:rsidRPr="00051297">
              <w:rPr>
                <w:lang w:val="en-US"/>
              </w:rPr>
              <w:t>67.217</w:t>
            </w:r>
          </w:p>
        </w:tc>
        <w:tc>
          <w:tcPr>
            <w:tcW w:w="1116" w:type="dxa"/>
            <w:noWrap/>
            <w:hideMark/>
          </w:tcPr>
          <w:p w14:paraId="051D200D" w14:textId="77777777" w:rsidR="00051297" w:rsidRPr="00051297" w:rsidRDefault="00051297" w:rsidP="00051297">
            <w:pPr>
              <w:spacing w:line="240" w:lineRule="auto"/>
              <w:ind w:firstLine="0"/>
              <w:jc w:val="center"/>
              <w:rPr>
                <w:lang w:val="en-US"/>
              </w:rPr>
            </w:pPr>
            <w:r w:rsidRPr="00051297">
              <w:rPr>
                <w:lang w:val="en-US"/>
              </w:rPr>
              <w:t>2.168</w:t>
            </w:r>
          </w:p>
        </w:tc>
        <w:tc>
          <w:tcPr>
            <w:tcW w:w="3251" w:type="dxa"/>
            <w:gridSpan w:val="3"/>
            <w:noWrap/>
            <w:hideMark/>
          </w:tcPr>
          <w:p w14:paraId="49635542" w14:textId="77777777" w:rsidR="00051297" w:rsidRPr="00051297" w:rsidRDefault="00051297" w:rsidP="00051297">
            <w:pPr>
              <w:spacing w:line="240" w:lineRule="auto"/>
              <w:ind w:firstLine="0"/>
              <w:jc w:val="center"/>
              <w:rPr>
                <w:lang w:val="en-US"/>
              </w:rPr>
            </w:pPr>
            <w:r w:rsidRPr="00051297">
              <w:rPr>
                <w:lang w:val="en-US"/>
              </w:rPr>
              <w:t>0.121</w:t>
            </w:r>
          </w:p>
        </w:tc>
      </w:tr>
      <w:tr w:rsidR="00051297" w:rsidRPr="00051297" w14:paraId="2A11A062" w14:textId="77777777" w:rsidTr="00D20B01">
        <w:trPr>
          <w:trHeight w:val="300"/>
          <w:jc w:val="center"/>
        </w:trPr>
        <w:tc>
          <w:tcPr>
            <w:tcW w:w="1735" w:type="dxa"/>
            <w:noWrap/>
            <w:hideMark/>
          </w:tcPr>
          <w:p w14:paraId="33F075F1" w14:textId="77777777" w:rsidR="00051297" w:rsidRPr="00051297" w:rsidRDefault="00051297" w:rsidP="00051297">
            <w:pPr>
              <w:spacing w:line="240" w:lineRule="auto"/>
              <w:ind w:firstLine="0"/>
              <w:jc w:val="center"/>
              <w:rPr>
                <w:lang w:val="en-US"/>
              </w:rPr>
            </w:pPr>
            <w:r w:rsidRPr="00051297">
              <w:rPr>
                <w:lang w:val="en-US"/>
              </w:rPr>
              <w:t>MORL- EH</w:t>
            </w:r>
          </w:p>
        </w:tc>
        <w:tc>
          <w:tcPr>
            <w:tcW w:w="1116" w:type="dxa"/>
            <w:noWrap/>
            <w:hideMark/>
          </w:tcPr>
          <w:p w14:paraId="2AE96B5B" w14:textId="77777777" w:rsidR="00051297" w:rsidRPr="00051297" w:rsidRDefault="00051297" w:rsidP="00051297">
            <w:pPr>
              <w:spacing w:line="240" w:lineRule="auto"/>
              <w:ind w:firstLine="0"/>
              <w:jc w:val="center"/>
              <w:rPr>
                <w:lang w:val="en-US"/>
              </w:rPr>
            </w:pPr>
            <w:r w:rsidRPr="00051297">
              <w:rPr>
                <w:lang w:val="en-US"/>
              </w:rPr>
              <w:t>31</w:t>
            </w:r>
          </w:p>
        </w:tc>
        <w:tc>
          <w:tcPr>
            <w:tcW w:w="1116" w:type="dxa"/>
            <w:noWrap/>
            <w:hideMark/>
          </w:tcPr>
          <w:p w14:paraId="57C85381" w14:textId="77777777" w:rsidR="00051297" w:rsidRPr="00051297" w:rsidRDefault="00051297" w:rsidP="00051297">
            <w:pPr>
              <w:spacing w:line="240" w:lineRule="auto"/>
              <w:ind w:firstLine="0"/>
              <w:jc w:val="center"/>
              <w:rPr>
                <w:lang w:val="en-US"/>
              </w:rPr>
            </w:pPr>
            <w:r w:rsidRPr="00051297">
              <w:rPr>
                <w:lang w:val="en-US"/>
              </w:rPr>
              <w:t>64.373</w:t>
            </w:r>
          </w:p>
        </w:tc>
        <w:tc>
          <w:tcPr>
            <w:tcW w:w="1116" w:type="dxa"/>
            <w:noWrap/>
            <w:hideMark/>
          </w:tcPr>
          <w:p w14:paraId="3B3866B6" w14:textId="77777777" w:rsidR="00051297" w:rsidRPr="00051297" w:rsidRDefault="00051297" w:rsidP="00051297">
            <w:pPr>
              <w:spacing w:line="240" w:lineRule="auto"/>
              <w:ind w:firstLine="0"/>
              <w:jc w:val="center"/>
              <w:rPr>
                <w:lang w:val="en-US"/>
              </w:rPr>
            </w:pPr>
            <w:r w:rsidRPr="00051297">
              <w:rPr>
                <w:lang w:val="en-US"/>
              </w:rPr>
              <w:t>2.077</w:t>
            </w:r>
          </w:p>
        </w:tc>
        <w:tc>
          <w:tcPr>
            <w:tcW w:w="3251" w:type="dxa"/>
            <w:gridSpan w:val="3"/>
            <w:noWrap/>
            <w:hideMark/>
          </w:tcPr>
          <w:p w14:paraId="7DC92EB4" w14:textId="77777777" w:rsidR="00051297" w:rsidRPr="00051297" w:rsidRDefault="00051297" w:rsidP="00051297">
            <w:pPr>
              <w:spacing w:line="240" w:lineRule="auto"/>
              <w:ind w:firstLine="0"/>
              <w:jc w:val="center"/>
              <w:rPr>
                <w:lang w:val="en-US"/>
              </w:rPr>
            </w:pPr>
            <w:r w:rsidRPr="00051297">
              <w:rPr>
                <w:lang w:val="en-US"/>
              </w:rPr>
              <w:t>0.101</w:t>
            </w:r>
          </w:p>
        </w:tc>
      </w:tr>
      <w:tr w:rsidR="00051297" w:rsidRPr="00051297" w14:paraId="2B5E6BCA" w14:textId="77777777" w:rsidTr="00D20B01">
        <w:trPr>
          <w:trHeight w:val="300"/>
          <w:jc w:val="center"/>
        </w:trPr>
        <w:tc>
          <w:tcPr>
            <w:tcW w:w="1735" w:type="dxa"/>
            <w:noWrap/>
            <w:hideMark/>
          </w:tcPr>
          <w:p w14:paraId="0142A626" w14:textId="77777777" w:rsidR="00051297" w:rsidRPr="00051297" w:rsidRDefault="00051297" w:rsidP="00051297">
            <w:pPr>
              <w:spacing w:line="240" w:lineRule="auto"/>
              <w:ind w:firstLine="0"/>
              <w:jc w:val="center"/>
              <w:rPr>
                <w:lang w:val="en-US"/>
              </w:rPr>
            </w:pPr>
            <w:r w:rsidRPr="00051297">
              <w:rPr>
                <w:lang w:val="en-US"/>
              </w:rPr>
              <w:t>MORL-OF</w:t>
            </w:r>
          </w:p>
        </w:tc>
        <w:tc>
          <w:tcPr>
            <w:tcW w:w="1116" w:type="dxa"/>
            <w:noWrap/>
            <w:hideMark/>
          </w:tcPr>
          <w:p w14:paraId="74ECAB69" w14:textId="77777777" w:rsidR="00051297" w:rsidRPr="00051297" w:rsidRDefault="00051297" w:rsidP="00051297">
            <w:pPr>
              <w:spacing w:line="240" w:lineRule="auto"/>
              <w:ind w:firstLine="0"/>
              <w:jc w:val="center"/>
              <w:rPr>
                <w:lang w:val="en-US"/>
              </w:rPr>
            </w:pPr>
            <w:r w:rsidRPr="00051297">
              <w:rPr>
                <w:lang w:val="en-US"/>
              </w:rPr>
              <w:t>31</w:t>
            </w:r>
          </w:p>
        </w:tc>
        <w:tc>
          <w:tcPr>
            <w:tcW w:w="1116" w:type="dxa"/>
            <w:noWrap/>
            <w:hideMark/>
          </w:tcPr>
          <w:p w14:paraId="3678D069" w14:textId="77777777" w:rsidR="00051297" w:rsidRPr="00051297" w:rsidRDefault="00051297" w:rsidP="00051297">
            <w:pPr>
              <w:spacing w:line="240" w:lineRule="auto"/>
              <w:ind w:firstLine="0"/>
              <w:jc w:val="center"/>
              <w:rPr>
                <w:lang w:val="en-US"/>
              </w:rPr>
            </w:pPr>
            <w:r w:rsidRPr="00051297">
              <w:rPr>
                <w:lang w:val="en-US"/>
              </w:rPr>
              <w:t>64.376</w:t>
            </w:r>
          </w:p>
        </w:tc>
        <w:tc>
          <w:tcPr>
            <w:tcW w:w="1116" w:type="dxa"/>
            <w:noWrap/>
            <w:hideMark/>
          </w:tcPr>
          <w:p w14:paraId="53E01580" w14:textId="77777777" w:rsidR="00051297" w:rsidRPr="00051297" w:rsidRDefault="00051297" w:rsidP="00051297">
            <w:pPr>
              <w:spacing w:line="240" w:lineRule="auto"/>
              <w:ind w:firstLine="0"/>
              <w:jc w:val="center"/>
              <w:rPr>
                <w:lang w:val="en-US"/>
              </w:rPr>
            </w:pPr>
            <w:r w:rsidRPr="00051297">
              <w:rPr>
                <w:lang w:val="en-US"/>
              </w:rPr>
              <w:t>2.077</w:t>
            </w:r>
          </w:p>
        </w:tc>
        <w:tc>
          <w:tcPr>
            <w:tcW w:w="3251" w:type="dxa"/>
            <w:gridSpan w:val="3"/>
            <w:noWrap/>
            <w:hideMark/>
          </w:tcPr>
          <w:p w14:paraId="56A5A2AB" w14:textId="77777777" w:rsidR="00051297" w:rsidRPr="00051297" w:rsidRDefault="00051297" w:rsidP="00051297">
            <w:pPr>
              <w:spacing w:line="240" w:lineRule="auto"/>
              <w:ind w:firstLine="0"/>
              <w:jc w:val="center"/>
              <w:rPr>
                <w:lang w:val="en-US"/>
              </w:rPr>
            </w:pPr>
            <w:r w:rsidRPr="00051297">
              <w:rPr>
                <w:lang w:val="en-US"/>
              </w:rPr>
              <w:t>0.103</w:t>
            </w:r>
          </w:p>
        </w:tc>
      </w:tr>
      <w:tr w:rsidR="00051297" w:rsidRPr="00051297" w14:paraId="7362A02A" w14:textId="77777777" w:rsidTr="00D20B01">
        <w:trPr>
          <w:trHeight w:val="315"/>
          <w:jc w:val="center"/>
        </w:trPr>
        <w:tc>
          <w:tcPr>
            <w:tcW w:w="1735" w:type="dxa"/>
            <w:noWrap/>
            <w:hideMark/>
          </w:tcPr>
          <w:p w14:paraId="6059ECE9" w14:textId="77777777" w:rsidR="00051297" w:rsidRPr="00051297" w:rsidRDefault="00051297" w:rsidP="00051297">
            <w:pPr>
              <w:spacing w:line="240" w:lineRule="auto"/>
              <w:ind w:firstLine="0"/>
              <w:jc w:val="center"/>
              <w:rPr>
                <w:lang w:val="en-US"/>
              </w:rPr>
            </w:pPr>
            <w:r w:rsidRPr="00051297">
              <w:rPr>
                <w:lang w:val="en-US"/>
              </w:rPr>
              <w:t>RORL</w:t>
            </w:r>
          </w:p>
        </w:tc>
        <w:tc>
          <w:tcPr>
            <w:tcW w:w="1116" w:type="dxa"/>
            <w:noWrap/>
            <w:hideMark/>
          </w:tcPr>
          <w:p w14:paraId="74E2A040" w14:textId="77777777" w:rsidR="00051297" w:rsidRPr="00051297" w:rsidRDefault="00051297" w:rsidP="00051297">
            <w:pPr>
              <w:spacing w:line="240" w:lineRule="auto"/>
              <w:ind w:firstLine="0"/>
              <w:jc w:val="center"/>
              <w:rPr>
                <w:lang w:val="en-US"/>
              </w:rPr>
            </w:pPr>
            <w:r w:rsidRPr="00051297">
              <w:rPr>
                <w:lang w:val="en-US"/>
              </w:rPr>
              <w:t>31</w:t>
            </w:r>
          </w:p>
        </w:tc>
        <w:tc>
          <w:tcPr>
            <w:tcW w:w="1116" w:type="dxa"/>
            <w:noWrap/>
            <w:hideMark/>
          </w:tcPr>
          <w:p w14:paraId="352AAFE3" w14:textId="77777777" w:rsidR="00051297" w:rsidRPr="00051297" w:rsidRDefault="00051297" w:rsidP="00051297">
            <w:pPr>
              <w:spacing w:line="240" w:lineRule="auto"/>
              <w:ind w:firstLine="0"/>
              <w:jc w:val="center"/>
              <w:rPr>
                <w:lang w:val="en-US"/>
              </w:rPr>
            </w:pPr>
            <w:r w:rsidRPr="00051297">
              <w:rPr>
                <w:lang w:val="en-US"/>
              </w:rPr>
              <w:t>80.117</w:t>
            </w:r>
          </w:p>
        </w:tc>
        <w:tc>
          <w:tcPr>
            <w:tcW w:w="1116" w:type="dxa"/>
            <w:noWrap/>
            <w:hideMark/>
          </w:tcPr>
          <w:p w14:paraId="41AA5C06" w14:textId="77777777" w:rsidR="00051297" w:rsidRPr="00051297" w:rsidRDefault="00051297" w:rsidP="00051297">
            <w:pPr>
              <w:spacing w:line="240" w:lineRule="auto"/>
              <w:ind w:firstLine="0"/>
              <w:jc w:val="center"/>
              <w:rPr>
                <w:lang w:val="en-US"/>
              </w:rPr>
            </w:pPr>
            <w:r w:rsidRPr="00051297">
              <w:rPr>
                <w:lang w:val="en-US"/>
              </w:rPr>
              <w:t>2.584</w:t>
            </w:r>
          </w:p>
        </w:tc>
        <w:tc>
          <w:tcPr>
            <w:tcW w:w="3251" w:type="dxa"/>
            <w:gridSpan w:val="3"/>
            <w:noWrap/>
            <w:hideMark/>
          </w:tcPr>
          <w:p w14:paraId="3F9933BD" w14:textId="77777777" w:rsidR="00051297" w:rsidRPr="00051297" w:rsidRDefault="00051297" w:rsidP="00051297">
            <w:pPr>
              <w:spacing w:line="240" w:lineRule="auto"/>
              <w:ind w:firstLine="0"/>
              <w:jc w:val="center"/>
              <w:rPr>
                <w:lang w:val="en-US"/>
              </w:rPr>
            </w:pPr>
            <w:r w:rsidRPr="00051297">
              <w:rPr>
                <w:lang w:val="en-US"/>
              </w:rPr>
              <w:t>0.034</w:t>
            </w:r>
          </w:p>
        </w:tc>
      </w:tr>
      <w:tr w:rsidR="00051297" w:rsidRPr="00051297" w14:paraId="16624496" w14:textId="77777777" w:rsidTr="00D20B01">
        <w:trPr>
          <w:trHeight w:val="315"/>
          <w:jc w:val="center"/>
        </w:trPr>
        <w:tc>
          <w:tcPr>
            <w:tcW w:w="8334" w:type="dxa"/>
            <w:gridSpan w:val="7"/>
            <w:noWrap/>
            <w:hideMark/>
          </w:tcPr>
          <w:p w14:paraId="29A7688A" w14:textId="77777777" w:rsidR="00051297" w:rsidRPr="00051297" w:rsidRDefault="00051297" w:rsidP="00051297">
            <w:pPr>
              <w:spacing w:line="240" w:lineRule="auto"/>
              <w:ind w:firstLine="0"/>
              <w:jc w:val="center"/>
              <w:rPr>
                <w:lang w:val="en-US"/>
              </w:rPr>
            </w:pPr>
            <w:r w:rsidRPr="00051297">
              <w:rPr>
                <w:lang w:val="en-US"/>
              </w:rPr>
              <w:t>ANOVA</w:t>
            </w:r>
          </w:p>
        </w:tc>
      </w:tr>
      <w:tr w:rsidR="00051297" w:rsidRPr="00051297" w14:paraId="72C1B6C0" w14:textId="77777777" w:rsidTr="00D20B01">
        <w:trPr>
          <w:trHeight w:val="300"/>
          <w:jc w:val="center"/>
        </w:trPr>
        <w:tc>
          <w:tcPr>
            <w:tcW w:w="1735" w:type="dxa"/>
            <w:noWrap/>
            <w:hideMark/>
          </w:tcPr>
          <w:p w14:paraId="52EDE8C9" w14:textId="77777777" w:rsidR="00051297" w:rsidRPr="00051297" w:rsidRDefault="00051297" w:rsidP="00051297">
            <w:pPr>
              <w:spacing w:line="240" w:lineRule="auto"/>
              <w:ind w:firstLine="0"/>
              <w:jc w:val="center"/>
              <w:rPr>
                <w:lang w:val="en-US"/>
              </w:rPr>
            </w:pPr>
            <w:r w:rsidRPr="00051297">
              <w:rPr>
                <w:lang w:val="en-US"/>
              </w:rPr>
              <w:t>Source of Variation</w:t>
            </w:r>
          </w:p>
        </w:tc>
        <w:tc>
          <w:tcPr>
            <w:tcW w:w="1116" w:type="dxa"/>
            <w:noWrap/>
            <w:hideMark/>
          </w:tcPr>
          <w:p w14:paraId="0C084D00" w14:textId="77777777" w:rsidR="00051297" w:rsidRPr="00051297" w:rsidRDefault="00051297" w:rsidP="00051297">
            <w:pPr>
              <w:spacing w:line="240" w:lineRule="auto"/>
              <w:ind w:firstLine="0"/>
              <w:jc w:val="center"/>
              <w:rPr>
                <w:lang w:val="en-US"/>
              </w:rPr>
            </w:pPr>
            <w:r w:rsidRPr="00051297">
              <w:rPr>
                <w:lang w:val="en-US"/>
              </w:rPr>
              <w:t>SS</w:t>
            </w:r>
          </w:p>
        </w:tc>
        <w:tc>
          <w:tcPr>
            <w:tcW w:w="1116" w:type="dxa"/>
            <w:noWrap/>
            <w:hideMark/>
          </w:tcPr>
          <w:p w14:paraId="357EB4A5" w14:textId="77777777" w:rsidR="00051297" w:rsidRPr="00051297" w:rsidRDefault="00051297" w:rsidP="00051297">
            <w:pPr>
              <w:spacing w:line="240" w:lineRule="auto"/>
              <w:ind w:firstLine="0"/>
              <w:jc w:val="center"/>
              <w:rPr>
                <w:lang w:val="en-US"/>
              </w:rPr>
            </w:pPr>
            <w:r w:rsidRPr="00051297">
              <w:rPr>
                <w:lang w:val="en-US"/>
              </w:rPr>
              <w:t>df</w:t>
            </w:r>
          </w:p>
        </w:tc>
        <w:tc>
          <w:tcPr>
            <w:tcW w:w="1116" w:type="dxa"/>
            <w:noWrap/>
            <w:hideMark/>
          </w:tcPr>
          <w:p w14:paraId="58E4E7E5" w14:textId="77777777" w:rsidR="00051297" w:rsidRPr="00051297" w:rsidRDefault="00051297" w:rsidP="00051297">
            <w:pPr>
              <w:spacing w:line="240" w:lineRule="auto"/>
              <w:ind w:firstLine="0"/>
              <w:jc w:val="center"/>
              <w:rPr>
                <w:lang w:val="en-US"/>
              </w:rPr>
            </w:pPr>
            <w:r w:rsidRPr="00051297">
              <w:rPr>
                <w:lang w:val="en-US"/>
              </w:rPr>
              <w:t>MS</w:t>
            </w:r>
          </w:p>
        </w:tc>
        <w:tc>
          <w:tcPr>
            <w:tcW w:w="947" w:type="dxa"/>
            <w:noWrap/>
            <w:hideMark/>
          </w:tcPr>
          <w:p w14:paraId="60A120BE" w14:textId="77777777" w:rsidR="00051297" w:rsidRPr="00051297" w:rsidRDefault="00051297" w:rsidP="00051297">
            <w:pPr>
              <w:spacing w:line="240" w:lineRule="auto"/>
              <w:ind w:firstLine="0"/>
              <w:jc w:val="center"/>
              <w:rPr>
                <w:lang w:val="en-US"/>
              </w:rPr>
            </w:pPr>
            <w:r w:rsidRPr="00051297">
              <w:rPr>
                <w:lang w:val="en-US"/>
              </w:rPr>
              <w:t>F</w:t>
            </w:r>
          </w:p>
        </w:tc>
        <w:tc>
          <w:tcPr>
            <w:tcW w:w="1188" w:type="dxa"/>
            <w:noWrap/>
            <w:hideMark/>
          </w:tcPr>
          <w:p w14:paraId="20721016" w14:textId="77777777" w:rsidR="00051297" w:rsidRPr="00051297" w:rsidRDefault="00051297" w:rsidP="00051297">
            <w:pPr>
              <w:spacing w:line="240" w:lineRule="auto"/>
              <w:ind w:firstLine="0"/>
              <w:jc w:val="center"/>
              <w:rPr>
                <w:lang w:val="en-US"/>
              </w:rPr>
            </w:pPr>
            <w:r w:rsidRPr="00051297">
              <w:rPr>
                <w:lang w:val="en-US"/>
              </w:rPr>
              <w:t>P-value</w:t>
            </w:r>
          </w:p>
        </w:tc>
        <w:tc>
          <w:tcPr>
            <w:tcW w:w="1116" w:type="dxa"/>
            <w:noWrap/>
            <w:hideMark/>
          </w:tcPr>
          <w:p w14:paraId="52DFE785" w14:textId="77777777" w:rsidR="00051297" w:rsidRPr="00051297" w:rsidRDefault="00051297" w:rsidP="00051297">
            <w:pPr>
              <w:spacing w:line="240" w:lineRule="auto"/>
              <w:ind w:firstLine="0"/>
              <w:jc w:val="center"/>
              <w:rPr>
                <w:lang w:val="en-US"/>
              </w:rPr>
            </w:pPr>
            <w:r w:rsidRPr="00051297">
              <w:rPr>
                <w:lang w:val="en-US"/>
              </w:rPr>
              <w:t>F crit</w:t>
            </w:r>
          </w:p>
        </w:tc>
      </w:tr>
      <w:tr w:rsidR="00051297" w:rsidRPr="00051297" w14:paraId="3182C730" w14:textId="77777777" w:rsidTr="00D20B01">
        <w:trPr>
          <w:trHeight w:val="300"/>
          <w:jc w:val="center"/>
        </w:trPr>
        <w:tc>
          <w:tcPr>
            <w:tcW w:w="1735" w:type="dxa"/>
            <w:noWrap/>
            <w:hideMark/>
          </w:tcPr>
          <w:p w14:paraId="0C8CD100" w14:textId="77777777" w:rsidR="00051297" w:rsidRPr="00051297" w:rsidRDefault="00051297" w:rsidP="00051297">
            <w:pPr>
              <w:spacing w:line="240" w:lineRule="auto"/>
              <w:ind w:firstLine="0"/>
              <w:jc w:val="center"/>
              <w:rPr>
                <w:lang w:val="en-US"/>
              </w:rPr>
            </w:pPr>
            <w:r w:rsidRPr="00051297">
              <w:rPr>
                <w:lang w:val="en-US"/>
              </w:rPr>
              <w:t>Between Groups</w:t>
            </w:r>
          </w:p>
        </w:tc>
        <w:tc>
          <w:tcPr>
            <w:tcW w:w="1116" w:type="dxa"/>
            <w:noWrap/>
            <w:hideMark/>
          </w:tcPr>
          <w:p w14:paraId="113A9A2F" w14:textId="77777777" w:rsidR="00051297" w:rsidRPr="00051297" w:rsidRDefault="00051297" w:rsidP="00051297">
            <w:pPr>
              <w:spacing w:line="240" w:lineRule="auto"/>
              <w:ind w:firstLine="0"/>
              <w:jc w:val="center"/>
              <w:rPr>
                <w:lang w:val="en-US"/>
              </w:rPr>
            </w:pPr>
            <w:r w:rsidRPr="00051297">
              <w:rPr>
                <w:lang w:val="en-US"/>
              </w:rPr>
              <w:t>5.469</w:t>
            </w:r>
          </w:p>
        </w:tc>
        <w:tc>
          <w:tcPr>
            <w:tcW w:w="1116" w:type="dxa"/>
            <w:noWrap/>
            <w:hideMark/>
          </w:tcPr>
          <w:p w14:paraId="1039C4DC" w14:textId="77777777" w:rsidR="00051297" w:rsidRPr="00051297" w:rsidRDefault="00051297" w:rsidP="00051297">
            <w:pPr>
              <w:spacing w:line="240" w:lineRule="auto"/>
              <w:ind w:firstLine="0"/>
              <w:jc w:val="center"/>
              <w:rPr>
                <w:lang w:val="en-US"/>
              </w:rPr>
            </w:pPr>
            <w:r w:rsidRPr="00051297">
              <w:rPr>
                <w:lang w:val="en-US"/>
              </w:rPr>
              <w:t>3</w:t>
            </w:r>
          </w:p>
        </w:tc>
        <w:tc>
          <w:tcPr>
            <w:tcW w:w="1116" w:type="dxa"/>
            <w:noWrap/>
            <w:hideMark/>
          </w:tcPr>
          <w:p w14:paraId="1341DFDA" w14:textId="77777777" w:rsidR="00051297" w:rsidRPr="00051297" w:rsidRDefault="00051297" w:rsidP="00051297">
            <w:pPr>
              <w:spacing w:line="240" w:lineRule="auto"/>
              <w:ind w:firstLine="0"/>
              <w:jc w:val="center"/>
              <w:rPr>
                <w:lang w:val="en-US"/>
              </w:rPr>
            </w:pPr>
            <w:r w:rsidRPr="00051297">
              <w:rPr>
                <w:lang w:val="en-US"/>
              </w:rPr>
              <w:t>1.823</w:t>
            </w:r>
          </w:p>
        </w:tc>
        <w:tc>
          <w:tcPr>
            <w:tcW w:w="947" w:type="dxa"/>
            <w:noWrap/>
            <w:hideMark/>
          </w:tcPr>
          <w:p w14:paraId="61355CF3" w14:textId="77777777" w:rsidR="00051297" w:rsidRPr="00051297" w:rsidRDefault="00051297" w:rsidP="00051297">
            <w:pPr>
              <w:spacing w:line="240" w:lineRule="auto"/>
              <w:ind w:firstLine="0"/>
              <w:jc w:val="center"/>
              <w:rPr>
                <w:lang w:val="en-US"/>
              </w:rPr>
            </w:pPr>
            <w:r w:rsidRPr="00051297">
              <w:rPr>
                <w:lang w:val="en-US"/>
              </w:rPr>
              <w:t>20.285</w:t>
            </w:r>
          </w:p>
        </w:tc>
        <w:tc>
          <w:tcPr>
            <w:tcW w:w="1188" w:type="dxa"/>
            <w:noWrap/>
            <w:hideMark/>
          </w:tcPr>
          <w:p w14:paraId="573BBD4D" w14:textId="77777777" w:rsidR="00051297" w:rsidRPr="00051297" w:rsidRDefault="00051297" w:rsidP="00051297">
            <w:pPr>
              <w:spacing w:line="240" w:lineRule="auto"/>
              <w:ind w:firstLine="0"/>
              <w:jc w:val="center"/>
              <w:rPr>
                <w:lang w:val="en-US"/>
              </w:rPr>
            </w:pPr>
            <w:r w:rsidRPr="00051297">
              <w:rPr>
                <w:lang w:val="en-US"/>
              </w:rPr>
              <w:t>1.06</w:t>
            </w:r>
            <w:r w:rsidRPr="00051297">
              <w:rPr>
                <w:lang w:eastAsia="pl-PL"/>
              </w:rPr>
              <w:t>× 10</w:t>
            </w:r>
            <w:r w:rsidRPr="00051297">
              <w:rPr>
                <w:vertAlign w:val="superscript"/>
                <w:lang w:eastAsia="pl-PL"/>
              </w:rPr>
              <w:t>−10</w:t>
            </w:r>
          </w:p>
        </w:tc>
        <w:tc>
          <w:tcPr>
            <w:tcW w:w="1116" w:type="dxa"/>
            <w:noWrap/>
            <w:hideMark/>
          </w:tcPr>
          <w:p w14:paraId="29DA29D0" w14:textId="77777777" w:rsidR="00051297" w:rsidRPr="00051297" w:rsidRDefault="00051297" w:rsidP="00051297">
            <w:pPr>
              <w:spacing w:line="240" w:lineRule="auto"/>
              <w:ind w:firstLine="0"/>
              <w:jc w:val="center"/>
              <w:rPr>
                <w:lang w:val="en-US"/>
              </w:rPr>
            </w:pPr>
            <w:r w:rsidRPr="00051297">
              <w:rPr>
                <w:lang w:val="en-US"/>
              </w:rPr>
              <w:t>2.680</w:t>
            </w:r>
          </w:p>
        </w:tc>
      </w:tr>
      <w:tr w:rsidR="00051297" w:rsidRPr="00051297" w14:paraId="3988E9AE" w14:textId="77777777" w:rsidTr="00D20B01">
        <w:trPr>
          <w:trHeight w:val="300"/>
          <w:jc w:val="center"/>
        </w:trPr>
        <w:tc>
          <w:tcPr>
            <w:tcW w:w="1735" w:type="dxa"/>
            <w:noWrap/>
            <w:hideMark/>
          </w:tcPr>
          <w:p w14:paraId="01203FE1" w14:textId="77777777" w:rsidR="00051297" w:rsidRPr="00051297" w:rsidRDefault="00051297" w:rsidP="00051297">
            <w:pPr>
              <w:spacing w:line="240" w:lineRule="auto"/>
              <w:ind w:firstLine="0"/>
              <w:jc w:val="center"/>
              <w:rPr>
                <w:lang w:val="en-US"/>
              </w:rPr>
            </w:pPr>
            <w:r w:rsidRPr="00051297">
              <w:rPr>
                <w:lang w:val="en-US"/>
              </w:rPr>
              <w:t>Within Groups</w:t>
            </w:r>
          </w:p>
        </w:tc>
        <w:tc>
          <w:tcPr>
            <w:tcW w:w="1116" w:type="dxa"/>
            <w:noWrap/>
            <w:hideMark/>
          </w:tcPr>
          <w:p w14:paraId="4D3F3A22" w14:textId="77777777" w:rsidR="00051297" w:rsidRPr="00051297" w:rsidRDefault="00051297" w:rsidP="00051297">
            <w:pPr>
              <w:spacing w:line="240" w:lineRule="auto"/>
              <w:ind w:firstLine="0"/>
              <w:jc w:val="center"/>
              <w:rPr>
                <w:lang w:val="en-US"/>
              </w:rPr>
            </w:pPr>
            <w:r w:rsidRPr="00051297">
              <w:rPr>
                <w:lang w:val="en-US"/>
              </w:rPr>
              <w:t>10.785</w:t>
            </w:r>
          </w:p>
        </w:tc>
        <w:tc>
          <w:tcPr>
            <w:tcW w:w="1116" w:type="dxa"/>
            <w:noWrap/>
            <w:hideMark/>
          </w:tcPr>
          <w:p w14:paraId="0DA60851" w14:textId="77777777" w:rsidR="00051297" w:rsidRPr="00051297" w:rsidRDefault="00051297" w:rsidP="00051297">
            <w:pPr>
              <w:spacing w:line="240" w:lineRule="auto"/>
              <w:ind w:firstLine="0"/>
              <w:jc w:val="center"/>
              <w:rPr>
                <w:lang w:val="en-US"/>
              </w:rPr>
            </w:pPr>
            <w:r w:rsidRPr="00051297">
              <w:rPr>
                <w:lang w:val="en-US"/>
              </w:rPr>
              <w:t>120</w:t>
            </w:r>
          </w:p>
        </w:tc>
        <w:tc>
          <w:tcPr>
            <w:tcW w:w="1116" w:type="dxa"/>
            <w:noWrap/>
            <w:hideMark/>
          </w:tcPr>
          <w:p w14:paraId="3599C1D3" w14:textId="77777777" w:rsidR="00051297" w:rsidRPr="00051297" w:rsidRDefault="00051297" w:rsidP="00051297">
            <w:pPr>
              <w:spacing w:line="240" w:lineRule="auto"/>
              <w:ind w:firstLine="0"/>
              <w:jc w:val="center"/>
              <w:rPr>
                <w:lang w:val="en-US"/>
              </w:rPr>
            </w:pPr>
            <w:r w:rsidRPr="00051297">
              <w:rPr>
                <w:lang w:val="en-US"/>
              </w:rPr>
              <w:t>0.0899</w:t>
            </w:r>
          </w:p>
        </w:tc>
        <w:tc>
          <w:tcPr>
            <w:tcW w:w="947" w:type="dxa"/>
            <w:noWrap/>
            <w:hideMark/>
          </w:tcPr>
          <w:p w14:paraId="66AD908B" w14:textId="77777777" w:rsidR="00051297" w:rsidRPr="00051297" w:rsidRDefault="00051297" w:rsidP="00051297">
            <w:pPr>
              <w:spacing w:line="240" w:lineRule="auto"/>
              <w:ind w:firstLine="0"/>
              <w:jc w:val="center"/>
              <w:rPr>
                <w:lang w:val="en-US"/>
              </w:rPr>
            </w:pPr>
          </w:p>
        </w:tc>
        <w:tc>
          <w:tcPr>
            <w:tcW w:w="1188" w:type="dxa"/>
            <w:noWrap/>
            <w:hideMark/>
          </w:tcPr>
          <w:p w14:paraId="2B8F1CFB" w14:textId="77777777" w:rsidR="00051297" w:rsidRPr="00051297" w:rsidRDefault="00051297" w:rsidP="00051297">
            <w:pPr>
              <w:spacing w:line="240" w:lineRule="auto"/>
              <w:ind w:firstLine="0"/>
              <w:jc w:val="center"/>
              <w:rPr>
                <w:lang w:val="en-US"/>
              </w:rPr>
            </w:pPr>
          </w:p>
        </w:tc>
        <w:tc>
          <w:tcPr>
            <w:tcW w:w="1116" w:type="dxa"/>
            <w:noWrap/>
            <w:hideMark/>
          </w:tcPr>
          <w:p w14:paraId="2C57A605" w14:textId="77777777" w:rsidR="00051297" w:rsidRPr="00051297" w:rsidRDefault="00051297" w:rsidP="00051297">
            <w:pPr>
              <w:spacing w:line="240" w:lineRule="auto"/>
              <w:ind w:firstLine="0"/>
              <w:jc w:val="center"/>
              <w:rPr>
                <w:lang w:val="en-US"/>
              </w:rPr>
            </w:pPr>
          </w:p>
        </w:tc>
      </w:tr>
      <w:tr w:rsidR="00051297" w:rsidRPr="00051297" w14:paraId="13CE71A0" w14:textId="77777777" w:rsidTr="00D20B01">
        <w:trPr>
          <w:trHeight w:val="315"/>
          <w:jc w:val="center"/>
        </w:trPr>
        <w:tc>
          <w:tcPr>
            <w:tcW w:w="1735" w:type="dxa"/>
            <w:noWrap/>
            <w:hideMark/>
          </w:tcPr>
          <w:p w14:paraId="54798636" w14:textId="77777777" w:rsidR="00051297" w:rsidRPr="00051297" w:rsidRDefault="00051297" w:rsidP="00051297">
            <w:pPr>
              <w:spacing w:line="240" w:lineRule="auto"/>
              <w:ind w:firstLine="0"/>
              <w:jc w:val="center"/>
              <w:rPr>
                <w:lang w:val="en-US"/>
              </w:rPr>
            </w:pPr>
            <w:r w:rsidRPr="00051297">
              <w:rPr>
                <w:lang w:val="en-US"/>
              </w:rPr>
              <w:t>Total</w:t>
            </w:r>
          </w:p>
        </w:tc>
        <w:tc>
          <w:tcPr>
            <w:tcW w:w="1116" w:type="dxa"/>
            <w:noWrap/>
            <w:hideMark/>
          </w:tcPr>
          <w:p w14:paraId="551EA2D4" w14:textId="77777777" w:rsidR="00051297" w:rsidRPr="00051297" w:rsidRDefault="00051297" w:rsidP="00051297">
            <w:pPr>
              <w:spacing w:line="240" w:lineRule="auto"/>
              <w:ind w:firstLine="0"/>
              <w:jc w:val="center"/>
              <w:rPr>
                <w:lang w:val="en-US"/>
              </w:rPr>
            </w:pPr>
            <w:r w:rsidRPr="00051297">
              <w:rPr>
                <w:lang w:val="en-US"/>
              </w:rPr>
              <w:t>16.255</w:t>
            </w:r>
          </w:p>
        </w:tc>
        <w:tc>
          <w:tcPr>
            <w:tcW w:w="1116" w:type="dxa"/>
            <w:noWrap/>
            <w:hideMark/>
          </w:tcPr>
          <w:p w14:paraId="1359775C" w14:textId="77777777" w:rsidR="00051297" w:rsidRPr="00051297" w:rsidRDefault="00051297" w:rsidP="00051297">
            <w:pPr>
              <w:spacing w:line="240" w:lineRule="auto"/>
              <w:ind w:firstLine="0"/>
              <w:jc w:val="center"/>
              <w:rPr>
                <w:lang w:val="en-US"/>
              </w:rPr>
            </w:pPr>
            <w:r w:rsidRPr="00051297">
              <w:rPr>
                <w:lang w:val="en-US"/>
              </w:rPr>
              <w:t>123</w:t>
            </w:r>
          </w:p>
        </w:tc>
        <w:tc>
          <w:tcPr>
            <w:tcW w:w="1116" w:type="dxa"/>
            <w:noWrap/>
            <w:hideMark/>
          </w:tcPr>
          <w:p w14:paraId="6A44BDD1" w14:textId="77777777" w:rsidR="00051297" w:rsidRPr="00051297" w:rsidRDefault="00051297" w:rsidP="00051297">
            <w:pPr>
              <w:spacing w:line="240" w:lineRule="auto"/>
              <w:ind w:firstLine="0"/>
              <w:jc w:val="center"/>
              <w:rPr>
                <w:lang w:val="en-US"/>
              </w:rPr>
            </w:pPr>
            <w:r w:rsidRPr="00051297">
              <w:rPr>
                <w:lang w:val="en-US"/>
              </w:rPr>
              <w:t> </w:t>
            </w:r>
          </w:p>
        </w:tc>
        <w:tc>
          <w:tcPr>
            <w:tcW w:w="947" w:type="dxa"/>
            <w:noWrap/>
            <w:hideMark/>
          </w:tcPr>
          <w:p w14:paraId="6A32DA02" w14:textId="77777777" w:rsidR="00051297" w:rsidRPr="00051297" w:rsidRDefault="00051297" w:rsidP="00051297">
            <w:pPr>
              <w:spacing w:line="240" w:lineRule="auto"/>
              <w:ind w:firstLine="0"/>
              <w:jc w:val="center"/>
              <w:rPr>
                <w:lang w:val="en-US"/>
              </w:rPr>
            </w:pPr>
            <w:r w:rsidRPr="00051297">
              <w:rPr>
                <w:lang w:val="en-US"/>
              </w:rPr>
              <w:t> </w:t>
            </w:r>
          </w:p>
        </w:tc>
        <w:tc>
          <w:tcPr>
            <w:tcW w:w="1188" w:type="dxa"/>
            <w:noWrap/>
            <w:hideMark/>
          </w:tcPr>
          <w:p w14:paraId="3BE26BD3" w14:textId="77777777" w:rsidR="00051297" w:rsidRPr="00051297" w:rsidRDefault="00051297" w:rsidP="00051297">
            <w:pPr>
              <w:spacing w:line="240" w:lineRule="auto"/>
              <w:ind w:firstLine="0"/>
              <w:jc w:val="center"/>
              <w:rPr>
                <w:lang w:val="en-US"/>
              </w:rPr>
            </w:pPr>
            <w:r w:rsidRPr="00051297">
              <w:rPr>
                <w:lang w:val="en-US"/>
              </w:rPr>
              <w:t> </w:t>
            </w:r>
          </w:p>
        </w:tc>
        <w:tc>
          <w:tcPr>
            <w:tcW w:w="1116" w:type="dxa"/>
            <w:noWrap/>
            <w:hideMark/>
          </w:tcPr>
          <w:p w14:paraId="784F431C" w14:textId="77777777" w:rsidR="00051297" w:rsidRPr="00051297" w:rsidRDefault="00051297" w:rsidP="00051297">
            <w:pPr>
              <w:spacing w:line="240" w:lineRule="auto"/>
              <w:ind w:firstLine="0"/>
              <w:jc w:val="center"/>
              <w:rPr>
                <w:lang w:val="en-US"/>
              </w:rPr>
            </w:pPr>
            <w:r w:rsidRPr="00051297">
              <w:rPr>
                <w:lang w:val="en-US"/>
              </w:rPr>
              <w:t> </w:t>
            </w:r>
          </w:p>
        </w:tc>
      </w:tr>
    </w:tbl>
    <w:p w14:paraId="71E9C2B1" w14:textId="071E27EF" w:rsidR="00051297" w:rsidRPr="00051297" w:rsidRDefault="00051297" w:rsidP="00051297">
      <w:pPr>
        <w:rPr>
          <w:lang w:val="en-US" w:bidi="en-US"/>
        </w:rPr>
      </w:pPr>
      <w:r w:rsidRPr="00051297">
        <w:rPr>
          <w:lang w:val="en-US" w:bidi="en-US"/>
        </w:rPr>
        <w:t xml:space="preserve">Moreover, the examined operating water levels were submitted to a single-factor ANOVA with an alpha value of 0.05 and a 1 m per day drawdown rate; the ANOVA findings are shown in </w:t>
      </w:r>
      <w:r w:rsidRPr="00051297">
        <w:rPr>
          <w:lang w:val="en-US" w:bidi="en-US"/>
        </w:rPr>
        <w:fldChar w:fldCharType="begin"/>
      </w:r>
      <w:r w:rsidRPr="00051297">
        <w:rPr>
          <w:lang w:val="en-US" w:bidi="en-US"/>
        </w:rPr>
        <w:instrText xml:space="preserve"> REF _Ref100864661 \h </w:instrText>
      </w:r>
      <w:r w:rsidRPr="00051297">
        <w:rPr>
          <w:lang w:val="en-US" w:bidi="en-US"/>
        </w:rPr>
      </w:r>
      <w:r w:rsidRPr="00051297">
        <w:rPr>
          <w:lang w:val="en-US" w:bidi="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25</w:t>
      </w:r>
      <w:r w:rsidRPr="00051297">
        <w:rPr>
          <w:lang w:val="en-US" w:bidi="en-US"/>
        </w:rPr>
        <w:fldChar w:fldCharType="end"/>
      </w:r>
      <w:r w:rsidRPr="00051297">
        <w:rPr>
          <w:lang w:val="en-US" w:bidi="en-US"/>
        </w:rPr>
        <w:t>. As indicated in the table, the factor of safety values based on the investigated operational water levels gave a p-value of 0.309. The resulting p-value (alpha value) is higher than 0.05, indicating that the differences were not statistically significant.</w:t>
      </w:r>
    </w:p>
    <w:p w14:paraId="2FDEE9A7" w14:textId="625D45D3" w:rsidR="00051297" w:rsidRPr="00051297" w:rsidRDefault="00051297" w:rsidP="00051297">
      <w:pPr>
        <w:rPr>
          <w:lang w:val="en-US"/>
        </w:rPr>
      </w:pPr>
      <w:bookmarkStart w:id="1781" w:name="_Ref100864661"/>
      <w:bookmarkStart w:id="1782" w:name="_Toc103544280"/>
      <w:bookmarkStart w:id="1783" w:name="_Toc104985606"/>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25</w:t>
      </w:r>
      <w:r w:rsidRPr="00051297">
        <w:rPr>
          <w:lang w:val="en-US"/>
        </w:rPr>
        <w:fldChar w:fldCharType="end"/>
      </w:r>
      <w:bookmarkEnd w:id="1781"/>
      <w:r w:rsidRPr="00051297">
        <w:rPr>
          <w:lang w:val="en-US"/>
        </w:rPr>
        <w:t xml:space="preserve"> Summary of ANOVA results from 1 m per day drawdown</w:t>
      </w:r>
      <w:bookmarkEnd w:id="1782"/>
      <w:bookmarkEnd w:id="1783"/>
      <w:r w:rsidRPr="00051297">
        <w:rPr>
          <w:lang w:val="en-US"/>
        </w:rPr>
        <w:t xml:space="preserve"> </w:t>
      </w:r>
    </w:p>
    <w:tbl>
      <w:tblPr>
        <w:tblStyle w:val="a8"/>
        <w:tblW w:w="0" w:type="auto"/>
        <w:jc w:val="center"/>
        <w:tblLook w:val="04A0" w:firstRow="1" w:lastRow="0" w:firstColumn="1" w:lastColumn="0" w:noHBand="0" w:noVBand="1"/>
      </w:tblPr>
      <w:tblGrid>
        <w:gridCol w:w="1735"/>
        <w:gridCol w:w="1116"/>
        <w:gridCol w:w="1116"/>
        <w:gridCol w:w="1116"/>
        <w:gridCol w:w="1116"/>
        <w:gridCol w:w="1116"/>
        <w:gridCol w:w="1116"/>
      </w:tblGrid>
      <w:tr w:rsidR="00051297" w:rsidRPr="00051297" w14:paraId="12ABC640" w14:textId="77777777" w:rsidTr="00D20B01">
        <w:trPr>
          <w:trHeight w:val="300"/>
          <w:jc w:val="center"/>
        </w:trPr>
        <w:tc>
          <w:tcPr>
            <w:tcW w:w="8431" w:type="dxa"/>
            <w:gridSpan w:val="7"/>
            <w:noWrap/>
            <w:hideMark/>
          </w:tcPr>
          <w:p w14:paraId="15B66E22" w14:textId="77777777" w:rsidR="00051297" w:rsidRPr="00051297" w:rsidRDefault="00051297" w:rsidP="00051297">
            <w:pPr>
              <w:spacing w:line="240" w:lineRule="auto"/>
              <w:ind w:firstLine="0"/>
              <w:jc w:val="center"/>
              <w:rPr>
                <w:lang w:val="en-US"/>
              </w:rPr>
            </w:pPr>
            <w:r w:rsidRPr="00051297">
              <w:rPr>
                <w:lang w:val="en-US"/>
              </w:rPr>
              <w:t>ANOVA: Single Factor</w:t>
            </w:r>
          </w:p>
        </w:tc>
      </w:tr>
      <w:tr w:rsidR="00051297" w:rsidRPr="00051297" w14:paraId="782FA7DF" w14:textId="77777777" w:rsidTr="00D20B01">
        <w:trPr>
          <w:trHeight w:val="315"/>
          <w:jc w:val="center"/>
        </w:trPr>
        <w:tc>
          <w:tcPr>
            <w:tcW w:w="8431" w:type="dxa"/>
            <w:gridSpan w:val="7"/>
            <w:noWrap/>
            <w:hideMark/>
          </w:tcPr>
          <w:p w14:paraId="62E14C0E" w14:textId="77777777" w:rsidR="00051297" w:rsidRPr="00051297" w:rsidRDefault="00051297" w:rsidP="00051297">
            <w:pPr>
              <w:spacing w:line="240" w:lineRule="auto"/>
              <w:ind w:firstLine="0"/>
              <w:jc w:val="center"/>
              <w:rPr>
                <w:lang w:val="en-US"/>
              </w:rPr>
            </w:pPr>
            <w:r w:rsidRPr="00051297">
              <w:rPr>
                <w:lang w:val="en-US"/>
              </w:rPr>
              <w:t>SUMMARY</w:t>
            </w:r>
          </w:p>
        </w:tc>
      </w:tr>
      <w:tr w:rsidR="00051297" w:rsidRPr="00051297" w14:paraId="4A585831" w14:textId="77777777" w:rsidTr="00D20B01">
        <w:trPr>
          <w:trHeight w:val="300"/>
          <w:jc w:val="center"/>
        </w:trPr>
        <w:tc>
          <w:tcPr>
            <w:tcW w:w="1735" w:type="dxa"/>
            <w:noWrap/>
            <w:hideMark/>
          </w:tcPr>
          <w:p w14:paraId="574820B4" w14:textId="77777777" w:rsidR="00051297" w:rsidRPr="00051297" w:rsidRDefault="00051297" w:rsidP="00051297">
            <w:pPr>
              <w:spacing w:line="240" w:lineRule="auto"/>
              <w:ind w:firstLine="0"/>
              <w:jc w:val="center"/>
              <w:rPr>
                <w:lang w:val="en-US"/>
              </w:rPr>
            </w:pPr>
            <w:r w:rsidRPr="00051297">
              <w:rPr>
                <w:lang w:val="en-US"/>
              </w:rPr>
              <w:t>Groups</w:t>
            </w:r>
          </w:p>
        </w:tc>
        <w:tc>
          <w:tcPr>
            <w:tcW w:w="1116" w:type="dxa"/>
            <w:noWrap/>
            <w:hideMark/>
          </w:tcPr>
          <w:p w14:paraId="051B7BA0" w14:textId="77777777" w:rsidR="00051297" w:rsidRPr="00051297" w:rsidRDefault="00051297" w:rsidP="00051297">
            <w:pPr>
              <w:spacing w:line="240" w:lineRule="auto"/>
              <w:ind w:firstLine="0"/>
              <w:jc w:val="center"/>
              <w:rPr>
                <w:lang w:val="en-US"/>
              </w:rPr>
            </w:pPr>
            <w:r w:rsidRPr="00051297">
              <w:rPr>
                <w:lang w:val="en-US"/>
              </w:rPr>
              <w:t>Count</w:t>
            </w:r>
          </w:p>
        </w:tc>
        <w:tc>
          <w:tcPr>
            <w:tcW w:w="1116" w:type="dxa"/>
            <w:noWrap/>
            <w:hideMark/>
          </w:tcPr>
          <w:p w14:paraId="0A6261A0" w14:textId="77777777" w:rsidR="00051297" w:rsidRPr="00051297" w:rsidRDefault="00051297" w:rsidP="00051297">
            <w:pPr>
              <w:spacing w:line="240" w:lineRule="auto"/>
              <w:ind w:firstLine="0"/>
              <w:jc w:val="center"/>
              <w:rPr>
                <w:lang w:val="en-US"/>
              </w:rPr>
            </w:pPr>
            <w:r w:rsidRPr="00051297">
              <w:rPr>
                <w:lang w:val="en-US"/>
              </w:rPr>
              <w:t>Sum</w:t>
            </w:r>
          </w:p>
        </w:tc>
        <w:tc>
          <w:tcPr>
            <w:tcW w:w="1116" w:type="dxa"/>
            <w:noWrap/>
            <w:hideMark/>
          </w:tcPr>
          <w:p w14:paraId="7B47E8F3" w14:textId="77777777" w:rsidR="00051297" w:rsidRPr="00051297" w:rsidRDefault="00051297" w:rsidP="00051297">
            <w:pPr>
              <w:spacing w:line="240" w:lineRule="auto"/>
              <w:ind w:firstLine="0"/>
              <w:jc w:val="center"/>
              <w:rPr>
                <w:lang w:val="en-US"/>
              </w:rPr>
            </w:pPr>
            <w:r w:rsidRPr="00051297">
              <w:rPr>
                <w:lang w:val="en-US"/>
              </w:rPr>
              <w:t>Average</w:t>
            </w:r>
          </w:p>
        </w:tc>
        <w:tc>
          <w:tcPr>
            <w:tcW w:w="3348" w:type="dxa"/>
            <w:gridSpan w:val="3"/>
            <w:noWrap/>
            <w:hideMark/>
          </w:tcPr>
          <w:p w14:paraId="10C0AA77" w14:textId="77777777" w:rsidR="00051297" w:rsidRPr="00051297" w:rsidRDefault="00051297" w:rsidP="00051297">
            <w:pPr>
              <w:spacing w:line="240" w:lineRule="auto"/>
              <w:ind w:firstLine="0"/>
              <w:jc w:val="center"/>
              <w:rPr>
                <w:lang w:val="en-US"/>
              </w:rPr>
            </w:pPr>
            <w:r w:rsidRPr="00051297">
              <w:rPr>
                <w:lang w:val="en-US"/>
              </w:rPr>
              <w:t>Variance</w:t>
            </w:r>
          </w:p>
        </w:tc>
      </w:tr>
      <w:tr w:rsidR="00051297" w:rsidRPr="00051297" w14:paraId="41C57FB9" w14:textId="77777777" w:rsidTr="00D20B01">
        <w:trPr>
          <w:trHeight w:val="300"/>
          <w:jc w:val="center"/>
        </w:trPr>
        <w:tc>
          <w:tcPr>
            <w:tcW w:w="1735" w:type="dxa"/>
            <w:noWrap/>
            <w:hideMark/>
          </w:tcPr>
          <w:p w14:paraId="3A3C3C26" w14:textId="77777777" w:rsidR="00051297" w:rsidRPr="00051297" w:rsidRDefault="00051297" w:rsidP="00051297">
            <w:pPr>
              <w:spacing w:line="240" w:lineRule="auto"/>
              <w:ind w:firstLine="0"/>
              <w:jc w:val="center"/>
              <w:rPr>
                <w:lang w:val="en-US"/>
              </w:rPr>
            </w:pPr>
            <w:r w:rsidRPr="00051297">
              <w:rPr>
                <w:lang w:val="en-US"/>
              </w:rPr>
              <w:t>NORL</w:t>
            </w:r>
          </w:p>
        </w:tc>
        <w:tc>
          <w:tcPr>
            <w:tcW w:w="1116" w:type="dxa"/>
            <w:noWrap/>
            <w:hideMark/>
          </w:tcPr>
          <w:p w14:paraId="33DC4A4F" w14:textId="77777777" w:rsidR="00051297" w:rsidRPr="00051297" w:rsidRDefault="00051297" w:rsidP="00051297">
            <w:pPr>
              <w:spacing w:line="240" w:lineRule="auto"/>
              <w:ind w:firstLine="0"/>
              <w:jc w:val="center"/>
              <w:rPr>
                <w:lang w:val="en-US"/>
              </w:rPr>
            </w:pPr>
            <w:r w:rsidRPr="00051297">
              <w:rPr>
                <w:lang w:val="en-US"/>
              </w:rPr>
              <w:t>31</w:t>
            </w:r>
          </w:p>
        </w:tc>
        <w:tc>
          <w:tcPr>
            <w:tcW w:w="1116" w:type="dxa"/>
            <w:noWrap/>
            <w:hideMark/>
          </w:tcPr>
          <w:p w14:paraId="251B7DA3" w14:textId="77777777" w:rsidR="00051297" w:rsidRPr="00051297" w:rsidRDefault="00051297" w:rsidP="00051297">
            <w:pPr>
              <w:spacing w:line="240" w:lineRule="auto"/>
              <w:ind w:firstLine="0"/>
              <w:jc w:val="center"/>
              <w:rPr>
                <w:lang w:val="en-US"/>
              </w:rPr>
            </w:pPr>
            <w:r w:rsidRPr="00051297">
              <w:rPr>
                <w:lang w:val="en-US"/>
              </w:rPr>
              <w:t>78.839</w:t>
            </w:r>
          </w:p>
        </w:tc>
        <w:tc>
          <w:tcPr>
            <w:tcW w:w="1116" w:type="dxa"/>
            <w:noWrap/>
            <w:hideMark/>
          </w:tcPr>
          <w:p w14:paraId="2AAF8DE3" w14:textId="77777777" w:rsidR="00051297" w:rsidRPr="00051297" w:rsidRDefault="00051297" w:rsidP="00051297">
            <w:pPr>
              <w:spacing w:line="240" w:lineRule="auto"/>
              <w:ind w:firstLine="0"/>
              <w:jc w:val="center"/>
              <w:rPr>
                <w:lang w:val="en-US"/>
              </w:rPr>
            </w:pPr>
            <w:r w:rsidRPr="00051297">
              <w:rPr>
                <w:lang w:val="en-US"/>
              </w:rPr>
              <w:t>2.543</w:t>
            </w:r>
          </w:p>
        </w:tc>
        <w:tc>
          <w:tcPr>
            <w:tcW w:w="3348" w:type="dxa"/>
            <w:gridSpan w:val="3"/>
            <w:noWrap/>
            <w:hideMark/>
          </w:tcPr>
          <w:p w14:paraId="2BE315BB" w14:textId="77777777" w:rsidR="00051297" w:rsidRPr="00051297" w:rsidRDefault="00051297" w:rsidP="00051297">
            <w:pPr>
              <w:spacing w:line="240" w:lineRule="auto"/>
              <w:ind w:firstLine="0"/>
              <w:jc w:val="center"/>
              <w:rPr>
                <w:lang w:val="en-US"/>
              </w:rPr>
            </w:pPr>
            <w:r w:rsidRPr="00051297">
              <w:rPr>
                <w:lang w:val="en-US"/>
              </w:rPr>
              <w:t>0.228</w:t>
            </w:r>
          </w:p>
        </w:tc>
      </w:tr>
      <w:tr w:rsidR="00051297" w:rsidRPr="00051297" w14:paraId="0478F96C" w14:textId="77777777" w:rsidTr="00D20B01">
        <w:trPr>
          <w:trHeight w:val="300"/>
          <w:jc w:val="center"/>
        </w:trPr>
        <w:tc>
          <w:tcPr>
            <w:tcW w:w="1735" w:type="dxa"/>
            <w:noWrap/>
            <w:hideMark/>
          </w:tcPr>
          <w:p w14:paraId="50C1BF69" w14:textId="77777777" w:rsidR="00051297" w:rsidRPr="00051297" w:rsidRDefault="00051297" w:rsidP="00051297">
            <w:pPr>
              <w:spacing w:line="240" w:lineRule="auto"/>
              <w:ind w:firstLine="0"/>
              <w:jc w:val="center"/>
              <w:rPr>
                <w:lang w:val="en-US"/>
              </w:rPr>
            </w:pPr>
            <w:r w:rsidRPr="00051297">
              <w:rPr>
                <w:lang w:val="en-US"/>
              </w:rPr>
              <w:t>MORL- EH</w:t>
            </w:r>
          </w:p>
        </w:tc>
        <w:tc>
          <w:tcPr>
            <w:tcW w:w="1116" w:type="dxa"/>
            <w:noWrap/>
            <w:hideMark/>
          </w:tcPr>
          <w:p w14:paraId="33D90BDE" w14:textId="77777777" w:rsidR="00051297" w:rsidRPr="00051297" w:rsidRDefault="00051297" w:rsidP="00051297">
            <w:pPr>
              <w:spacing w:line="240" w:lineRule="auto"/>
              <w:ind w:firstLine="0"/>
              <w:jc w:val="center"/>
              <w:rPr>
                <w:lang w:val="en-US"/>
              </w:rPr>
            </w:pPr>
            <w:r w:rsidRPr="00051297">
              <w:rPr>
                <w:lang w:val="en-US"/>
              </w:rPr>
              <w:t>31</w:t>
            </w:r>
          </w:p>
        </w:tc>
        <w:tc>
          <w:tcPr>
            <w:tcW w:w="1116" w:type="dxa"/>
            <w:noWrap/>
            <w:hideMark/>
          </w:tcPr>
          <w:p w14:paraId="28A90CA1" w14:textId="77777777" w:rsidR="00051297" w:rsidRPr="00051297" w:rsidRDefault="00051297" w:rsidP="00051297">
            <w:pPr>
              <w:spacing w:line="240" w:lineRule="auto"/>
              <w:ind w:firstLine="0"/>
              <w:jc w:val="center"/>
              <w:rPr>
                <w:lang w:val="en-US"/>
              </w:rPr>
            </w:pPr>
            <w:r w:rsidRPr="00051297">
              <w:rPr>
                <w:lang w:val="en-US"/>
              </w:rPr>
              <w:t>76.693</w:t>
            </w:r>
          </w:p>
        </w:tc>
        <w:tc>
          <w:tcPr>
            <w:tcW w:w="1116" w:type="dxa"/>
            <w:noWrap/>
            <w:hideMark/>
          </w:tcPr>
          <w:p w14:paraId="7856532D" w14:textId="77777777" w:rsidR="00051297" w:rsidRPr="00051297" w:rsidRDefault="00051297" w:rsidP="00051297">
            <w:pPr>
              <w:spacing w:line="240" w:lineRule="auto"/>
              <w:ind w:firstLine="0"/>
              <w:jc w:val="center"/>
              <w:rPr>
                <w:lang w:val="en-US"/>
              </w:rPr>
            </w:pPr>
            <w:r w:rsidRPr="00051297">
              <w:rPr>
                <w:lang w:val="en-US"/>
              </w:rPr>
              <w:t>2.474</w:t>
            </w:r>
          </w:p>
        </w:tc>
        <w:tc>
          <w:tcPr>
            <w:tcW w:w="3348" w:type="dxa"/>
            <w:gridSpan w:val="3"/>
            <w:noWrap/>
            <w:hideMark/>
          </w:tcPr>
          <w:p w14:paraId="22C1EB9F" w14:textId="77777777" w:rsidR="00051297" w:rsidRPr="00051297" w:rsidRDefault="00051297" w:rsidP="00051297">
            <w:pPr>
              <w:spacing w:line="240" w:lineRule="auto"/>
              <w:ind w:firstLine="0"/>
              <w:jc w:val="center"/>
              <w:rPr>
                <w:lang w:val="en-US"/>
              </w:rPr>
            </w:pPr>
            <w:r w:rsidRPr="00051297">
              <w:rPr>
                <w:lang w:val="en-US"/>
              </w:rPr>
              <w:t>0.187</w:t>
            </w:r>
          </w:p>
        </w:tc>
      </w:tr>
      <w:tr w:rsidR="00051297" w:rsidRPr="00051297" w14:paraId="25243BBF" w14:textId="77777777" w:rsidTr="00D20B01">
        <w:trPr>
          <w:trHeight w:val="300"/>
          <w:jc w:val="center"/>
        </w:trPr>
        <w:tc>
          <w:tcPr>
            <w:tcW w:w="1735" w:type="dxa"/>
            <w:noWrap/>
            <w:hideMark/>
          </w:tcPr>
          <w:p w14:paraId="300562BA" w14:textId="77777777" w:rsidR="00051297" w:rsidRPr="00051297" w:rsidRDefault="00051297" w:rsidP="00051297">
            <w:pPr>
              <w:spacing w:line="240" w:lineRule="auto"/>
              <w:ind w:firstLine="0"/>
              <w:jc w:val="center"/>
              <w:rPr>
                <w:lang w:val="en-US"/>
              </w:rPr>
            </w:pPr>
            <w:r w:rsidRPr="00051297">
              <w:rPr>
                <w:lang w:val="en-US"/>
              </w:rPr>
              <w:t>MORL-OF</w:t>
            </w:r>
          </w:p>
        </w:tc>
        <w:tc>
          <w:tcPr>
            <w:tcW w:w="1116" w:type="dxa"/>
            <w:noWrap/>
            <w:hideMark/>
          </w:tcPr>
          <w:p w14:paraId="59A93FC7" w14:textId="77777777" w:rsidR="00051297" w:rsidRPr="00051297" w:rsidRDefault="00051297" w:rsidP="00051297">
            <w:pPr>
              <w:spacing w:line="240" w:lineRule="auto"/>
              <w:ind w:firstLine="0"/>
              <w:jc w:val="center"/>
              <w:rPr>
                <w:lang w:val="en-US"/>
              </w:rPr>
            </w:pPr>
            <w:r w:rsidRPr="00051297">
              <w:rPr>
                <w:lang w:val="en-US"/>
              </w:rPr>
              <w:t>31</w:t>
            </w:r>
          </w:p>
        </w:tc>
        <w:tc>
          <w:tcPr>
            <w:tcW w:w="1116" w:type="dxa"/>
            <w:noWrap/>
            <w:hideMark/>
          </w:tcPr>
          <w:p w14:paraId="4D0096B3" w14:textId="77777777" w:rsidR="00051297" w:rsidRPr="00051297" w:rsidRDefault="00051297" w:rsidP="00051297">
            <w:pPr>
              <w:spacing w:line="240" w:lineRule="auto"/>
              <w:ind w:firstLine="0"/>
              <w:jc w:val="center"/>
              <w:rPr>
                <w:lang w:val="en-US"/>
              </w:rPr>
            </w:pPr>
            <w:r w:rsidRPr="00051297">
              <w:rPr>
                <w:lang w:val="en-US"/>
              </w:rPr>
              <w:t>75.654</w:t>
            </w:r>
          </w:p>
        </w:tc>
        <w:tc>
          <w:tcPr>
            <w:tcW w:w="1116" w:type="dxa"/>
            <w:noWrap/>
            <w:hideMark/>
          </w:tcPr>
          <w:p w14:paraId="2AA22FF7" w14:textId="77777777" w:rsidR="00051297" w:rsidRPr="00051297" w:rsidRDefault="00051297" w:rsidP="00051297">
            <w:pPr>
              <w:spacing w:line="240" w:lineRule="auto"/>
              <w:ind w:firstLine="0"/>
              <w:jc w:val="center"/>
              <w:rPr>
                <w:lang w:val="en-US"/>
              </w:rPr>
            </w:pPr>
            <w:r w:rsidRPr="00051297">
              <w:rPr>
                <w:lang w:val="en-US"/>
              </w:rPr>
              <w:t>2.440</w:t>
            </w:r>
          </w:p>
        </w:tc>
        <w:tc>
          <w:tcPr>
            <w:tcW w:w="3348" w:type="dxa"/>
            <w:gridSpan w:val="3"/>
            <w:noWrap/>
            <w:hideMark/>
          </w:tcPr>
          <w:p w14:paraId="2B16CF87" w14:textId="77777777" w:rsidR="00051297" w:rsidRPr="00051297" w:rsidRDefault="00051297" w:rsidP="00051297">
            <w:pPr>
              <w:spacing w:line="240" w:lineRule="auto"/>
              <w:ind w:firstLine="0"/>
              <w:jc w:val="center"/>
              <w:rPr>
                <w:lang w:val="en-US"/>
              </w:rPr>
            </w:pPr>
            <w:r w:rsidRPr="00051297">
              <w:rPr>
                <w:lang w:val="en-US"/>
              </w:rPr>
              <w:t>0.204</w:t>
            </w:r>
          </w:p>
        </w:tc>
      </w:tr>
      <w:tr w:rsidR="00051297" w:rsidRPr="00051297" w14:paraId="575A6492" w14:textId="77777777" w:rsidTr="00D20B01">
        <w:trPr>
          <w:trHeight w:val="315"/>
          <w:jc w:val="center"/>
        </w:trPr>
        <w:tc>
          <w:tcPr>
            <w:tcW w:w="1735" w:type="dxa"/>
            <w:noWrap/>
            <w:hideMark/>
          </w:tcPr>
          <w:p w14:paraId="7A14CFB9" w14:textId="77777777" w:rsidR="00051297" w:rsidRPr="00051297" w:rsidRDefault="00051297" w:rsidP="00051297">
            <w:pPr>
              <w:spacing w:line="240" w:lineRule="auto"/>
              <w:ind w:firstLine="0"/>
              <w:jc w:val="center"/>
              <w:rPr>
                <w:lang w:val="en-US"/>
              </w:rPr>
            </w:pPr>
            <w:r w:rsidRPr="00051297">
              <w:rPr>
                <w:lang w:val="en-US"/>
              </w:rPr>
              <w:t>RORL</w:t>
            </w:r>
          </w:p>
        </w:tc>
        <w:tc>
          <w:tcPr>
            <w:tcW w:w="1116" w:type="dxa"/>
            <w:noWrap/>
            <w:hideMark/>
          </w:tcPr>
          <w:p w14:paraId="0B71D509" w14:textId="77777777" w:rsidR="00051297" w:rsidRPr="00051297" w:rsidRDefault="00051297" w:rsidP="00051297">
            <w:pPr>
              <w:spacing w:line="240" w:lineRule="auto"/>
              <w:ind w:firstLine="0"/>
              <w:jc w:val="center"/>
              <w:rPr>
                <w:lang w:val="en-US"/>
              </w:rPr>
            </w:pPr>
            <w:r w:rsidRPr="00051297">
              <w:rPr>
                <w:lang w:val="en-US"/>
              </w:rPr>
              <w:t>31</w:t>
            </w:r>
          </w:p>
        </w:tc>
        <w:tc>
          <w:tcPr>
            <w:tcW w:w="1116" w:type="dxa"/>
            <w:noWrap/>
            <w:hideMark/>
          </w:tcPr>
          <w:p w14:paraId="2906723E" w14:textId="77777777" w:rsidR="00051297" w:rsidRPr="00051297" w:rsidRDefault="00051297" w:rsidP="00051297">
            <w:pPr>
              <w:spacing w:line="240" w:lineRule="auto"/>
              <w:ind w:firstLine="0"/>
              <w:jc w:val="center"/>
              <w:rPr>
                <w:lang w:val="en-US"/>
              </w:rPr>
            </w:pPr>
            <w:r w:rsidRPr="00051297">
              <w:rPr>
                <w:lang w:val="en-US"/>
              </w:rPr>
              <w:t>81.278</w:t>
            </w:r>
          </w:p>
        </w:tc>
        <w:tc>
          <w:tcPr>
            <w:tcW w:w="1116" w:type="dxa"/>
            <w:noWrap/>
            <w:hideMark/>
          </w:tcPr>
          <w:p w14:paraId="7759824C" w14:textId="77777777" w:rsidR="00051297" w:rsidRPr="00051297" w:rsidRDefault="00051297" w:rsidP="00051297">
            <w:pPr>
              <w:spacing w:line="240" w:lineRule="auto"/>
              <w:ind w:firstLine="0"/>
              <w:jc w:val="center"/>
              <w:rPr>
                <w:lang w:val="en-US"/>
              </w:rPr>
            </w:pPr>
            <w:r w:rsidRPr="00051297">
              <w:rPr>
                <w:lang w:val="en-US"/>
              </w:rPr>
              <w:t>2.622</w:t>
            </w:r>
          </w:p>
        </w:tc>
        <w:tc>
          <w:tcPr>
            <w:tcW w:w="3348" w:type="dxa"/>
            <w:gridSpan w:val="3"/>
            <w:noWrap/>
            <w:hideMark/>
          </w:tcPr>
          <w:p w14:paraId="3FE88C47" w14:textId="77777777" w:rsidR="00051297" w:rsidRPr="00051297" w:rsidRDefault="00051297" w:rsidP="00051297">
            <w:pPr>
              <w:spacing w:line="240" w:lineRule="auto"/>
              <w:ind w:firstLine="0"/>
              <w:jc w:val="center"/>
              <w:rPr>
                <w:lang w:val="en-US"/>
              </w:rPr>
            </w:pPr>
            <w:r w:rsidRPr="00051297">
              <w:rPr>
                <w:lang w:val="en-US"/>
              </w:rPr>
              <w:t>0.042</w:t>
            </w:r>
          </w:p>
        </w:tc>
      </w:tr>
      <w:tr w:rsidR="00051297" w:rsidRPr="00051297" w14:paraId="0DF7EB1C" w14:textId="77777777" w:rsidTr="00D20B01">
        <w:trPr>
          <w:trHeight w:val="315"/>
          <w:jc w:val="center"/>
        </w:trPr>
        <w:tc>
          <w:tcPr>
            <w:tcW w:w="8431" w:type="dxa"/>
            <w:gridSpan w:val="7"/>
            <w:noWrap/>
            <w:hideMark/>
          </w:tcPr>
          <w:p w14:paraId="41D11AA4" w14:textId="77777777" w:rsidR="00051297" w:rsidRPr="00051297" w:rsidRDefault="00051297" w:rsidP="00051297">
            <w:pPr>
              <w:spacing w:line="240" w:lineRule="auto"/>
              <w:ind w:firstLine="0"/>
              <w:jc w:val="center"/>
              <w:rPr>
                <w:lang w:val="en-US"/>
              </w:rPr>
            </w:pPr>
            <w:r w:rsidRPr="00051297">
              <w:rPr>
                <w:lang w:val="en-US"/>
              </w:rPr>
              <w:t>ANOVA</w:t>
            </w:r>
          </w:p>
        </w:tc>
      </w:tr>
      <w:tr w:rsidR="00051297" w:rsidRPr="00051297" w14:paraId="0BEC43FB" w14:textId="77777777" w:rsidTr="00D20B01">
        <w:trPr>
          <w:trHeight w:val="300"/>
          <w:jc w:val="center"/>
        </w:trPr>
        <w:tc>
          <w:tcPr>
            <w:tcW w:w="1735" w:type="dxa"/>
            <w:noWrap/>
            <w:hideMark/>
          </w:tcPr>
          <w:p w14:paraId="7B03495D" w14:textId="77777777" w:rsidR="00051297" w:rsidRPr="00051297" w:rsidRDefault="00051297" w:rsidP="00051297">
            <w:pPr>
              <w:spacing w:line="240" w:lineRule="auto"/>
              <w:ind w:firstLine="0"/>
              <w:jc w:val="center"/>
              <w:rPr>
                <w:lang w:val="en-US"/>
              </w:rPr>
            </w:pPr>
            <w:r w:rsidRPr="00051297">
              <w:rPr>
                <w:lang w:val="en-US"/>
              </w:rPr>
              <w:t>Source of Variation</w:t>
            </w:r>
          </w:p>
        </w:tc>
        <w:tc>
          <w:tcPr>
            <w:tcW w:w="1116" w:type="dxa"/>
            <w:noWrap/>
            <w:hideMark/>
          </w:tcPr>
          <w:p w14:paraId="48227DD4" w14:textId="77777777" w:rsidR="00051297" w:rsidRPr="00051297" w:rsidRDefault="00051297" w:rsidP="00051297">
            <w:pPr>
              <w:spacing w:line="240" w:lineRule="auto"/>
              <w:ind w:firstLine="0"/>
              <w:jc w:val="center"/>
              <w:rPr>
                <w:lang w:val="en-US"/>
              </w:rPr>
            </w:pPr>
            <w:r w:rsidRPr="00051297">
              <w:rPr>
                <w:lang w:val="en-US"/>
              </w:rPr>
              <w:t>SS</w:t>
            </w:r>
          </w:p>
        </w:tc>
        <w:tc>
          <w:tcPr>
            <w:tcW w:w="1116" w:type="dxa"/>
            <w:noWrap/>
            <w:hideMark/>
          </w:tcPr>
          <w:p w14:paraId="6E421065" w14:textId="77777777" w:rsidR="00051297" w:rsidRPr="00051297" w:rsidRDefault="00051297" w:rsidP="00051297">
            <w:pPr>
              <w:spacing w:line="240" w:lineRule="auto"/>
              <w:ind w:firstLine="0"/>
              <w:jc w:val="center"/>
              <w:rPr>
                <w:lang w:val="en-US"/>
              </w:rPr>
            </w:pPr>
            <w:r w:rsidRPr="00051297">
              <w:rPr>
                <w:lang w:val="en-US"/>
              </w:rPr>
              <w:t>df</w:t>
            </w:r>
          </w:p>
        </w:tc>
        <w:tc>
          <w:tcPr>
            <w:tcW w:w="1116" w:type="dxa"/>
            <w:noWrap/>
            <w:hideMark/>
          </w:tcPr>
          <w:p w14:paraId="777BDF7C" w14:textId="77777777" w:rsidR="00051297" w:rsidRPr="00051297" w:rsidRDefault="00051297" w:rsidP="00051297">
            <w:pPr>
              <w:spacing w:line="240" w:lineRule="auto"/>
              <w:ind w:firstLine="0"/>
              <w:jc w:val="center"/>
              <w:rPr>
                <w:lang w:val="en-US"/>
              </w:rPr>
            </w:pPr>
            <w:r w:rsidRPr="00051297">
              <w:rPr>
                <w:lang w:val="en-US"/>
              </w:rPr>
              <w:t>MS</w:t>
            </w:r>
          </w:p>
        </w:tc>
        <w:tc>
          <w:tcPr>
            <w:tcW w:w="1116" w:type="dxa"/>
            <w:noWrap/>
            <w:hideMark/>
          </w:tcPr>
          <w:p w14:paraId="66398E5B" w14:textId="77777777" w:rsidR="00051297" w:rsidRPr="00051297" w:rsidRDefault="00051297" w:rsidP="00051297">
            <w:pPr>
              <w:spacing w:line="240" w:lineRule="auto"/>
              <w:ind w:firstLine="0"/>
              <w:jc w:val="center"/>
              <w:rPr>
                <w:lang w:val="en-US"/>
              </w:rPr>
            </w:pPr>
            <w:r w:rsidRPr="00051297">
              <w:rPr>
                <w:lang w:val="en-US"/>
              </w:rPr>
              <w:t>F</w:t>
            </w:r>
          </w:p>
        </w:tc>
        <w:tc>
          <w:tcPr>
            <w:tcW w:w="1116" w:type="dxa"/>
            <w:noWrap/>
            <w:hideMark/>
          </w:tcPr>
          <w:p w14:paraId="49173211" w14:textId="77777777" w:rsidR="00051297" w:rsidRPr="00051297" w:rsidRDefault="00051297" w:rsidP="00051297">
            <w:pPr>
              <w:spacing w:line="240" w:lineRule="auto"/>
              <w:ind w:firstLine="0"/>
              <w:jc w:val="center"/>
              <w:rPr>
                <w:lang w:val="en-US"/>
              </w:rPr>
            </w:pPr>
            <w:r w:rsidRPr="00051297">
              <w:rPr>
                <w:lang w:val="en-US"/>
              </w:rPr>
              <w:t>P-value</w:t>
            </w:r>
          </w:p>
        </w:tc>
        <w:tc>
          <w:tcPr>
            <w:tcW w:w="1116" w:type="dxa"/>
            <w:noWrap/>
            <w:hideMark/>
          </w:tcPr>
          <w:p w14:paraId="19E89D6E" w14:textId="77777777" w:rsidR="00051297" w:rsidRPr="00051297" w:rsidRDefault="00051297" w:rsidP="00051297">
            <w:pPr>
              <w:spacing w:line="240" w:lineRule="auto"/>
              <w:ind w:firstLine="0"/>
              <w:jc w:val="center"/>
              <w:rPr>
                <w:lang w:val="en-US"/>
              </w:rPr>
            </w:pPr>
            <w:r w:rsidRPr="00051297">
              <w:rPr>
                <w:lang w:val="en-US"/>
              </w:rPr>
              <w:t>F crit</w:t>
            </w:r>
          </w:p>
        </w:tc>
      </w:tr>
      <w:tr w:rsidR="00051297" w:rsidRPr="00051297" w14:paraId="06ED4603" w14:textId="77777777" w:rsidTr="00D20B01">
        <w:trPr>
          <w:trHeight w:val="300"/>
          <w:jc w:val="center"/>
        </w:trPr>
        <w:tc>
          <w:tcPr>
            <w:tcW w:w="1735" w:type="dxa"/>
            <w:noWrap/>
            <w:hideMark/>
          </w:tcPr>
          <w:p w14:paraId="01F89E73" w14:textId="77777777" w:rsidR="00051297" w:rsidRPr="00051297" w:rsidRDefault="00051297" w:rsidP="00051297">
            <w:pPr>
              <w:spacing w:line="240" w:lineRule="auto"/>
              <w:ind w:firstLine="0"/>
              <w:jc w:val="center"/>
              <w:rPr>
                <w:lang w:val="en-US"/>
              </w:rPr>
            </w:pPr>
            <w:r w:rsidRPr="00051297">
              <w:rPr>
                <w:lang w:val="en-US"/>
              </w:rPr>
              <w:t>Between Groups</w:t>
            </w:r>
          </w:p>
        </w:tc>
        <w:tc>
          <w:tcPr>
            <w:tcW w:w="1116" w:type="dxa"/>
            <w:noWrap/>
            <w:hideMark/>
          </w:tcPr>
          <w:p w14:paraId="39E33FF9" w14:textId="77777777" w:rsidR="00051297" w:rsidRPr="00051297" w:rsidRDefault="00051297" w:rsidP="00051297">
            <w:pPr>
              <w:spacing w:line="240" w:lineRule="auto"/>
              <w:ind w:firstLine="0"/>
              <w:jc w:val="center"/>
              <w:rPr>
                <w:lang w:val="en-US"/>
              </w:rPr>
            </w:pPr>
            <w:r w:rsidRPr="00051297">
              <w:rPr>
                <w:lang w:val="en-US"/>
              </w:rPr>
              <w:t>0.600</w:t>
            </w:r>
          </w:p>
        </w:tc>
        <w:tc>
          <w:tcPr>
            <w:tcW w:w="1116" w:type="dxa"/>
            <w:noWrap/>
            <w:hideMark/>
          </w:tcPr>
          <w:p w14:paraId="5E1A1504" w14:textId="77777777" w:rsidR="00051297" w:rsidRPr="00051297" w:rsidRDefault="00051297" w:rsidP="00051297">
            <w:pPr>
              <w:spacing w:line="240" w:lineRule="auto"/>
              <w:ind w:firstLine="0"/>
              <w:jc w:val="center"/>
              <w:rPr>
                <w:lang w:val="en-US"/>
              </w:rPr>
            </w:pPr>
            <w:r w:rsidRPr="00051297">
              <w:rPr>
                <w:lang w:val="en-US"/>
              </w:rPr>
              <w:t>3</w:t>
            </w:r>
          </w:p>
        </w:tc>
        <w:tc>
          <w:tcPr>
            <w:tcW w:w="1116" w:type="dxa"/>
            <w:noWrap/>
            <w:hideMark/>
          </w:tcPr>
          <w:p w14:paraId="29A517F7" w14:textId="77777777" w:rsidR="00051297" w:rsidRPr="00051297" w:rsidRDefault="00051297" w:rsidP="00051297">
            <w:pPr>
              <w:spacing w:line="240" w:lineRule="auto"/>
              <w:ind w:firstLine="0"/>
              <w:jc w:val="center"/>
              <w:rPr>
                <w:lang w:val="en-US"/>
              </w:rPr>
            </w:pPr>
            <w:r w:rsidRPr="00051297">
              <w:rPr>
                <w:lang w:val="en-US"/>
              </w:rPr>
              <w:t>0.200</w:t>
            </w:r>
          </w:p>
        </w:tc>
        <w:tc>
          <w:tcPr>
            <w:tcW w:w="1116" w:type="dxa"/>
            <w:noWrap/>
            <w:hideMark/>
          </w:tcPr>
          <w:p w14:paraId="3D952C95" w14:textId="77777777" w:rsidR="00051297" w:rsidRPr="00051297" w:rsidRDefault="00051297" w:rsidP="00051297">
            <w:pPr>
              <w:spacing w:line="240" w:lineRule="auto"/>
              <w:ind w:firstLine="0"/>
              <w:jc w:val="center"/>
              <w:rPr>
                <w:lang w:val="en-US"/>
              </w:rPr>
            </w:pPr>
            <w:r w:rsidRPr="00051297">
              <w:rPr>
                <w:lang w:val="en-US"/>
              </w:rPr>
              <w:t>1.210</w:t>
            </w:r>
          </w:p>
        </w:tc>
        <w:tc>
          <w:tcPr>
            <w:tcW w:w="1116" w:type="dxa"/>
            <w:noWrap/>
            <w:hideMark/>
          </w:tcPr>
          <w:p w14:paraId="1EDC1F68" w14:textId="77777777" w:rsidR="00051297" w:rsidRPr="00051297" w:rsidRDefault="00051297" w:rsidP="00051297">
            <w:pPr>
              <w:spacing w:line="240" w:lineRule="auto"/>
              <w:ind w:firstLine="0"/>
              <w:jc w:val="center"/>
              <w:rPr>
                <w:lang w:val="en-US"/>
              </w:rPr>
            </w:pPr>
            <w:r w:rsidRPr="00051297">
              <w:rPr>
                <w:lang w:val="en-US"/>
              </w:rPr>
              <w:t>0.309</w:t>
            </w:r>
          </w:p>
        </w:tc>
        <w:tc>
          <w:tcPr>
            <w:tcW w:w="1116" w:type="dxa"/>
            <w:noWrap/>
            <w:hideMark/>
          </w:tcPr>
          <w:p w14:paraId="7DAD92FF" w14:textId="77777777" w:rsidR="00051297" w:rsidRPr="00051297" w:rsidRDefault="00051297" w:rsidP="00051297">
            <w:pPr>
              <w:spacing w:line="240" w:lineRule="auto"/>
              <w:ind w:firstLine="0"/>
              <w:jc w:val="center"/>
              <w:rPr>
                <w:lang w:val="en-US"/>
              </w:rPr>
            </w:pPr>
            <w:r w:rsidRPr="00051297">
              <w:rPr>
                <w:lang w:val="en-US"/>
              </w:rPr>
              <w:t>2.680</w:t>
            </w:r>
          </w:p>
        </w:tc>
      </w:tr>
      <w:tr w:rsidR="00051297" w:rsidRPr="00051297" w14:paraId="1CBEE3B1" w14:textId="77777777" w:rsidTr="00D20B01">
        <w:trPr>
          <w:trHeight w:val="300"/>
          <w:jc w:val="center"/>
        </w:trPr>
        <w:tc>
          <w:tcPr>
            <w:tcW w:w="1735" w:type="dxa"/>
            <w:noWrap/>
            <w:hideMark/>
          </w:tcPr>
          <w:p w14:paraId="57A3A0DA" w14:textId="77777777" w:rsidR="00051297" w:rsidRPr="00051297" w:rsidRDefault="00051297" w:rsidP="00051297">
            <w:pPr>
              <w:spacing w:line="240" w:lineRule="auto"/>
              <w:ind w:firstLine="0"/>
              <w:jc w:val="center"/>
              <w:rPr>
                <w:lang w:val="en-US"/>
              </w:rPr>
            </w:pPr>
            <w:r w:rsidRPr="00051297">
              <w:rPr>
                <w:lang w:val="en-US"/>
              </w:rPr>
              <w:t>Within Groups</w:t>
            </w:r>
          </w:p>
        </w:tc>
        <w:tc>
          <w:tcPr>
            <w:tcW w:w="1116" w:type="dxa"/>
            <w:noWrap/>
            <w:hideMark/>
          </w:tcPr>
          <w:p w14:paraId="3B5EBB24" w14:textId="77777777" w:rsidR="00051297" w:rsidRPr="00051297" w:rsidRDefault="00051297" w:rsidP="00051297">
            <w:pPr>
              <w:spacing w:line="240" w:lineRule="auto"/>
              <w:ind w:firstLine="0"/>
              <w:jc w:val="center"/>
              <w:rPr>
                <w:lang w:val="en-US"/>
              </w:rPr>
            </w:pPr>
            <w:r w:rsidRPr="00051297">
              <w:rPr>
                <w:lang w:val="en-US"/>
              </w:rPr>
              <w:t>19.837</w:t>
            </w:r>
          </w:p>
        </w:tc>
        <w:tc>
          <w:tcPr>
            <w:tcW w:w="1116" w:type="dxa"/>
            <w:noWrap/>
            <w:hideMark/>
          </w:tcPr>
          <w:p w14:paraId="3C3E15CA" w14:textId="77777777" w:rsidR="00051297" w:rsidRPr="00051297" w:rsidRDefault="00051297" w:rsidP="00051297">
            <w:pPr>
              <w:spacing w:line="240" w:lineRule="auto"/>
              <w:ind w:firstLine="0"/>
              <w:jc w:val="center"/>
              <w:rPr>
                <w:lang w:val="en-US"/>
              </w:rPr>
            </w:pPr>
            <w:r w:rsidRPr="00051297">
              <w:rPr>
                <w:lang w:val="en-US"/>
              </w:rPr>
              <w:t>120</w:t>
            </w:r>
          </w:p>
        </w:tc>
        <w:tc>
          <w:tcPr>
            <w:tcW w:w="1116" w:type="dxa"/>
            <w:noWrap/>
            <w:hideMark/>
          </w:tcPr>
          <w:p w14:paraId="34D6CBB0" w14:textId="77777777" w:rsidR="00051297" w:rsidRPr="00051297" w:rsidRDefault="00051297" w:rsidP="00051297">
            <w:pPr>
              <w:spacing w:line="240" w:lineRule="auto"/>
              <w:ind w:firstLine="0"/>
              <w:jc w:val="center"/>
              <w:rPr>
                <w:lang w:val="en-US"/>
              </w:rPr>
            </w:pPr>
            <w:r w:rsidRPr="00051297">
              <w:rPr>
                <w:lang w:val="en-US"/>
              </w:rPr>
              <w:t>0.165</w:t>
            </w:r>
          </w:p>
        </w:tc>
        <w:tc>
          <w:tcPr>
            <w:tcW w:w="1116" w:type="dxa"/>
            <w:noWrap/>
            <w:hideMark/>
          </w:tcPr>
          <w:p w14:paraId="2F50E898" w14:textId="77777777" w:rsidR="00051297" w:rsidRPr="00051297" w:rsidRDefault="00051297" w:rsidP="00051297">
            <w:pPr>
              <w:spacing w:line="240" w:lineRule="auto"/>
              <w:ind w:firstLine="0"/>
              <w:jc w:val="center"/>
              <w:rPr>
                <w:lang w:val="en-US"/>
              </w:rPr>
            </w:pPr>
          </w:p>
        </w:tc>
        <w:tc>
          <w:tcPr>
            <w:tcW w:w="1116" w:type="dxa"/>
            <w:noWrap/>
            <w:hideMark/>
          </w:tcPr>
          <w:p w14:paraId="4DF7D7E6" w14:textId="77777777" w:rsidR="00051297" w:rsidRPr="00051297" w:rsidRDefault="00051297" w:rsidP="00051297">
            <w:pPr>
              <w:spacing w:line="240" w:lineRule="auto"/>
              <w:ind w:firstLine="0"/>
              <w:jc w:val="center"/>
              <w:rPr>
                <w:lang w:val="en-US"/>
              </w:rPr>
            </w:pPr>
          </w:p>
        </w:tc>
        <w:tc>
          <w:tcPr>
            <w:tcW w:w="1116" w:type="dxa"/>
            <w:noWrap/>
            <w:hideMark/>
          </w:tcPr>
          <w:p w14:paraId="382273BD" w14:textId="77777777" w:rsidR="00051297" w:rsidRPr="00051297" w:rsidRDefault="00051297" w:rsidP="00051297">
            <w:pPr>
              <w:spacing w:line="240" w:lineRule="auto"/>
              <w:ind w:firstLine="0"/>
              <w:jc w:val="center"/>
              <w:rPr>
                <w:lang w:val="en-US"/>
              </w:rPr>
            </w:pPr>
          </w:p>
        </w:tc>
      </w:tr>
      <w:tr w:rsidR="00051297" w:rsidRPr="00051297" w14:paraId="32848095" w14:textId="77777777" w:rsidTr="00D20B01">
        <w:trPr>
          <w:trHeight w:val="315"/>
          <w:jc w:val="center"/>
        </w:trPr>
        <w:tc>
          <w:tcPr>
            <w:tcW w:w="1735" w:type="dxa"/>
            <w:noWrap/>
            <w:hideMark/>
          </w:tcPr>
          <w:p w14:paraId="6231C275" w14:textId="77777777" w:rsidR="00051297" w:rsidRPr="00051297" w:rsidRDefault="00051297" w:rsidP="00051297">
            <w:pPr>
              <w:spacing w:line="240" w:lineRule="auto"/>
              <w:ind w:firstLine="0"/>
              <w:jc w:val="center"/>
              <w:rPr>
                <w:lang w:val="en-US"/>
              </w:rPr>
            </w:pPr>
            <w:r w:rsidRPr="00051297">
              <w:rPr>
                <w:lang w:val="en-US"/>
              </w:rPr>
              <w:t>Total</w:t>
            </w:r>
          </w:p>
        </w:tc>
        <w:tc>
          <w:tcPr>
            <w:tcW w:w="1116" w:type="dxa"/>
            <w:noWrap/>
            <w:hideMark/>
          </w:tcPr>
          <w:p w14:paraId="29FDF572" w14:textId="77777777" w:rsidR="00051297" w:rsidRPr="00051297" w:rsidRDefault="00051297" w:rsidP="00051297">
            <w:pPr>
              <w:spacing w:line="240" w:lineRule="auto"/>
              <w:ind w:firstLine="0"/>
              <w:jc w:val="center"/>
              <w:rPr>
                <w:lang w:val="en-US"/>
              </w:rPr>
            </w:pPr>
            <w:r w:rsidRPr="00051297">
              <w:rPr>
                <w:lang w:val="en-US"/>
              </w:rPr>
              <w:t>20.437</w:t>
            </w:r>
          </w:p>
        </w:tc>
        <w:tc>
          <w:tcPr>
            <w:tcW w:w="1116" w:type="dxa"/>
            <w:noWrap/>
            <w:hideMark/>
          </w:tcPr>
          <w:p w14:paraId="0EBDE252" w14:textId="77777777" w:rsidR="00051297" w:rsidRPr="00051297" w:rsidRDefault="00051297" w:rsidP="00051297">
            <w:pPr>
              <w:spacing w:line="240" w:lineRule="auto"/>
              <w:ind w:firstLine="0"/>
              <w:jc w:val="center"/>
              <w:rPr>
                <w:lang w:val="en-US"/>
              </w:rPr>
            </w:pPr>
            <w:r w:rsidRPr="00051297">
              <w:rPr>
                <w:lang w:val="en-US"/>
              </w:rPr>
              <w:t>123</w:t>
            </w:r>
          </w:p>
        </w:tc>
        <w:tc>
          <w:tcPr>
            <w:tcW w:w="1116" w:type="dxa"/>
            <w:noWrap/>
            <w:hideMark/>
          </w:tcPr>
          <w:p w14:paraId="25A01757" w14:textId="77777777" w:rsidR="00051297" w:rsidRPr="00051297" w:rsidRDefault="00051297" w:rsidP="00051297">
            <w:pPr>
              <w:spacing w:line="240" w:lineRule="auto"/>
              <w:ind w:firstLine="0"/>
              <w:jc w:val="center"/>
              <w:rPr>
                <w:lang w:val="en-US"/>
              </w:rPr>
            </w:pPr>
            <w:r w:rsidRPr="00051297">
              <w:rPr>
                <w:lang w:val="en-US"/>
              </w:rPr>
              <w:t> </w:t>
            </w:r>
          </w:p>
        </w:tc>
        <w:tc>
          <w:tcPr>
            <w:tcW w:w="1116" w:type="dxa"/>
            <w:noWrap/>
            <w:hideMark/>
          </w:tcPr>
          <w:p w14:paraId="09AC3D40" w14:textId="77777777" w:rsidR="00051297" w:rsidRPr="00051297" w:rsidRDefault="00051297" w:rsidP="00051297">
            <w:pPr>
              <w:spacing w:line="240" w:lineRule="auto"/>
              <w:ind w:firstLine="0"/>
              <w:jc w:val="center"/>
              <w:rPr>
                <w:lang w:val="en-US"/>
              </w:rPr>
            </w:pPr>
            <w:r w:rsidRPr="00051297">
              <w:rPr>
                <w:lang w:val="en-US"/>
              </w:rPr>
              <w:t> </w:t>
            </w:r>
          </w:p>
        </w:tc>
        <w:tc>
          <w:tcPr>
            <w:tcW w:w="1116" w:type="dxa"/>
            <w:noWrap/>
            <w:hideMark/>
          </w:tcPr>
          <w:p w14:paraId="2FB66F28" w14:textId="77777777" w:rsidR="00051297" w:rsidRPr="00051297" w:rsidRDefault="00051297" w:rsidP="00051297">
            <w:pPr>
              <w:spacing w:line="240" w:lineRule="auto"/>
              <w:ind w:firstLine="0"/>
              <w:jc w:val="center"/>
              <w:rPr>
                <w:lang w:val="en-US"/>
              </w:rPr>
            </w:pPr>
            <w:r w:rsidRPr="00051297">
              <w:rPr>
                <w:lang w:val="en-US"/>
              </w:rPr>
              <w:t> </w:t>
            </w:r>
          </w:p>
        </w:tc>
        <w:tc>
          <w:tcPr>
            <w:tcW w:w="1116" w:type="dxa"/>
            <w:noWrap/>
            <w:hideMark/>
          </w:tcPr>
          <w:p w14:paraId="04D32023" w14:textId="77777777" w:rsidR="00051297" w:rsidRPr="00051297" w:rsidRDefault="00051297" w:rsidP="00051297">
            <w:pPr>
              <w:spacing w:line="240" w:lineRule="auto"/>
              <w:ind w:firstLine="0"/>
              <w:jc w:val="center"/>
              <w:rPr>
                <w:lang w:val="en-US"/>
              </w:rPr>
            </w:pPr>
            <w:r w:rsidRPr="00051297">
              <w:rPr>
                <w:lang w:val="en-US"/>
              </w:rPr>
              <w:t> </w:t>
            </w:r>
          </w:p>
        </w:tc>
      </w:tr>
    </w:tbl>
    <w:p w14:paraId="2045B1DE" w14:textId="7E4A9AA7" w:rsidR="00051297" w:rsidRPr="00051297" w:rsidRDefault="00051297" w:rsidP="00051297">
      <w:pPr>
        <w:rPr>
          <w:lang w:val="en-US"/>
        </w:rPr>
      </w:pPr>
      <w:bookmarkStart w:id="1784" w:name="_Hlk99026965"/>
    </w:p>
    <w:bookmarkEnd w:id="1784"/>
    <w:p w14:paraId="2CC54E0B" w14:textId="791A3775" w:rsidR="00051297" w:rsidRPr="00051297" w:rsidRDefault="00051297" w:rsidP="00051297">
      <w:pPr>
        <w:rPr>
          <w:lang w:val="en-US" w:bidi="en-US"/>
        </w:rPr>
      </w:pPr>
      <w:r w:rsidRPr="00051297">
        <w:rPr>
          <w:lang w:val="en-US" w:bidi="en-US"/>
        </w:rPr>
        <w:lastRenderedPageBreak/>
        <w:t xml:space="preserve">The factor of safety values from the drawdown rates, on the other hand, were subjected to a single-factor ANOVA from each of the water levels studied in this investigation, as shown in </w:t>
      </w:r>
      <w:r w:rsidRPr="00051297">
        <w:rPr>
          <w:lang w:val="en-US" w:bidi="en-US"/>
        </w:rPr>
        <w:fldChar w:fldCharType="begin"/>
      </w:r>
      <w:r w:rsidRPr="00051297">
        <w:rPr>
          <w:lang w:val="en-US" w:bidi="en-US"/>
        </w:rPr>
        <w:instrText xml:space="preserve"> REF _Ref100864694 \h </w:instrText>
      </w:r>
      <w:r w:rsidRPr="00051297">
        <w:rPr>
          <w:lang w:val="en-US" w:bidi="en-US"/>
        </w:rPr>
      </w:r>
      <w:r w:rsidRPr="00051297">
        <w:rPr>
          <w:lang w:val="en-US" w:bidi="en-US"/>
        </w:rPr>
        <w:fldChar w:fldCharType="separate"/>
      </w:r>
      <w:r w:rsidR="004870F1" w:rsidRPr="00051297">
        <w:rPr>
          <w:lang w:val="en-US"/>
        </w:rPr>
        <w:t xml:space="preserve">Table </w:t>
      </w:r>
      <w:r w:rsidR="004870F1">
        <w:rPr>
          <w:noProof/>
          <w:lang w:val="en-US"/>
        </w:rPr>
        <w:t>5</w:t>
      </w:r>
      <w:r w:rsidR="004870F1" w:rsidRPr="00051297">
        <w:rPr>
          <w:lang w:val="en-US"/>
        </w:rPr>
        <w:t>.</w:t>
      </w:r>
      <w:r w:rsidR="004870F1">
        <w:rPr>
          <w:noProof/>
          <w:lang w:val="en-US"/>
        </w:rPr>
        <w:t>26</w:t>
      </w:r>
      <w:r w:rsidRPr="00051297">
        <w:rPr>
          <w:lang w:val="en-US" w:bidi="en-US"/>
        </w:rPr>
        <w:fldChar w:fldCharType="end"/>
      </w:r>
      <w:r w:rsidRPr="00051297">
        <w:rPr>
          <w:lang w:val="en-US" w:bidi="en-US"/>
        </w:rPr>
        <w:t>. The recovered p-values were then assessed against the alpha value of 0.05 to see if they were smaller than the alpha value. The normal operating reservoir level, maximum operating reservoir level at embankment height, and maximum operating reservoir level at overflow level all showed p-values less than 0.05, indicating that the variations in factor of safety values from the drawdown rates were statistically significant. The p-value for the reduced operating reservoir level, on the other hand, was higher than the alpha value, indicating that the differences were not statistically significant. The results show that the impact of operational reservoir level on slope stability reduces as the reservoir drawdown rate slows. It is acceptable to conclude that reservoir drawdown has a greater impact on slope stability than reservoir level in this situation.</w:t>
      </w:r>
    </w:p>
    <w:p w14:paraId="284FBEE9" w14:textId="0CE473D3" w:rsidR="00051297" w:rsidRPr="00051297" w:rsidRDefault="00051297" w:rsidP="00051297">
      <w:pPr>
        <w:rPr>
          <w:lang w:val="en-US"/>
        </w:rPr>
      </w:pPr>
      <w:bookmarkStart w:id="1785" w:name="_Ref100864694"/>
      <w:bookmarkStart w:id="1786" w:name="_Toc103544281"/>
      <w:bookmarkStart w:id="1787" w:name="_Toc104985607"/>
      <w:r w:rsidRPr="00051297">
        <w:rPr>
          <w:lang w:val="en-US"/>
        </w:rPr>
        <w:t xml:space="preserve">Table </w:t>
      </w:r>
      <w:r w:rsidRPr="00051297">
        <w:rPr>
          <w:lang w:val="en-US"/>
        </w:rPr>
        <w:fldChar w:fldCharType="begin"/>
      </w:r>
      <w:r w:rsidRPr="00051297">
        <w:rPr>
          <w:lang w:val="en-US"/>
        </w:rPr>
        <w:instrText xml:space="preserve"> STYLEREF 1 \s </w:instrText>
      </w:r>
      <w:r w:rsidRPr="00051297">
        <w:rPr>
          <w:lang w:val="en-US"/>
        </w:rPr>
        <w:fldChar w:fldCharType="separate"/>
      </w:r>
      <w:r w:rsidR="004870F1">
        <w:rPr>
          <w:noProof/>
          <w:lang w:val="en-US"/>
        </w:rPr>
        <w:t>5</w:t>
      </w:r>
      <w:r w:rsidRPr="00051297">
        <w:rPr>
          <w:lang w:val="en-US"/>
        </w:rPr>
        <w:fldChar w:fldCharType="end"/>
      </w:r>
      <w:r w:rsidRPr="00051297">
        <w:rPr>
          <w:lang w:val="en-US"/>
        </w:rPr>
        <w:t>.</w:t>
      </w:r>
      <w:r w:rsidRPr="00051297">
        <w:rPr>
          <w:lang w:val="en-US"/>
        </w:rPr>
        <w:fldChar w:fldCharType="begin"/>
      </w:r>
      <w:r w:rsidRPr="00051297">
        <w:rPr>
          <w:lang w:val="en-US"/>
        </w:rPr>
        <w:instrText xml:space="preserve"> SEQ Table \* ARABIC \s 1 </w:instrText>
      </w:r>
      <w:r w:rsidRPr="00051297">
        <w:rPr>
          <w:lang w:val="en-US"/>
        </w:rPr>
        <w:fldChar w:fldCharType="separate"/>
      </w:r>
      <w:r w:rsidR="004870F1">
        <w:rPr>
          <w:noProof/>
          <w:lang w:val="en-US"/>
        </w:rPr>
        <w:t>26</w:t>
      </w:r>
      <w:r w:rsidRPr="00051297">
        <w:rPr>
          <w:lang w:val="en-US"/>
        </w:rPr>
        <w:fldChar w:fldCharType="end"/>
      </w:r>
      <w:bookmarkEnd w:id="1785"/>
      <w:r w:rsidRPr="00051297">
        <w:rPr>
          <w:lang w:val="en-US"/>
        </w:rPr>
        <w:t xml:space="preserve"> Summary of ANOVA results from investigated operating water levels (instantaneous, 5 days, 10 days, and 1 m per day)</w:t>
      </w:r>
      <w:bookmarkEnd w:id="1786"/>
      <w:bookmarkEnd w:id="1787"/>
    </w:p>
    <w:tbl>
      <w:tblPr>
        <w:tblStyle w:val="a8"/>
        <w:tblW w:w="0" w:type="auto"/>
        <w:jc w:val="center"/>
        <w:tblLook w:val="04A0" w:firstRow="1" w:lastRow="0" w:firstColumn="1" w:lastColumn="0" w:noHBand="0" w:noVBand="1"/>
      </w:tblPr>
      <w:tblGrid>
        <w:gridCol w:w="990"/>
        <w:gridCol w:w="1255"/>
        <w:gridCol w:w="900"/>
        <w:gridCol w:w="900"/>
        <w:gridCol w:w="1080"/>
        <w:gridCol w:w="1260"/>
        <w:gridCol w:w="1170"/>
        <w:gridCol w:w="1502"/>
      </w:tblGrid>
      <w:tr w:rsidR="00051297" w:rsidRPr="00051297" w14:paraId="0C51AE75" w14:textId="77777777" w:rsidTr="00D20B01">
        <w:trPr>
          <w:trHeight w:val="300"/>
          <w:jc w:val="center"/>
        </w:trPr>
        <w:tc>
          <w:tcPr>
            <w:tcW w:w="990" w:type="dxa"/>
            <w:noWrap/>
            <w:hideMark/>
          </w:tcPr>
          <w:p w14:paraId="165BABFE" w14:textId="77777777" w:rsidR="00051297" w:rsidRPr="00051297" w:rsidRDefault="00051297" w:rsidP="00051297">
            <w:pPr>
              <w:spacing w:line="240" w:lineRule="auto"/>
              <w:ind w:firstLine="0"/>
              <w:jc w:val="center"/>
              <w:rPr>
                <w:lang w:val="en-US"/>
              </w:rPr>
            </w:pPr>
            <w:r w:rsidRPr="00051297">
              <w:rPr>
                <w:lang w:val="en-US"/>
              </w:rPr>
              <w:t>OP</w:t>
            </w:r>
          </w:p>
        </w:tc>
        <w:tc>
          <w:tcPr>
            <w:tcW w:w="1255" w:type="dxa"/>
            <w:noWrap/>
            <w:hideMark/>
          </w:tcPr>
          <w:p w14:paraId="55E1DD5A" w14:textId="77777777" w:rsidR="00051297" w:rsidRPr="00051297" w:rsidRDefault="00051297" w:rsidP="00051297">
            <w:pPr>
              <w:spacing w:line="240" w:lineRule="auto"/>
              <w:ind w:firstLine="0"/>
              <w:jc w:val="center"/>
              <w:rPr>
                <w:lang w:val="en-US"/>
              </w:rPr>
            </w:pPr>
            <w:r w:rsidRPr="00051297">
              <w:rPr>
                <w:lang w:val="en-US"/>
              </w:rPr>
              <w:t>Source of Variation</w:t>
            </w:r>
          </w:p>
        </w:tc>
        <w:tc>
          <w:tcPr>
            <w:tcW w:w="900" w:type="dxa"/>
            <w:noWrap/>
            <w:hideMark/>
          </w:tcPr>
          <w:p w14:paraId="54F5BABB" w14:textId="77777777" w:rsidR="00051297" w:rsidRPr="00051297" w:rsidRDefault="00051297" w:rsidP="00051297">
            <w:pPr>
              <w:spacing w:line="240" w:lineRule="auto"/>
              <w:ind w:firstLine="0"/>
              <w:jc w:val="center"/>
              <w:rPr>
                <w:lang w:val="en-US"/>
              </w:rPr>
            </w:pPr>
            <w:r w:rsidRPr="00051297">
              <w:rPr>
                <w:lang w:val="en-US"/>
              </w:rPr>
              <w:t>SS</w:t>
            </w:r>
          </w:p>
        </w:tc>
        <w:tc>
          <w:tcPr>
            <w:tcW w:w="900" w:type="dxa"/>
            <w:noWrap/>
            <w:hideMark/>
          </w:tcPr>
          <w:p w14:paraId="72098D7E" w14:textId="77777777" w:rsidR="00051297" w:rsidRPr="00051297" w:rsidRDefault="00051297" w:rsidP="00051297">
            <w:pPr>
              <w:spacing w:line="240" w:lineRule="auto"/>
              <w:ind w:firstLine="0"/>
              <w:jc w:val="center"/>
              <w:rPr>
                <w:lang w:val="en-US"/>
              </w:rPr>
            </w:pPr>
            <w:r w:rsidRPr="00051297">
              <w:rPr>
                <w:lang w:val="en-US"/>
              </w:rPr>
              <w:t>MS</w:t>
            </w:r>
          </w:p>
        </w:tc>
        <w:tc>
          <w:tcPr>
            <w:tcW w:w="1080" w:type="dxa"/>
            <w:noWrap/>
            <w:hideMark/>
          </w:tcPr>
          <w:p w14:paraId="73861AC0" w14:textId="77777777" w:rsidR="00051297" w:rsidRPr="00051297" w:rsidRDefault="00051297" w:rsidP="00051297">
            <w:pPr>
              <w:spacing w:line="240" w:lineRule="auto"/>
              <w:ind w:firstLine="0"/>
              <w:jc w:val="center"/>
              <w:rPr>
                <w:lang w:val="en-US"/>
              </w:rPr>
            </w:pPr>
            <w:r w:rsidRPr="00051297">
              <w:rPr>
                <w:lang w:val="en-US"/>
              </w:rPr>
              <w:t>F</w:t>
            </w:r>
          </w:p>
        </w:tc>
        <w:tc>
          <w:tcPr>
            <w:tcW w:w="1260" w:type="dxa"/>
            <w:noWrap/>
            <w:hideMark/>
          </w:tcPr>
          <w:p w14:paraId="7ABD1AE0" w14:textId="77777777" w:rsidR="00051297" w:rsidRPr="00051297" w:rsidRDefault="00051297" w:rsidP="00051297">
            <w:pPr>
              <w:spacing w:line="240" w:lineRule="auto"/>
              <w:ind w:firstLine="0"/>
              <w:jc w:val="center"/>
              <w:rPr>
                <w:lang w:val="en-US"/>
              </w:rPr>
            </w:pPr>
            <w:r w:rsidRPr="00051297">
              <w:rPr>
                <w:lang w:val="en-US"/>
              </w:rPr>
              <w:t>P-value</w:t>
            </w:r>
          </w:p>
        </w:tc>
        <w:tc>
          <w:tcPr>
            <w:tcW w:w="1170" w:type="dxa"/>
            <w:noWrap/>
            <w:hideMark/>
          </w:tcPr>
          <w:p w14:paraId="43BD0F91" w14:textId="77777777" w:rsidR="00051297" w:rsidRPr="00051297" w:rsidRDefault="00051297" w:rsidP="00051297">
            <w:pPr>
              <w:spacing w:line="240" w:lineRule="auto"/>
              <w:ind w:firstLine="0"/>
              <w:jc w:val="center"/>
              <w:rPr>
                <w:lang w:val="en-US"/>
              </w:rPr>
            </w:pPr>
            <w:r w:rsidRPr="00051297">
              <w:rPr>
                <w:lang w:val="en-US"/>
              </w:rPr>
              <w:t>F crit</w:t>
            </w:r>
          </w:p>
        </w:tc>
        <w:tc>
          <w:tcPr>
            <w:tcW w:w="1502" w:type="dxa"/>
            <w:noWrap/>
            <w:hideMark/>
          </w:tcPr>
          <w:p w14:paraId="470B01D2" w14:textId="77777777" w:rsidR="00051297" w:rsidRPr="00051297" w:rsidRDefault="00051297" w:rsidP="00051297">
            <w:pPr>
              <w:spacing w:line="240" w:lineRule="auto"/>
              <w:ind w:firstLine="0"/>
              <w:jc w:val="center"/>
              <w:rPr>
                <w:lang w:val="en-US"/>
              </w:rPr>
            </w:pPr>
            <w:r w:rsidRPr="00051297">
              <w:rPr>
                <w:lang w:val="en-US"/>
              </w:rPr>
              <w:t>Status (is P-value&lt;0.05)</w:t>
            </w:r>
          </w:p>
        </w:tc>
      </w:tr>
      <w:tr w:rsidR="00051297" w:rsidRPr="00051297" w14:paraId="276D3F83" w14:textId="77777777" w:rsidTr="00D20B01">
        <w:trPr>
          <w:trHeight w:val="300"/>
          <w:jc w:val="center"/>
        </w:trPr>
        <w:tc>
          <w:tcPr>
            <w:tcW w:w="990" w:type="dxa"/>
            <w:noWrap/>
            <w:hideMark/>
          </w:tcPr>
          <w:p w14:paraId="349E77D3" w14:textId="77777777" w:rsidR="00051297" w:rsidRPr="00051297" w:rsidRDefault="00051297" w:rsidP="00051297">
            <w:pPr>
              <w:spacing w:line="240" w:lineRule="auto"/>
              <w:ind w:firstLine="0"/>
              <w:jc w:val="center"/>
              <w:rPr>
                <w:lang w:val="en-US"/>
              </w:rPr>
            </w:pPr>
            <w:r w:rsidRPr="00051297">
              <w:rPr>
                <w:lang w:val="en-US"/>
              </w:rPr>
              <w:t>NORL</w:t>
            </w:r>
          </w:p>
        </w:tc>
        <w:tc>
          <w:tcPr>
            <w:tcW w:w="1255" w:type="dxa"/>
            <w:noWrap/>
            <w:hideMark/>
          </w:tcPr>
          <w:p w14:paraId="3E67B1C5" w14:textId="77777777" w:rsidR="00051297" w:rsidRPr="00051297" w:rsidRDefault="00051297" w:rsidP="00051297">
            <w:pPr>
              <w:spacing w:line="240" w:lineRule="auto"/>
              <w:ind w:firstLine="0"/>
              <w:jc w:val="center"/>
              <w:rPr>
                <w:lang w:val="en-US"/>
              </w:rPr>
            </w:pPr>
            <w:r w:rsidRPr="00051297">
              <w:rPr>
                <w:lang w:val="en-US"/>
              </w:rPr>
              <w:t>Between Groups</w:t>
            </w:r>
          </w:p>
        </w:tc>
        <w:tc>
          <w:tcPr>
            <w:tcW w:w="900" w:type="dxa"/>
            <w:noWrap/>
            <w:hideMark/>
          </w:tcPr>
          <w:p w14:paraId="2B1B9D6C" w14:textId="77777777" w:rsidR="00051297" w:rsidRPr="00051297" w:rsidRDefault="00051297" w:rsidP="00051297">
            <w:pPr>
              <w:spacing w:line="240" w:lineRule="auto"/>
              <w:ind w:firstLine="0"/>
              <w:jc w:val="center"/>
              <w:rPr>
                <w:lang w:val="en-US"/>
              </w:rPr>
            </w:pPr>
            <w:r w:rsidRPr="00051297">
              <w:rPr>
                <w:lang w:val="en-US"/>
              </w:rPr>
              <w:t>5.215</w:t>
            </w:r>
          </w:p>
        </w:tc>
        <w:tc>
          <w:tcPr>
            <w:tcW w:w="900" w:type="dxa"/>
            <w:noWrap/>
            <w:hideMark/>
          </w:tcPr>
          <w:p w14:paraId="5D72FD51" w14:textId="77777777" w:rsidR="00051297" w:rsidRPr="00051297" w:rsidRDefault="00051297" w:rsidP="00051297">
            <w:pPr>
              <w:spacing w:line="240" w:lineRule="auto"/>
              <w:ind w:firstLine="0"/>
              <w:jc w:val="center"/>
              <w:rPr>
                <w:lang w:val="en-US"/>
              </w:rPr>
            </w:pPr>
            <w:r w:rsidRPr="00051297">
              <w:rPr>
                <w:lang w:val="en-US"/>
              </w:rPr>
              <w:t>1.738</w:t>
            </w:r>
          </w:p>
        </w:tc>
        <w:tc>
          <w:tcPr>
            <w:tcW w:w="1080" w:type="dxa"/>
            <w:noWrap/>
            <w:hideMark/>
          </w:tcPr>
          <w:p w14:paraId="1F6CF866" w14:textId="77777777" w:rsidR="00051297" w:rsidRPr="00051297" w:rsidRDefault="00051297" w:rsidP="00051297">
            <w:pPr>
              <w:spacing w:line="240" w:lineRule="auto"/>
              <w:ind w:firstLine="0"/>
              <w:jc w:val="center"/>
              <w:rPr>
                <w:lang w:val="en-US"/>
              </w:rPr>
            </w:pPr>
            <w:r w:rsidRPr="00051297">
              <w:rPr>
                <w:lang w:val="en-US"/>
              </w:rPr>
              <w:t>12.444</w:t>
            </w:r>
          </w:p>
        </w:tc>
        <w:tc>
          <w:tcPr>
            <w:tcW w:w="1260" w:type="dxa"/>
            <w:noWrap/>
            <w:hideMark/>
          </w:tcPr>
          <w:p w14:paraId="32823114" w14:textId="77777777" w:rsidR="00051297" w:rsidRPr="00051297" w:rsidRDefault="00051297" w:rsidP="00051297">
            <w:pPr>
              <w:spacing w:line="240" w:lineRule="auto"/>
              <w:ind w:firstLine="0"/>
              <w:jc w:val="center"/>
              <w:rPr>
                <w:lang w:val="en-US"/>
              </w:rPr>
            </w:pPr>
            <w:r w:rsidRPr="00051297">
              <w:rPr>
                <w:lang w:val="en-US"/>
              </w:rPr>
              <w:t>3.84</w:t>
            </w:r>
            <w:r w:rsidRPr="00051297">
              <w:rPr>
                <w:lang w:eastAsia="pl-PL"/>
              </w:rPr>
              <w:t>× 10</w:t>
            </w:r>
            <w:r w:rsidRPr="00051297">
              <w:rPr>
                <w:vertAlign w:val="superscript"/>
                <w:lang w:eastAsia="pl-PL"/>
              </w:rPr>
              <w:t>−7</w:t>
            </w:r>
          </w:p>
        </w:tc>
        <w:tc>
          <w:tcPr>
            <w:tcW w:w="1170" w:type="dxa"/>
            <w:noWrap/>
            <w:hideMark/>
          </w:tcPr>
          <w:p w14:paraId="47A1A5CE" w14:textId="77777777" w:rsidR="00051297" w:rsidRPr="00051297" w:rsidRDefault="00051297" w:rsidP="00051297">
            <w:pPr>
              <w:spacing w:line="240" w:lineRule="auto"/>
              <w:ind w:firstLine="0"/>
              <w:jc w:val="center"/>
              <w:rPr>
                <w:lang w:val="en-US"/>
              </w:rPr>
            </w:pPr>
            <w:r w:rsidRPr="00051297">
              <w:rPr>
                <w:lang w:val="en-US"/>
              </w:rPr>
              <w:t>2.680</w:t>
            </w:r>
          </w:p>
        </w:tc>
        <w:tc>
          <w:tcPr>
            <w:tcW w:w="1502" w:type="dxa"/>
            <w:noWrap/>
            <w:hideMark/>
          </w:tcPr>
          <w:p w14:paraId="1F62AC00" w14:textId="77777777" w:rsidR="00051297" w:rsidRPr="00051297" w:rsidRDefault="00051297" w:rsidP="00051297">
            <w:pPr>
              <w:spacing w:line="240" w:lineRule="auto"/>
              <w:ind w:firstLine="0"/>
              <w:jc w:val="center"/>
              <w:rPr>
                <w:lang w:val="en-US"/>
              </w:rPr>
            </w:pPr>
            <w:r w:rsidRPr="00051297">
              <w:rPr>
                <w:lang w:val="en-US"/>
              </w:rPr>
              <w:t>TRUE</w:t>
            </w:r>
          </w:p>
        </w:tc>
      </w:tr>
      <w:tr w:rsidR="00051297" w:rsidRPr="00051297" w14:paraId="0C19F7FE" w14:textId="77777777" w:rsidTr="00D20B01">
        <w:trPr>
          <w:trHeight w:val="300"/>
          <w:jc w:val="center"/>
        </w:trPr>
        <w:tc>
          <w:tcPr>
            <w:tcW w:w="990" w:type="dxa"/>
            <w:noWrap/>
            <w:hideMark/>
          </w:tcPr>
          <w:p w14:paraId="252A5152" w14:textId="77777777" w:rsidR="00051297" w:rsidRPr="00051297" w:rsidRDefault="00051297" w:rsidP="00051297">
            <w:pPr>
              <w:spacing w:line="240" w:lineRule="auto"/>
              <w:ind w:firstLine="0"/>
              <w:jc w:val="center"/>
              <w:rPr>
                <w:lang w:val="en-US"/>
              </w:rPr>
            </w:pPr>
            <w:r w:rsidRPr="00051297">
              <w:rPr>
                <w:lang w:val="en-US"/>
              </w:rPr>
              <w:t>MORL- EH</w:t>
            </w:r>
          </w:p>
        </w:tc>
        <w:tc>
          <w:tcPr>
            <w:tcW w:w="1255" w:type="dxa"/>
            <w:noWrap/>
            <w:hideMark/>
          </w:tcPr>
          <w:p w14:paraId="637E6A43" w14:textId="77777777" w:rsidR="00051297" w:rsidRPr="00051297" w:rsidRDefault="00051297" w:rsidP="00051297">
            <w:pPr>
              <w:spacing w:line="240" w:lineRule="auto"/>
              <w:ind w:firstLine="0"/>
              <w:jc w:val="center"/>
              <w:rPr>
                <w:lang w:val="en-US"/>
              </w:rPr>
            </w:pPr>
            <w:r w:rsidRPr="00051297">
              <w:rPr>
                <w:lang w:val="en-US"/>
              </w:rPr>
              <w:t>Between Groups</w:t>
            </w:r>
          </w:p>
        </w:tc>
        <w:tc>
          <w:tcPr>
            <w:tcW w:w="900" w:type="dxa"/>
            <w:noWrap/>
            <w:hideMark/>
          </w:tcPr>
          <w:p w14:paraId="03BF8461" w14:textId="77777777" w:rsidR="00051297" w:rsidRPr="00051297" w:rsidRDefault="00051297" w:rsidP="00051297">
            <w:pPr>
              <w:spacing w:line="240" w:lineRule="auto"/>
              <w:ind w:firstLine="0"/>
              <w:jc w:val="center"/>
              <w:rPr>
                <w:lang w:val="en-US"/>
              </w:rPr>
            </w:pPr>
            <w:r w:rsidRPr="00051297">
              <w:rPr>
                <w:lang w:val="en-US"/>
              </w:rPr>
              <w:t>5.754</w:t>
            </w:r>
          </w:p>
        </w:tc>
        <w:tc>
          <w:tcPr>
            <w:tcW w:w="900" w:type="dxa"/>
            <w:noWrap/>
            <w:hideMark/>
          </w:tcPr>
          <w:p w14:paraId="65463043" w14:textId="77777777" w:rsidR="00051297" w:rsidRPr="00051297" w:rsidRDefault="00051297" w:rsidP="00051297">
            <w:pPr>
              <w:spacing w:line="240" w:lineRule="auto"/>
              <w:ind w:firstLine="0"/>
              <w:jc w:val="center"/>
              <w:rPr>
                <w:lang w:val="en-US"/>
              </w:rPr>
            </w:pPr>
            <w:r w:rsidRPr="00051297">
              <w:rPr>
                <w:lang w:val="en-US"/>
              </w:rPr>
              <w:t>1.918</w:t>
            </w:r>
          </w:p>
        </w:tc>
        <w:tc>
          <w:tcPr>
            <w:tcW w:w="1080" w:type="dxa"/>
            <w:noWrap/>
            <w:hideMark/>
          </w:tcPr>
          <w:p w14:paraId="50B66EED" w14:textId="77777777" w:rsidR="00051297" w:rsidRPr="00051297" w:rsidRDefault="00051297" w:rsidP="00051297">
            <w:pPr>
              <w:spacing w:line="240" w:lineRule="auto"/>
              <w:ind w:firstLine="0"/>
              <w:jc w:val="center"/>
              <w:rPr>
                <w:lang w:val="en-US"/>
              </w:rPr>
            </w:pPr>
            <w:r w:rsidRPr="00051297">
              <w:rPr>
                <w:lang w:val="en-US"/>
              </w:rPr>
              <w:t>13.050</w:t>
            </w:r>
          </w:p>
        </w:tc>
        <w:tc>
          <w:tcPr>
            <w:tcW w:w="1260" w:type="dxa"/>
            <w:noWrap/>
            <w:hideMark/>
          </w:tcPr>
          <w:p w14:paraId="01CA6C38" w14:textId="77777777" w:rsidR="00051297" w:rsidRPr="00051297" w:rsidRDefault="00051297" w:rsidP="00051297">
            <w:pPr>
              <w:spacing w:line="240" w:lineRule="auto"/>
              <w:ind w:firstLine="0"/>
              <w:jc w:val="center"/>
              <w:rPr>
                <w:lang w:val="en-US"/>
              </w:rPr>
            </w:pPr>
            <w:r w:rsidRPr="00051297">
              <w:rPr>
                <w:lang w:val="en-US"/>
              </w:rPr>
              <w:t>1.96</w:t>
            </w:r>
            <w:r w:rsidRPr="00051297">
              <w:rPr>
                <w:lang w:eastAsia="pl-PL"/>
              </w:rPr>
              <w:t>× 10</w:t>
            </w:r>
            <w:r w:rsidRPr="00051297">
              <w:rPr>
                <w:vertAlign w:val="superscript"/>
                <w:lang w:eastAsia="pl-PL"/>
              </w:rPr>
              <w:t>−7</w:t>
            </w:r>
          </w:p>
        </w:tc>
        <w:tc>
          <w:tcPr>
            <w:tcW w:w="1170" w:type="dxa"/>
            <w:noWrap/>
            <w:hideMark/>
          </w:tcPr>
          <w:p w14:paraId="4DA645F5" w14:textId="77777777" w:rsidR="00051297" w:rsidRPr="00051297" w:rsidRDefault="00051297" w:rsidP="00051297">
            <w:pPr>
              <w:spacing w:line="240" w:lineRule="auto"/>
              <w:ind w:firstLine="0"/>
              <w:jc w:val="center"/>
              <w:rPr>
                <w:lang w:val="en-US"/>
              </w:rPr>
            </w:pPr>
            <w:r w:rsidRPr="00051297">
              <w:rPr>
                <w:lang w:val="en-US"/>
              </w:rPr>
              <w:t>2.680</w:t>
            </w:r>
          </w:p>
        </w:tc>
        <w:tc>
          <w:tcPr>
            <w:tcW w:w="1502" w:type="dxa"/>
            <w:noWrap/>
            <w:hideMark/>
          </w:tcPr>
          <w:p w14:paraId="7ED6A8E3" w14:textId="77777777" w:rsidR="00051297" w:rsidRPr="00051297" w:rsidRDefault="00051297" w:rsidP="00051297">
            <w:pPr>
              <w:spacing w:line="240" w:lineRule="auto"/>
              <w:ind w:firstLine="0"/>
              <w:jc w:val="center"/>
              <w:rPr>
                <w:lang w:val="en-US"/>
              </w:rPr>
            </w:pPr>
            <w:r w:rsidRPr="00051297">
              <w:rPr>
                <w:lang w:val="en-US"/>
              </w:rPr>
              <w:t>TRUE</w:t>
            </w:r>
          </w:p>
        </w:tc>
      </w:tr>
      <w:tr w:rsidR="00051297" w:rsidRPr="00051297" w14:paraId="64BFC1A9" w14:textId="77777777" w:rsidTr="00D20B01">
        <w:trPr>
          <w:trHeight w:val="300"/>
          <w:jc w:val="center"/>
        </w:trPr>
        <w:tc>
          <w:tcPr>
            <w:tcW w:w="990" w:type="dxa"/>
            <w:noWrap/>
            <w:hideMark/>
          </w:tcPr>
          <w:p w14:paraId="5B4B718F" w14:textId="77777777" w:rsidR="00051297" w:rsidRPr="00051297" w:rsidRDefault="00051297" w:rsidP="00051297">
            <w:pPr>
              <w:spacing w:line="240" w:lineRule="auto"/>
              <w:ind w:firstLine="0"/>
              <w:jc w:val="center"/>
              <w:rPr>
                <w:lang w:val="en-US"/>
              </w:rPr>
            </w:pPr>
            <w:r w:rsidRPr="00051297">
              <w:rPr>
                <w:lang w:val="en-US"/>
              </w:rPr>
              <w:t>MORL-OF</w:t>
            </w:r>
          </w:p>
        </w:tc>
        <w:tc>
          <w:tcPr>
            <w:tcW w:w="1255" w:type="dxa"/>
            <w:noWrap/>
            <w:hideMark/>
          </w:tcPr>
          <w:p w14:paraId="7850742E" w14:textId="77777777" w:rsidR="00051297" w:rsidRPr="00051297" w:rsidRDefault="00051297" w:rsidP="00051297">
            <w:pPr>
              <w:spacing w:line="240" w:lineRule="auto"/>
              <w:ind w:firstLine="0"/>
              <w:jc w:val="center"/>
              <w:rPr>
                <w:lang w:val="en-US"/>
              </w:rPr>
            </w:pPr>
            <w:r w:rsidRPr="00051297">
              <w:rPr>
                <w:lang w:val="en-US"/>
              </w:rPr>
              <w:t>Between Groups</w:t>
            </w:r>
          </w:p>
        </w:tc>
        <w:tc>
          <w:tcPr>
            <w:tcW w:w="900" w:type="dxa"/>
            <w:noWrap/>
            <w:hideMark/>
          </w:tcPr>
          <w:p w14:paraId="418604DE" w14:textId="77777777" w:rsidR="00051297" w:rsidRPr="00051297" w:rsidRDefault="00051297" w:rsidP="00051297">
            <w:pPr>
              <w:spacing w:line="240" w:lineRule="auto"/>
              <w:ind w:firstLine="0"/>
              <w:jc w:val="center"/>
              <w:rPr>
                <w:lang w:val="en-US"/>
              </w:rPr>
            </w:pPr>
            <w:r w:rsidRPr="00051297">
              <w:rPr>
                <w:lang w:val="en-US"/>
              </w:rPr>
              <w:t>4.506</w:t>
            </w:r>
          </w:p>
        </w:tc>
        <w:tc>
          <w:tcPr>
            <w:tcW w:w="900" w:type="dxa"/>
            <w:noWrap/>
            <w:hideMark/>
          </w:tcPr>
          <w:p w14:paraId="4D7591BD" w14:textId="77777777" w:rsidR="00051297" w:rsidRPr="00051297" w:rsidRDefault="00051297" w:rsidP="00051297">
            <w:pPr>
              <w:spacing w:line="240" w:lineRule="auto"/>
              <w:ind w:firstLine="0"/>
              <w:jc w:val="center"/>
              <w:rPr>
                <w:lang w:val="en-US"/>
              </w:rPr>
            </w:pPr>
            <w:r w:rsidRPr="00051297">
              <w:rPr>
                <w:lang w:val="en-US"/>
              </w:rPr>
              <w:t>1.502</w:t>
            </w:r>
          </w:p>
        </w:tc>
        <w:tc>
          <w:tcPr>
            <w:tcW w:w="1080" w:type="dxa"/>
            <w:noWrap/>
            <w:hideMark/>
          </w:tcPr>
          <w:p w14:paraId="3264D860" w14:textId="77777777" w:rsidR="00051297" w:rsidRPr="00051297" w:rsidRDefault="00051297" w:rsidP="00051297">
            <w:pPr>
              <w:spacing w:line="240" w:lineRule="auto"/>
              <w:ind w:firstLine="0"/>
              <w:jc w:val="center"/>
              <w:rPr>
                <w:lang w:val="en-US"/>
              </w:rPr>
            </w:pPr>
            <w:r w:rsidRPr="00051297">
              <w:rPr>
                <w:lang w:val="en-US"/>
              </w:rPr>
              <w:t>11.192</w:t>
            </w:r>
          </w:p>
        </w:tc>
        <w:tc>
          <w:tcPr>
            <w:tcW w:w="1260" w:type="dxa"/>
            <w:noWrap/>
            <w:hideMark/>
          </w:tcPr>
          <w:p w14:paraId="61CDB71C" w14:textId="77777777" w:rsidR="00051297" w:rsidRPr="00051297" w:rsidRDefault="00051297" w:rsidP="00051297">
            <w:pPr>
              <w:spacing w:line="240" w:lineRule="auto"/>
              <w:ind w:firstLine="0"/>
              <w:jc w:val="center"/>
              <w:rPr>
                <w:lang w:val="en-US"/>
              </w:rPr>
            </w:pPr>
            <w:r w:rsidRPr="00051297">
              <w:rPr>
                <w:lang w:val="en-US"/>
              </w:rPr>
              <w:t>1.58</w:t>
            </w:r>
            <w:r w:rsidRPr="00051297">
              <w:rPr>
                <w:lang w:eastAsia="pl-PL"/>
              </w:rPr>
              <w:t>× 10</w:t>
            </w:r>
            <w:r w:rsidRPr="00051297">
              <w:rPr>
                <w:vertAlign w:val="superscript"/>
                <w:lang w:eastAsia="pl-PL"/>
              </w:rPr>
              <w:t>−6</w:t>
            </w:r>
          </w:p>
        </w:tc>
        <w:tc>
          <w:tcPr>
            <w:tcW w:w="1170" w:type="dxa"/>
            <w:noWrap/>
            <w:hideMark/>
          </w:tcPr>
          <w:p w14:paraId="2BF69E04" w14:textId="77777777" w:rsidR="00051297" w:rsidRPr="00051297" w:rsidRDefault="00051297" w:rsidP="00051297">
            <w:pPr>
              <w:spacing w:line="240" w:lineRule="auto"/>
              <w:ind w:firstLine="0"/>
              <w:jc w:val="center"/>
              <w:rPr>
                <w:lang w:val="en-US"/>
              </w:rPr>
            </w:pPr>
            <w:r w:rsidRPr="00051297">
              <w:rPr>
                <w:lang w:val="en-US"/>
              </w:rPr>
              <w:t>2.680</w:t>
            </w:r>
          </w:p>
        </w:tc>
        <w:tc>
          <w:tcPr>
            <w:tcW w:w="1502" w:type="dxa"/>
            <w:noWrap/>
            <w:hideMark/>
          </w:tcPr>
          <w:p w14:paraId="2F18C80F" w14:textId="77777777" w:rsidR="00051297" w:rsidRPr="00051297" w:rsidRDefault="00051297" w:rsidP="00051297">
            <w:pPr>
              <w:spacing w:line="240" w:lineRule="auto"/>
              <w:ind w:firstLine="0"/>
              <w:jc w:val="center"/>
              <w:rPr>
                <w:lang w:val="en-US"/>
              </w:rPr>
            </w:pPr>
            <w:r w:rsidRPr="00051297">
              <w:rPr>
                <w:lang w:val="en-US"/>
              </w:rPr>
              <w:t>TRUE</w:t>
            </w:r>
          </w:p>
        </w:tc>
      </w:tr>
      <w:tr w:rsidR="00051297" w:rsidRPr="00051297" w14:paraId="2D7CA430" w14:textId="77777777" w:rsidTr="00D20B01">
        <w:trPr>
          <w:trHeight w:val="300"/>
          <w:jc w:val="center"/>
        </w:trPr>
        <w:tc>
          <w:tcPr>
            <w:tcW w:w="990" w:type="dxa"/>
            <w:noWrap/>
            <w:hideMark/>
          </w:tcPr>
          <w:p w14:paraId="2B7564E9" w14:textId="77777777" w:rsidR="00051297" w:rsidRPr="00051297" w:rsidRDefault="00051297" w:rsidP="00051297">
            <w:pPr>
              <w:spacing w:line="240" w:lineRule="auto"/>
              <w:ind w:firstLine="0"/>
              <w:jc w:val="center"/>
              <w:rPr>
                <w:lang w:val="en-US"/>
              </w:rPr>
            </w:pPr>
            <w:r w:rsidRPr="00051297">
              <w:rPr>
                <w:lang w:val="en-US"/>
              </w:rPr>
              <w:t>RORL</w:t>
            </w:r>
          </w:p>
        </w:tc>
        <w:tc>
          <w:tcPr>
            <w:tcW w:w="1255" w:type="dxa"/>
            <w:noWrap/>
            <w:hideMark/>
          </w:tcPr>
          <w:p w14:paraId="51AD036E" w14:textId="77777777" w:rsidR="00051297" w:rsidRPr="00051297" w:rsidRDefault="00051297" w:rsidP="00051297">
            <w:pPr>
              <w:spacing w:line="240" w:lineRule="auto"/>
              <w:ind w:firstLine="0"/>
              <w:jc w:val="center"/>
              <w:rPr>
                <w:lang w:val="en-US"/>
              </w:rPr>
            </w:pPr>
            <w:r w:rsidRPr="00051297">
              <w:rPr>
                <w:lang w:val="en-US"/>
              </w:rPr>
              <w:t>Between Groups</w:t>
            </w:r>
          </w:p>
        </w:tc>
        <w:tc>
          <w:tcPr>
            <w:tcW w:w="900" w:type="dxa"/>
            <w:noWrap/>
            <w:hideMark/>
          </w:tcPr>
          <w:p w14:paraId="7569630E" w14:textId="77777777" w:rsidR="00051297" w:rsidRPr="00051297" w:rsidRDefault="00051297" w:rsidP="00051297">
            <w:pPr>
              <w:spacing w:line="240" w:lineRule="auto"/>
              <w:ind w:firstLine="0"/>
              <w:jc w:val="center"/>
              <w:rPr>
                <w:lang w:val="en-US"/>
              </w:rPr>
            </w:pPr>
            <w:r w:rsidRPr="00051297">
              <w:rPr>
                <w:lang w:val="en-US"/>
              </w:rPr>
              <w:t>0.042</w:t>
            </w:r>
          </w:p>
        </w:tc>
        <w:tc>
          <w:tcPr>
            <w:tcW w:w="900" w:type="dxa"/>
            <w:noWrap/>
            <w:hideMark/>
          </w:tcPr>
          <w:p w14:paraId="670A16F4" w14:textId="77777777" w:rsidR="00051297" w:rsidRPr="00051297" w:rsidRDefault="00051297" w:rsidP="00051297">
            <w:pPr>
              <w:spacing w:line="240" w:lineRule="auto"/>
              <w:ind w:firstLine="0"/>
              <w:jc w:val="center"/>
              <w:rPr>
                <w:lang w:val="en-US"/>
              </w:rPr>
            </w:pPr>
            <w:r w:rsidRPr="00051297">
              <w:rPr>
                <w:lang w:val="en-US"/>
              </w:rPr>
              <w:t>0.014</w:t>
            </w:r>
          </w:p>
        </w:tc>
        <w:tc>
          <w:tcPr>
            <w:tcW w:w="1080" w:type="dxa"/>
            <w:noWrap/>
            <w:hideMark/>
          </w:tcPr>
          <w:p w14:paraId="091F8D0C" w14:textId="77777777" w:rsidR="00051297" w:rsidRPr="00051297" w:rsidRDefault="00051297" w:rsidP="00051297">
            <w:pPr>
              <w:spacing w:line="240" w:lineRule="auto"/>
              <w:ind w:firstLine="0"/>
              <w:jc w:val="center"/>
              <w:rPr>
                <w:lang w:val="en-US"/>
              </w:rPr>
            </w:pPr>
            <w:r w:rsidRPr="00051297">
              <w:rPr>
                <w:lang w:val="en-US"/>
              </w:rPr>
              <w:t>0.437</w:t>
            </w:r>
          </w:p>
        </w:tc>
        <w:tc>
          <w:tcPr>
            <w:tcW w:w="1260" w:type="dxa"/>
            <w:noWrap/>
            <w:hideMark/>
          </w:tcPr>
          <w:p w14:paraId="1A72C93F" w14:textId="77777777" w:rsidR="00051297" w:rsidRPr="00051297" w:rsidRDefault="00051297" w:rsidP="00051297">
            <w:pPr>
              <w:spacing w:line="240" w:lineRule="auto"/>
              <w:ind w:firstLine="0"/>
              <w:jc w:val="center"/>
              <w:rPr>
                <w:lang w:val="en-US"/>
              </w:rPr>
            </w:pPr>
            <w:r w:rsidRPr="00051297">
              <w:rPr>
                <w:lang w:val="en-US"/>
              </w:rPr>
              <w:t>0.726762</w:t>
            </w:r>
          </w:p>
        </w:tc>
        <w:tc>
          <w:tcPr>
            <w:tcW w:w="1170" w:type="dxa"/>
            <w:noWrap/>
            <w:hideMark/>
          </w:tcPr>
          <w:p w14:paraId="409F3F18" w14:textId="77777777" w:rsidR="00051297" w:rsidRPr="00051297" w:rsidRDefault="00051297" w:rsidP="00051297">
            <w:pPr>
              <w:spacing w:line="240" w:lineRule="auto"/>
              <w:ind w:firstLine="0"/>
              <w:jc w:val="center"/>
              <w:rPr>
                <w:lang w:val="en-US"/>
              </w:rPr>
            </w:pPr>
            <w:r w:rsidRPr="00051297">
              <w:rPr>
                <w:lang w:val="en-US"/>
              </w:rPr>
              <w:t>2.680</w:t>
            </w:r>
          </w:p>
        </w:tc>
        <w:tc>
          <w:tcPr>
            <w:tcW w:w="1502" w:type="dxa"/>
            <w:noWrap/>
            <w:hideMark/>
          </w:tcPr>
          <w:p w14:paraId="384440F4" w14:textId="77777777" w:rsidR="00051297" w:rsidRPr="00051297" w:rsidRDefault="00051297" w:rsidP="00051297">
            <w:pPr>
              <w:spacing w:line="240" w:lineRule="auto"/>
              <w:ind w:firstLine="0"/>
              <w:jc w:val="center"/>
              <w:rPr>
                <w:lang w:val="en-US"/>
              </w:rPr>
            </w:pPr>
            <w:r w:rsidRPr="00051297">
              <w:rPr>
                <w:lang w:val="en-US"/>
              </w:rPr>
              <w:t>FALSE</w:t>
            </w:r>
          </w:p>
        </w:tc>
      </w:tr>
    </w:tbl>
    <w:p w14:paraId="21B38D39" w14:textId="77777777" w:rsidR="00051297" w:rsidRPr="00051297" w:rsidRDefault="00051297" w:rsidP="00051297">
      <w:pPr>
        <w:rPr>
          <w:lang w:val="en-US"/>
        </w:rPr>
      </w:pPr>
    </w:p>
    <w:p w14:paraId="003D77A3" w14:textId="77777777" w:rsidR="00051297" w:rsidRPr="00051297" w:rsidRDefault="00051297" w:rsidP="00051297">
      <w:pPr>
        <w:rPr>
          <w:lang w:val="en-US"/>
        </w:rPr>
      </w:pPr>
      <w:r w:rsidRPr="00051297">
        <w:rPr>
          <w:lang w:val="en-US"/>
        </w:rPr>
        <w:t>Generally, from the results, it has been observed that rapid drawdown from the slope of the reservoir is a key condition for the slope stability of an earth dam. When the reservoir level drops, there is no discernible change in the water level inside the dam body if the soil has a low permeability. As the water pressure that was working on the slope to balance this weight has been abruptly withdrawn, the weight of water that is still present in the soil slope tends to cause the wedge to slide. From another perspective, the soil's shear strength is much reduced due to pore pressure created in the soil, while the destabilizing force due to the saturated weight of the soil stays the same.</w:t>
      </w:r>
    </w:p>
    <w:p w14:paraId="512356F8" w14:textId="0B3B476D" w:rsidR="00051297" w:rsidRPr="00051297" w:rsidRDefault="00051297" w:rsidP="00A44A2E">
      <w:pPr>
        <w:pStyle w:val="3"/>
        <w:rPr>
          <w:rFonts w:eastAsia="Calibri"/>
          <w:iCs/>
        </w:rPr>
      </w:pPr>
      <w:bookmarkStart w:id="1788" w:name="_Toc103544051"/>
      <w:bookmarkStart w:id="1789" w:name="_Toc104985376"/>
      <w:r w:rsidRPr="00051297">
        <w:rPr>
          <w:rFonts w:eastAsia="Calibri"/>
          <w:lang w:val="en-US"/>
        </w:rPr>
        <w:t>Summary of the sub-section</w:t>
      </w:r>
      <w:bookmarkStart w:id="1790" w:name="_Hlk98028863"/>
      <w:bookmarkEnd w:id="1788"/>
      <w:bookmarkEnd w:id="1789"/>
    </w:p>
    <w:p w14:paraId="066F080C" w14:textId="2C1666C7" w:rsidR="00935BE4" w:rsidRDefault="00051297" w:rsidP="00051297">
      <w:pPr>
        <w:rPr>
          <w:lang w:val="en-US"/>
        </w:rPr>
      </w:pPr>
      <w:r w:rsidRPr="00051297">
        <w:rPr>
          <w:lang w:val="en-US"/>
        </w:rPr>
        <w:t xml:space="preserve">The effect of long-term water level variations and loading conditions on the slope stability of the embankment dam was studied. In the case of the Chardara dam in Kazakhstan's Syrdarya basin, the problem was investigated using numerical modeling. Based on the piezometric lines, it was discovered that the pore-water pressures in the embankment remain rather high long after the reservoir has been emptied. The long-term steady-state factor of safety values were, on average, </w:t>
      </w:r>
      <w:r w:rsidRPr="00051297">
        <w:rPr>
          <w:lang w:val="en-US"/>
        </w:rPr>
        <w:lastRenderedPageBreak/>
        <w:t>higher than those from the rapid drawdown conditions, with a difference of up to 54.4 %. As a result, the findings imply that it is critical to study the potential impact of drawdown scenarios on slope stability at various embankment heights.</w:t>
      </w:r>
      <w:r w:rsidR="008277D0">
        <w:rPr>
          <w:lang w:val="en-US"/>
        </w:rPr>
        <w:t xml:space="preserve"> It is also worth noting that, part of the results in this sub-section of the research were published in Infrastructures journal </w:t>
      </w:r>
      <w:r w:rsidR="0044426E">
        <w:rPr>
          <w:lang w:val="en-US"/>
        </w:rPr>
        <w:fldChar w:fldCharType="begin" w:fldLock="1"/>
      </w:r>
      <w:r w:rsidR="0044426E">
        <w:rPr>
          <w:lang w:val="en-US"/>
        </w:rPr>
        <w:instrText>ADDIN CSL_CITATION {"citationItems":[{"id":"ITEM-1","itemData":{"DOI":"10.3390/infrastructures7050065","ISSN":"2412-3811","abstract":"This study investigated the potential influence of operating water levels and loading conditions on the slope stability of an embankment dam. Four different operating reservoir levels (normal, reduced, embankment height, and overflow) were considered in the study. Numerical modeling was used to investigate the problem in the case of the Chardara dam within the Syrdarya catchment in Kazakhstan. Based on the drawdown rates and operating conditions, minimum factor of safety values ranging from 0.56 (total failure) to 2.5 were retrieved. Furthermore, a very high correlation was observed between drawdown days, the minimum factor of safety values, the maximum factor of safety values, and pore-water pressures, with correlation coefficients ranging from 0.561 to 0.997 (strong to very strong correlation). On the other hand, the highest negative correlation of 0.997 was observed between the minimum factor of safety values and pore-water pressures. Additionally, based on the results from the analysis of variance, three reservoir operating levels (normal, embankment height, and overflow) resulted in p-values less than 0.05, indicating that the variations in the factor of safety values from the drawdown rates were statistically significant. The findings of this study demonstrated that, not only may the drawdown rate be detrimental to the embankments, but that different operating levels can also affect slope stability in different ways.","author":[{"dropping-particle":"","family":"Utepov","given":"Yelbek Bakhitovich","non-dropping-particle":"","parse-names":false,"suffix":""},{"dropping-particle":"","family":"Aldungarova","given":"Aliya Kairatovna","non-dropping-particle":"","parse-names":false,"suffix":""},{"dropping-particle":"","family":"Mkilima","given":"Timoth","non-dropping-particle":"","parse-names":false,"suffix":""},{"dropping-particle":"","family":"Pidal","given":"Ignacio Menéndez","non-dropping-particle":"","parse-names":false,"suffix":""},{"dropping-particle":"","family":"Tulebekova","given":"Assel Serikovna","non-dropping-particle":"","parse-names":false,"suffix":""},{"dropping-particle":"","family":"Zharassov","given":"Shyngys Zharassovich","non-dropping-particle":"","parse-names":false,"suffix":""},{"dropping-particle":"","family":"Abisheva","given":"Assem Kairatovna","non-dropping-particle":"","parse-names":false,"suffix":""}],"container-title":"Infrastructures","id":"ITEM-1","issue":"5","issued":{"date-parts":[["2022","4","29"]]},"page":"65","title":"Dynamics of Embankment Slope Stability under Combination of Operating Water Levels and Drawdown Conditions","type":"article-journal","volume":"7"},"uris":["http://www.mendeley.com/documents/?uuid=4d048428-b1cf-4280-b6de-fb4209f18049"]}],"mendeley":{"formattedCitation":"[309]","plainTextFormattedCitation":"[309]"},"properties":{"noteIndex":0},"schema":"https://github.com/citation-style-language/schema/raw/master/csl-citation.json"}</w:instrText>
      </w:r>
      <w:r w:rsidR="0044426E">
        <w:rPr>
          <w:lang w:val="en-US"/>
        </w:rPr>
        <w:fldChar w:fldCharType="separate"/>
      </w:r>
      <w:r w:rsidR="0044426E" w:rsidRPr="0044426E">
        <w:rPr>
          <w:noProof/>
          <w:lang w:val="en-US"/>
        </w:rPr>
        <w:t>[309]</w:t>
      </w:r>
      <w:r w:rsidR="0044426E">
        <w:rPr>
          <w:lang w:val="en-US"/>
        </w:rPr>
        <w:fldChar w:fldCharType="end"/>
      </w:r>
      <w:r w:rsidR="008277D0">
        <w:rPr>
          <w:lang w:val="en-US"/>
        </w:rPr>
        <w:t xml:space="preserve">. </w:t>
      </w:r>
    </w:p>
    <w:p w14:paraId="1457F3E4" w14:textId="0398E972" w:rsidR="00D16E25" w:rsidRDefault="00D16E25" w:rsidP="00051297">
      <w:pPr>
        <w:rPr>
          <w:lang w:val="en-US"/>
        </w:rPr>
      </w:pPr>
    </w:p>
    <w:p w14:paraId="1C4073E3" w14:textId="040E915A" w:rsidR="00D16E25" w:rsidRDefault="00D16E25" w:rsidP="00051297">
      <w:pPr>
        <w:rPr>
          <w:lang w:val="en-US"/>
        </w:rPr>
      </w:pPr>
    </w:p>
    <w:p w14:paraId="3DEAEF4E" w14:textId="01F5BE9C" w:rsidR="00D16E25" w:rsidRDefault="00D16E25" w:rsidP="00051297">
      <w:pPr>
        <w:rPr>
          <w:lang w:val="en-US"/>
        </w:rPr>
      </w:pPr>
    </w:p>
    <w:p w14:paraId="4B9E0ADD" w14:textId="0CA5FD47" w:rsidR="00D16E25" w:rsidRDefault="00D16E25" w:rsidP="00051297">
      <w:pPr>
        <w:rPr>
          <w:lang w:val="en-US"/>
        </w:rPr>
      </w:pPr>
    </w:p>
    <w:p w14:paraId="56F24EE1" w14:textId="031E7C7E" w:rsidR="00D16E25" w:rsidRDefault="00D16E25" w:rsidP="00051297">
      <w:pPr>
        <w:rPr>
          <w:lang w:val="en-US"/>
        </w:rPr>
      </w:pPr>
    </w:p>
    <w:p w14:paraId="439A96FC" w14:textId="1D87EE5F" w:rsidR="00D16E25" w:rsidRDefault="00D16E25" w:rsidP="00051297">
      <w:pPr>
        <w:rPr>
          <w:lang w:val="en-US"/>
        </w:rPr>
      </w:pPr>
    </w:p>
    <w:p w14:paraId="02D06ED5" w14:textId="24A0F079" w:rsidR="00D16E25" w:rsidRDefault="00D16E25" w:rsidP="00051297">
      <w:pPr>
        <w:rPr>
          <w:lang w:val="en-US"/>
        </w:rPr>
      </w:pPr>
    </w:p>
    <w:p w14:paraId="4D361B16" w14:textId="741D995D" w:rsidR="00D16E25" w:rsidRDefault="00D16E25" w:rsidP="00051297">
      <w:pPr>
        <w:rPr>
          <w:lang w:val="en-US"/>
        </w:rPr>
      </w:pPr>
    </w:p>
    <w:p w14:paraId="2E9188F6" w14:textId="163E174B" w:rsidR="00D16E25" w:rsidRDefault="00D16E25" w:rsidP="00051297">
      <w:pPr>
        <w:rPr>
          <w:lang w:val="en-US"/>
        </w:rPr>
      </w:pPr>
    </w:p>
    <w:p w14:paraId="671042CE" w14:textId="21A8F63C" w:rsidR="00D16E25" w:rsidRDefault="00D16E25" w:rsidP="00051297">
      <w:pPr>
        <w:rPr>
          <w:lang w:val="en-US"/>
        </w:rPr>
      </w:pPr>
    </w:p>
    <w:p w14:paraId="69FB3290" w14:textId="7C1CC778" w:rsidR="00D16E25" w:rsidRDefault="00D16E25" w:rsidP="00051297">
      <w:pPr>
        <w:rPr>
          <w:lang w:val="en-US"/>
        </w:rPr>
      </w:pPr>
    </w:p>
    <w:p w14:paraId="771D2FA4" w14:textId="54A5E295" w:rsidR="00D16E25" w:rsidRDefault="00D16E25" w:rsidP="00051297">
      <w:pPr>
        <w:rPr>
          <w:lang w:val="en-US"/>
        </w:rPr>
      </w:pPr>
    </w:p>
    <w:p w14:paraId="7AF24485" w14:textId="5ED3FA1D" w:rsidR="00D16E25" w:rsidRDefault="00D16E25" w:rsidP="00051297">
      <w:pPr>
        <w:rPr>
          <w:lang w:val="en-US"/>
        </w:rPr>
      </w:pPr>
    </w:p>
    <w:p w14:paraId="052F2559" w14:textId="71CD2AC4" w:rsidR="00D16E25" w:rsidRDefault="00D16E25" w:rsidP="00051297">
      <w:pPr>
        <w:rPr>
          <w:lang w:val="en-US"/>
        </w:rPr>
      </w:pPr>
    </w:p>
    <w:p w14:paraId="66EE8B4D" w14:textId="62B736D0" w:rsidR="00D16E25" w:rsidRDefault="00D16E25" w:rsidP="00051297">
      <w:pPr>
        <w:rPr>
          <w:lang w:val="en-US"/>
        </w:rPr>
      </w:pPr>
    </w:p>
    <w:p w14:paraId="29BEBEC1" w14:textId="4C423E9F" w:rsidR="00D16E25" w:rsidRDefault="00D16E25" w:rsidP="00051297">
      <w:pPr>
        <w:rPr>
          <w:lang w:val="en-US"/>
        </w:rPr>
      </w:pPr>
    </w:p>
    <w:p w14:paraId="2469387A" w14:textId="114AE74D" w:rsidR="00D16E25" w:rsidRDefault="00D16E25" w:rsidP="00051297">
      <w:pPr>
        <w:rPr>
          <w:lang w:val="en-US"/>
        </w:rPr>
      </w:pPr>
    </w:p>
    <w:p w14:paraId="01982288" w14:textId="73FC294A" w:rsidR="00D16E25" w:rsidRDefault="00D16E25" w:rsidP="00051297">
      <w:pPr>
        <w:rPr>
          <w:lang w:val="en-US"/>
        </w:rPr>
      </w:pPr>
    </w:p>
    <w:p w14:paraId="2BC8EFA6" w14:textId="4EF7C043" w:rsidR="00D16E25" w:rsidRDefault="00D16E25" w:rsidP="00051297">
      <w:pPr>
        <w:rPr>
          <w:lang w:val="en-US"/>
        </w:rPr>
      </w:pPr>
    </w:p>
    <w:p w14:paraId="11979F9D" w14:textId="57224421" w:rsidR="00D16E25" w:rsidRDefault="00D16E25" w:rsidP="00051297">
      <w:pPr>
        <w:rPr>
          <w:lang w:val="en-US"/>
        </w:rPr>
      </w:pPr>
    </w:p>
    <w:p w14:paraId="589C9435" w14:textId="21EA91E5" w:rsidR="00D16E25" w:rsidRDefault="00D16E25" w:rsidP="00051297">
      <w:pPr>
        <w:rPr>
          <w:lang w:val="en-US"/>
        </w:rPr>
      </w:pPr>
    </w:p>
    <w:p w14:paraId="3EEBCB25" w14:textId="08E0D0F6" w:rsidR="00D16E25" w:rsidRDefault="00D16E25" w:rsidP="00051297">
      <w:pPr>
        <w:rPr>
          <w:lang w:val="en-US"/>
        </w:rPr>
      </w:pPr>
    </w:p>
    <w:p w14:paraId="33BD11A2" w14:textId="2F0C06CF" w:rsidR="00D16E25" w:rsidRDefault="00D16E25" w:rsidP="00051297">
      <w:pPr>
        <w:rPr>
          <w:lang w:val="en-US"/>
        </w:rPr>
      </w:pPr>
    </w:p>
    <w:p w14:paraId="7B6DFEE0" w14:textId="016CF659" w:rsidR="00D16E25" w:rsidRDefault="00D16E25" w:rsidP="00051297">
      <w:pPr>
        <w:rPr>
          <w:lang w:val="en-US"/>
        </w:rPr>
      </w:pPr>
    </w:p>
    <w:p w14:paraId="4C336303" w14:textId="08986386" w:rsidR="00D16E25" w:rsidRDefault="00D16E25" w:rsidP="00051297">
      <w:pPr>
        <w:rPr>
          <w:lang w:val="en-US"/>
        </w:rPr>
      </w:pPr>
    </w:p>
    <w:p w14:paraId="592ECFB7" w14:textId="60477457" w:rsidR="00D16E25" w:rsidRDefault="00D16E25" w:rsidP="00051297">
      <w:pPr>
        <w:rPr>
          <w:lang w:val="en-US"/>
        </w:rPr>
      </w:pPr>
    </w:p>
    <w:p w14:paraId="304722B8" w14:textId="70D97AA2" w:rsidR="00D16E25" w:rsidRDefault="00D16E25" w:rsidP="00051297">
      <w:pPr>
        <w:rPr>
          <w:lang w:val="en-US"/>
        </w:rPr>
      </w:pPr>
    </w:p>
    <w:p w14:paraId="62427B15" w14:textId="5EA041A8" w:rsidR="00D16E25" w:rsidRDefault="00D16E25" w:rsidP="00051297">
      <w:pPr>
        <w:rPr>
          <w:lang w:val="en-US"/>
        </w:rPr>
      </w:pPr>
    </w:p>
    <w:p w14:paraId="4503B1BB" w14:textId="6E389C77" w:rsidR="00D16E25" w:rsidRDefault="00D16E25" w:rsidP="00051297">
      <w:pPr>
        <w:rPr>
          <w:lang w:val="en-US"/>
        </w:rPr>
      </w:pPr>
    </w:p>
    <w:p w14:paraId="326BBD21" w14:textId="776AA25D" w:rsidR="009E1C53" w:rsidRDefault="00701E28" w:rsidP="00EF6DDE">
      <w:pPr>
        <w:pStyle w:val="6"/>
        <w:pageBreakBefore/>
        <w:rPr>
          <w:lang w:val="en-US"/>
        </w:rPr>
      </w:pPr>
      <w:bookmarkStart w:id="1791" w:name="_Toc104985377"/>
      <w:bookmarkEnd w:id="1790"/>
      <w:r>
        <w:rPr>
          <w:lang w:val="en-US"/>
        </w:rPr>
        <w:lastRenderedPageBreak/>
        <w:t xml:space="preserve">Summary of chapter </w:t>
      </w:r>
      <w:r w:rsidR="00C70E77">
        <w:rPr>
          <w:lang w:val="en-US"/>
        </w:rPr>
        <w:t>five</w:t>
      </w:r>
      <w:bookmarkEnd w:id="1791"/>
    </w:p>
    <w:p w14:paraId="6136B79C" w14:textId="58A512B2" w:rsidR="00AB2D9F" w:rsidRPr="00AB2D9F" w:rsidRDefault="004C39B8" w:rsidP="00FE2F22">
      <w:pPr>
        <w:rPr>
          <w:lang w:val="en-US"/>
        </w:rPr>
      </w:pPr>
      <w:r>
        <w:rPr>
          <w:lang w:val="en-US"/>
        </w:rPr>
        <w:t>In this chapter</w:t>
      </w:r>
      <w:r w:rsidR="00C624F8">
        <w:rPr>
          <w:lang w:val="en-US"/>
        </w:rPr>
        <w:t>,</w:t>
      </w:r>
      <w:r>
        <w:rPr>
          <w:lang w:val="en-US"/>
        </w:rPr>
        <w:t xml:space="preserve"> different slope stability aspects have been investigated based on real case studies (Samarkand dam, Ndembera, Aktobe, and Chardara). As previously mentioned, e</w:t>
      </w:r>
      <w:r w:rsidR="00AB2D9F" w:rsidRPr="00AB2D9F">
        <w:rPr>
          <w:lang w:val="en-US"/>
        </w:rPr>
        <w:t>mbankment dams are dams made of soil, rock or a combination of the two. Embankment dams are</w:t>
      </w:r>
      <w:r>
        <w:rPr>
          <w:lang w:val="en-US"/>
        </w:rPr>
        <w:t xml:space="preserve"> also regarded to be</w:t>
      </w:r>
      <w:r w:rsidR="00AB2D9F" w:rsidRPr="00AB2D9F">
        <w:rPr>
          <w:lang w:val="en-US"/>
        </w:rPr>
        <w:t xml:space="preserve"> the most cost-effective when local materials can be used to build the embankment with little or no processing.</w:t>
      </w:r>
    </w:p>
    <w:p w14:paraId="0B2EB9EF" w14:textId="67B4F477" w:rsidR="00AB2D9F" w:rsidRPr="00AB2D9F" w:rsidRDefault="00AB2D9F" w:rsidP="00FE2F22">
      <w:pPr>
        <w:rPr>
          <w:lang w:val="en-US"/>
        </w:rPr>
      </w:pPr>
      <w:r w:rsidRPr="00AB2D9F">
        <w:rPr>
          <w:lang w:val="en-US"/>
        </w:rPr>
        <w:t xml:space="preserve">For the case of Samarkand in Kazakhstan, the possible influence of rapid drawdown scenarios on the stability of historic dams was explored. The dam, which is located in Kazakhstan's Karaganda province and has a maximum depth of 12 meters and a length of 25 kilometers, was completed in 1941. The effects of steady and transient (rapid drawdown) flow conditions on seepage and slope stability were examined using numerical modeling. The GeoStudio software's SEEP/W and SLOPE/W are used to perform the finite element method-based modeling. A long-term steady-state slope stability analysis was performed on the embankment first, yielding a factor of safety of 2.344. A steady-state flow scenario maintains pressure at any location in the reservoir over time. The reservoir's long-term stable condition has a significant impact on embankment stability. A minimal factor of safety of 2.149 was obtained when the embankment was subjected to a 1 m per day draw-down rate; the minimum factor of safety was reached on the fourth day of the drawdown. The factor of safety obtained with a 1 m per day drawdown rate is 8.32 </w:t>
      </w:r>
      <w:r w:rsidR="005D51E4">
        <w:rPr>
          <w:lang w:val="en-US"/>
        </w:rPr>
        <w:t>%</w:t>
      </w:r>
      <w:r w:rsidRPr="00AB2D9F">
        <w:rPr>
          <w:lang w:val="en-US"/>
        </w:rPr>
        <w:t xml:space="preserve"> lower than that obtained from a long-term steady state. Furthermore, the factor of safety calculated using the immediate drawdown rate is 32.85% less than the factor of safety calculated using long-term steady-state conditions.</w:t>
      </w:r>
    </w:p>
    <w:p w14:paraId="7F7A2F46" w14:textId="493F1C91" w:rsidR="00AB2D9F" w:rsidRPr="00AB2D9F" w:rsidRDefault="00B5209B" w:rsidP="00FE2F22">
      <w:pPr>
        <w:rPr>
          <w:lang w:val="en-US"/>
        </w:rPr>
      </w:pPr>
      <w:r w:rsidRPr="00B5209B">
        <w:rPr>
          <w:lang w:val="en-US"/>
        </w:rPr>
        <w:t>The impact of material qualities on the slope stability of an embankment dam during a quick drawdown has been investigated for the Ndembera or Lugoda dam in Tanzania. The impact of material features on slope stability was evaluated using varying hydraulic conductivity values assigned to zone 1 of the embankment. The investigation was carried out utilizing the finite element method for the Lugoda dam in Tanzania's Ndembera watershed. Because impermeability affects pore-water pressure dissipation, as zone 1 becomes more impermeable, pore-water pressures in the embankment remain relatively high after the drawdown, according to the conclusions of the investigation</w:t>
      </w:r>
      <w:r w:rsidR="00AB2D9F" w:rsidRPr="00AB2D9F">
        <w:rPr>
          <w:lang w:val="en-US"/>
        </w:rPr>
        <w:t>. When the hydraulic conductivity value drops to 10</w:t>
      </w:r>
      <w:r w:rsidR="00AB2D9F" w:rsidRPr="009A3942">
        <w:rPr>
          <w:vertAlign w:val="superscript"/>
          <w:lang w:val="en-US"/>
        </w:rPr>
        <w:t>-7</w:t>
      </w:r>
      <w:r w:rsidR="00AB2D9F" w:rsidRPr="00AB2D9F">
        <w:rPr>
          <w:lang w:val="en-US"/>
        </w:rPr>
        <w:t xml:space="preserve"> m/s, the lowest minimal factor of safety value is attained, with a value of 0.901, which is less than 1. The phenomena suggest that if the hydraulic conductivity value is less than 10</w:t>
      </w:r>
      <w:r w:rsidR="00AB2D9F" w:rsidRPr="009A3942">
        <w:rPr>
          <w:vertAlign w:val="superscript"/>
          <w:lang w:val="en-US"/>
        </w:rPr>
        <w:t>-6</w:t>
      </w:r>
      <w:r w:rsidR="00AB2D9F" w:rsidRPr="00AB2D9F">
        <w:rPr>
          <w:lang w:val="en-US"/>
        </w:rPr>
        <w:t xml:space="preserve"> m/s, the embankment could fail at a pace of 1 meter per day to half of the maximum water level. If the hydraulic conductivity value must be less than 10</w:t>
      </w:r>
      <w:r w:rsidR="00AB2D9F" w:rsidRPr="009A3942">
        <w:rPr>
          <w:vertAlign w:val="superscript"/>
          <w:lang w:val="en-US"/>
        </w:rPr>
        <w:t>-6</w:t>
      </w:r>
      <w:r w:rsidR="00AB2D9F" w:rsidRPr="00AB2D9F">
        <w:rPr>
          <w:lang w:val="en-US"/>
        </w:rPr>
        <w:t xml:space="preserve"> m/s, a lower drawdown rate must be used to avoid the possibility of failure. </w:t>
      </w:r>
      <w:r w:rsidR="000C6BDE">
        <w:rPr>
          <w:lang w:val="en-US"/>
        </w:rPr>
        <w:t>Moreover, the results demonstrate further that</w:t>
      </w:r>
      <w:r w:rsidR="00AB2D9F" w:rsidRPr="00AB2D9F">
        <w:rPr>
          <w:lang w:val="en-US"/>
        </w:rPr>
        <w:t xml:space="preserve"> slope stability and the combination of a drawdown rate and embankment material qualities have a strong link. </w:t>
      </w:r>
      <w:r w:rsidR="005528F2" w:rsidRPr="005528F2">
        <w:rPr>
          <w:lang w:val="en-US"/>
        </w:rPr>
        <w:t xml:space="preserve">As a result, </w:t>
      </w:r>
      <w:r w:rsidR="005528F2" w:rsidRPr="005528F2">
        <w:rPr>
          <w:lang w:val="en-US"/>
        </w:rPr>
        <w:lastRenderedPageBreak/>
        <w:t>the phenomenon must be thoroughly researched and considered during the design process of an embankment dam. A 5-day decline rate gave a minimal factor of safety of 0.868 when the embankment was evaluated at a lower reservoir level</w:t>
      </w:r>
      <w:r w:rsidR="00305CAA">
        <w:rPr>
          <w:lang w:val="en-US"/>
        </w:rPr>
        <w:t>;</w:t>
      </w:r>
      <w:r w:rsidR="005528F2" w:rsidRPr="005528F2">
        <w:rPr>
          <w:lang w:val="en-US"/>
        </w:rPr>
        <w:t xml:space="preserve"> however</w:t>
      </w:r>
      <w:r w:rsidR="00305CAA">
        <w:rPr>
          <w:lang w:val="en-US"/>
        </w:rPr>
        <w:t>,</w:t>
      </w:r>
      <w:r w:rsidR="005528F2" w:rsidRPr="005528F2">
        <w:rPr>
          <w:lang w:val="en-US"/>
        </w:rPr>
        <w:t xml:space="preserve"> the same drawdown rate at a higher reservoir level yielded a minimum factor of safety of 0.206. The fact that the steady-state factor of safety value obtained at a lower reservoir operating level was lower than that obtained at a higher reservoir operating level is particularly fascinating</w:t>
      </w:r>
      <w:r w:rsidR="00AB2D9F" w:rsidRPr="00AB2D9F">
        <w:rPr>
          <w:lang w:val="en-US"/>
        </w:rPr>
        <w:t>.</w:t>
      </w:r>
    </w:p>
    <w:p w14:paraId="4D6FD67E" w14:textId="14BC5254" w:rsidR="00AB2D9F" w:rsidRPr="00AB2D9F" w:rsidRDefault="00D70785" w:rsidP="00FE2F22">
      <w:pPr>
        <w:rPr>
          <w:lang w:val="en-US"/>
        </w:rPr>
      </w:pPr>
      <w:r>
        <w:rPr>
          <w:lang w:val="en-US"/>
        </w:rPr>
        <w:t xml:space="preserve">Moreover, different slope stability aspects were also investigated </w:t>
      </w:r>
      <w:r w:rsidR="00305CAA">
        <w:rPr>
          <w:lang w:val="en-US"/>
        </w:rPr>
        <w:t>in</w:t>
      </w:r>
      <w:r>
        <w:rPr>
          <w:lang w:val="en-US"/>
        </w:rPr>
        <w:t xml:space="preserve"> the case of </w:t>
      </w:r>
      <w:r w:rsidR="0029238F">
        <w:rPr>
          <w:lang w:val="en-US"/>
        </w:rPr>
        <w:t xml:space="preserve">the </w:t>
      </w:r>
      <w:r>
        <w:rPr>
          <w:lang w:val="en-US"/>
        </w:rPr>
        <w:t xml:space="preserve">Aktobe dam in Kazakhstan. </w:t>
      </w:r>
      <w:r w:rsidR="00AB2D9F" w:rsidRPr="00AB2D9F">
        <w:rPr>
          <w:lang w:val="en-US"/>
        </w:rPr>
        <w:t>The impact of fast drawdown loading circumstances on embankment dam stability was explored using numerical modeling. According to the findings of the analysis, when the embankment was subjected to a 1 m per day drawdown rate, a minimum factor of safety value of 1.486 was calculated. The factor of safety value is 3.7</w:t>
      </w:r>
      <w:r w:rsidR="009A3942">
        <w:rPr>
          <w:lang w:val="en-US"/>
        </w:rPr>
        <w:t xml:space="preserve">% </w:t>
      </w:r>
      <w:r w:rsidR="00AB2D9F" w:rsidRPr="00AB2D9F">
        <w:rPr>
          <w:lang w:val="en-US"/>
        </w:rPr>
        <w:t>higher than the 10 day</w:t>
      </w:r>
      <w:r w:rsidR="0029238F">
        <w:rPr>
          <w:lang w:val="en-US"/>
        </w:rPr>
        <w:t>s</w:t>
      </w:r>
      <w:r w:rsidR="00AB2D9F" w:rsidRPr="00AB2D9F">
        <w:rPr>
          <w:lang w:val="en-US"/>
        </w:rPr>
        <w:t xml:space="preserve"> drawdown rate, 8.3 </w:t>
      </w:r>
      <w:r w:rsidR="005D51E4">
        <w:rPr>
          <w:lang w:val="en-US"/>
        </w:rPr>
        <w:t>%</w:t>
      </w:r>
      <w:r w:rsidR="00AB2D9F" w:rsidRPr="00AB2D9F">
        <w:rPr>
          <w:lang w:val="en-US"/>
        </w:rPr>
        <w:t xml:space="preserve"> higher than the 5 day</w:t>
      </w:r>
      <w:r w:rsidR="0029238F">
        <w:rPr>
          <w:lang w:val="en-US"/>
        </w:rPr>
        <w:t>s</w:t>
      </w:r>
      <w:r w:rsidR="00AB2D9F" w:rsidRPr="00AB2D9F">
        <w:rPr>
          <w:lang w:val="en-US"/>
        </w:rPr>
        <w:t xml:space="preserve"> drawdown rate, and 48.6</w:t>
      </w:r>
      <w:r w:rsidR="009A3942">
        <w:rPr>
          <w:lang w:val="en-US"/>
        </w:rPr>
        <w:t>%</w:t>
      </w:r>
      <w:r w:rsidR="00AB2D9F" w:rsidRPr="00AB2D9F">
        <w:rPr>
          <w:lang w:val="en-US"/>
        </w:rPr>
        <w:t xml:space="preserve"> higher than the instantaneous drawdown rate. However, some agencies require that an embankment have a minimum factor of safety of 1.5 in order to be considered safe in terms of slope stability. </w:t>
      </w:r>
      <w:r w:rsidR="000C6BDE">
        <w:rPr>
          <w:lang w:val="en-US"/>
        </w:rPr>
        <w:t>Furthermore, it can be stated</w:t>
      </w:r>
      <w:r w:rsidR="00AB2D9F" w:rsidRPr="00AB2D9F">
        <w:rPr>
          <w:lang w:val="en-US"/>
        </w:rPr>
        <w:t xml:space="preserve"> that when subjected to fast drawdown loading conditions, even a heterogeneous dam provided with a core in the embankment can be highly prone to failure. To minimize potential collapse when the dam is in operation, it is critical to evaluate the reaction of an embankment dam when subjected to a rapid drawdown condition during the design phase of the embankment.</w:t>
      </w:r>
    </w:p>
    <w:p w14:paraId="352885C1" w14:textId="1C6285DA" w:rsidR="009E1C53" w:rsidRDefault="00AB2D9F" w:rsidP="00FE2F22">
      <w:pPr>
        <w:rPr>
          <w:lang w:val="en-US"/>
        </w:rPr>
      </w:pPr>
      <w:r w:rsidRPr="00AB2D9F">
        <w:rPr>
          <w:lang w:val="en-US"/>
        </w:rPr>
        <w:t>The effect of long-term water level variations and loading circumstances on the slope stability of an embankment dam was studied</w:t>
      </w:r>
      <w:r w:rsidR="00624F77">
        <w:rPr>
          <w:lang w:val="en-US"/>
        </w:rPr>
        <w:t xml:space="preserve"> for </w:t>
      </w:r>
      <w:r w:rsidR="0029238F">
        <w:rPr>
          <w:lang w:val="en-US"/>
        </w:rPr>
        <w:t xml:space="preserve">the </w:t>
      </w:r>
      <w:r w:rsidR="00624F77">
        <w:rPr>
          <w:lang w:val="en-US"/>
        </w:rPr>
        <w:t>Chardara dam in Kazakhstan</w:t>
      </w:r>
      <w:r w:rsidRPr="00AB2D9F">
        <w:rPr>
          <w:lang w:val="en-US"/>
        </w:rPr>
        <w:t>.</w:t>
      </w:r>
      <w:r w:rsidR="00624F77">
        <w:rPr>
          <w:lang w:val="en-US"/>
        </w:rPr>
        <w:t xml:space="preserve"> Likewise,</w:t>
      </w:r>
      <w:r w:rsidRPr="00AB2D9F">
        <w:rPr>
          <w:lang w:val="en-US"/>
        </w:rPr>
        <w:t xml:space="preserve"> </w:t>
      </w:r>
      <w:r w:rsidR="00624F77">
        <w:rPr>
          <w:lang w:val="en-US"/>
        </w:rPr>
        <w:t>i</w:t>
      </w:r>
      <w:r w:rsidRPr="00AB2D9F">
        <w:rPr>
          <w:lang w:val="en-US"/>
        </w:rPr>
        <w:t>n the case of the Chardara dam in Kazakhstan's Syrdarya basin, the problem was investigated using numerical modeling. Based on the piezometric lines, it was discovered that the pore-water pressures in the embankment remain rather high even after the reservoir has been completely emptied. With a difference of up to 54.4</w:t>
      </w:r>
      <w:r w:rsidR="00624F77">
        <w:rPr>
          <w:lang w:val="en-US"/>
        </w:rPr>
        <w:t>%</w:t>
      </w:r>
      <w:r w:rsidRPr="00AB2D9F">
        <w:rPr>
          <w:lang w:val="en-US"/>
        </w:rPr>
        <w:t>, the factor of safety values from long-term steady</w:t>
      </w:r>
      <w:r w:rsidR="0029238F">
        <w:rPr>
          <w:lang w:val="en-US"/>
        </w:rPr>
        <w:t>-</w:t>
      </w:r>
      <w:r w:rsidRPr="00AB2D9F">
        <w:rPr>
          <w:lang w:val="en-US"/>
        </w:rPr>
        <w:t>state settings were generally greater than those from fast drawdown conditions. As a result of the findings of this study, it is critical to evaluate the potential influence of drawdown scenarios on slope stability at various heights of the embankment.</w:t>
      </w:r>
    </w:p>
    <w:p w14:paraId="0D3BD039" w14:textId="77777777" w:rsidR="009E1C53" w:rsidRPr="009E1C53" w:rsidRDefault="009E1C53" w:rsidP="009E1C53">
      <w:pPr>
        <w:rPr>
          <w:lang w:val="en-US"/>
        </w:rPr>
      </w:pPr>
    </w:p>
    <w:p w14:paraId="278E989B" w14:textId="77777777" w:rsidR="00935BE4" w:rsidRPr="00935BE4" w:rsidRDefault="00935BE4" w:rsidP="0081009F">
      <w:pPr>
        <w:ind w:firstLine="0"/>
        <w:rPr>
          <w:lang w:val="en-US"/>
        </w:rPr>
      </w:pPr>
    </w:p>
    <w:p w14:paraId="023EA9D1" w14:textId="3336FB7F" w:rsidR="00935BE4" w:rsidRPr="00A367BA" w:rsidRDefault="00AE725D" w:rsidP="00AE725D">
      <w:pPr>
        <w:pStyle w:val="1"/>
        <w:numPr>
          <w:ilvl w:val="0"/>
          <w:numId w:val="0"/>
        </w:numPr>
        <w:jc w:val="center"/>
        <w:rPr>
          <w:rFonts w:eastAsia="Calibri"/>
          <w:lang w:val="en-US"/>
        </w:rPr>
      </w:pPr>
      <w:bookmarkStart w:id="1792" w:name="_Toc104985378"/>
      <w:r w:rsidRPr="00A367BA">
        <w:rPr>
          <w:rFonts w:eastAsia="Calibri"/>
          <w:lang w:val="en-US"/>
        </w:rPr>
        <w:lastRenderedPageBreak/>
        <w:t>CONCLUSIONS AND RECOMMENDATIONS</w:t>
      </w:r>
      <w:bookmarkEnd w:id="1792"/>
    </w:p>
    <w:p w14:paraId="20739BB9" w14:textId="4A43DC0F" w:rsidR="00935BE4" w:rsidRPr="003E0017" w:rsidRDefault="00935BE4" w:rsidP="003E0017">
      <w:pPr>
        <w:rPr>
          <w:b/>
          <w:bCs/>
          <w:lang w:val="en-US"/>
        </w:rPr>
      </w:pPr>
      <w:r w:rsidRPr="003E0017">
        <w:rPr>
          <w:b/>
          <w:bCs/>
          <w:lang w:val="en-US"/>
        </w:rPr>
        <w:t>Conclusions</w:t>
      </w:r>
    </w:p>
    <w:p w14:paraId="0E29CD85" w14:textId="1B77B270" w:rsidR="00935BE4" w:rsidRPr="00935BE4" w:rsidRDefault="00935BE4" w:rsidP="00935BE4">
      <w:pPr>
        <w:rPr>
          <w:rFonts w:cs="Times New Roman"/>
          <w:szCs w:val="24"/>
          <w:lang w:val="en-US"/>
        </w:rPr>
      </w:pPr>
      <w:r w:rsidRPr="00935BE4">
        <w:rPr>
          <w:rFonts w:cs="Times New Roman"/>
          <w:szCs w:val="24"/>
          <w:lang w:val="en-US"/>
        </w:rPr>
        <w:t>The potential influence of land</w:t>
      </w:r>
      <w:r w:rsidR="0029238F">
        <w:rPr>
          <w:rFonts w:cs="Times New Roman"/>
          <w:szCs w:val="24"/>
          <w:lang w:val="en-US"/>
        </w:rPr>
        <w:t>-</w:t>
      </w:r>
      <w:r w:rsidRPr="00935BE4">
        <w:rPr>
          <w:rFonts w:cs="Times New Roman"/>
          <w:szCs w:val="24"/>
          <w:lang w:val="en-US"/>
        </w:rPr>
        <w:t>use changes, extreme events, and loading conditions on the slope stability of an embankment dam has been investigated. For several case studies, a combination of Geographical Information System techniques and numerical models were employed to analyze the problem. The Soil Conservation Services Curve Number (SCS-CN) method, also known as the Natural Resources Conservation Service curve number (NRCS-CN), was used to estimate flow conditions in the catchment, while numerical modeling was used to investigate the impact of flow conditions on the embankment's slope stability. This research looked at virtual models and case studies (Msimbazi, Ndembera, Sam</w:t>
      </w:r>
      <w:r w:rsidR="0029238F">
        <w:rPr>
          <w:rFonts w:cs="Times New Roman"/>
          <w:szCs w:val="24"/>
          <w:lang w:val="en-US"/>
        </w:rPr>
        <w:t>a</w:t>
      </w:r>
      <w:r w:rsidRPr="00935BE4">
        <w:rPr>
          <w:rFonts w:cs="Times New Roman"/>
          <w:szCs w:val="24"/>
          <w:lang w:val="en-US"/>
        </w:rPr>
        <w:t>rkand, Aktobe, and Chardara).</w:t>
      </w:r>
    </w:p>
    <w:p w14:paraId="74BE1B77" w14:textId="2E6B10C8" w:rsidR="00935BE4" w:rsidRPr="00935BE4" w:rsidRDefault="00935BE4" w:rsidP="00935BE4">
      <w:pPr>
        <w:rPr>
          <w:rFonts w:cs="Times New Roman"/>
          <w:szCs w:val="24"/>
          <w:lang w:val="en-US"/>
        </w:rPr>
      </w:pPr>
      <w:r w:rsidRPr="00935BE4">
        <w:rPr>
          <w:rFonts w:cs="Times New Roman"/>
          <w:szCs w:val="24"/>
          <w:lang w:val="en-US"/>
        </w:rPr>
        <w:t xml:space="preserve">As a consequence of the land use and land cover change analysis in the Ndembera catchment, land use classifications for water, wetland, dense forest, developed low intensity, developed medium intensity, and developed high intensity were produced. In 1990, wetlands constituted the bulk of the Ndembera watershed, accounting for around 56.57% of the entire area; however, high-intensity development covered just about 0.86% of the total area, while medium-intensity development covered 13.9%. However, in 2011, medium intensity development encompassed the majority of the catchment, accounting for 54.7% of the total area. </w:t>
      </w:r>
      <w:r w:rsidR="0029238F">
        <w:rPr>
          <w:rFonts w:cs="Times New Roman"/>
          <w:szCs w:val="24"/>
          <w:lang w:val="en-US"/>
        </w:rPr>
        <w:t>A s</w:t>
      </w:r>
      <w:r w:rsidRPr="00935BE4">
        <w:rPr>
          <w:rFonts w:cs="Times New Roman"/>
          <w:szCs w:val="24"/>
          <w:lang w:val="en-US"/>
        </w:rPr>
        <w:t xml:space="preserve">imilar phenomenon was also observed </w:t>
      </w:r>
      <w:r w:rsidR="00800B6E">
        <w:rPr>
          <w:rFonts w:cs="Times New Roman"/>
          <w:szCs w:val="24"/>
          <w:lang w:val="en-US"/>
        </w:rPr>
        <w:t>in</w:t>
      </w:r>
      <w:r w:rsidRPr="00935BE4">
        <w:rPr>
          <w:rFonts w:cs="Times New Roman"/>
          <w:szCs w:val="24"/>
          <w:lang w:val="en-US"/>
        </w:rPr>
        <w:t xml:space="preserve"> the Chardara catchment in Kazakhstan</w:t>
      </w:r>
      <w:r w:rsidR="00800B6E">
        <w:rPr>
          <w:rFonts w:cs="Times New Roman"/>
          <w:szCs w:val="24"/>
          <w:lang w:val="en-US"/>
        </w:rPr>
        <w:t>,</w:t>
      </w:r>
      <w:r w:rsidRPr="00935BE4">
        <w:rPr>
          <w:rFonts w:cs="Times New Roman"/>
          <w:szCs w:val="24"/>
          <w:lang w:val="en-US"/>
        </w:rPr>
        <w:t xml:space="preserve"> whereby </w:t>
      </w:r>
      <w:r w:rsidR="0029238F">
        <w:rPr>
          <w:rFonts w:cs="Times New Roman"/>
          <w:szCs w:val="24"/>
          <w:lang w:val="en-US"/>
        </w:rPr>
        <w:t>a</w:t>
      </w:r>
      <w:r w:rsidRPr="00935BE4">
        <w:rPr>
          <w:rFonts w:cs="Times New Roman"/>
          <w:szCs w:val="24"/>
          <w:lang w:val="en-US"/>
        </w:rPr>
        <w:t xml:space="preserve"> large part of the catchment by 2011 was trans</w:t>
      </w:r>
      <w:r w:rsidR="0029238F">
        <w:rPr>
          <w:rFonts w:cs="Times New Roman"/>
          <w:szCs w:val="24"/>
          <w:lang w:val="en-US"/>
        </w:rPr>
        <w:t>f</w:t>
      </w:r>
      <w:r w:rsidRPr="00935BE4">
        <w:rPr>
          <w:rFonts w:cs="Times New Roman"/>
          <w:szCs w:val="24"/>
          <w:lang w:val="en-US"/>
        </w:rPr>
        <w:t xml:space="preserve">ormed </w:t>
      </w:r>
      <w:r w:rsidR="00800B6E">
        <w:rPr>
          <w:rFonts w:cs="Times New Roman"/>
          <w:szCs w:val="24"/>
          <w:lang w:val="en-US"/>
        </w:rPr>
        <w:t>in</w:t>
      </w:r>
      <w:r w:rsidRPr="00935BE4">
        <w:rPr>
          <w:rFonts w:cs="Times New Roman"/>
          <w:szCs w:val="24"/>
          <w:lang w:val="en-US"/>
        </w:rPr>
        <w:t>to high</w:t>
      </w:r>
      <w:r w:rsidR="0029238F">
        <w:rPr>
          <w:rFonts w:cs="Times New Roman"/>
          <w:szCs w:val="24"/>
          <w:lang w:val="en-US"/>
        </w:rPr>
        <w:t>-</w:t>
      </w:r>
      <w:r w:rsidRPr="00935BE4">
        <w:rPr>
          <w:rFonts w:cs="Times New Roman"/>
          <w:szCs w:val="24"/>
          <w:lang w:val="en-US"/>
        </w:rPr>
        <w:t>intensity development.</w:t>
      </w:r>
    </w:p>
    <w:p w14:paraId="3C308E41" w14:textId="238650B1" w:rsidR="00935BE4" w:rsidRPr="00935BE4" w:rsidRDefault="00935BE4" w:rsidP="00935BE4">
      <w:pPr>
        <w:rPr>
          <w:rFonts w:cs="Times New Roman"/>
          <w:szCs w:val="24"/>
          <w:lang w:val="en-US"/>
        </w:rPr>
      </w:pPr>
      <w:r w:rsidRPr="00935BE4">
        <w:rPr>
          <w:rFonts w:cs="Times New Roman"/>
          <w:szCs w:val="24"/>
          <w:lang w:val="en-US"/>
        </w:rPr>
        <w:t xml:space="preserve"> As a result of the changes in land use/land cover and extreme events, the catchment modeled flows and reservoirs’ depths changed significantly with time. Furthermore, as a result of flow variations in the catchments, this study demonstrated that long-term water levels and loading conditions had a substantial impact on </w:t>
      </w:r>
      <w:r w:rsidR="0029238F">
        <w:rPr>
          <w:rFonts w:cs="Times New Roman"/>
          <w:szCs w:val="24"/>
          <w:lang w:val="en-US"/>
        </w:rPr>
        <w:t xml:space="preserve">the </w:t>
      </w:r>
      <w:r w:rsidRPr="00935BE4">
        <w:rPr>
          <w:rFonts w:cs="Times New Roman"/>
          <w:szCs w:val="24"/>
          <w:lang w:val="en-US"/>
        </w:rPr>
        <w:t xml:space="preserve">slope stability of embankment dams. </w:t>
      </w:r>
    </w:p>
    <w:p w14:paraId="2DCE2E5A" w14:textId="5F958F65" w:rsidR="00935BE4" w:rsidRPr="00935BE4" w:rsidRDefault="00935BE4" w:rsidP="00935BE4">
      <w:pPr>
        <w:rPr>
          <w:rFonts w:cs="Times New Roman"/>
          <w:szCs w:val="24"/>
          <w:lang w:val="en-US"/>
        </w:rPr>
      </w:pPr>
      <w:r w:rsidRPr="00935BE4">
        <w:rPr>
          <w:rFonts w:cs="Times New Roman"/>
          <w:szCs w:val="24"/>
          <w:lang w:val="en-US"/>
        </w:rPr>
        <w:t xml:space="preserve">With the help of numerical modeling, the possible impact of changes in long-term water level on </w:t>
      </w:r>
      <w:r w:rsidR="0029238F">
        <w:rPr>
          <w:rFonts w:cs="Times New Roman"/>
          <w:szCs w:val="24"/>
          <w:lang w:val="en-US"/>
        </w:rPr>
        <w:t xml:space="preserve">the </w:t>
      </w:r>
      <w:r w:rsidRPr="00935BE4">
        <w:rPr>
          <w:rFonts w:cs="Times New Roman"/>
          <w:szCs w:val="24"/>
          <w:lang w:val="en-US"/>
        </w:rPr>
        <w:t xml:space="preserve">slope stability of an embankment under rapid drawdown conditions was explored in the first virtual model. Three possible long-term water levels (ten, eight, and six meters) were considered. The findings of the investigation show that as the long-term operational water level changes, the factor of safety values changes as well. When the water level was dropped from 10 m to 6 m for a 13 m high embankment, the steady-state factor of safety was shown to be decreasing with the reduction in water level, with the steady-state factor of safety reducing by roughly 13.44 </w:t>
      </w:r>
      <w:r w:rsidR="005D51E4">
        <w:rPr>
          <w:rFonts w:cs="Times New Roman"/>
          <w:szCs w:val="24"/>
          <w:lang w:val="en-US"/>
        </w:rPr>
        <w:t>%</w:t>
      </w:r>
      <w:r w:rsidRPr="00935BE4">
        <w:rPr>
          <w:rFonts w:cs="Times New Roman"/>
          <w:szCs w:val="24"/>
          <w:lang w:val="en-US"/>
        </w:rPr>
        <w:t xml:space="preserve">. While the upstream slope became more stable as the long-term water level dropped under rapid drawdown scenarios, the downstream slope became more unstable. </w:t>
      </w:r>
      <w:r w:rsidR="0074097C">
        <w:rPr>
          <w:rFonts w:cs="Times New Roman"/>
          <w:szCs w:val="24"/>
          <w:lang w:val="en-US"/>
        </w:rPr>
        <w:t>The research work</w:t>
      </w:r>
      <w:r w:rsidRPr="00935BE4">
        <w:rPr>
          <w:rFonts w:cs="Times New Roman"/>
          <w:szCs w:val="24"/>
          <w:lang w:val="en-US"/>
        </w:rPr>
        <w:t xml:space="preserve"> also demonstrated that </w:t>
      </w:r>
      <w:r w:rsidR="00881431">
        <w:rPr>
          <w:rFonts w:cs="Times New Roman"/>
          <w:szCs w:val="24"/>
          <w:lang w:val="en-US"/>
        </w:rPr>
        <w:t xml:space="preserve">an </w:t>
      </w:r>
      <w:r w:rsidRPr="00935BE4">
        <w:rPr>
          <w:rFonts w:cs="Times New Roman"/>
          <w:szCs w:val="24"/>
          <w:lang w:val="en-US"/>
        </w:rPr>
        <w:t xml:space="preserve">embankment freeboard can have a </w:t>
      </w:r>
      <w:r w:rsidR="00881431">
        <w:rPr>
          <w:rFonts w:cs="Times New Roman"/>
          <w:szCs w:val="24"/>
          <w:lang w:val="en-US"/>
        </w:rPr>
        <w:t>significant</w:t>
      </w:r>
      <w:r w:rsidRPr="00935BE4">
        <w:rPr>
          <w:rFonts w:cs="Times New Roman"/>
          <w:szCs w:val="24"/>
          <w:lang w:val="en-US"/>
        </w:rPr>
        <w:t xml:space="preserve"> impact on the steady-state factor of safety. Changes in long-term operating water levels also influenced the minimum values of the factor of safety, with the highest </w:t>
      </w:r>
      <w:r w:rsidR="005D51E4">
        <w:rPr>
          <w:rFonts w:cs="Times New Roman"/>
          <w:szCs w:val="24"/>
          <w:lang w:val="en-US"/>
        </w:rPr>
        <w:t>minimum</w:t>
      </w:r>
      <w:r w:rsidRPr="00935BE4">
        <w:rPr>
          <w:rFonts w:cs="Times New Roman"/>
          <w:szCs w:val="24"/>
          <w:lang w:val="en-US"/>
        </w:rPr>
        <w:t xml:space="preserve"> factor of safety value obtained from a 6</w:t>
      </w:r>
      <w:r w:rsidR="005D51E4">
        <w:rPr>
          <w:rFonts w:cs="Times New Roman"/>
          <w:szCs w:val="24"/>
          <w:lang w:val="en-US"/>
        </w:rPr>
        <w:t xml:space="preserve"> </w:t>
      </w:r>
      <w:r w:rsidRPr="00935BE4">
        <w:rPr>
          <w:rFonts w:cs="Times New Roman"/>
          <w:szCs w:val="24"/>
          <w:lang w:val="en-US"/>
        </w:rPr>
        <w:t xml:space="preserve">m water </w:t>
      </w:r>
      <w:r w:rsidRPr="00935BE4">
        <w:rPr>
          <w:rFonts w:cs="Times New Roman"/>
          <w:szCs w:val="24"/>
          <w:lang w:val="en-US"/>
        </w:rPr>
        <w:lastRenderedPageBreak/>
        <w:t>level under a 5 day</w:t>
      </w:r>
      <w:r w:rsidR="0029238F">
        <w:rPr>
          <w:rFonts w:cs="Times New Roman"/>
          <w:szCs w:val="24"/>
          <w:lang w:val="en-US"/>
        </w:rPr>
        <w:t>s</w:t>
      </w:r>
      <w:r w:rsidRPr="00935BE4">
        <w:rPr>
          <w:rFonts w:cs="Times New Roman"/>
          <w:szCs w:val="24"/>
          <w:lang w:val="en-US"/>
        </w:rPr>
        <w:t xml:space="preserve"> drawdown rate and the lowest minimum factor of safety value obtained from a combination of 10 m water level and instantaneous drawdown scenario.</w:t>
      </w:r>
    </w:p>
    <w:p w14:paraId="59D50B42" w14:textId="44D4202B" w:rsidR="00935BE4" w:rsidRPr="00935BE4" w:rsidRDefault="00935BE4" w:rsidP="00935BE4">
      <w:pPr>
        <w:rPr>
          <w:rFonts w:cs="Times New Roman"/>
          <w:szCs w:val="24"/>
          <w:lang w:val="en-US"/>
        </w:rPr>
      </w:pPr>
      <w:r w:rsidRPr="00935BE4">
        <w:rPr>
          <w:rFonts w:cs="Times New Roman"/>
          <w:szCs w:val="24"/>
          <w:lang w:val="en-US"/>
        </w:rPr>
        <w:t xml:space="preserve">In the second virtual model, the impact of the size of a toe drain on the slope stability of an embankment dam during rapid drawdown conditions has been studied. According to the findings, pore-water pressures at the upstream face of the embankment decreased as the toe drain size increased, whereas pore-water pressures at the downstream toe increased. Changes in the toe drain size were also discovered to alter the factor of safety values. </w:t>
      </w:r>
      <w:bookmarkStart w:id="1793" w:name="_Hlk101389394"/>
      <w:r w:rsidR="0074097C">
        <w:rPr>
          <w:rFonts w:cs="Times New Roman"/>
          <w:szCs w:val="24"/>
          <w:lang w:val="en-US"/>
        </w:rPr>
        <w:t xml:space="preserve">The derived results </w:t>
      </w:r>
      <w:r w:rsidR="008371C7">
        <w:rPr>
          <w:rFonts w:cs="Times New Roman"/>
          <w:szCs w:val="24"/>
          <w:lang w:val="en-US"/>
        </w:rPr>
        <w:t>in</w:t>
      </w:r>
      <w:r w:rsidR="0074097C" w:rsidRPr="0074097C">
        <w:rPr>
          <w:rFonts w:cs="Times New Roman"/>
          <w:szCs w:val="24"/>
          <w:lang w:val="en-US"/>
        </w:rPr>
        <w:t xml:space="preserve"> this study revealed that when an embankment is subjected to a rapid drawdown situation, there is a substantial potential association between toe drain size and factor of safety</w:t>
      </w:r>
      <w:r w:rsidRPr="00935BE4">
        <w:rPr>
          <w:rFonts w:cs="Times New Roman"/>
          <w:szCs w:val="24"/>
          <w:lang w:val="en-US"/>
        </w:rPr>
        <w:t>.</w:t>
      </w:r>
    </w:p>
    <w:bookmarkEnd w:id="1793"/>
    <w:p w14:paraId="5D1DD7A3" w14:textId="3140119D" w:rsidR="00935BE4" w:rsidRPr="00935BE4" w:rsidRDefault="00935BE4" w:rsidP="00935BE4">
      <w:pPr>
        <w:rPr>
          <w:rFonts w:cs="Times New Roman"/>
          <w:szCs w:val="24"/>
          <w:lang w:val="en-US"/>
        </w:rPr>
      </w:pPr>
      <w:r w:rsidRPr="00935BE4">
        <w:rPr>
          <w:rFonts w:cs="Times New Roman"/>
          <w:szCs w:val="24"/>
          <w:lang w:val="en-US"/>
        </w:rPr>
        <w:t>From the Samarkand dam, a minim</w:t>
      </w:r>
      <w:r w:rsidR="0029238F">
        <w:rPr>
          <w:rFonts w:cs="Times New Roman"/>
          <w:szCs w:val="24"/>
          <w:lang w:val="en-US"/>
        </w:rPr>
        <w:t>um</w:t>
      </w:r>
      <w:r w:rsidRPr="00935BE4">
        <w:rPr>
          <w:rFonts w:cs="Times New Roman"/>
          <w:szCs w:val="24"/>
          <w:lang w:val="en-US"/>
        </w:rPr>
        <w:t xml:space="preserve"> factor of safety of 2.149 was found when the embankment was subjected to a 1 m per day draw-down rate; the minimum factor of safety value was reached on the fourth day of the drawdown. The factor of safety calculated from a 1 m per day drawdown rate is 8.32% lower than that calculated from a long-term steady state. Furthermore, the factor of safety calculated using the instantaneous drawdown rate is 32.85% smaller than that calculated using long-term steady-state conditions.</w:t>
      </w:r>
    </w:p>
    <w:p w14:paraId="5CE6814C" w14:textId="03E4367F" w:rsidR="00935BE4" w:rsidRPr="00935BE4" w:rsidRDefault="00935BE4" w:rsidP="00935BE4">
      <w:pPr>
        <w:rPr>
          <w:rFonts w:cs="Times New Roman"/>
          <w:szCs w:val="24"/>
          <w:lang w:val="en-US"/>
        </w:rPr>
      </w:pPr>
      <w:r w:rsidRPr="00935BE4">
        <w:rPr>
          <w:rFonts w:cs="Times New Roman"/>
          <w:szCs w:val="24"/>
          <w:lang w:val="en-US"/>
        </w:rPr>
        <w:t>From the Ndembera or Lugoda dam</w:t>
      </w:r>
      <w:r w:rsidR="00C87AA5">
        <w:rPr>
          <w:rFonts w:cs="Times New Roman"/>
          <w:szCs w:val="24"/>
          <w:lang w:val="en-US"/>
        </w:rPr>
        <w:t>,</w:t>
      </w:r>
      <w:r w:rsidRPr="00935BE4">
        <w:rPr>
          <w:rFonts w:cs="Times New Roman"/>
          <w:szCs w:val="24"/>
          <w:lang w:val="en-US"/>
        </w:rPr>
        <w:t xml:space="preserve"> when the hydraulic conductivity value changed to 10</w:t>
      </w:r>
      <w:r w:rsidRPr="00935BE4">
        <w:rPr>
          <w:rFonts w:cs="Times New Roman"/>
          <w:szCs w:val="24"/>
          <w:vertAlign w:val="superscript"/>
          <w:lang w:val="en-US"/>
        </w:rPr>
        <w:t>-7</w:t>
      </w:r>
      <w:r w:rsidRPr="00935BE4">
        <w:rPr>
          <w:rFonts w:cs="Times New Roman"/>
          <w:szCs w:val="24"/>
          <w:lang w:val="en-US"/>
        </w:rPr>
        <w:t xml:space="preserve"> m/s, the lowest minimal factor of safety value was attained, with a value of 0.901, which is less than 1. The phenomen</w:t>
      </w:r>
      <w:r w:rsidR="0029238F">
        <w:rPr>
          <w:rFonts w:cs="Times New Roman"/>
          <w:szCs w:val="24"/>
          <w:lang w:val="en-US"/>
        </w:rPr>
        <w:t>on</w:t>
      </w:r>
      <w:r w:rsidRPr="00935BE4">
        <w:rPr>
          <w:rFonts w:cs="Times New Roman"/>
          <w:szCs w:val="24"/>
          <w:lang w:val="en-US"/>
        </w:rPr>
        <w:t xml:space="preserve"> suggests that if the hydraulic conductivity value is less than 10</w:t>
      </w:r>
      <w:r w:rsidRPr="00935BE4">
        <w:rPr>
          <w:rFonts w:cs="Times New Roman"/>
          <w:szCs w:val="24"/>
          <w:vertAlign w:val="superscript"/>
          <w:lang w:val="en-US"/>
        </w:rPr>
        <w:t>-6</w:t>
      </w:r>
      <w:r w:rsidRPr="00935BE4">
        <w:rPr>
          <w:rFonts w:cs="Times New Roman"/>
          <w:szCs w:val="24"/>
          <w:lang w:val="en-US"/>
        </w:rPr>
        <w:t xml:space="preserve"> m/s, the embankment could fail at a pace of 1 meter per day to half of the maximum water level. If the hydraulic conductivity value must be less than 10</w:t>
      </w:r>
      <w:r w:rsidRPr="00935BE4">
        <w:rPr>
          <w:rFonts w:cs="Times New Roman"/>
          <w:szCs w:val="24"/>
          <w:vertAlign w:val="superscript"/>
          <w:lang w:val="en-US"/>
        </w:rPr>
        <w:t>-6</w:t>
      </w:r>
      <w:r w:rsidRPr="00935BE4">
        <w:rPr>
          <w:rFonts w:cs="Times New Roman"/>
          <w:szCs w:val="24"/>
          <w:lang w:val="en-US"/>
        </w:rPr>
        <w:t xml:space="preserve"> m/s, a lower drawdown rate must be used to avoid the possibility of failure. </w:t>
      </w:r>
      <w:r w:rsidR="008371C7" w:rsidRPr="008371C7">
        <w:rPr>
          <w:rFonts w:cs="Times New Roman"/>
          <w:szCs w:val="24"/>
          <w:lang w:val="en-US"/>
        </w:rPr>
        <w:t>The derived results in</w:t>
      </w:r>
      <w:r w:rsidR="008371C7">
        <w:rPr>
          <w:rFonts w:cs="Times New Roman"/>
          <w:szCs w:val="24"/>
          <w:lang w:val="en-US"/>
        </w:rPr>
        <w:t xml:space="preserve"> this study</w:t>
      </w:r>
      <w:r w:rsidRPr="00935BE4">
        <w:rPr>
          <w:rFonts w:cs="Times New Roman"/>
          <w:szCs w:val="24"/>
          <w:lang w:val="en-US"/>
        </w:rPr>
        <w:t xml:space="preserve"> demonstrated that slope stability and the combination of a drawdown rate and embankment material </w:t>
      </w:r>
      <w:r w:rsidR="000D6E31">
        <w:rPr>
          <w:rFonts w:cs="Times New Roman"/>
          <w:szCs w:val="24"/>
          <w:lang w:val="en-US"/>
        </w:rPr>
        <w:t>characteristics</w:t>
      </w:r>
      <w:r w:rsidRPr="00935BE4">
        <w:rPr>
          <w:rFonts w:cs="Times New Roman"/>
          <w:szCs w:val="24"/>
          <w:lang w:val="en-US"/>
        </w:rPr>
        <w:t xml:space="preserve"> have a strong </w:t>
      </w:r>
      <w:r w:rsidR="000D6E31">
        <w:rPr>
          <w:rFonts w:cs="Times New Roman"/>
          <w:szCs w:val="24"/>
          <w:lang w:val="en-US"/>
        </w:rPr>
        <w:t>relationship</w:t>
      </w:r>
      <w:r w:rsidRPr="00935BE4">
        <w:rPr>
          <w:rFonts w:cs="Times New Roman"/>
          <w:szCs w:val="24"/>
          <w:lang w:val="en-US"/>
        </w:rPr>
        <w:t xml:space="preserve">. </w:t>
      </w:r>
    </w:p>
    <w:p w14:paraId="11FB2ED5" w14:textId="7E8B1870" w:rsidR="00935BE4" w:rsidRPr="00935BE4" w:rsidRDefault="00935BE4" w:rsidP="00935BE4">
      <w:pPr>
        <w:rPr>
          <w:rFonts w:cs="Times New Roman"/>
          <w:szCs w:val="24"/>
          <w:lang w:val="en-US"/>
        </w:rPr>
      </w:pPr>
      <w:r w:rsidRPr="00935BE4">
        <w:rPr>
          <w:rFonts w:cs="Times New Roman"/>
          <w:szCs w:val="24"/>
          <w:lang w:val="en-US"/>
        </w:rPr>
        <w:t>From the Aktobe dam in Kazakhstan</w:t>
      </w:r>
      <w:r w:rsidR="00C87AA5">
        <w:rPr>
          <w:rFonts w:cs="Times New Roman"/>
          <w:szCs w:val="24"/>
          <w:lang w:val="en-US"/>
        </w:rPr>
        <w:t>,</w:t>
      </w:r>
      <w:r w:rsidRPr="00935BE4">
        <w:rPr>
          <w:rFonts w:cs="Times New Roman"/>
          <w:szCs w:val="24"/>
          <w:lang w:val="en-US"/>
        </w:rPr>
        <w:t xml:space="preserve"> when the embankment was subjected to a 1 m per day drawdown rate, a minimum factor of safety value of 1.486 was calculated. The factor of safety value is 3.7 </w:t>
      </w:r>
      <w:r w:rsidR="005D51E4">
        <w:rPr>
          <w:rFonts w:cs="Times New Roman"/>
          <w:szCs w:val="24"/>
          <w:lang w:val="en-US"/>
        </w:rPr>
        <w:t>%</w:t>
      </w:r>
      <w:r w:rsidRPr="00935BE4">
        <w:rPr>
          <w:rFonts w:cs="Times New Roman"/>
          <w:szCs w:val="24"/>
          <w:lang w:val="en-US"/>
        </w:rPr>
        <w:t xml:space="preserve"> higher than the 10</w:t>
      </w:r>
      <w:r w:rsidR="0029238F">
        <w:rPr>
          <w:rFonts w:cs="Times New Roman"/>
          <w:szCs w:val="24"/>
          <w:lang w:val="en-US"/>
        </w:rPr>
        <w:t xml:space="preserve"> </w:t>
      </w:r>
      <w:r w:rsidRPr="00935BE4">
        <w:rPr>
          <w:rFonts w:cs="Times New Roman"/>
          <w:szCs w:val="24"/>
          <w:lang w:val="en-US"/>
        </w:rPr>
        <w:t>day</w:t>
      </w:r>
      <w:r w:rsidR="0029238F">
        <w:rPr>
          <w:rFonts w:cs="Times New Roman"/>
          <w:szCs w:val="24"/>
          <w:lang w:val="en-US"/>
        </w:rPr>
        <w:t>s</w:t>
      </w:r>
      <w:r w:rsidRPr="00935BE4">
        <w:rPr>
          <w:rFonts w:cs="Times New Roman"/>
          <w:szCs w:val="24"/>
          <w:lang w:val="en-US"/>
        </w:rPr>
        <w:t xml:space="preserve"> drawdown rate, 8.3 </w:t>
      </w:r>
      <w:r w:rsidR="005D51E4">
        <w:rPr>
          <w:rFonts w:cs="Times New Roman"/>
          <w:szCs w:val="24"/>
          <w:lang w:val="en-US"/>
        </w:rPr>
        <w:t>%</w:t>
      </w:r>
      <w:r w:rsidRPr="00935BE4">
        <w:rPr>
          <w:rFonts w:cs="Times New Roman"/>
          <w:szCs w:val="24"/>
          <w:lang w:val="en-US"/>
        </w:rPr>
        <w:t xml:space="preserve"> higher than the 5</w:t>
      </w:r>
      <w:r w:rsidR="0029238F">
        <w:rPr>
          <w:rFonts w:cs="Times New Roman"/>
          <w:szCs w:val="24"/>
          <w:lang w:val="en-US"/>
        </w:rPr>
        <w:t xml:space="preserve"> </w:t>
      </w:r>
      <w:r w:rsidRPr="00935BE4">
        <w:rPr>
          <w:rFonts w:cs="Times New Roman"/>
          <w:szCs w:val="24"/>
          <w:lang w:val="en-US"/>
        </w:rPr>
        <w:t>day</w:t>
      </w:r>
      <w:r w:rsidR="0029238F">
        <w:rPr>
          <w:rFonts w:cs="Times New Roman"/>
          <w:szCs w:val="24"/>
          <w:lang w:val="en-US"/>
        </w:rPr>
        <w:t>s</w:t>
      </w:r>
      <w:r w:rsidRPr="00935BE4">
        <w:rPr>
          <w:rFonts w:cs="Times New Roman"/>
          <w:szCs w:val="24"/>
          <w:lang w:val="en-US"/>
        </w:rPr>
        <w:t xml:space="preserve"> drawdown rate, and 48.6% higher than the instantaneous drawdown rate.</w:t>
      </w:r>
    </w:p>
    <w:p w14:paraId="6C405C45" w14:textId="2888A9EC" w:rsidR="00935BE4" w:rsidRPr="00935BE4" w:rsidRDefault="00935BE4" w:rsidP="00935BE4">
      <w:pPr>
        <w:rPr>
          <w:rFonts w:cs="Times New Roman"/>
          <w:szCs w:val="24"/>
          <w:lang w:val="en-US"/>
        </w:rPr>
      </w:pPr>
      <w:r w:rsidRPr="00935BE4">
        <w:rPr>
          <w:rFonts w:cs="Times New Roman"/>
          <w:szCs w:val="24"/>
          <w:lang w:val="en-US"/>
        </w:rPr>
        <w:t>In the case of the Chardara dam in Kazakhstan's Syrdarya basin, the effect of long-term water level variations and loading circumstances on the slope stability of an embankment dam was studied. Based on the piezometric lines, it was discovered that the pore-water pressures in the embankment remain rather high even after the reservoir has been completely emptied. With a difference of up to 54.4%, the factor of safety values from long-term steady</w:t>
      </w:r>
      <w:r w:rsidR="0029238F">
        <w:rPr>
          <w:rFonts w:cs="Times New Roman"/>
          <w:szCs w:val="24"/>
          <w:lang w:val="en-US"/>
        </w:rPr>
        <w:t>-</w:t>
      </w:r>
      <w:r w:rsidRPr="00935BE4">
        <w:rPr>
          <w:rFonts w:cs="Times New Roman"/>
          <w:szCs w:val="24"/>
          <w:lang w:val="en-US"/>
        </w:rPr>
        <w:t>state settings were generally greater than those from fast drawdown conditions. As a result, the findings imply that it is critical to study the potential impact of drawdown scenarios on slope stability at various embankment heights.</w:t>
      </w:r>
    </w:p>
    <w:p w14:paraId="7C20BA6D" w14:textId="3C6EBDF5" w:rsidR="00935BE4" w:rsidRPr="00935BE4" w:rsidRDefault="00F04C20" w:rsidP="00935BE4">
      <w:pPr>
        <w:rPr>
          <w:lang w:val="en-US"/>
        </w:rPr>
      </w:pPr>
      <w:r>
        <w:rPr>
          <w:rFonts w:cs="Times New Roman"/>
          <w:szCs w:val="24"/>
          <w:lang w:val="en-US"/>
        </w:rPr>
        <w:lastRenderedPageBreak/>
        <w:t xml:space="preserve">In that matter, </w:t>
      </w:r>
      <w:r w:rsidR="00E56E1B">
        <w:rPr>
          <w:rFonts w:cs="Times New Roman"/>
          <w:szCs w:val="24"/>
          <w:lang w:val="en-US"/>
        </w:rPr>
        <w:t xml:space="preserve">it is significantly important to investigate </w:t>
      </w:r>
      <w:r>
        <w:rPr>
          <w:rFonts w:cs="Times New Roman"/>
          <w:szCs w:val="24"/>
          <w:lang w:val="en-US"/>
        </w:rPr>
        <w:t>the</w:t>
      </w:r>
      <w:r w:rsidR="006019D1" w:rsidRPr="006019D1">
        <w:rPr>
          <w:rFonts w:cs="Times New Roman"/>
          <w:szCs w:val="24"/>
          <w:lang w:val="en-US"/>
        </w:rPr>
        <w:t xml:space="preserve"> state of the catchment in terms of land surface cover and climatic variables during the design phase of an embankment dam in order to achieve safe and sustainable dams</w:t>
      </w:r>
      <w:r w:rsidR="00935BE4" w:rsidRPr="00935BE4">
        <w:rPr>
          <w:rFonts w:cs="Times New Roman"/>
          <w:szCs w:val="24"/>
          <w:lang w:val="en-US"/>
        </w:rPr>
        <w:t>.</w:t>
      </w:r>
    </w:p>
    <w:p w14:paraId="0E9CCF14" w14:textId="1CBCF0A1" w:rsidR="00935BE4" w:rsidRPr="003E0017" w:rsidRDefault="00935BE4" w:rsidP="003E0017">
      <w:pPr>
        <w:rPr>
          <w:b/>
          <w:bCs/>
        </w:rPr>
      </w:pPr>
      <w:r w:rsidRPr="003E0017">
        <w:rPr>
          <w:b/>
          <w:bCs/>
        </w:rPr>
        <w:t>Recommendations</w:t>
      </w:r>
    </w:p>
    <w:p w14:paraId="30C0DFE6" w14:textId="381C4EEE" w:rsidR="00935BE4" w:rsidRPr="00935BE4" w:rsidRDefault="00935BE4" w:rsidP="00FE3F8A">
      <w:pPr>
        <w:pStyle w:val="a9"/>
        <w:numPr>
          <w:ilvl w:val="0"/>
          <w:numId w:val="30"/>
        </w:numPr>
        <w:tabs>
          <w:tab w:val="left" w:pos="993"/>
        </w:tabs>
        <w:ind w:left="0" w:firstLine="709"/>
        <w:rPr>
          <w:rFonts w:eastAsia="Calibri" w:cs="Times New Roman"/>
          <w:szCs w:val="24"/>
          <w:lang w:val="en-US"/>
        </w:rPr>
      </w:pPr>
      <w:r w:rsidRPr="00935BE4">
        <w:rPr>
          <w:rFonts w:eastAsia="Calibri" w:cs="Times New Roman"/>
          <w:szCs w:val="24"/>
          <w:lang w:val="en-US"/>
        </w:rPr>
        <w:t xml:space="preserve">The application </w:t>
      </w:r>
      <w:r w:rsidR="0029238F">
        <w:rPr>
          <w:rFonts w:eastAsia="Calibri" w:cs="Times New Roman"/>
          <w:szCs w:val="24"/>
          <w:lang w:val="en-US"/>
        </w:rPr>
        <w:t xml:space="preserve">of </w:t>
      </w:r>
      <w:r w:rsidRPr="00935BE4">
        <w:rPr>
          <w:rFonts w:eastAsia="Calibri" w:cs="Times New Roman"/>
          <w:szCs w:val="24"/>
          <w:lang w:val="en-US"/>
        </w:rPr>
        <w:t>GIS-based techniques along with high spatial resolution imageries to extract geomorphological characteristics of a catchment can be a highly useful tool for dam site characterization and selection. This approach provides decision-makers with a useful and very inexpensive tool for identifying stream networks and land surface cover patterns as well as determining areas with severe limitations or less appropriate sites; while concentrating on those with the fewest restrictions or more suitable sites for dam construction.</w:t>
      </w:r>
    </w:p>
    <w:p w14:paraId="725A45C8" w14:textId="16464754" w:rsidR="00935BE4" w:rsidRPr="006019D1" w:rsidRDefault="00935BE4" w:rsidP="00FE3F8A">
      <w:pPr>
        <w:pStyle w:val="a9"/>
        <w:numPr>
          <w:ilvl w:val="0"/>
          <w:numId w:val="30"/>
        </w:numPr>
        <w:tabs>
          <w:tab w:val="left" w:pos="993"/>
        </w:tabs>
        <w:ind w:left="0" w:firstLine="709"/>
        <w:rPr>
          <w:rFonts w:eastAsia="Calibri" w:cs="Times New Roman"/>
          <w:szCs w:val="24"/>
          <w:lang w:val="en-US"/>
        </w:rPr>
      </w:pPr>
      <w:r w:rsidRPr="006019D1">
        <w:rPr>
          <w:rFonts w:eastAsia="Calibri" w:cs="Times New Roman"/>
          <w:szCs w:val="24"/>
          <w:lang w:val="en-US"/>
        </w:rPr>
        <w:t xml:space="preserve">It is of significant importance to investigate the state of land surface cover in a catchment before </w:t>
      </w:r>
      <w:r w:rsidR="0029238F" w:rsidRPr="006019D1">
        <w:rPr>
          <w:rFonts w:eastAsia="Calibri" w:cs="Times New Roman"/>
          <w:szCs w:val="24"/>
          <w:lang w:val="en-US"/>
        </w:rPr>
        <w:t xml:space="preserve">the </w:t>
      </w:r>
      <w:r w:rsidRPr="006019D1">
        <w:rPr>
          <w:rFonts w:eastAsia="Calibri" w:cs="Times New Roman"/>
          <w:szCs w:val="24"/>
          <w:lang w:val="en-US"/>
        </w:rPr>
        <w:t>design and construction of embankment dams. Land surface cover analysis he</w:t>
      </w:r>
      <w:r w:rsidR="0029238F" w:rsidRPr="006019D1">
        <w:rPr>
          <w:rFonts w:eastAsia="Calibri" w:cs="Times New Roman"/>
          <w:szCs w:val="24"/>
          <w:lang w:val="en-US"/>
        </w:rPr>
        <w:t>l</w:t>
      </w:r>
      <w:r w:rsidRPr="006019D1">
        <w:rPr>
          <w:rFonts w:eastAsia="Calibri" w:cs="Times New Roman"/>
          <w:szCs w:val="24"/>
          <w:lang w:val="en-US"/>
        </w:rPr>
        <w:t>ps to project key probable issues that are like</w:t>
      </w:r>
      <w:r w:rsidR="0029238F" w:rsidRPr="006019D1">
        <w:rPr>
          <w:rFonts w:eastAsia="Calibri" w:cs="Times New Roman"/>
          <w:szCs w:val="24"/>
          <w:lang w:val="en-US"/>
        </w:rPr>
        <w:t>l</w:t>
      </w:r>
      <w:r w:rsidRPr="006019D1">
        <w:rPr>
          <w:rFonts w:eastAsia="Calibri" w:cs="Times New Roman"/>
          <w:szCs w:val="24"/>
          <w:lang w:val="en-US"/>
        </w:rPr>
        <w:t xml:space="preserve">y to affect the stability and sustainability of the dam in the future. </w:t>
      </w:r>
      <w:r w:rsidR="006019D1" w:rsidRPr="006019D1">
        <w:rPr>
          <w:rFonts w:eastAsia="Calibri" w:cs="Times New Roman"/>
          <w:szCs w:val="24"/>
          <w:lang w:val="en-US"/>
        </w:rPr>
        <w:t>Furthermore, land-cover statistics are utilized as basic information for the sustainable management of natural resources, and they are becoming increasingly important for assessing the environmental implications of economic development.</w:t>
      </w:r>
    </w:p>
    <w:p w14:paraId="0C33F196" w14:textId="19DCB72E" w:rsidR="00935BE4" w:rsidRPr="006019D1" w:rsidRDefault="00935BE4" w:rsidP="00FE3F8A">
      <w:pPr>
        <w:pStyle w:val="a9"/>
        <w:numPr>
          <w:ilvl w:val="0"/>
          <w:numId w:val="30"/>
        </w:numPr>
        <w:tabs>
          <w:tab w:val="left" w:pos="993"/>
        </w:tabs>
        <w:ind w:left="0" w:firstLine="709"/>
        <w:rPr>
          <w:rFonts w:eastAsia="Calibri" w:cs="Times New Roman"/>
          <w:szCs w:val="24"/>
          <w:lang w:val="en-US"/>
        </w:rPr>
      </w:pPr>
      <w:r w:rsidRPr="006019D1">
        <w:rPr>
          <w:rFonts w:eastAsia="Calibri" w:cs="Times New Roman"/>
          <w:szCs w:val="24"/>
          <w:lang w:val="en-US"/>
        </w:rPr>
        <w:t>In this study</w:t>
      </w:r>
      <w:r w:rsidR="0029238F" w:rsidRPr="006019D1">
        <w:rPr>
          <w:rFonts w:eastAsia="Calibri" w:cs="Times New Roman"/>
          <w:szCs w:val="24"/>
          <w:lang w:val="en-US"/>
        </w:rPr>
        <w:t>,</w:t>
      </w:r>
      <w:r w:rsidRPr="006019D1">
        <w:rPr>
          <w:rFonts w:eastAsia="Calibri" w:cs="Times New Roman"/>
          <w:szCs w:val="24"/>
          <w:lang w:val="en-US"/>
        </w:rPr>
        <w:t xml:space="preserve"> it has been observed that stormwater modeling p</w:t>
      </w:r>
      <w:r w:rsidR="0029238F" w:rsidRPr="006019D1">
        <w:rPr>
          <w:rFonts w:eastAsia="Calibri" w:cs="Times New Roman"/>
          <w:szCs w:val="24"/>
          <w:lang w:val="en-US"/>
        </w:rPr>
        <w:t>la</w:t>
      </w:r>
      <w:r w:rsidRPr="006019D1">
        <w:rPr>
          <w:rFonts w:eastAsia="Calibri" w:cs="Times New Roman"/>
          <w:szCs w:val="24"/>
          <w:lang w:val="en-US"/>
        </w:rPr>
        <w:t>ys an important role in understanding and predicting different flow char</w:t>
      </w:r>
      <w:r w:rsidR="0029238F" w:rsidRPr="006019D1">
        <w:rPr>
          <w:rFonts w:eastAsia="Calibri" w:cs="Times New Roman"/>
          <w:szCs w:val="24"/>
          <w:lang w:val="en-US"/>
        </w:rPr>
        <w:t>a</w:t>
      </w:r>
      <w:r w:rsidRPr="006019D1">
        <w:rPr>
          <w:rFonts w:eastAsia="Calibri" w:cs="Times New Roman"/>
          <w:szCs w:val="24"/>
          <w:lang w:val="en-US"/>
        </w:rPr>
        <w:t xml:space="preserve">cteristics in a catchment. </w:t>
      </w:r>
      <w:r w:rsidR="00D81F0E" w:rsidRPr="00D81F0E">
        <w:rPr>
          <w:rFonts w:eastAsia="Calibri" w:cs="Times New Roman"/>
          <w:szCs w:val="24"/>
          <w:lang w:val="en-US"/>
        </w:rPr>
        <w:t>It's also worth mentioning that when a projected volume estimate is necessary</w:t>
      </w:r>
      <w:r w:rsidR="006019D1" w:rsidRPr="006019D1">
        <w:rPr>
          <w:rFonts w:eastAsia="Calibri" w:cs="Times New Roman"/>
          <w:szCs w:val="24"/>
          <w:lang w:val="en-US"/>
        </w:rPr>
        <w:t>, a stormwater model becomes significantly useful as it is also relatively less expensive compared to physical measurements. Moreover, in many circumstances, the conditions to be examined do not exactly match the monitoring conditions, necessitating modeling</w:t>
      </w:r>
      <w:r w:rsidRPr="006019D1">
        <w:rPr>
          <w:rFonts w:eastAsia="Calibri" w:cs="Times New Roman"/>
          <w:szCs w:val="24"/>
          <w:lang w:val="en-US"/>
        </w:rPr>
        <w:t>.</w:t>
      </w:r>
    </w:p>
    <w:p w14:paraId="3FC7B892" w14:textId="5EA5BB4C" w:rsidR="00935BE4" w:rsidRPr="006019D1" w:rsidRDefault="006019D1" w:rsidP="00FE3F8A">
      <w:pPr>
        <w:pStyle w:val="a9"/>
        <w:numPr>
          <w:ilvl w:val="0"/>
          <w:numId w:val="30"/>
        </w:numPr>
        <w:tabs>
          <w:tab w:val="left" w:pos="993"/>
        </w:tabs>
        <w:ind w:left="0" w:firstLine="709"/>
        <w:rPr>
          <w:rFonts w:eastAsia="Calibri" w:cs="Times New Roman"/>
          <w:szCs w:val="24"/>
          <w:lang w:val="en-US"/>
        </w:rPr>
      </w:pPr>
      <w:r w:rsidRPr="006019D1">
        <w:rPr>
          <w:rFonts w:eastAsia="Calibri" w:cs="Times New Roman"/>
          <w:szCs w:val="24"/>
          <w:lang w:val="en-US"/>
        </w:rPr>
        <w:t xml:space="preserve">As shown in this study, flow parameters have a substantial impact on the stability of embankment dams. </w:t>
      </w:r>
      <w:r w:rsidR="00D81F0E">
        <w:rPr>
          <w:rFonts w:eastAsia="Calibri" w:cs="Times New Roman"/>
          <w:szCs w:val="24"/>
          <w:lang w:val="en-US"/>
        </w:rPr>
        <w:t>In that matter,</w:t>
      </w:r>
      <w:r w:rsidRPr="006019D1">
        <w:rPr>
          <w:rFonts w:eastAsia="Calibri" w:cs="Times New Roman"/>
          <w:szCs w:val="24"/>
          <w:lang w:val="en-US"/>
        </w:rPr>
        <w:t xml:space="preserve"> it is critical to investigate the likely flow characteristics that will be applied to the embankment in the future; in particular, the embankment slope stability should be assessed based on various potential long-term water levels as well as their potential responses when subjected to a rapid drawdown loading condition</w:t>
      </w:r>
      <w:r w:rsidR="00935BE4" w:rsidRPr="006019D1">
        <w:rPr>
          <w:rFonts w:eastAsia="Calibri" w:cs="Times New Roman"/>
          <w:szCs w:val="24"/>
          <w:lang w:val="en-US"/>
        </w:rPr>
        <w:t>.</w:t>
      </w:r>
    </w:p>
    <w:p w14:paraId="12B6703E" w14:textId="77777777" w:rsidR="00702D95" w:rsidRPr="00F834AF" w:rsidRDefault="00935BE4" w:rsidP="00FE3F8A">
      <w:pPr>
        <w:pStyle w:val="a9"/>
        <w:numPr>
          <w:ilvl w:val="0"/>
          <w:numId w:val="30"/>
        </w:numPr>
        <w:tabs>
          <w:tab w:val="left" w:pos="993"/>
        </w:tabs>
        <w:ind w:left="0" w:firstLine="709"/>
        <w:rPr>
          <w:rFonts w:eastAsia="Calibri" w:cs="Times New Roman"/>
          <w:szCs w:val="24"/>
          <w:lang w:val="en-US"/>
        </w:rPr>
      </w:pPr>
      <w:r w:rsidRPr="00935BE4">
        <w:rPr>
          <w:rFonts w:eastAsia="Calibri" w:cs="Times New Roman"/>
          <w:szCs w:val="24"/>
          <w:lang w:val="en-US"/>
        </w:rPr>
        <w:t>Because this study concentrated on the slope stability of the embankment's upstream face with different operational conditions,</w:t>
      </w:r>
      <w:r w:rsidR="00C87AA5">
        <w:rPr>
          <w:rFonts w:eastAsia="Calibri" w:cs="Times New Roman"/>
          <w:szCs w:val="24"/>
          <w:lang w:val="en-US"/>
        </w:rPr>
        <w:t xml:space="preserve"> </w:t>
      </w:r>
      <w:r w:rsidRPr="00935BE4">
        <w:rPr>
          <w:rFonts w:eastAsia="Calibri" w:cs="Times New Roman"/>
          <w:szCs w:val="24"/>
          <w:lang w:val="en-US"/>
        </w:rPr>
        <w:t>future studies could focus on the slope stability of the embankment's downstream face and stability during the reservoir's first filling.</w:t>
      </w:r>
    </w:p>
    <w:p w14:paraId="54F5BFDF" w14:textId="77777777" w:rsidR="00F834AF" w:rsidRPr="00F834AF" w:rsidRDefault="00F834AF" w:rsidP="00F834AF">
      <w:pPr>
        <w:rPr>
          <w:lang w:val="en-US"/>
        </w:rPr>
      </w:pPr>
    </w:p>
    <w:p w14:paraId="70039C07" w14:textId="77777777" w:rsidR="00935BE4" w:rsidRPr="00935BE4" w:rsidRDefault="00935BE4" w:rsidP="00F834AF">
      <w:pPr>
        <w:spacing w:after="240"/>
        <w:ind w:firstLine="0"/>
        <w:rPr>
          <w:rFonts w:eastAsia="Calibri" w:cs="Times New Roman"/>
          <w:szCs w:val="24"/>
          <w:lang w:val="en-US"/>
        </w:rPr>
      </w:pPr>
    </w:p>
    <w:p w14:paraId="5585AF4E" w14:textId="59D67D36" w:rsidR="00935BE4" w:rsidRPr="00DB6B76" w:rsidRDefault="003E0017" w:rsidP="00A367BA">
      <w:pPr>
        <w:pStyle w:val="1"/>
        <w:numPr>
          <w:ilvl w:val="0"/>
          <w:numId w:val="0"/>
        </w:numPr>
        <w:jc w:val="center"/>
        <w:rPr>
          <w:rFonts w:cs="Times New Roman"/>
          <w:lang w:val="en-US"/>
        </w:rPr>
      </w:pPr>
      <w:bookmarkStart w:id="1794" w:name="_Toc97504901"/>
      <w:bookmarkStart w:id="1795" w:name="_Toc104985379"/>
      <w:r w:rsidRPr="00DB6B76">
        <w:rPr>
          <w:rFonts w:cs="Times New Roman"/>
          <w:lang w:val="en-US"/>
        </w:rPr>
        <w:lastRenderedPageBreak/>
        <w:t>REFERENCES</w:t>
      </w:r>
      <w:bookmarkEnd w:id="1794"/>
      <w:bookmarkEnd w:id="1795"/>
    </w:p>
    <w:p w14:paraId="5CE19C78" w14:textId="7577338E" w:rsidR="00B449A5" w:rsidRPr="00B449A5" w:rsidRDefault="00B449A5" w:rsidP="00DB6B76">
      <w:pPr>
        <w:spacing w:after="160" w:line="240" w:lineRule="auto"/>
        <w:ind w:hanging="709"/>
        <w:rPr>
          <w:rFonts w:eastAsia="Calibri" w:cs="Times New Roman"/>
          <w:szCs w:val="24"/>
          <w:lang w:val="en-US"/>
        </w:rPr>
      </w:pPr>
      <w:bookmarkStart w:id="1796" w:name="_Hlk104394575"/>
      <w:r w:rsidRPr="00B449A5">
        <w:rPr>
          <w:rFonts w:eastAsia="Calibri" w:cs="Times New Roman"/>
          <w:szCs w:val="24"/>
          <w:lang w:val="en-US"/>
        </w:rPr>
        <w:t>1.</w:t>
      </w:r>
      <w:r w:rsidRPr="00B449A5">
        <w:rPr>
          <w:rFonts w:eastAsia="Calibri" w:cs="Times New Roman"/>
          <w:szCs w:val="24"/>
          <w:lang w:val="en-US"/>
        </w:rPr>
        <w:tab/>
        <w:t xml:space="preserve">Influence of land development on stormwater runoff from a mixed land use and land cover catchment / M.A. Paule-Mercado, B.Y. Lee, S.A. Memon, S.R. Umer, I. Salim, C.-H. Lee // Science of The Total Environment. — 2017. — </w:t>
      </w:r>
      <w:r w:rsidR="001A7438" w:rsidRPr="001A7438">
        <w:rPr>
          <w:rFonts w:eastAsia="Calibri" w:cs="Times New Roman"/>
          <w:szCs w:val="24"/>
          <w:lang w:val="en-US"/>
        </w:rPr>
        <w:t>VOL.</w:t>
      </w:r>
      <w:r w:rsidRPr="00B449A5">
        <w:rPr>
          <w:rFonts w:eastAsia="Calibri" w:cs="Times New Roman"/>
          <w:szCs w:val="24"/>
          <w:lang w:val="en-US"/>
        </w:rPr>
        <w:t xml:space="preserve"> 599–600. — </w:t>
      </w:r>
      <w:r w:rsidRPr="00B449A5">
        <w:rPr>
          <w:rFonts w:eastAsia="Calibri" w:cs="Times New Roman"/>
          <w:szCs w:val="24"/>
        </w:rPr>
        <w:t>С</w:t>
      </w:r>
      <w:r w:rsidRPr="00B449A5">
        <w:rPr>
          <w:rFonts w:eastAsia="Calibri" w:cs="Times New Roman"/>
          <w:szCs w:val="24"/>
          <w:lang w:val="en-US"/>
        </w:rPr>
        <w:t>. 2142–2155. DOI: 10.1016/j.scitotenv.2017.05.081</w:t>
      </w:r>
    </w:p>
    <w:p w14:paraId="563C94EA" w14:textId="55920B4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w:t>
      </w:r>
      <w:r w:rsidRPr="00B449A5">
        <w:rPr>
          <w:rFonts w:eastAsia="Calibri" w:cs="Times New Roman"/>
          <w:szCs w:val="24"/>
          <w:lang w:val="en-US"/>
        </w:rPr>
        <w:tab/>
        <w:t xml:space="preserve">The effect of land use/cover change on surface runoff in Shenzhen region, China / P.-J. Shi, Y. Yuan, J. Zheng, J.-A. Wang, Y. Ge, G.-Y. Qiu // CATENA. — 2007. — </w:t>
      </w:r>
      <w:r w:rsidR="001A7438" w:rsidRPr="001A7438">
        <w:rPr>
          <w:rFonts w:eastAsia="Calibri" w:cs="Times New Roman"/>
          <w:szCs w:val="24"/>
          <w:lang w:val="en-US"/>
        </w:rPr>
        <w:t>VOL.</w:t>
      </w:r>
      <w:r w:rsidRPr="00B449A5">
        <w:rPr>
          <w:rFonts w:eastAsia="Calibri" w:cs="Times New Roman"/>
          <w:szCs w:val="24"/>
          <w:lang w:val="en-US"/>
        </w:rPr>
        <w:t xml:space="preserve"> 69, № 1. — </w:t>
      </w:r>
      <w:r w:rsidRPr="00B449A5">
        <w:rPr>
          <w:rFonts w:eastAsia="Calibri" w:cs="Times New Roman"/>
          <w:szCs w:val="24"/>
        </w:rPr>
        <w:t>С</w:t>
      </w:r>
      <w:r w:rsidRPr="00B449A5">
        <w:rPr>
          <w:rFonts w:eastAsia="Calibri" w:cs="Times New Roman"/>
          <w:szCs w:val="24"/>
          <w:lang w:val="en-US"/>
        </w:rPr>
        <w:t>. 31–35. DOI: 10.1016/j.catena.2006.04.015</w:t>
      </w:r>
    </w:p>
    <w:p w14:paraId="6D29AF5E" w14:textId="134A7C3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w:t>
      </w:r>
      <w:r w:rsidRPr="00B449A5">
        <w:rPr>
          <w:rFonts w:eastAsia="Calibri" w:cs="Times New Roman"/>
          <w:szCs w:val="24"/>
          <w:lang w:val="en-US"/>
        </w:rPr>
        <w:tab/>
        <w:t xml:space="preserve">GLOBAL POPULATION GROWTH, TECHNOLOGY, AND MALTHUSIAN CONSTRAINTS: A QUANTITATIVE GROWTH THEORETIC PERSPECTIVE / B. Lanz, S. Dietz, T. Swanson // International Economic Review. — 2017. — </w:t>
      </w:r>
      <w:r w:rsidR="001A7438" w:rsidRPr="001A7438">
        <w:rPr>
          <w:rFonts w:eastAsia="Calibri" w:cs="Times New Roman"/>
          <w:szCs w:val="24"/>
          <w:lang w:val="en-US"/>
        </w:rPr>
        <w:t>VOL.</w:t>
      </w:r>
      <w:r w:rsidRPr="00B449A5">
        <w:rPr>
          <w:rFonts w:eastAsia="Calibri" w:cs="Times New Roman"/>
          <w:szCs w:val="24"/>
          <w:lang w:val="en-US"/>
        </w:rPr>
        <w:t xml:space="preserve"> 58, № 3. — </w:t>
      </w:r>
      <w:r w:rsidRPr="00B449A5">
        <w:rPr>
          <w:rFonts w:eastAsia="Calibri" w:cs="Times New Roman"/>
          <w:szCs w:val="24"/>
        </w:rPr>
        <w:t>С</w:t>
      </w:r>
      <w:r w:rsidRPr="00B449A5">
        <w:rPr>
          <w:rFonts w:eastAsia="Calibri" w:cs="Times New Roman"/>
          <w:szCs w:val="24"/>
          <w:lang w:val="en-US"/>
        </w:rPr>
        <w:t>. 973–1006. DOI: 10.1111/iere.12242</w:t>
      </w:r>
    </w:p>
    <w:p w14:paraId="7339AB99" w14:textId="5DBCA88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4.</w:t>
      </w:r>
      <w:r w:rsidRPr="00B449A5">
        <w:rPr>
          <w:rFonts w:eastAsia="Calibri" w:cs="Times New Roman"/>
          <w:szCs w:val="24"/>
          <w:lang w:val="en-US"/>
        </w:rPr>
        <w:tab/>
        <w:t xml:space="preserve">Moraine dam breach and glacial lake outburst flood generation by physical and numerical models / S. Begam, D. Sen, S. Dey // Journal of Hydrology. — 2018. — </w:t>
      </w:r>
      <w:r w:rsidR="001A7438" w:rsidRPr="001A7438">
        <w:rPr>
          <w:rFonts w:eastAsia="Calibri" w:cs="Times New Roman"/>
          <w:szCs w:val="24"/>
          <w:lang w:val="en-US"/>
        </w:rPr>
        <w:t>VOL.</w:t>
      </w:r>
      <w:r w:rsidRPr="00B449A5">
        <w:rPr>
          <w:rFonts w:eastAsia="Calibri" w:cs="Times New Roman"/>
          <w:szCs w:val="24"/>
          <w:lang w:val="en-US"/>
        </w:rPr>
        <w:t xml:space="preserve"> 563. — </w:t>
      </w:r>
      <w:r w:rsidRPr="00B449A5">
        <w:rPr>
          <w:rFonts w:eastAsia="Calibri" w:cs="Times New Roman"/>
          <w:szCs w:val="24"/>
        </w:rPr>
        <w:t>С</w:t>
      </w:r>
      <w:r w:rsidRPr="00B449A5">
        <w:rPr>
          <w:rFonts w:eastAsia="Calibri" w:cs="Times New Roman"/>
          <w:szCs w:val="24"/>
          <w:lang w:val="en-US"/>
        </w:rPr>
        <w:t>. 694–710. DOI: 10.1016/j.jhydrol.2018.06.038</w:t>
      </w:r>
    </w:p>
    <w:p w14:paraId="0678EF91" w14:textId="2230A34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5.</w:t>
      </w:r>
      <w:r w:rsidRPr="00B449A5">
        <w:rPr>
          <w:rFonts w:eastAsia="Calibri" w:cs="Times New Roman"/>
          <w:szCs w:val="24"/>
          <w:lang w:val="en-US"/>
        </w:rPr>
        <w:tab/>
        <w:t xml:space="preserve">Dams and Barrages / P. Breeze // HydropowerElsevier, 2018. — </w:t>
      </w:r>
      <w:r w:rsidRPr="00B449A5">
        <w:rPr>
          <w:rFonts w:eastAsia="Calibri" w:cs="Times New Roman"/>
          <w:szCs w:val="24"/>
        </w:rPr>
        <w:t>С</w:t>
      </w:r>
      <w:r w:rsidRPr="00B449A5">
        <w:rPr>
          <w:rFonts w:eastAsia="Calibri" w:cs="Times New Roman"/>
          <w:szCs w:val="24"/>
          <w:lang w:val="en-US"/>
        </w:rPr>
        <w:t>. 23–33. DOI: 10.1016/B978-0-12-812906-7.00003-X</w:t>
      </w:r>
    </w:p>
    <w:p w14:paraId="688B3F34" w14:textId="39615F0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6.</w:t>
      </w:r>
      <w:r w:rsidRPr="00B449A5">
        <w:rPr>
          <w:rFonts w:eastAsia="Calibri" w:cs="Times New Roman"/>
          <w:szCs w:val="24"/>
          <w:lang w:val="en-US"/>
        </w:rPr>
        <w:tab/>
        <w:t xml:space="preserve">Effects of rapid urbanization on ecological functional vulnerability of the land system in Wuhan, China: A flow and stock perspective / Y. Wang, X. Li, F. Zhang, W. Wang, R. Xiao // Journal of Cleaner Production. — 2020. — </w:t>
      </w:r>
      <w:r w:rsidR="001A7438" w:rsidRPr="001A7438">
        <w:rPr>
          <w:rFonts w:eastAsia="Calibri" w:cs="Times New Roman"/>
          <w:szCs w:val="24"/>
          <w:lang w:val="en-US"/>
        </w:rPr>
        <w:t>VOL.</w:t>
      </w:r>
      <w:r w:rsidRPr="00B449A5">
        <w:rPr>
          <w:rFonts w:eastAsia="Calibri" w:cs="Times New Roman"/>
          <w:szCs w:val="24"/>
          <w:lang w:val="en-US"/>
        </w:rPr>
        <w:t xml:space="preserve"> 248. — </w:t>
      </w:r>
      <w:r w:rsidRPr="00B449A5">
        <w:rPr>
          <w:rFonts w:eastAsia="Calibri" w:cs="Times New Roman"/>
          <w:szCs w:val="24"/>
        </w:rPr>
        <w:t>С</w:t>
      </w:r>
      <w:r w:rsidRPr="00B449A5">
        <w:rPr>
          <w:rFonts w:eastAsia="Calibri" w:cs="Times New Roman"/>
          <w:szCs w:val="24"/>
          <w:lang w:val="en-US"/>
        </w:rPr>
        <w:t>. 119284–119284. DOI: 10.1016/j.jclepro.2019.119284</w:t>
      </w:r>
    </w:p>
    <w:p w14:paraId="41048A34" w14:textId="60A0B0F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7.</w:t>
      </w:r>
      <w:r w:rsidRPr="00B449A5">
        <w:rPr>
          <w:rFonts w:eastAsia="Calibri" w:cs="Times New Roman"/>
          <w:szCs w:val="24"/>
          <w:lang w:val="en-US"/>
        </w:rPr>
        <w:tab/>
        <w:t xml:space="preserve">Impacts of rapid urbanization on characteristics, sources and variation of fecal coliform at watershed scale / X. Zhang, L. Chen, Z. Shen // Journal of Environmental Management. — 2021. — </w:t>
      </w:r>
      <w:r w:rsidR="001A7438" w:rsidRPr="001A7438">
        <w:rPr>
          <w:rFonts w:eastAsia="Calibri" w:cs="Times New Roman"/>
          <w:szCs w:val="24"/>
          <w:lang w:val="en-US"/>
        </w:rPr>
        <w:t>VOL.</w:t>
      </w:r>
      <w:r w:rsidRPr="00B449A5">
        <w:rPr>
          <w:rFonts w:eastAsia="Calibri" w:cs="Times New Roman"/>
          <w:szCs w:val="24"/>
          <w:lang w:val="en-US"/>
        </w:rPr>
        <w:t xml:space="preserve"> 286. — </w:t>
      </w:r>
      <w:r w:rsidRPr="00B449A5">
        <w:rPr>
          <w:rFonts w:eastAsia="Calibri" w:cs="Times New Roman"/>
          <w:szCs w:val="24"/>
        </w:rPr>
        <w:t>С</w:t>
      </w:r>
      <w:r w:rsidRPr="00B449A5">
        <w:rPr>
          <w:rFonts w:eastAsia="Calibri" w:cs="Times New Roman"/>
          <w:szCs w:val="24"/>
          <w:lang w:val="en-US"/>
        </w:rPr>
        <w:t>. 112195–112195. DOI: 10.1016/j.jenvman.2021.112195</w:t>
      </w:r>
    </w:p>
    <w:p w14:paraId="6636BE56" w14:textId="29DC16C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8.</w:t>
      </w:r>
      <w:r w:rsidRPr="00B449A5">
        <w:rPr>
          <w:rFonts w:eastAsia="Calibri" w:cs="Times New Roman"/>
          <w:szCs w:val="24"/>
          <w:lang w:val="en-US"/>
        </w:rPr>
        <w:tab/>
        <w:t xml:space="preserve">A Strategic and Smart Environmental Assessment of Rapid Urbanization in Beijing / P.R. Fiscal, R. Taratori, M.A. Pacho, C.S. Ioakimidis, S. Koutra // Energies. — 2021. — </w:t>
      </w:r>
      <w:r w:rsidR="001A7438" w:rsidRPr="001A7438">
        <w:rPr>
          <w:rFonts w:eastAsia="Calibri" w:cs="Times New Roman"/>
          <w:szCs w:val="24"/>
          <w:lang w:val="en-US"/>
        </w:rPr>
        <w:t>VOL.</w:t>
      </w:r>
      <w:r w:rsidRPr="00B449A5">
        <w:rPr>
          <w:rFonts w:eastAsia="Calibri" w:cs="Times New Roman"/>
          <w:szCs w:val="24"/>
          <w:lang w:val="en-US"/>
        </w:rPr>
        <w:t xml:space="preserve"> 14, № 16. — </w:t>
      </w:r>
      <w:r w:rsidRPr="00B449A5">
        <w:rPr>
          <w:rFonts w:eastAsia="Calibri" w:cs="Times New Roman"/>
          <w:szCs w:val="24"/>
        </w:rPr>
        <w:t>С</w:t>
      </w:r>
      <w:r w:rsidRPr="00B449A5">
        <w:rPr>
          <w:rFonts w:eastAsia="Calibri" w:cs="Times New Roman"/>
          <w:szCs w:val="24"/>
          <w:lang w:val="en-US"/>
        </w:rPr>
        <w:t>. 5138–5138. DOI: 10.3390/en14165138</w:t>
      </w:r>
    </w:p>
    <w:p w14:paraId="5D30D417" w14:textId="29C2E79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9.</w:t>
      </w:r>
      <w:r w:rsidRPr="00B449A5">
        <w:rPr>
          <w:rFonts w:eastAsia="Calibri" w:cs="Times New Roman"/>
          <w:szCs w:val="24"/>
          <w:lang w:val="en-US"/>
        </w:rPr>
        <w:tab/>
        <w:t xml:space="preserve">Mapping and Characterizing Spatiotemporal Dynamics of Impervious Surfaces Using Landsat Images: A Case Study of Xuzhou, East China from 1995 to 2018 / H. Li, L. Li, L. Chen, X. Zhou, Y. Cui, Y. Liu, W. Liu // Sustainability. — 2019. — </w:t>
      </w:r>
      <w:r w:rsidR="001A7438" w:rsidRPr="001A7438">
        <w:rPr>
          <w:rFonts w:eastAsia="Calibri" w:cs="Times New Roman"/>
          <w:szCs w:val="24"/>
          <w:lang w:val="en-US"/>
        </w:rPr>
        <w:t>VOL.</w:t>
      </w:r>
      <w:r w:rsidRPr="00B449A5">
        <w:rPr>
          <w:rFonts w:eastAsia="Calibri" w:cs="Times New Roman"/>
          <w:szCs w:val="24"/>
          <w:lang w:val="en-US"/>
        </w:rPr>
        <w:t xml:space="preserve"> 11, № 5. — </w:t>
      </w:r>
      <w:r w:rsidRPr="00B449A5">
        <w:rPr>
          <w:rFonts w:eastAsia="Calibri" w:cs="Times New Roman"/>
          <w:szCs w:val="24"/>
        </w:rPr>
        <w:t>С</w:t>
      </w:r>
      <w:r w:rsidRPr="00B449A5">
        <w:rPr>
          <w:rFonts w:eastAsia="Calibri" w:cs="Times New Roman"/>
          <w:szCs w:val="24"/>
          <w:lang w:val="en-US"/>
        </w:rPr>
        <w:t>. 1224–1224. DOI: 10.3390/su11051224</w:t>
      </w:r>
    </w:p>
    <w:p w14:paraId="354550F2" w14:textId="186A16A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10.</w:t>
      </w:r>
      <w:r w:rsidRPr="00B449A5">
        <w:rPr>
          <w:rFonts w:eastAsia="Calibri" w:cs="Times New Roman"/>
          <w:szCs w:val="24"/>
          <w:lang w:val="en-US"/>
        </w:rPr>
        <w:tab/>
        <w:t xml:space="preserve">Time series monitoring of impervious surfaces and runoff impacts in Metro Vancouver / B. Hamilton, N.C. Coops, K. Lokman // Science of The Total Environment. — 2021. — </w:t>
      </w:r>
      <w:r w:rsidR="001A7438" w:rsidRPr="001A7438">
        <w:rPr>
          <w:rFonts w:eastAsia="Calibri" w:cs="Times New Roman"/>
          <w:szCs w:val="24"/>
          <w:lang w:val="en-US"/>
        </w:rPr>
        <w:t>VOL.</w:t>
      </w:r>
      <w:r w:rsidRPr="00B449A5">
        <w:rPr>
          <w:rFonts w:eastAsia="Calibri" w:cs="Times New Roman"/>
          <w:szCs w:val="24"/>
          <w:lang w:val="en-US"/>
        </w:rPr>
        <w:t xml:space="preserve"> 760. — </w:t>
      </w:r>
      <w:r w:rsidRPr="00B449A5">
        <w:rPr>
          <w:rFonts w:eastAsia="Calibri" w:cs="Times New Roman"/>
          <w:szCs w:val="24"/>
        </w:rPr>
        <w:t>С</w:t>
      </w:r>
      <w:r w:rsidRPr="00B449A5">
        <w:rPr>
          <w:rFonts w:eastAsia="Calibri" w:cs="Times New Roman"/>
          <w:szCs w:val="24"/>
          <w:lang w:val="en-US"/>
        </w:rPr>
        <w:t>. 143873–143873. DOI: 10.1016/j.scitotenv.2020.143873</w:t>
      </w:r>
    </w:p>
    <w:p w14:paraId="3F3F1E8B" w14:textId="6642CC0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11.</w:t>
      </w:r>
      <w:r w:rsidRPr="00B449A5">
        <w:rPr>
          <w:rFonts w:eastAsia="Calibri" w:cs="Times New Roman"/>
          <w:szCs w:val="24"/>
          <w:lang w:val="en-US"/>
        </w:rPr>
        <w:tab/>
        <w:t xml:space="preserve">Effects of urbanization and climate change on surface runoff of the Brussels Capital Region: a case study using an urban soil-vegetation-atmosphere-transfer model / R. Hamdi, P. Termonia, P. Baguis // International Journal of Climatology. — 2011. — </w:t>
      </w:r>
      <w:r w:rsidR="001A7438" w:rsidRPr="001A7438">
        <w:rPr>
          <w:rFonts w:eastAsia="Calibri" w:cs="Times New Roman"/>
          <w:szCs w:val="24"/>
          <w:lang w:val="en-US"/>
        </w:rPr>
        <w:t>VOL.</w:t>
      </w:r>
      <w:r w:rsidRPr="00B449A5">
        <w:rPr>
          <w:rFonts w:eastAsia="Calibri" w:cs="Times New Roman"/>
          <w:szCs w:val="24"/>
          <w:lang w:val="en-US"/>
        </w:rPr>
        <w:t xml:space="preserve"> 31, № 13. — </w:t>
      </w:r>
      <w:r w:rsidRPr="00B449A5">
        <w:rPr>
          <w:rFonts w:eastAsia="Calibri" w:cs="Times New Roman"/>
          <w:szCs w:val="24"/>
        </w:rPr>
        <w:t>С</w:t>
      </w:r>
      <w:r w:rsidRPr="00B449A5">
        <w:rPr>
          <w:rFonts w:eastAsia="Calibri" w:cs="Times New Roman"/>
          <w:szCs w:val="24"/>
          <w:lang w:val="en-US"/>
        </w:rPr>
        <w:t>. 1959–1974. DOI: 10.1002/joc.2207</w:t>
      </w:r>
    </w:p>
    <w:p w14:paraId="73839109" w14:textId="73DB0B5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12.</w:t>
      </w:r>
      <w:r w:rsidRPr="00B449A5">
        <w:rPr>
          <w:rFonts w:eastAsia="Calibri" w:cs="Times New Roman"/>
          <w:szCs w:val="24"/>
          <w:lang w:val="en-US"/>
        </w:rPr>
        <w:tab/>
        <w:t xml:space="preserve">Assessing catchment scale flood resilience of urban areas using a grid cell based metric / Y. Wang, F. Meng, H. Liu, C. Zhang, G. Fu // Water Research. — 2019. — </w:t>
      </w:r>
      <w:r w:rsidR="001A7438" w:rsidRPr="001A7438">
        <w:rPr>
          <w:rFonts w:eastAsia="Calibri" w:cs="Times New Roman"/>
          <w:szCs w:val="24"/>
          <w:lang w:val="en-US"/>
        </w:rPr>
        <w:t>VOL.</w:t>
      </w:r>
      <w:r w:rsidRPr="00B449A5">
        <w:rPr>
          <w:rFonts w:eastAsia="Calibri" w:cs="Times New Roman"/>
          <w:szCs w:val="24"/>
          <w:lang w:val="en-US"/>
        </w:rPr>
        <w:t xml:space="preserve"> 163. — </w:t>
      </w:r>
      <w:r w:rsidRPr="00B449A5">
        <w:rPr>
          <w:rFonts w:eastAsia="Calibri" w:cs="Times New Roman"/>
          <w:szCs w:val="24"/>
        </w:rPr>
        <w:t>С</w:t>
      </w:r>
      <w:r w:rsidRPr="00B449A5">
        <w:rPr>
          <w:rFonts w:eastAsia="Calibri" w:cs="Times New Roman"/>
          <w:szCs w:val="24"/>
          <w:lang w:val="en-US"/>
        </w:rPr>
        <w:t>. 114852–114852. DOI: 10.1016/j.watres.2019.114852</w:t>
      </w:r>
    </w:p>
    <w:p w14:paraId="195FFE9B" w14:textId="18783CD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13.</w:t>
      </w:r>
      <w:r w:rsidRPr="00B449A5">
        <w:rPr>
          <w:rFonts w:eastAsia="Calibri" w:cs="Times New Roman"/>
          <w:szCs w:val="24"/>
          <w:lang w:val="en-US"/>
        </w:rPr>
        <w:tab/>
        <w:t xml:space="preserve">The formation and breaching of a short-lived landslide dam at Hsiaolin Village, Taiwan — Part II: Simulation of debris flow with landslide dam breach / M.-H. Li, R.-T. Sung, J.-J. Dong, C.-T. </w:t>
      </w:r>
      <w:r w:rsidRPr="00B449A5">
        <w:rPr>
          <w:rFonts w:eastAsia="Calibri" w:cs="Times New Roman"/>
          <w:szCs w:val="24"/>
          <w:lang w:val="en-US"/>
        </w:rPr>
        <w:lastRenderedPageBreak/>
        <w:t xml:space="preserve">Lee, C.-C. Chen // Engineering Geology. — 2011. — </w:t>
      </w:r>
      <w:r w:rsidR="001A7438" w:rsidRPr="001A7438">
        <w:rPr>
          <w:rFonts w:eastAsia="Calibri" w:cs="Times New Roman"/>
          <w:szCs w:val="24"/>
          <w:lang w:val="en-US"/>
        </w:rPr>
        <w:t>VOL.</w:t>
      </w:r>
      <w:r w:rsidRPr="00B449A5">
        <w:rPr>
          <w:rFonts w:eastAsia="Calibri" w:cs="Times New Roman"/>
          <w:szCs w:val="24"/>
          <w:lang w:val="en-US"/>
        </w:rPr>
        <w:t xml:space="preserve"> 123, № 1–2. — </w:t>
      </w:r>
      <w:r w:rsidRPr="00B449A5">
        <w:rPr>
          <w:rFonts w:eastAsia="Calibri" w:cs="Times New Roman"/>
          <w:szCs w:val="24"/>
        </w:rPr>
        <w:t>С</w:t>
      </w:r>
      <w:r w:rsidRPr="00B449A5">
        <w:rPr>
          <w:rFonts w:eastAsia="Calibri" w:cs="Times New Roman"/>
          <w:szCs w:val="24"/>
          <w:lang w:val="en-US"/>
        </w:rPr>
        <w:t>. 60–71. DOI: 10.1016/j.enggeo.2011.05.002</w:t>
      </w:r>
    </w:p>
    <w:p w14:paraId="12B74F5C" w14:textId="59C3772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14.</w:t>
      </w:r>
      <w:r w:rsidRPr="00B449A5">
        <w:rPr>
          <w:rFonts w:eastAsia="Calibri" w:cs="Times New Roman"/>
          <w:szCs w:val="24"/>
          <w:lang w:val="en-US"/>
        </w:rPr>
        <w:tab/>
        <w:t xml:space="preserve">Quality analysis of the Earth remote sensing data in the surface runoff modeling for failure prediction at the tailing dumps / P. Rybnikov, A. Smirnov // E3S Web of Conferences. — 2020. — </w:t>
      </w:r>
      <w:r w:rsidR="001A7438" w:rsidRPr="001A7438">
        <w:rPr>
          <w:rFonts w:eastAsia="Calibri" w:cs="Times New Roman"/>
          <w:szCs w:val="24"/>
          <w:lang w:val="en-US"/>
        </w:rPr>
        <w:t>VOL.</w:t>
      </w:r>
      <w:r w:rsidRPr="00B449A5">
        <w:rPr>
          <w:rFonts w:eastAsia="Calibri" w:cs="Times New Roman"/>
          <w:szCs w:val="24"/>
          <w:lang w:val="en-US"/>
        </w:rPr>
        <w:t xml:space="preserve"> 177. — </w:t>
      </w:r>
      <w:r w:rsidRPr="00B449A5">
        <w:rPr>
          <w:rFonts w:eastAsia="Calibri" w:cs="Times New Roman"/>
          <w:szCs w:val="24"/>
        </w:rPr>
        <w:t>С</w:t>
      </w:r>
      <w:r w:rsidRPr="00B449A5">
        <w:rPr>
          <w:rFonts w:eastAsia="Calibri" w:cs="Times New Roman"/>
          <w:szCs w:val="24"/>
          <w:lang w:val="en-US"/>
        </w:rPr>
        <w:t>. 06002–06002. DOI: 10.1051/e3sconf/202017706002</w:t>
      </w:r>
    </w:p>
    <w:p w14:paraId="1D6C481A" w14:textId="6268DB7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15.</w:t>
      </w:r>
      <w:r w:rsidRPr="00B449A5">
        <w:rPr>
          <w:rFonts w:eastAsia="Calibri" w:cs="Times New Roman"/>
          <w:szCs w:val="24"/>
          <w:lang w:val="en-US"/>
        </w:rPr>
        <w:tab/>
        <w:t xml:space="preserve">A historical perspective on reservoir safety legislation in the United Kingdom / J.A. Charles // Reservoirs in a Changing WorldThomas Telford Publishing, 2002. — </w:t>
      </w:r>
      <w:r w:rsidRPr="00B449A5">
        <w:rPr>
          <w:rFonts w:eastAsia="Calibri" w:cs="Times New Roman"/>
          <w:szCs w:val="24"/>
        </w:rPr>
        <w:t>С</w:t>
      </w:r>
      <w:r w:rsidRPr="00B449A5">
        <w:rPr>
          <w:rFonts w:eastAsia="Calibri" w:cs="Times New Roman"/>
          <w:szCs w:val="24"/>
          <w:lang w:val="en-US"/>
        </w:rPr>
        <w:t>. 494–509. DOI: 10.1680/riacw.31395.0039</w:t>
      </w:r>
    </w:p>
    <w:p w14:paraId="5E16D274" w14:textId="2E738FF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16.</w:t>
      </w:r>
      <w:r w:rsidRPr="00B449A5">
        <w:rPr>
          <w:rFonts w:eastAsia="Calibri" w:cs="Times New Roman"/>
          <w:szCs w:val="24"/>
          <w:lang w:val="en-US"/>
        </w:rPr>
        <w:tab/>
        <w:t xml:space="preserve">A Case Study on Seepage Failure of Hauser Lake Dam / T. TANAKA, S. NAGAI // Journal of Groundwater Hydrology. — 1998. — </w:t>
      </w:r>
      <w:r w:rsidR="001A7438" w:rsidRPr="00FA3419">
        <w:rPr>
          <w:rFonts w:eastAsia="Calibri" w:cs="Times New Roman"/>
          <w:szCs w:val="24"/>
          <w:lang w:val="en-US"/>
        </w:rPr>
        <w:t>VOL.</w:t>
      </w:r>
      <w:r w:rsidRPr="00B449A5">
        <w:rPr>
          <w:rFonts w:eastAsia="Calibri" w:cs="Times New Roman"/>
          <w:szCs w:val="24"/>
          <w:lang w:val="en-US"/>
        </w:rPr>
        <w:t xml:space="preserve"> 40, № 1. — </w:t>
      </w:r>
      <w:r w:rsidRPr="00B449A5">
        <w:rPr>
          <w:rFonts w:eastAsia="Calibri" w:cs="Times New Roman"/>
          <w:szCs w:val="24"/>
        </w:rPr>
        <w:t>С</w:t>
      </w:r>
      <w:r w:rsidRPr="00B449A5">
        <w:rPr>
          <w:rFonts w:eastAsia="Calibri" w:cs="Times New Roman"/>
          <w:szCs w:val="24"/>
          <w:lang w:val="en-US"/>
        </w:rPr>
        <w:t>. 33–42. DOI: 10.5917/jagh1987.40.33</w:t>
      </w:r>
    </w:p>
    <w:p w14:paraId="2C949125" w14:textId="7236328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17.</w:t>
      </w:r>
      <w:r w:rsidRPr="00B449A5">
        <w:rPr>
          <w:rFonts w:eastAsia="Calibri" w:cs="Times New Roman"/>
          <w:szCs w:val="24"/>
          <w:lang w:val="en-US"/>
        </w:rPr>
        <w:tab/>
        <w:t xml:space="preserve">The Construction of the Sweetwater Dam / J.D. Schuyler // Transactions of the American Society of Civil Engineers. — 1888. — </w:t>
      </w:r>
      <w:r w:rsidR="001A7438" w:rsidRPr="001A7438">
        <w:rPr>
          <w:rFonts w:eastAsia="Calibri" w:cs="Times New Roman"/>
          <w:szCs w:val="24"/>
          <w:lang w:val="en-US"/>
        </w:rPr>
        <w:t>VOL.</w:t>
      </w:r>
      <w:r w:rsidRPr="00B449A5">
        <w:rPr>
          <w:rFonts w:eastAsia="Calibri" w:cs="Times New Roman"/>
          <w:szCs w:val="24"/>
          <w:lang w:val="en-US"/>
        </w:rPr>
        <w:t xml:space="preserve"> 19, № 2. — </w:t>
      </w:r>
      <w:r w:rsidRPr="00B449A5">
        <w:rPr>
          <w:rFonts w:eastAsia="Calibri" w:cs="Times New Roman"/>
          <w:szCs w:val="24"/>
        </w:rPr>
        <w:t>С</w:t>
      </w:r>
      <w:r w:rsidRPr="00B449A5">
        <w:rPr>
          <w:rFonts w:eastAsia="Calibri" w:cs="Times New Roman"/>
          <w:szCs w:val="24"/>
          <w:lang w:val="en-US"/>
        </w:rPr>
        <w:t>. 201–218. DOI: 10.1061/TACEAT.0000675</w:t>
      </w:r>
    </w:p>
    <w:p w14:paraId="5A910C96" w14:textId="0209272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18.</w:t>
      </w:r>
      <w:r w:rsidRPr="00B449A5">
        <w:rPr>
          <w:rFonts w:eastAsia="Calibri" w:cs="Times New Roman"/>
          <w:szCs w:val="24"/>
          <w:lang w:val="en-US"/>
        </w:rPr>
        <w:tab/>
        <w:t xml:space="preserve">Stemming the Flow: The Sweetwater Dam / B. Hansen // Civil Engineering Magazine Archive. — 2007. — </w:t>
      </w:r>
      <w:r w:rsidR="001A7438" w:rsidRPr="00FA3419">
        <w:rPr>
          <w:rFonts w:eastAsia="Calibri" w:cs="Times New Roman"/>
          <w:szCs w:val="24"/>
          <w:lang w:val="en-US"/>
        </w:rPr>
        <w:t>VOL.</w:t>
      </w:r>
      <w:r w:rsidRPr="00B449A5">
        <w:rPr>
          <w:rFonts w:eastAsia="Calibri" w:cs="Times New Roman"/>
          <w:szCs w:val="24"/>
          <w:lang w:val="en-US"/>
        </w:rPr>
        <w:t xml:space="preserve"> 77, № 6. — </w:t>
      </w:r>
      <w:r w:rsidRPr="00B449A5">
        <w:rPr>
          <w:rFonts w:eastAsia="Calibri" w:cs="Times New Roman"/>
          <w:szCs w:val="24"/>
        </w:rPr>
        <w:t>С</w:t>
      </w:r>
      <w:r w:rsidRPr="00B449A5">
        <w:rPr>
          <w:rFonts w:eastAsia="Calibri" w:cs="Times New Roman"/>
          <w:szCs w:val="24"/>
          <w:lang w:val="en-US"/>
        </w:rPr>
        <w:t>. 36–37. DOI: 10.1061/ciegag.0000799</w:t>
      </w:r>
    </w:p>
    <w:p w14:paraId="099CAFA9" w14:textId="2C599D0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19.</w:t>
      </w:r>
      <w:r w:rsidRPr="00B449A5">
        <w:rPr>
          <w:rFonts w:eastAsia="Calibri" w:cs="Times New Roman"/>
          <w:szCs w:val="24"/>
          <w:lang w:val="en-US"/>
        </w:rPr>
        <w:tab/>
        <w:t xml:space="preserve">Lessons from Catastrophic Dam Failures in August 1975 in Zhumadian, China / Y. Xu, L. Zhang, J. Jia // GeoCongress 2008. — Reston, VA: American Society of Civil Engineers, 2008. — </w:t>
      </w:r>
      <w:r w:rsidRPr="00B449A5">
        <w:rPr>
          <w:rFonts w:eastAsia="Calibri" w:cs="Times New Roman"/>
          <w:szCs w:val="24"/>
        </w:rPr>
        <w:t>С</w:t>
      </w:r>
      <w:r w:rsidRPr="00B449A5">
        <w:rPr>
          <w:rFonts w:eastAsia="Calibri" w:cs="Times New Roman"/>
          <w:szCs w:val="24"/>
          <w:lang w:val="en-US"/>
        </w:rPr>
        <w:t>. 162–169. DOI: 10.1061/40971(310)20</w:t>
      </w:r>
    </w:p>
    <w:p w14:paraId="5B0B9FB7" w14:textId="174A6D3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20.</w:t>
      </w:r>
      <w:r w:rsidRPr="00B449A5">
        <w:rPr>
          <w:rFonts w:eastAsia="Calibri" w:cs="Times New Roman"/>
          <w:szCs w:val="24"/>
          <w:lang w:val="en-US"/>
        </w:rPr>
        <w:tab/>
        <w:t xml:space="preserve">Failure models of a loess stacked dam: a case study in the Ansai Area (China) / J. Xu, W. Wei, H. Bao, K. Zhang, H. Lan, C. Yan, W. Sun // Bulletin of Engineering Geology and the Environment. — 2020. — </w:t>
      </w:r>
      <w:r w:rsidR="001A7438" w:rsidRPr="00FA3419">
        <w:rPr>
          <w:rFonts w:eastAsia="Calibri" w:cs="Times New Roman"/>
          <w:szCs w:val="24"/>
          <w:lang w:val="en-US"/>
        </w:rPr>
        <w:t>VOL.</w:t>
      </w:r>
      <w:r w:rsidRPr="00B449A5">
        <w:rPr>
          <w:rFonts w:eastAsia="Calibri" w:cs="Times New Roman"/>
          <w:szCs w:val="24"/>
          <w:lang w:val="en-US"/>
        </w:rPr>
        <w:t xml:space="preserve"> 79, № 2. — </w:t>
      </w:r>
      <w:r w:rsidRPr="00B449A5">
        <w:rPr>
          <w:rFonts w:eastAsia="Calibri" w:cs="Times New Roman"/>
          <w:szCs w:val="24"/>
        </w:rPr>
        <w:t>С</w:t>
      </w:r>
      <w:r w:rsidRPr="00B449A5">
        <w:rPr>
          <w:rFonts w:eastAsia="Calibri" w:cs="Times New Roman"/>
          <w:szCs w:val="24"/>
          <w:lang w:val="en-US"/>
        </w:rPr>
        <w:t>. 1009–1021. DOI: 10.1007/s10064-019-01605-z</w:t>
      </w:r>
    </w:p>
    <w:p w14:paraId="67FB0798" w14:textId="1F25DC9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21.</w:t>
      </w:r>
      <w:r w:rsidRPr="00B449A5">
        <w:rPr>
          <w:rFonts w:eastAsia="Calibri" w:cs="Times New Roman"/>
          <w:szCs w:val="24"/>
          <w:lang w:val="en-US"/>
        </w:rPr>
        <w:tab/>
        <w:t xml:space="preserve">Embankment dam seepage evaluation from resistivity monitoring data / P. Sjödahl, T. Dahlin, S. Johansson // Near Surface Geophysics. — 2009. — </w:t>
      </w:r>
      <w:r w:rsidR="001A7438" w:rsidRPr="00FA3419">
        <w:rPr>
          <w:rFonts w:eastAsia="Calibri" w:cs="Times New Roman"/>
          <w:szCs w:val="24"/>
          <w:lang w:val="en-US"/>
        </w:rPr>
        <w:t>VOL.</w:t>
      </w:r>
      <w:r w:rsidRPr="00B449A5">
        <w:rPr>
          <w:rFonts w:eastAsia="Calibri" w:cs="Times New Roman"/>
          <w:szCs w:val="24"/>
          <w:lang w:val="en-US"/>
        </w:rPr>
        <w:t xml:space="preserve"> 7, № 5–6. — </w:t>
      </w:r>
      <w:r w:rsidRPr="00B449A5">
        <w:rPr>
          <w:rFonts w:eastAsia="Calibri" w:cs="Times New Roman"/>
          <w:szCs w:val="24"/>
        </w:rPr>
        <w:t>С</w:t>
      </w:r>
      <w:r w:rsidRPr="00B449A5">
        <w:rPr>
          <w:rFonts w:eastAsia="Calibri" w:cs="Times New Roman"/>
          <w:szCs w:val="24"/>
          <w:lang w:val="en-US"/>
        </w:rPr>
        <w:t>. 463–474. DOI: 10.3997/1873-0604.2009023</w:t>
      </w:r>
    </w:p>
    <w:p w14:paraId="245F4370" w14:textId="7402C95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22.</w:t>
      </w:r>
      <w:r w:rsidRPr="00B449A5">
        <w:rPr>
          <w:rFonts w:eastAsia="Calibri" w:cs="Times New Roman"/>
          <w:szCs w:val="24"/>
          <w:lang w:val="en-US"/>
        </w:rPr>
        <w:tab/>
        <w:t xml:space="preserve">Rapid Drawdown in Homogeneous Earth Dam Considering Transient Flow and Suction / G.R. Llanque Ayala, F. Chagas da Silva Filho, R. Ferreira Leme, M. Do Carmo Reis Cavalcanti, C. Fernando Mahler // Ingeniería e Investigación. — 2020. — </w:t>
      </w:r>
      <w:r w:rsidR="001A7438" w:rsidRPr="00FA3419">
        <w:rPr>
          <w:rFonts w:eastAsia="Calibri" w:cs="Times New Roman"/>
          <w:szCs w:val="24"/>
          <w:lang w:val="en-US"/>
        </w:rPr>
        <w:t>VOL.</w:t>
      </w:r>
      <w:r w:rsidRPr="00B449A5">
        <w:rPr>
          <w:rFonts w:eastAsia="Calibri" w:cs="Times New Roman"/>
          <w:szCs w:val="24"/>
          <w:lang w:val="en-US"/>
        </w:rPr>
        <w:t xml:space="preserve"> 40, № 1. — </w:t>
      </w:r>
      <w:r w:rsidRPr="00B449A5">
        <w:rPr>
          <w:rFonts w:eastAsia="Calibri" w:cs="Times New Roman"/>
          <w:szCs w:val="24"/>
        </w:rPr>
        <w:t>С</w:t>
      </w:r>
      <w:r w:rsidRPr="00B449A5">
        <w:rPr>
          <w:rFonts w:eastAsia="Calibri" w:cs="Times New Roman"/>
          <w:szCs w:val="24"/>
          <w:lang w:val="en-US"/>
        </w:rPr>
        <w:t>. 17–26. DOI: 10.15446/ing.investig.v40n1.80002</w:t>
      </w:r>
    </w:p>
    <w:p w14:paraId="75AAE4C5" w14:textId="0F5F2F6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23.</w:t>
      </w:r>
      <w:r w:rsidRPr="00B449A5">
        <w:rPr>
          <w:rFonts w:eastAsia="Calibri" w:cs="Times New Roman"/>
          <w:szCs w:val="24"/>
          <w:lang w:val="en-US"/>
        </w:rPr>
        <w:tab/>
        <w:t>GEO-SLOPE International Ltd. Rapid Drawdown: 2018 R2 / GEO-SLOPE International Ltd. — Calgary, AB, Canada: GEO-SLOPE International Ltd, 2002.</w:t>
      </w:r>
    </w:p>
    <w:p w14:paraId="3817458A" w14:textId="51AA04F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24.</w:t>
      </w:r>
      <w:r w:rsidRPr="00B449A5">
        <w:rPr>
          <w:rFonts w:eastAsia="Calibri" w:cs="Times New Roman"/>
          <w:szCs w:val="24"/>
          <w:lang w:val="en-US"/>
        </w:rPr>
        <w:tab/>
        <w:t xml:space="preserve">VECTOR-SPATIAL ANALYSIS OF GIS APPLICATION LAYERS FOR PLACING STRATEGIC POINTS IN DAM DESIGN / S. Rodríguez Vázquez, N.V. Makrova // Construction and industrial safety. — 2021. — № 20(72). — </w:t>
      </w:r>
      <w:r w:rsidRPr="00B449A5">
        <w:rPr>
          <w:rFonts w:eastAsia="Calibri" w:cs="Times New Roman"/>
          <w:szCs w:val="24"/>
        </w:rPr>
        <w:t>С</w:t>
      </w:r>
      <w:r w:rsidRPr="00B449A5">
        <w:rPr>
          <w:rFonts w:eastAsia="Calibri" w:cs="Times New Roman"/>
          <w:szCs w:val="24"/>
          <w:lang w:val="en-US"/>
        </w:rPr>
        <w:t>. 43–51. DOI: 10.37279/2413-1873-2021-20-43-51</w:t>
      </w:r>
    </w:p>
    <w:p w14:paraId="6FD38F3B" w14:textId="04E3D49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25.</w:t>
      </w:r>
      <w:r w:rsidRPr="00B449A5">
        <w:rPr>
          <w:rFonts w:eastAsia="Calibri" w:cs="Times New Roman"/>
          <w:szCs w:val="24"/>
          <w:lang w:val="en-US"/>
        </w:rPr>
        <w:tab/>
        <w:t xml:space="preserve">Soil Conservation Service Curve Number (SCS-CN) Method: Current Applications, Remaining Challenges, and Future Perspectives / K.X. Soulis // Water. — 2021. — </w:t>
      </w:r>
      <w:r w:rsidR="001A7438" w:rsidRPr="00FA3419">
        <w:rPr>
          <w:rFonts w:eastAsia="Calibri" w:cs="Times New Roman"/>
          <w:szCs w:val="24"/>
          <w:lang w:val="en-US"/>
        </w:rPr>
        <w:t>VOL.</w:t>
      </w:r>
      <w:r w:rsidRPr="00B449A5">
        <w:rPr>
          <w:rFonts w:eastAsia="Calibri" w:cs="Times New Roman"/>
          <w:szCs w:val="24"/>
          <w:lang w:val="en-US"/>
        </w:rPr>
        <w:t xml:space="preserve"> 13, № 2. — </w:t>
      </w:r>
      <w:r w:rsidRPr="00B449A5">
        <w:rPr>
          <w:rFonts w:eastAsia="Calibri" w:cs="Times New Roman"/>
          <w:szCs w:val="24"/>
        </w:rPr>
        <w:t>С</w:t>
      </w:r>
      <w:r w:rsidRPr="00B449A5">
        <w:rPr>
          <w:rFonts w:eastAsia="Calibri" w:cs="Times New Roman"/>
          <w:szCs w:val="24"/>
          <w:lang w:val="en-US"/>
        </w:rPr>
        <w:t>. 192–192. DOI: 10.3390/w13020192</w:t>
      </w:r>
    </w:p>
    <w:p w14:paraId="222AAAF2" w14:textId="50A8DF2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26.</w:t>
      </w:r>
      <w:r w:rsidRPr="00B449A5">
        <w:rPr>
          <w:rFonts w:eastAsia="Calibri" w:cs="Times New Roman"/>
          <w:szCs w:val="24"/>
          <w:lang w:val="en-US"/>
        </w:rPr>
        <w:tab/>
        <w:t xml:space="preserve">Improved Curve Number Estimation in SWAT by Reflecting the Effect of Rainfall Intensity on Runoff Generation / D. Zhang, Q. Lin, X. Chen, T. Chai // Water. — 2019. — </w:t>
      </w:r>
      <w:r w:rsidR="001A7438" w:rsidRPr="00FA3419">
        <w:rPr>
          <w:rFonts w:eastAsia="Calibri" w:cs="Times New Roman"/>
          <w:szCs w:val="24"/>
          <w:lang w:val="en-US"/>
        </w:rPr>
        <w:t>VOL.</w:t>
      </w:r>
      <w:r w:rsidRPr="00B449A5">
        <w:rPr>
          <w:rFonts w:eastAsia="Calibri" w:cs="Times New Roman"/>
          <w:szCs w:val="24"/>
          <w:lang w:val="en-US"/>
        </w:rPr>
        <w:t xml:space="preserve"> 11, № 1. — </w:t>
      </w:r>
      <w:r w:rsidRPr="00B449A5">
        <w:rPr>
          <w:rFonts w:eastAsia="Calibri" w:cs="Times New Roman"/>
          <w:szCs w:val="24"/>
        </w:rPr>
        <w:t>С</w:t>
      </w:r>
      <w:r w:rsidRPr="00B449A5">
        <w:rPr>
          <w:rFonts w:eastAsia="Calibri" w:cs="Times New Roman"/>
          <w:szCs w:val="24"/>
          <w:lang w:val="en-US"/>
        </w:rPr>
        <w:t>. 163–163. DOI: 10.3390/w11010163</w:t>
      </w:r>
    </w:p>
    <w:p w14:paraId="59ECB797" w14:textId="7A9A232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27.</w:t>
      </w:r>
      <w:r w:rsidRPr="00B449A5">
        <w:rPr>
          <w:rFonts w:eastAsia="Calibri" w:cs="Times New Roman"/>
          <w:szCs w:val="24"/>
          <w:lang w:val="en-US"/>
        </w:rPr>
        <w:tab/>
        <w:t xml:space="preserve">Estimating Peak Runoff Rates Using the Rational Method / D.A. Chin // Journal of Irrigation and Drainage Engineering. — 2019. — </w:t>
      </w:r>
      <w:r w:rsidR="001A7438" w:rsidRPr="00FA3419">
        <w:rPr>
          <w:rFonts w:eastAsia="Calibri" w:cs="Times New Roman"/>
          <w:szCs w:val="24"/>
          <w:lang w:val="en-US"/>
        </w:rPr>
        <w:t>VOL.</w:t>
      </w:r>
      <w:r w:rsidRPr="00B449A5">
        <w:rPr>
          <w:rFonts w:eastAsia="Calibri" w:cs="Times New Roman"/>
          <w:szCs w:val="24"/>
          <w:lang w:val="en-US"/>
        </w:rPr>
        <w:t xml:space="preserve"> 145, № 6. — </w:t>
      </w:r>
      <w:r w:rsidRPr="00B449A5">
        <w:rPr>
          <w:rFonts w:eastAsia="Calibri" w:cs="Times New Roman"/>
          <w:szCs w:val="24"/>
        </w:rPr>
        <w:t>С</w:t>
      </w:r>
      <w:r w:rsidRPr="00B449A5">
        <w:rPr>
          <w:rFonts w:eastAsia="Calibri" w:cs="Times New Roman"/>
          <w:szCs w:val="24"/>
          <w:lang w:val="en-US"/>
        </w:rPr>
        <w:t>. 04019006–04019006. DOI: 10.1061/(ASCE)IR.1943-4774.0001387</w:t>
      </w:r>
    </w:p>
    <w:p w14:paraId="694C061A" w14:textId="02CA56C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28.</w:t>
      </w:r>
      <w:r w:rsidRPr="00B449A5">
        <w:rPr>
          <w:rFonts w:eastAsia="Calibri" w:cs="Times New Roman"/>
          <w:szCs w:val="24"/>
          <w:lang w:val="en-US"/>
        </w:rPr>
        <w:tab/>
        <w:t xml:space="preserve">A review of the USDA SCS curve number method / W. Boughton // Soil Research. — 1989. — </w:t>
      </w:r>
      <w:r w:rsidR="001A7438" w:rsidRPr="00FA3419">
        <w:rPr>
          <w:rFonts w:eastAsia="Calibri" w:cs="Times New Roman"/>
          <w:szCs w:val="24"/>
          <w:lang w:val="en-US"/>
        </w:rPr>
        <w:t>VOL.</w:t>
      </w:r>
      <w:r w:rsidRPr="00B449A5">
        <w:rPr>
          <w:rFonts w:eastAsia="Calibri" w:cs="Times New Roman"/>
          <w:szCs w:val="24"/>
          <w:lang w:val="en-US"/>
        </w:rPr>
        <w:t xml:space="preserve"> 27, № 3. — </w:t>
      </w:r>
      <w:r w:rsidRPr="00B449A5">
        <w:rPr>
          <w:rFonts w:eastAsia="Calibri" w:cs="Times New Roman"/>
          <w:szCs w:val="24"/>
        </w:rPr>
        <w:t>С</w:t>
      </w:r>
      <w:r w:rsidRPr="00B449A5">
        <w:rPr>
          <w:rFonts w:eastAsia="Calibri" w:cs="Times New Roman"/>
          <w:szCs w:val="24"/>
          <w:lang w:val="en-US"/>
        </w:rPr>
        <w:t>. 511–511. DOI: 10.1071/SR9890511</w:t>
      </w:r>
    </w:p>
    <w:p w14:paraId="24930304" w14:textId="14C3786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29.</w:t>
      </w:r>
      <w:r w:rsidRPr="00B449A5">
        <w:rPr>
          <w:rFonts w:eastAsia="Calibri" w:cs="Times New Roman"/>
          <w:szCs w:val="24"/>
          <w:lang w:val="en-US"/>
        </w:rPr>
        <w:tab/>
        <w:t xml:space="preserve">Engineering geology investigation and numerical modelling design of the Ramp 12 highwall / B. Roache, A. Johnstone // Proceedings of the 2020 International Symposium on Slope Stability in Open Pit Mining and Civil EngineeringAustralian Centre for Geomechanics, Perth, 2020. — </w:t>
      </w:r>
      <w:r w:rsidRPr="00B449A5">
        <w:rPr>
          <w:rFonts w:eastAsia="Calibri" w:cs="Times New Roman"/>
          <w:szCs w:val="24"/>
        </w:rPr>
        <w:t>С</w:t>
      </w:r>
      <w:r w:rsidRPr="00B449A5">
        <w:rPr>
          <w:rFonts w:eastAsia="Calibri" w:cs="Times New Roman"/>
          <w:szCs w:val="24"/>
          <w:lang w:val="en-US"/>
        </w:rPr>
        <w:t>. 927–936. DOI: 10.36487/ACG_repo/2025_61</w:t>
      </w:r>
    </w:p>
    <w:p w14:paraId="36E775B0" w14:textId="29EFC1E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30.</w:t>
      </w:r>
      <w:r w:rsidRPr="00B449A5">
        <w:rPr>
          <w:rFonts w:eastAsia="Calibri" w:cs="Times New Roman"/>
          <w:szCs w:val="24"/>
          <w:lang w:val="en-US"/>
        </w:rPr>
        <w:tab/>
        <w:t>Seismic Deformation Analysis of Embankment Dams Using Simplified Total-Stress Approach / K.Z.-Z. Lee, N. Jensen, D.R. Gillette, D.T. Wittwer // Journal of Geotechnical and Geoenvironmental Engineering. — 2019. DOI: 10.1061/(asce)gt.1943-5606.0002135</w:t>
      </w:r>
    </w:p>
    <w:p w14:paraId="689AB47B" w14:textId="0717BE5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31.</w:t>
      </w:r>
      <w:r w:rsidRPr="00B449A5">
        <w:rPr>
          <w:rFonts w:eastAsia="Calibri" w:cs="Times New Roman"/>
          <w:szCs w:val="24"/>
          <w:lang w:val="en-US"/>
        </w:rPr>
        <w:tab/>
        <w:t xml:space="preserve">Numerical modelling of transverse cracking in embankment dams / K. He, C. Song, R. Fell // Computers and Geotechnics. — 2021. — </w:t>
      </w:r>
      <w:r w:rsidR="001A7438" w:rsidRPr="00FA3419">
        <w:rPr>
          <w:rFonts w:eastAsia="Calibri" w:cs="Times New Roman"/>
          <w:szCs w:val="24"/>
          <w:lang w:val="en-US"/>
        </w:rPr>
        <w:t>VOL.</w:t>
      </w:r>
      <w:r w:rsidRPr="00B449A5">
        <w:rPr>
          <w:rFonts w:eastAsia="Calibri" w:cs="Times New Roman"/>
          <w:szCs w:val="24"/>
          <w:lang w:val="en-US"/>
        </w:rPr>
        <w:t xml:space="preserve"> 132. — </w:t>
      </w:r>
      <w:r w:rsidRPr="00B449A5">
        <w:rPr>
          <w:rFonts w:eastAsia="Calibri" w:cs="Times New Roman"/>
          <w:szCs w:val="24"/>
        </w:rPr>
        <w:t>С</w:t>
      </w:r>
      <w:r w:rsidRPr="00B449A5">
        <w:rPr>
          <w:rFonts w:eastAsia="Calibri" w:cs="Times New Roman"/>
          <w:szCs w:val="24"/>
          <w:lang w:val="en-US"/>
        </w:rPr>
        <w:t>. 104028–104028. DOI: 10.1016/j.compgeo.2021.104028</w:t>
      </w:r>
    </w:p>
    <w:p w14:paraId="120AC0D5" w14:textId="1CC9F7B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32.</w:t>
      </w:r>
      <w:r w:rsidRPr="00B449A5">
        <w:rPr>
          <w:rFonts w:eastAsia="Calibri" w:cs="Times New Roman"/>
          <w:szCs w:val="24"/>
          <w:lang w:val="en-US"/>
        </w:rPr>
        <w:tab/>
        <w:t xml:space="preserve">Toe drain size and slope stability of homogeneous embankment dam under rapid drawdown. / T. Mkilima // Technobius. — 2021. — </w:t>
      </w:r>
      <w:r w:rsidR="001A7438" w:rsidRPr="00FA3419">
        <w:rPr>
          <w:rFonts w:eastAsia="Calibri" w:cs="Times New Roman"/>
          <w:szCs w:val="24"/>
          <w:lang w:val="en-US"/>
        </w:rPr>
        <w:t>VOL.</w:t>
      </w:r>
      <w:r w:rsidRPr="00B449A5">
        <w:rPr>
          <w:rFonts w:eastAsia="Calibri" w:cs="Times New Roman"/>
          <w:szCs w:val="24"/>
          <w:lang w:val="en-US"/>
        </w:rPr>
        <w:t xml:space="preserve"> 1, № 3. — </w:t>
      </w:r>
      <w:r w:rsidRPr="00B449A5">
        <w:rPr>
          <w:rFonts w:eastAsia="Calibri" w:cs="Times New Roman"/>
          <w:szCs w:val="24"/>
        </w:rPr>
        <w:t>С</w:t>
      </w:r>
      <w:r w:rsidRPr="00B449A5">
        <w:rPr>
          <w:rFonts w:eastAsia="Calibri" w:cs="Times New Roman"/>
          <w:szCs w:val="24"/>
          <w:lang w:val="en-US"/>
        </w:rPr>
        <w:t>. 0001–0001. DOI: 10.54355/tbus/1.3.2021.0001</w:t>
      </w:r>
    </w:p>
    <w:p w14:paraId="41945F4E" w14:textId="4625322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33.</w:t>
      </w:r>
      <w:r w:rsidRPr="00B449A5">
        <w:rPr>
          <w:rFonts w:eastAsia="Calibri" w:cs="Times New Roman"/>
          <w:szCs w:val="24"/>
          <w:lang w:val="en-US"/>
        </w:rPr>
        <w:tab/>
        <w:t xml:space="preserve">Failure of a geomembrane lined embankment dam – Case study / S. Messerklinger // Geotextiles and Geomembranes. — 2014. — </w:t>
      </w:r>
      <w:r w:rsidR="001A7438" w:rsidRPr="00FA3419">
        <w:rPr>
          <w:rFonts w:eastAsia="Calibri" w:cs="Times New Roman"/>
          <w:szCs w:val="24"/>
          <w:lang w:val="en-US"/>
        </w:rPr>
        <w:t>VOL.</w:t>
      </w:r>
      <w:r w:rsidRPr="00B449A5">
        <w:rPr>
          <w:rFonts w:eastAsia="Calibri" w:cs="Times New Roman"/>
          <w:szCs w:val="24"/>
          <w:lang w:val="en-US"/>
        </w:rPr>
        <w:t xml:space="preserve"> 42, № 3. — </w:t>
      </w:r>
      <w:r w:rsidRPr="00B449A5">
        <w:rPr>
          <w:rFonts w:eastAsia="Calibri" w:cs="Times New Roman"/>
          <w:szCs w:val="24"/>
        </w:rPr>
        <w:t>С</w:t>
      </w:r>
      <w:r w:rsidRPr="00B449A5">
        <w:rPr>
          <w:rFonts w:eastAsia="Calibri" w:cs="Times New Roman"/>
          <w:szCs w:val="24"/>
          <w:lang w:val="en-US"/>
        </w:rPr>
        <w:t>. 256–266. DOI: 10.1016/j.geotexmem.2013.12.004</w:t>
      </w:r>
    </w:p>
    <w:p w14:paraId="74190874" w14:textId="662F596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34.</w:t>
      </w:r>
      <w:r w:rsidRPr="00B449A5">
        <w:rPr>
          <w:rFonts w:eastAsia="Calibri" w:cs="Times New Roman"/>
          <w:szCs w:val="24"/>
          <w:lang w:val="en-US"/>
        </w:rPr>
        <w:tab/>
        <w:t xml:space="preserve">Breaches of embankment and landslide dams - State of the art review / Q. Zhong, L. Wang, S. Chen, Z. Chen, Y. Shan, Q. Zhang, Q. Ren, S. Mei, J. Jiang, L. Hu, J. Liu // Earth-Science Reviews. — 2021. — </w:t>
      </w:r>
      <w:r w:rsidR="001A7438" w:rsidRPr="00FA3419">
        <w:rPr>
          <w:rFonts w:eastAsia="Calibri" w:cs="Times New Roman"/>
          <w:szCs w:val="24"/>
          <w:lang w:val="en-US"/>
        </w:rPr>
        <w:t>VOL.</w:t>
      </w:r>
      <w:r w:rsidRPr="00B449A5">
        <w:rPr>
          <w:rFonts w:eastAsia="Calibri" w:cs="Times New Roman"/>
          <w:szCs w:val="24"/>
          <w:lang w:val="en-US"/>
        </w:rPr>
        <w:t xml:space="preserve"> 216. — </w:t>
      </w:r>
      <w:r w:rsidRPr="00B449A5">
        <w:rPr>
          <w:rFonts w:eastAsia="Calibri" w:cs="Times New Roman"/>
          <w:szCs w:val="24"/>
        </w:rPr>
        <w:t>С</w:t>
      </w:r>
      <w:r w:rsidRPr="00B449A5">
        <w:rPr>
          <w:rFonts w:eastAsia="Calibri" w:cs="Times New Roman"/>
          <w:szCs w:val="24"/>
          <w:lang w:val="en-US"/>
        </w:rPr>
        <w:t>. 103597–103597. DOI: 10.1016/j.earscirev.2021.103597</w:t>
      </w:r>
    </w:p>
    <w:p w14:paraId="7F66312A" w14:textId="32B4D70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35.</w:t>
      </w:r>
      <w:r w:rsidRPr="00B449A5">
        <w:rPr>
          <w:rFonts w:eastAsia="Calibri" w:cs="Times New Roman"/>
          <w:szCs w:val="24"/>
          <w:lang w:val="en-US"/>
        </w:rPr>
        <w:tab/>
        <w:t>Overtopping Protection Systems for Overflow Earth Dams / O. Pourabdollah, M. Misaghian // World Academy of Science, Engineering and Technology International Journal of Civil and Environmental Engineering. — 2019.</w:t>
      </w:r>
    </w:p>
    <w:p w14:paraId="0E790F2C" w14:textId="248C81B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36.</w:t>
      </w:r>
      <w:r w:rsidRPr="00B449A5">
        <w:rPr>
          <w:rFonts w:eastAsia="Calibri" w:cs="Times New Roman"/>
          <w:szCs w:val="24"/>
          <w:lang w:val="en-US"/>
        </w:rPr>
        <w:tab/>
        <w:t xml:space="preserve">A basin-wide approach for water allocation and dams location-allocation / R. Roozbahani, B. Abbasi, S. Schreider, Z. Hosseinifard // Annals of Operations Research. — 2020. — </w:t>
      </w:r>
      <w:r w:rsidR="001A7438" w:rsidRPr="00FA3419">
        <w:rPr>
          <w:rFonts w:eastAsia="Calibri" w:cs="Times New Roman"/>
          <w:szCs w:val="24"/>
          <w:lang w:val="en-US"/>
        </w:rPr>
        <w:t>VOL.</w:t>
      </w:r>
      <w:r w:rsidRPr="00B449A5">
        <w:rPr>
          <w:rFonts w:eastAsia="Calibri" w:cs="Times New Roman"/>
          <w:szCs w:val="24"/>
          <w:lang w:val="en-US"/>
        </w:rPr>
        <w:t xml:space="preserve"> 287, № 1. — </w:t>
      </w:r>
      <w:r w:rsidRPr="00B449A5">
        <w:rPr>
          <w:rFonts w:eastAsia="Calibri" w:cs="Times New Roman"/>
          <w:szCs w:val="24"/>
        </w:rPr>
        <w:t>С</w:t>
      </w:r>
      <w:r w:rsidRPr="00B449A5">
        <w:rPr>
          <w:rFonts w:eastAsia="Calibri" w:cs="Times New Roman"/>
          <w:szCs w:val="24"/>
          <w:lang w:val="en-US"/>
        </w:rPr>
        <w:t>. 323–349. DOI: 10.1007/s10479-019-03345-5</w:t>
      </w:r>
    </w:p>
    <w:p w14:paraId="5547C8A6" w14:textId="3DF275C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37.</w:t>
      </w:r>
      <w:r w:rsidRPr="00B449A5">
        <w:rPr>
          <w:rFonts w:eastAsia="Calibri" w:cs="Times New Roman"/>
          <w:szCs w:val="24"/>
          <w:lang w:val="en-US"/>
        </w:rPr>
        <w:tab/>
        <w:t xml:space="preserve">Impact of Land Use Land Cover (LULC) Change on Surface Runoff in an Increasingly Urbanized Tropical Watershed / I.S. Astuti, K. Sahoo, A. Milewski, D.R. Mishra // Water Resources Management. — 2019. — </w:t>
      </w:r>
      <w:r w:rsidR="001A7438" w:rsidRPr="00FA3419">
        <w:rPr>
          <w:rFonts w:eastAsia="Calibri" w:cs="Times New Roman"/>
          <w:szCs w:val="24"/>
          <w:lang w:val="en-US"/>
        </w:rPr>
        <w:t>VOL.</w:t>
      </w:r>
      <w:r w:rsidRPr="00B449A5">
        <w:rPr>
          <w:rFonts w:eastAsia="Calibri" w:cs="Times New Roman"/>
          <w:szCs w:val="24"/>
          <w:lang w:val="en-US"/>
        </w:rPr>
        <w:t xml:space="preserve"> 33, № 12. — </w:t>
      </w:r>
      <w:r w:rsidRPr="00B449A5">
        <w:rPr>
          <w:rFonts w:eastAsia="Calibri" w:cs="Times New Roman"/>
          <w:szCs w:val="24"/>
        </w:rPr>
        <w:t>С</w:t>
      </w:r>
      <w:r w:rsidRPr="00B449A5">
        <w:rPr>
          <w:rFonts w:eastAsia="Calibri" w:cs="Times New Roman"/>
          <w:szCs w:val="24"/>
          <w:lang w:val="en-US"/>
        </w:rPr>
        <w:t>. 4087–4103. DOI: 10.1007/s11269-019-02320-w</w:t>
      </w:r>
    </w:p>
    <w:p w14:paraId="3DE974F3" w14:textId="5CC59ED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38.</w:t>
      </w:r>
      <w:r w:rsidRPr="00B449A5">
        <w:rPr>
          <w:rFonts w:eastAsia="Calibri" w:cs="Times New Roman"/>
          <w:szCs w:val="24"/>
          <w:lang w:val="en-US"/>
        </w:rPr>
        <w:tab/>
        <w:t xml:space="preserve">Analyses of extreme precipitation and runoff events including uncertainties and reliability in design and management of urban water infrastructure / T.T. Hailegeorgis, K. Alfredsen // Journal of Hydrology. — 2017. — </w:t>
      </w:r>
      <w:r w:rsidR="001A7438" w:rsidRPr="00FA3419">
        <w:rPr>
          <w:rFonts w:eastAsia="Calibri" w:cs="Times New Roman"/>
          <w:szCs w:val="24"/>
          <w:lang w:val="en-US"/>
        </w:rPr>
        <w:t>VOL.</w:t>
      </w:r>
      <w:r w:rsidRPr="00B449A5">
        <w:rPr>
          <w:rFonts w:eastAsia="Calibri" w:cs="Times New Roman"/>
          <w:szCs w:val="24"/>
          <w:lang w:val="en-US"/>
        </w:rPr>
        <w:t xml:space="preserve"> 544. — </w:t>
      </w:r>
      <w:r w:rsidRPr="00B449A5">
        <w:rPr>
          <w:rFonts w:eastAsia="Calibri" w:cs="Times New Roman"/>
          <w:szCs w:val="24"/>
        </w:rPr>
        <w:t>С</w:t>
      </w:r>
      <w:r w:rsidRPr="00B449A5">
        <w:rPr>
          <w:rFonts w:eastAsia="Calibri" w:cs="Times New Roman"/>
          <w:szCs w:val="24"/>
          <w:lang w:val="en-US"/>
        </w:rPr>
        <w:t>. 290–305. DOI: 10.1016/j.jhydrol.2016.11.037</w:t>
      </w:r>
    </w:p>
    <w:p w14:paraId="403876A7" w14:textId="4E5C617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39.</w:t>
      </w:r>
      <w:r w:rsidRPr="00B449A5">
        <w:rPr>
          <w:rFonts w:eastAsia="Calibri" w:cs="Times New Roman"/>
          <w:szCs w:val="24"/>
          <w:lang w:val="en-US"/>
        </w:rPr>
        <w:tab/>
        <w:t>The impact of urbanisation and stormwater management practices on water balances and nutrient pathways in areas of high groundwater: a review of recent literature / C. Ocampo // Cooperative Research Centre for Water Sensitive Cities. — 2018.</w:t>
      </w:r>
    </w:p>
    <w:p w14:paraId="512CBF7B" w14:textId="677E7BA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40.</w:t>
      </w:r>
      <w:r w:rsidRPr="00B449A5">
        <w:rPr>
          <w:rFonts w:eastAsia="Calibri" w:cs="Times New Roman"/>
          <w:szCs w:val="24"/>
          <w:lang w:val="en-US"/>
        </w:rPr>
        <w:tab/>
        <w:t xml:space="preserve">Breach mechanism and numerical modeling of barrier dam due to overtopping failure / Q. ZHONG, S. CHEN, Z. DENG // SCIENTIA SINICA Technologica. — 2018. — </w:t>
      </w:r>
      <w:r w:rsidR="001A7438" w:rsidRPr="00FA3419">
        <w:rPr>
          <w:rFonts w:eastAsia="Calibri" w:cs="Times New Roman"/>
          <w:szCs w:val="24"/>
          <w:lang w:val="en-US"/>
        </w:rPr>
        <w:t>VOL.</w:t>
      </w:r>
      <w:r w:rsidRPr="00B449A5">
        <w:rPr>
          <w:rFonts w:eastAsia="Calibri" w:cs="Times New Roman"/>
          <w:szCs w:val="24"/>
          <w:lang w:val="en-US"/>
        </w:rPr>
        <w:t xml:space="preserve"> 48, № 9. — </w:t>
      </w:r>
      <w:r w:rsidRPr="00B449A5">
        <w:rPr>
          <w:rFonts w:eastAsia="Calibri" w:cs="Times New Roman"/>
          <w:szCs w:val="24"/>
        </w:rPr>
        <w:t>С</w:t>
      </w:r>
      <w:r w:rsidRPr="00B449A5">
        <w:rPr>
          <w:rFonts w:eastAsia="Calibri" w:cs="Times New Roman"/>
          <w:szCs w:val="24"/>
          <w:lang w:val="en-US"/>
        </w:rPr>
        <w:t>. 959–968. DOI: 10.1360/N092017-00213</w:t>
      </w:r>
    </w:p>
    <w:p w14:paraId="3CBAB138" w14:textId="2C3B79D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41.</w:t>
      </w:r>
      <w:r w:rsidRPr="00B449A5">
        <w:rPr>
          <w:rFonts w:eastAsia="Calibri" w:cs="Times New Roman"/>
          <w:szCs w:val="24"/>
          <w:lang w:val="en-US"/>
        </w:rPr>
        <w:tab/>
        <w:t xml:space="preserve">Numerical model for homogeneous cohesive dam breaching due to overtopping failure / Q. Zhong, S. Chen, Z. Deng // Journal of Mountain Science. — 2017. — </w:t>
      </w:r>
      <w:r w:rsidR="001A7438" w:rsidRPr="00FA3419">
        <w:rPr>
          <w:rFonts w:eastAsia="Calibri" w:cs="Times New Roman"/>
          <w:szCs w:val="24"/>
          <w:lang w:val="en-US"/>
        </w:rPr>
        <w:t>VOL.</w:t>
      </w:r>
      <w:r w:rsidRPr="00B449A5">
        <w:rPr>
          <w:rFonts w:eastAsia="Calibri" w:cs="Times New Roman"/>
          <w:szCs w:val="24"/>
          <w:lang w:val="en-US"/>
        </w:rPr>
        <w:t xml:space="preserve"> 14, № 3. — </w:t>
      </w:r>
      <w:r w:rsidRPr="00B449A5">
        <w:rPr>
          <w:rFonts w:eastAsia="Calibri" w:cs="Times New Roman"/>
          <w:szCs w:val="24"/>
        </w:rPr>
        <w:t>С</w:t>
      </w:r>
      <w:r w:rsidRPr="00B449A5">
        <w:rPr>
          <w:rFonts w:eastAsia="Calibri" w:cs="Times New Roman"/>
          <w:szCs w:val="24"/>
          <w:lang w:val="en-US"/>
        </w:rPr>
        <w:t>. 571–580. DOI: 10.1007/s11629-016-3907-5</w:t>
      </w:r>
    </w:p>
    <w:p w14:paraId="612D7B85" w14:textId="7664A56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42.</w:t>
      </w:r>
      <w:r w:rsidRPr="00B449A5">
        <w:rPr>
          <w:rFonts w:eastAsia="Calibri" w:cs="Times New Roman"/>
          <w:szCs w:val="24"/>
          <w:lang w:val="en-US"/>
        </w:rPr>
        <w:tab/>
        <w:t xml:space="preserve">Physical modeling into outflow hydrographs and breach characteristics of homogeneous earthfill dams failure due to overtopping / K. Kouzehgar, Y. Hassanzadeh, S. Eslamian, M. Yousefzadeh Fard, A. Babaeian Amini // Journal of Mountain Science. — 2021. — </w:t>
      </w:r>
      <w:r w:rsidR="001A7438" w:rsidRPr="00FA3419">
        <w:rPr>
          <w:rFonts w:eastAsia="Calibri" w:cs="Times New Roman"/>
          <w:szCs w:val="24"/>
          <w:lang w:val="en-US"/>
        </w:rPr>
        <w:t>VOL.</w:t>
      </w:r>
      <w:r w:rsidRPr="00B449A5">
        <w:rPr>
          <w:rFonts w:eastAsia="Calibri" w:cs="Times New Roman"/>
          <w:szCs w:val="24"/>
          <w:lang w:val="en-US"/>
        </w:rPr>
        <w:t xml:space="preserve"> 18, № 2. — </w:t>
      </w:r>
      <w:r w:rsidRPr="00B449A5">
        <w:rPr>
          <w:rFonts w:eastAsia="Calibri" w:cs="Times New Roman"/>
          <w:szCs w:val="24"/>
        </w:rPr>
        <w:t>С</w:t>
      </w:r>
      <w:r w:rsidRPr="00B449A5">
        <w:rPr>
          <w:rFonts w:eastAsia="Calibri" w:cs="Times New Roman"/>
          <w:szCs w:val="24"/>
          <w:lang w:val="en-US"/>
        </w:rPr>
        <w:t>. 462–481. DOI: 10.1007/s11629-020-6177-1</w:t>
      </w:r>
    </w:p>
    <w:p w14:paraId="28E896C7" w14:textId="212D4F2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43.</w:t>
      </w:r>
      <w:r w:rsidRPr="00B449A5">
        <w:rPr>
          <w:rFonts w:eastAsia="Calibri" w:cs="Times New Roman"/>
          <w:szCs w:val="24"/>
          <w:lang w:val="en-US"/>
        </w:rPr>
        <w:tab/>
        <w:t xml:space="preserve">Experimental Study of a Tailings Impoundment Dam Failure Due to Overtopping / T. Wu, J. Qin // Mine Water and the Environment. — 2018. — </w:t>
      </w:r>
      <w:r w:rsidR="001A7438" w:rsidRPr="00FA3419">
        <w:rPr>
          <w:rFonts w:eastAsia="Calibri" w:cs="Times New Roman"/>
          <w:szCs w:val="24"/>
          <w:lang w:val="en-US"/>
        </w:rPr>
        <w:t>VOL.</w:t>
      </w:r>
      <w:r w:rsidRPr="00B449A5">
        <w:rPr>
          <w:rFonts w:eastAsia="Calibri" w:cs="Times New Roman"/>
          <w:szCs w:val="24"/>
          <w:lang w:val="en-US"/>
        </w:rPr>
        <w:t xml:space="preserve"> 37, № 2. — </w:t>
      </w:r>
      <w:r w:rsidRPr="00B449A5">
        <w:rPr>
          <w:rFonts w:eastAsia="Calibri" w:cs="Times New Roman"/>
          <w:szCs w:val="24"/>
        </w:rPr>
        <w:t>С</w:t>
      </w:r>
      <w:r w:rsidRPr="00B449A5">
        <w:rPr>
          <w:rFonts w:eastAsia="Calibri" w:cs="Times New Roman"/>
          <w:szCs w:val="24"/>
          <w:lang w:val="en-US"/>
        </w:rPr>
        <w:t>. 272–280. DOI: 10.1007/s10230-018-0529-x</w:t>
      </w:r>
    </w:p>
    <w:p w14:paraId="7DED14A0" w14:textId="116B850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44.</w:t>
      </w:r>
      <w:r w:rsidRPr="00B449A5">
        <w:rPr>
          <w:rFonts w:eastAsia="Calibri" w:cs="Times New Roman"/>
          <w:szCs w:val="24"/>
          <w:lang w:val="en-US"/>
        </w:rPr>
        <w:tab/>
        <w:t>4 Hidden Causes of Dam Failures / National Geographic Society — 2015.</w:t>
      </w:r>
    </w:p>
    <w:p w14:paraId="0B3D3125" w14:textId="4495281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45.</w:t>
      </w:r>
      <w:r w:rsidRPr="00B449A5">
        <w:rPr>
          <w:rFonts w:eastAsia="Calibri" w:cs="Times New Roman"/>
          <w:szCs w:val="24"/>
          <w:lang w:val="en-US"/>
        </w:rPr>
        <w:tab/>
        <w:t xml:space="preserve">Integrating elevation data and multispectral high-resolution images for an improved hybrid Land Use/Land Cover mapping / M. Sturari, E. Frontoni, R. Pierdicca, A. Mancini, E.S. Malinverni, A.N. Tassetti, P. Zingaretti // European Journal of Remote Sensing. — 2017. — </w:t>
      </w:r>
      <w:r w:rsidR="001A7438" w:rsidRPr="00FA3419">
        <w:rPr>
          <w:rFonts w:eastAsia="Calibri" w:cs="Times New Roman"/>
          <w:szCs w:val="24"/>
          <w:lang w:val="en-US"/>
        </w:rPr>
        <w:t>VOL.</w:t>
      </w:r>
      <w:r w:rsidRPr="00B449A5">
        <w:rPr>
          <w:rFonts w:eastAsia="Calibri" w:cs="Times New Roman"/>
          <w:szCs w:val="24"/>
          <w:lang w:val="en-US"/>
        </w:rPr>
        <w:t xml:space="preserve"> 50, № 1. — </w:t>
      </w:r>
      <w:r w:rsidRPr="00B449A5">
        <w:rPr>
          <w:rFonts w:eastAsia="Calibri" w:cs="Times New Roman"/>
          <w:szCs w:val="24"/>
        </w:rPr>
        <w:t>С</w:t>
      </w:r>
      <w:r w:rsidRPr="00B449A5">
        <w:rPr>
          <w:rFonts w:eastAsia="Calibri" w:cs="Times New Roman"/>
          <w:szCs w:val="24"/>
          <w:lang w:val="en-US"/>
        </w:rPr>
        <w:t>. 1–17. DOI: 10.1080/22797254.2017.1274572</w:t>
      </w:r>
    </w:p>
    <w:p w14:paraId="45930506" w14:textId="1485B5D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46.</w:t>
      </w:r>
      <w:r w:rsidRPr="00B449A5">
        <w:rPr>
          <w:rFonts w:eastAsia="Calibri" w:cs="Times New Roman"/>
          <w:szCs w:val="24"/>
          <w:lang w:val="en-US"/>
        </w:rPr>
        <w:tab/>
        <w:t xml:space="preserve">Detecting Large-Scale Urban Land Cover Changes from Very High Resolution Remote Sensing Images Using CNN-Based Classification / C. Zhang, S. Wei, S. Ji, M. Lu // ISPRS International Journal of Geo-Information. — 2019. — </w:t>
      </w:r>
      <w:r w:rsidR="001A7438" w:rsidRPr="00FA3419">
        <w:rPr>
          <w:rFonts w:eastAsia="Calibri" w:cs="Times New Roman"/>
          <w:szCs w:val="24"/>
          <w:lang w:val="en-US"/>
        </w:rPr>
        <w:t>VOL.</w:t>
      </w:r>
      <w:r w:rsidRPr="00B449A5">
        <w:rPr>
          <w:rFonts w:eastAsia="Calibri" w:cs="Times New Roman"/>
          <w:szCs w:val="24"/>
          <w:lang w:val="en-US"/>
        </w:rPr>
        <w:t xml:space="preserve"> 8, № 4. — </w:t>
      </w:r>
      <w:r w:rsidRPr="00B449A5">
        <w:rPr>
          <w:rFonts w:eastAsia="Calibri" w:cs="Times New Roman"/>
          <w:szCs w:val="24"/>
        </w:rPr>
        <w:t>С</w:t>
      </w:r>
      <w:r w:rsidRPr="00B449A5">
        <w:rPr>
          <w:rFonts w:eastAsia="Calibri" w:cs="Times New Roman"/>
          <w:szCs w:val="24"/>
          <w:lang w:val="en-US"/>
        </w:rPr>
        <w:t>. 189–189. DOI: 10.3390/ijgi8040189</w:t>
      </w:r>
    </w:p>
    <w:p w14:paraId="601C5971" w14:textId="0B646C1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47.</w:t>
      </w:r>
      <w:r w:rsidRPr="00B449A5">
        <w:rPr>
          <w:rFonts w:eastAsia="Calibri" w:cs="Times New Roman"/>
          <w:szCs w:val="24"/>
          <w:lang w:val="en-US"/>
        </w:rPr>
        <w:tab/>
        <w:t xml:space="preserve">Effects of urbanization on water quality in a watershed in northeastern Brazil / T.C. Cerqueira, R.L. Mendonça, R.L. Gomes, R.M. de Jesus, D.M.L. da Silva // Environmental Monitoring and Assessment. — 2020. — </w:t>
      </w:r>
      <w:r w:rsidR="001A7438" w:rsidRPr="00FA3419">
        <w:rPr>
          <w:rFonts w:eastAsia="Calibri" w:cs="Times New Roman"/>
          <w:szCs w:val="24"/>
          <w:lang w:val="en-US"/>
        </w:rPr>
        <w:t>VOL.</w:t>
      </w:r>
      <w:r w:rsidRPr="00B449A5">
        <w:rPr>
          <w:rFonts w:eastAsia="Calibri" w:cs="Times New Roman"/>
          <w:szCs w:val="24"/>
          <w:lang w:val="en-US"/>
        </w:rPr>
        <w:t xml:space="preserve"> 192, № 1. — </w:t>
      </w:r>
      <w:r w:rsidRPr="00B449A5">
        <w:rPr>
          <w:rFonts w:eastAsia="Calibri" w:cs="Times New Roman"/>
          <w:szCs w:val="24"/>
        </w:rPr>
        <w:t>С</w:t>
      </w:r>
      <w:r w:rsidRPr="00B449A5">
        <w:rPr>
          <w:rFonts w:eastAsia="Calibri" w:cs="Times New Roman"/>
          <w:szCs w:val="24"/>
          <w:lang w:val="en-US"/>
        </w:rPr>
        <w:t>. 65–65. DOI: 10.1007/s10661-019-8020-0</w:t>
      </w:r>
    </w:p>
    <w:p w14:paraId="3AA03C89" w14:textId="5588B8F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48.</w:t>
      </w:r>
      <w:r w:rsidRPr="00B449A5">
        <w:rPr>
          <w:rFonts w:eastAsia="Calibri" w:cs="Times New Roman"/>
          <w:szCs w:val="24"/>
          <w:lang w:val="en-US"/>
        </w:rPr>
        <w:tab/>
        <w:t xml:space="preserve">Urban stormwater characterization, control, and treatment / C.M. Rodak, T.L. Moore, R. David, A.D. Jayakaran, J.R. Vogel // Water Environment Research. — 2019. — </w:t>
      </w:r>
      <w:r w:rsidR="001A7438" w:rsidRPr="00FA3419">
        <w:rPr>
          <w:rFonts w:eastAsia="Calibri" w:cs="Times New Roman"/>
          <w:szCs w:val="24"/>
          <w:lang w:val="en-US"/>
        </w:rPr>
        <w:t>VOL.</w:t>
      </w:r>
      <w:r w:rsidRPr="00B449A5">
        <w:rPr>
          <w:rFonts w:eastAsia="Calibri" w:cs="Times New Roman"/>
          <w:szCs w:val="24"/>
          <w:lang w:val="en-US"/>
        </w:rPr>
        <w:t xml:space="preserve"> 91, № 10. — </w:t>
      </w:r>
      <w:r w:rsidRPr="00B449A5">
        <w:rPr>
          <w:rFonts w:eastAsia="Calibri" w:cs="Times New Roman"/>
          <w:szCs w:val="24"/>
        </w:rPr>
        <w:t>С</w:t>
      </w:r>
      <w:r w:rsidRPr="00B449A5">
        <w:rPr>
          <w:rFonts w:eastAsia="Calibri" w:cs="Times New Roman"/>
          <w:szCs w:val="24"/>
          <w:lang w:val="en-US"/>
        </w:rPr>
        <w:t>. 1034–1060. DOI: 10.1002/wer.1173</w:t>
      </w:r>
    </w:p>
    <w:p w14:paraId="303F309B" w14:textId="252F6DE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49.</w:t>
      </w:r>
      <w:r w:rsidRPr="00B449A5">
        <w:rPr>
          <w:rFonts w:eastAsia="Calibri" w:cs="Times New Roman"/>
          <w:szCs w:val="24"/>
          <w:lang w:val="en-US"/>
        </w:rPr>
        <w:tab/>
        <w:t xml:space="preserve">Impact of climate change on stormwater drainage in urban areas / S. Kumar, A. Agarwal, A. Ganapathy, V.G.K. Villuri, S. Pasupuleti, D. Kumar, D.R. Kaushal, A.K. Gosain, B. Sivakumar // Stochastic Environmental Research and Risk Assessment. — 2022. — </w:t>
      </w:r>
      <w:r w:rsidR="001A7438" w:rsidRPr="00FA3419">
        <w:rPr>
          <w:rFonts w:eastAsia="Calibri" w:cs="Times New Roman"/>
          <w:szCs w:val="24"/>
          <w:lang w:val="en-US"/>
        </w:rPr>
        <w:t>VOL.</w:t>
      </w:r>
      <w:r w:rsidRPr="00B449A5">
        <w:rPr>
          <w:rFonts w:eastAsia="Calibri" w:cs="Times New Roman"/>
          <w:szCs w:val="24"/>
          <w:lang w:val="en-US"/>
        </w:rPr>
        <w:t xml:space="preserve"> 36, № 1. — </w:t>
      </w:r>
      <w:r w:rsidRPr="00B449A5">
        <w:rPr>
          <w:rFonts w:eastAsia="Calibri" w:cs="Times New Roman"/>
          <w:szCs w:val="24"/>
        </w:rPr>
        <w:t>С</w:t>
      </w:r>
      <w:r w:rsidRPr="00B449A5">
        <w:rPr>
          <w:rFonts w:eastAsia="Calibri" w:cs="Times New Roman"/>
          <w:szCs w:val="24"/>
          <w:lang w:val="en-US"/>
        </w:rPr>
        <w:t>. 77–96. DOI: 10.1007/s00477-021-02105-x</w:t>
      </w:r>
    </w:p>
    <w:p w14:paraId="0338862D" w14:textId="243D088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50.</w:t>
      </w:r>
      <w:r w:rsidRPr="00B449A5">
        <w:rPr>
          <w:rFonts w:eastAsia="Calibri" w:cs="Times New Roman"/>
          <w:szCs w:val="24"/>
          <w:lang w:val="en-US"/>
        </w:rPr>
        <w:tab/>
        <w:t xml:space="preserve">Impacts of Urbanization and Development on Estuarine Ecosystems and Water Quality / Lauren A. Freeman, D. Reide Corbett, Allison M. Fitzgerald, Daniel A. Lemley, Antonietta Quigg, Cecily N. Steppe // Estuaries and Coasts. — 2019. — </w:t>
      </w:r>
      <w:r w:rsidR="001A7438" w:rsidRPr="00FA3419">
        <w:rPr>
          <w:rFonts w:eastAsia="Calibri" w:cs="Times New Roman"/>
          <w:szCs w:val="24"/>
          <w:lang w:val="en-US"/>
        </w:rPr>
        <w:t>VOL.</w:t>
      </w:r>
      <w:r w:rsidRPr="00B449A5">
        <w:rPr>
          <w:rFonts w:eastAsia="Calibri" w:cs="Times New Roman"/>
          <w:szCs w:val="24"/>
          <w:lang w:val="en-US"/>
        </w:rPr>
        <w:t xml:space="preserve"> 2019, № 42. — </w:t>
      </w:r>
      <w:r w:rsidRPr="00B449A5">
        <w:rPr>
          <w:rFonts w:eastAsia="Calibri" w:cs="Times New Roman"/>
          <w:szCs w:val="24"/>
        </w:rPr>
        <w:t>С</w:t>
      </w:r>
      <w:r w:rsidRPr="00B449A5">
        <w:rPr>
          <w:rFonts w:eastAsia="Calibri" w:cs="Times New Roman"/>
          <w:szCs w:val="24"/>
          <w:lang w:val="en-US"/>
        </w:rPr>
        <w:t>. 821–1838. DOI: https://doi.org/10.1007/s12237-019-00597-z</w:t>
      </w:r>
    </w:p>
    <w:p w14:paraId="2A8013FD" w14:textId="4A45F0D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51.</w:t>
      </w:r>
      <w:r w:rsidRPr="00B449A5">
        <w:rPr>
          <w:rFonts w:eastAsia="Calibri" w:cs="Times New Roman"/>
          <w:szCs w:val="24"/>
          <w:lang w:val="en-US"/>
        </w:rPr>
        <w:tab/>
        <w:t xml:space="preserve">The seasonality of nutrients and sediment in residential stormwater runoff: Implications for nutrient-sensitive waters / J.S. Smith, R.J. Winston, R.A. Tirpak, D.M. Wituszynski, K.M. Boening, J.F. Martin // Journal of Environmental Management. — 2020. — </w:t>
      </w:r>
      <w:r w:rsidR="001A7438" w:rsidRPr="00FA3419">
        <w:rPr>
          <w:rFonts w:eastAsia="Calibri" w:cs="Times New Roman"/>
          <w:szCs w:val="24"/>
          <w:lang w:val="en-US"/>
        </w:rPr>
        <w:t>VOL.</w:t>
      </w:r>
      <w:r w:rsidRPr="00B449A5">
        <w:rPr>
          <w:rFonts w:eastAsia="Calibri" w:cs="Times New Roman"/>
          <w:szCs w:val="24"/>
          <w:lang w:val="en-US"/>
        </w:rPr>
        <w:t xml:space="preserve"> 276. — </w:t>
      </w:r>
      <w:r w:rsidRPr="00B449A5">
        <w:rPr>
          <w:rFonts w:eastAsia="Calibri" w:cs="Times New Roman"/>
          <w:szCs w:val="24"/>
        </w:rPr>
        <w:t>С</w:t>
      </w:r>
      <w:r w:rsidRPr="00B449A5">
        <w:rPr>
          <w:rFonts w:eastAsia="Calibri" w:cs="Times New Roman"/>
          <w:szCs w:val="24"/>
          <w:lang w:val="en-US"/>
        </w:rPr>
        <w:t>. 111248–111248. DOI: 10.1016/j.jenvman.2020.111248</w:t>
      </w:r>
    </w:p>
    <w:p w14:paraId="0E8B87C3" w14:textId="1F1E202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52.</w:t>
      </w:r>
      <w:r w:rsidRPr="00B449A5">
        <w:rPr>
          <w:rFonts w:eastAsia="Calibri" w:cs="Times New Roman"/>
          <w:szCs w:val="24"/>
          <w:lang w:val="en-US"/>
        </w:rPr>
        <w:tab/>
        <w:t xml:space="preserve">Preliminary investigation into the pollution reduction performance of swales used in a stormwater treatment train / M.A. Kachchu Mohamed, T. Lucke, F. Boogaard // Water Science and Technology. — 2014. — </w:t>
      </w:r>
      <w:r w:rsidR="001A7438" w:rsidRPr="00FA3419">
        <w:rPr>
          <w:rFonts w:eastAsia="Calibri" w:cs="Times New Roman"/>
          <w:szCs w:val="24"/>
          <w:lang w:val="en-US"/>
        </w:rPr>
        <w:t>VOL.</w:t>
      </w:r>
      <w:r w:rsidRPr="00B449A5">
        <w:rPr>
          <w:rFonts w:eastAsia="Calibri" w:cs="Times New Roman"/>
          <w:szCs w:val="24"/>
          <w:lang w:val="en-US"/>
        </w:rPr>
        <w:t xml:space="preserve"> 69, № 5. — </w:t>
      </w:r>
      <w:r w:rsidRPr="00B449A5">
        <w:rPr>
          <w:rFonts w:eastAsia="Calibri" w:cs="Times New Roman"/>
          <w:szCs w:val="24"/>
        </w:rPr>
        <w:t>С</w:t>
      </w:r>
      <w:r w:rsidRPr="00B449A5">
        <w:rPr>
          <w:rFonts w:eastAsia="Calibri" w:cs="Times New Roman"/>
          <w:szCs w:val="24"/>
          <w:lang w:val="en-US"/>
        </w:rPr>
        <w:t>. 1014–1020. DOI: 10.2166/wst.2013.822</w:t>
      </w:r>
    </w:p>
    <w:p w14:paraId="19E40CD3" w14:textId="3326253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53.</w:t>
      </w:r>
      <w:r w:rsidRPr="00B449A5">
        <w:rPr>
          <w:rFonts w:eastAsia="Calibri" w:cs="Times New Roman"/>
          <w:szCs w:val="24"/>
          <w:lang w:val="en-US"/>
        </w:rPr>
        <w:tab/>
        <w:t xml:space="preserve">Effectiveness of Riparian Vegetated Filter Strips in Removing Agricultural Nonpoint Source Pollutants in Agricultural Runoff from the Liao River Area, China / J. Tang, Y. Zhu, Z. Wei, L. Feng, N. Yang, Z. Sun, Q. Luo // Polish Journal of Environmental Studies. — 2021. — </w:t>
      </w:r>
      <w:r w:rsidR="001A7438" w:rsidRPr="00FA3419">
        <w:rPr>
          <w:rFonts w:eastAsia="Calibri" w:cs="Times New Roman"/>
          <w:szCs w:val="24"/>
          <w:lang w:val="en-US"/>
        </w:rPr>
        <w:t>VOL.</w:t>
      </w:r>
      <w:r w:rsidRPr="00B449A5">
        <w:rPr>
          <w:rFonts w:eastAsia="Calibri" w:cs="Times New Roman"/>
          <w:szCs w:val="24"/>
          <w:lang w:val="en-US"/>
        </w:rPr>
        <w:t xml:space="preserve"> 30, № 5. — </w:t>
      </w:r>
      <w:r w:rsidRPr="00B449A5">
        <w:rPr>
          <w:rFonts w:eastAsia="Calibri" w:cs="Times New Roman"/>
          <w:szCs w:val="24"/>
        </w:rPr>
        <w:t>С</w:t>
      </w:r>
      <w:r w:rsidRPr="00B449A5">
        <w:rPr>
          <w:rFonts w:eastAsia="Calibri" w:cs="Times New Roman"/>
          <w:szCs w:val="24"/>
          <w:lang w:val="en-US"/>
        </w:rPr>
        <w:t>. 4709–4718. DOI: 10.15244/pjoes/133720</w:t>
      </w:r>
    </w:p>
    <w:p w14:paraId="5CCCAAFB" w14:textId="7F80FD9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54.</w:t>
      </w:r>
      <w:r w:rsidRPr="00B449A5">
        <w:rPr>
          <w:rFonts w:eastAsia="Calibri" w:cs="Times New Roman"/>
          <w:szCs w:val="24"/>
          <w:lang w:val="en-US"/>
        </w:rPr>
        <w:tab/>
        <w:t xml:space="preserve">A Framework for Stormwater Quality Modelling under the Effects of Climate Change to Enhance Reuse / B. Wijesiri, E. Bandala, A. Liu, A. Goonetilleke // Sustainability. — 2020. — </w:t>
      </w:r>
      <w:r w:rsidR="001A7438" w:rsidRPr="00FA3419">
        <w:rPr>
          <w:rFonts w:eastAsia="Calibri" w:cs="Times New Roman"/>
          <w:szCs w:val="24"/>
          <w:lang w:val="en-US"/>
        </w:rPr>
        <w:t>VOL.</w:t>
      </w:r>
      <w:r w:rsidRPr="00B449A5">
        <w:rPr>
          <w:rFonts w:eastAsia="Calibri" w:cs="Times New Roman"/>
          <w:szCs w:val="24"/>
          <w:lang w:val="en-US"/>
        </w:rPr>
        <w:t xml:space="preserve"> 12, № 24. — </w:t>
      </w:r>
      <w:r w:rsidRPr="00B449A5">
        <w:rPr>
          <w:rFonts w:eastAsia="Calibri" w:cs="Times New Roman"/>
          <w:szCs w:val="24"/>
        </w:rPr>
        <w:t>С</w:t>
      </w:r>
      <w:r w:rsidRPr="00B449A5">
        <w:rPr>
          <w:rFonts w:eastAsia="Calibri" w:cs="Times New Roman"/>
          <w:szCs w:val="24"/>
          <w:lang w:val="en-US"/>
        </w:rPr>
        <w:t>. 10463–10463. DOI: 10.3390/su122410463</w:t>
      </w:r>
    </w:p>
    <w:p w14:paraId="32C83F18" w14:textId="647BC58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55.</w:t>
      </w:r>
      <w:r w:rsidRPr="00B449A5">
        <w:rPr>
          <w:rFonts w:eastAsia="Calibri" w:cs="Times New Roman"/>
          <w:szCs w:val="24"/>
          <w:lang w:val="en-US"/>
        </w:rPr>
        <w:tab/>
        <w:t xml:space="preserve">Role of dams in reducing global flood exposure under climate change / J. Boulange, N. Hanasaki, D. Yamazaki, Y. Pokhrel // Nature Communications. — 2021. — </w:t>
      </w:r>
      <w:r w:rsidR="001A7438" w:rsidRPr="00FA3419">
        <w:rPr>
          <w:rFonts w:eastAsia="Calibri" w:cs="Times New Roman"/>
          <w:szCs w:val="24"/>
          <w:lang w:val="en-US"/>
        </w:rPr>
        <w:t>VOL.</w:t>
      </w:r>
      <w:r w:rsidRPr="00B449A5">
        <w:rPr>
          <w:rFonts w:eastAsia="Calibri" w:cs="Times New Roman"/>
          <w:szCs w:val="24"/>
          <w:lang w:val="en-US"/>
        </w:rPr>
        <w:t xml:space="preserve"> 12, № 1. — </w:t>
      </w:r>
      <w:r w:rsidRPr="00B449A5">
        <w:rPr>
          <w:rFonts w:eastAsia="Calibri" w:cs="Times New Roman"/>
          <w:szCs w:val="24"/>
        </w:rPr>
        <w:t>С</w:t>
      </w:r>
      <w:r w:rsidRPr="00B449A5">
        <w:rPr>
          <w:rFonts w:eastAsia="Calibri" w:cs="Times New Roman"/>
          <w:szCs w:val="24"/>
          <w:lang w:val="en-US"/>
        </w:rPr>
        <w:t>. 417–417. DOI: 10.1038/s41467-020-20704-0</w:t>
      </w:r>
    </w:p>
    <w:p w14:paraId="47294260" w14:textId="2039BBB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56.</w:t>
      </w:r>
      <w:r w:rsidRPr="00B449A5">
        <w:rPr>
          <w:rFonts w:eastAsia="Calibri" w:cs="Times New Roman"/>
          <w:szCs w:val="24"/>
          <w:lang w:val="en-US"/>
        </w:rPr>
        <w:tab/>
        <w:t xml:space="preserve">Dam break analysis of Old Aswan Dam on Nile River using HEC-RAS / A.M. Helwa, M.H. Elgamal, A.H. Ghanem // International Journal of Hydrology Science and Technology. — 2020. — </w:t>
      </w:r>
      <w:r w:rsidR="001A7438" w:rsidRPr="00FA3419">
        <w:rPr>
          <w:rFonts w:eastAsia="Calibri" w:cs="Times New Roman"/>
          <w:szCs w:val="24"/>
          <w:lang w:val="en-US"/>
        </w:rPr>
        <w:t>VOL.</w:t>
      </w:r>
      <w:r w:rsidRPr="00B449A5">
        <w:rPr>
          <w:rFonts w:eastAsia="Calibri" w:cs="Times New Roman"/>
          <w:szCs w:val="24"/>
          <w:lang w:val="en-US"/>
        </w:rPr>
        <w:t xml:space="preserve"> 10, № 6. — </w:t>
      </w:r>
      <w:r w:rsidRPr="00B449A5">
        <w:rPr>
          <w:rFonts w:eastAsia="Calibri" w:cs="Times New Roman"/>
          <w:szCs w:val="24"/>
        </w:rPr>
        <w:t>С</w:t>
      </w:r>
      <w:r w:rsidRPr="00B449A5">
        <w:rPr>
          <w:rFonts w:eastAsia="Calibri" w:cs="Times New Roman"/>
          <w:szCs w:val="24"/>
          <w:lang w:val="en-US"/>
        </w:rPr>
        <w:t>. 557–557. DOI: 10.1504/IJHST.2020.110568</w:t>
      </w:r>
    </w:p>
    <w:p w14:paraId="14E441BB" w14:textId="7A5B20C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57.</w:t>
      </w:r>
      <w:r w:rsidRPr="00B449A5">
        <w:rPr>
          <w:rFonts w:eastAsia="Calibri" w:cs="Times New Roman"/>
          <w:szCs w:val="24"/>
          <w:lang w:val="en-US"/>
        </w:rPr>
        <w:tab/>
        <w:t xml:space="preserve">Probable maximum precipitation and climate change / K.E. Kunkel, T.R. Karl, D.R. Easterling, K. Redmond, J. Young, X. Yin, P. Hennon // Geophysical Research Letters. — 2013. — </w:t>
      </w:r>
      <w:r w:rsidR="001A7438" w:rsidRPr="00FA3419">
        <w:rPr>
          <w:rFonts w:eastAsia="Calibri" w:cs="Times New Roman"/>
          <w:szCs w:val="24"/>
          <w:lang w:val="en-US"/>
        </w:rPr>
        <w:t>VOL.</w:t>
      </w:r>
      <w:r w:rsidRPr="00B449A5">
        <w:rPr>
          <w:rFonts w:eastAsia="Calibri" w:cs="Times New Roman"/>
          <w:szCs w:val="24"/>
          <w:lang w:val="en-US"/>
        </w:rPr>
        <w:t xml:space="preserve"> 40, № 7. — </w:t>
      </w:r>
      <w:r w:rsidRPr="00B449A5">
        <w:rPr>
          <w:rFonts w:eastAsia="Calibri" w:cs="Times New Roman"/>
          <w:szCs w:val="24"/>
        </w:rPr>
        <w:t>С</w:t>
      </w:r>
      <w:r w:rsidRPr="00B449A5">
        <w:rPr>
          <w:rFonts w:eastAsia="Calibri" w:cs="Times New Roman"/>
          <w:szCs w:val="24"/>
          <w:lang w:val="en-US"/>
        </w:rPr>
        <w:t>. 1402–1408. DOI: 10.1002/grl.50334</w:t>
      </w:r>
    </w:p>
    <w:p w14:paraId="13BA6925" w14:textId="1DF500D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58.</w:t>
      </w:r>
      <w:r w:rsidRPr="00B449A5">
        <w:rPr>
          <w:rFonts w:eastAsia="Calibri" w:cs="Times New Roman"/>
          <w:szCs w:val="24"/>
          <w:lang w:val="en-US"/>
        </w:rPr>
        <w:tab/>
        <w:t xml:space="preserve">Efficient and effective? The 100-year flood in the communication and perception of flood risk / H. BELL, G. TOBIN // Environmental Hazards. — 2007. — </w:t>
      </w:r>
      <w:r w:rsidR="001A7438" w:rsidRPr="00FA3419">
        <w:rPr>
          <w:rFonts w:eastAsia="Calibri" w:cs="Times New Roman"/>
          <w:szCs w:val="24"/>
          <w:lang w:val="en-US"/>
        </w:rPr>
        <w:t>VOL.</w:t>
      </w:r>
      <w:r w:rsidRPr="00B449A5">
        <w:rPr>
          <w:rFonts w:eastAsia="Calibri" w:cs="Times New Roman"/>
          <w:szCs w:val="24"/>
          <w:lang w:val="en-US"/>
        </w:rPr>
        <w:t xml:space="preserve"> 7, № 4. — </w:t>
      </w:r>
      <w:r w:rsidRPr="00B449A5">
        <w:rPr>
          <w:rFonts w:eastAsia="Calibri" w:cs="Times New Roman"/>
          <w:szCs w:val="24"/>
        </w:rPr>
        <w:t>С</w:t>
      </w:r>
      <w:r w:rsidRPr="00B449A5">
        <w:rPr>
          <w:rFonts w:eastAsia="Calibri" w:cs="Times New Roman"/>
          <w:szCs w:val="24"/>
          <w:lang w:val="en-US"/>
        </w:rPr>
        <w:t>. 302–311. DOI: 10.1016/j.envhaz.2007.08.004</w:t>
      </w:r>
    </w:p>
    <w:p w14:paraId="71606B7B" w14:textId="1A0B22A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59.</w:t>
      </w:r>
      <w:r w:rsidRPr="00B449A5">
        <w:rPr>
          <w:rFonts w:eastAsia="Calibri" w:cs="Times New Roman"/>
          <w:szCs w:val="24"/>
          <w:lang w:val="en-US"/>
        </w:rPr>
        <w:tab/>
        <w:t>Dam Safety and Dams Hazards / N. Adamo, N. Al-Ansari, V. Sissakian, J. Laue, S. Knutsson // Journal of Earth Sciences and Geotechnical Engineering. — 2020.</w:t>
      </w:r>
    </w:p>
    <w:p w14:paraId="1B0852FC" w14:textId="2F378BB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60.</w:t>
      </w:r>
      <w:r w:rsidRPr="00B449A5">
        <w:rPr>
          <w:rFonts w:eastAsia="Calibri" w:cs="Times New Roman"/>
          <w:szCs w:val="24"/>
          <w:lang w:val="en-US"/>
        </w:rPr>
        <w:tab/>
        <w:t xml:space="preserve">Recent Advances in Stability and Failure Mechanisms of Landslide Dams / H. Zheng, Z. Shi, D. Shen, M. Peng, K.J. Hanley, C. Ma, L. Zhang // Frontiers in Earth Science. — 2021. — </w:t>
      </w:r>
      <w:r w:rsidR="001A7438" w:rsidRPr="00FA3419">
        <w:rPr>
          <w:rFonts w:eastAsia="Calibri" w:cs="Times New Roman"/>
          <w:szCs w:val="24"/>
          <w:lang w:val="en-US"/>
        </w:rPr>
        <w:t>VOL.</w:t>
      </w:r>
      <w:r w:rsidRPr="00B449A5">
        <w:rPr>
          <w:rFonts w:eastAsia="Calibri" w:cs="Times New Roman"/>
          <w:szCs w:val="24"/>
          <w:lang w:val="en-US"/>
        </w:rPr>
        <w:t xml:space="preserve"> 9. DOI: 10.3389/feart.2021.659935</w:t>
      </w:r>
    </w:p>
    <w:p w14:paraId="2964466B" w14:textId="65D12ED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61.</w:t>
      </w:r>
      <w:r w:rsidRPr="00B449A5">
        <w:rPr>
          <w:rFonts w:eastAsia="Calibri" w:cs="Times New Roman"/>
          <w:szCs w:val="24"/>
          <w:lang w:val="en-US"/>
        </w:rPr>
        <w:tab/>
        <w:t xml:space="preserve">RESEARCH ON CAUSE OF DAM FAILURE FROM VIEWPOINT OF HYDRAULIC FRACTURING – CASE STUDY OF A DAM FAILURE IN VIETNAM / D.Q. Tran // International Journal of GEOMATE. — 2018. — </w:t>
      </w:r>
      <w:r w:rsidR="001A7438" w:rsidRPr="00FA3419">
        <w:rPr>
          <w:rFonts w:eastAsia="Calibri" w:cs="Times New Roman"/>
          <w:szCs w:val="24"/>
          <w:lang w:val="en-US"/>
        </w:rPr>
        <w:t>VOL.</w:t>
      </w:r>
      <w:r w:rsidRPr="00B449A5">
        <w:rPr>
          <w:rFonts w:eastAsia="Calibri" w:cs="Times New Roman"/>
          <w:szCs w:val="24"/>
          <w:lang w:val="en-US"/>
        </w:rPr>
        <w:t xml:space="preserve"> 14, № 41. DOI: 10.21660/2018.41.57454</w:t>
      </w:r>
    </w:p>
    <w:p w14:paraId="06EE4B8B" w14:textId="7BA32E7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62.</w:t>
      </w:r>
      <w:r w:rsidRPr="00B449A5">
        <w:rPr>
          <w:rFonts w:eastAsia="Calibri" w:cs="Times New Roman"/>
          <w:szCs w:val="24"/>
          <w:lang w:val="en-US"/>
        </w:rPr>
        <w:tab/>
        <w:t xml:space="preserve">Hydrological risk analysis of dam overtopping using bivariate statistical approach: a case study from Geheyan Reservoir, China / Z. Liu, X. Xu, J. Cheng, T. Wen, J. Niu // Stochastic Environmental Research and Risk Assessment. — 2018. — </w:t>
      </w:r>
      <w:r w:rsidR="001A7438" w:rsidRPr="00FA3419">
        <w:rPr>
          <w:rFonts w:eastAsia="Calibri" w:cs="Times New Roman"/>
          <w:szCs w:val="24"/>
          <w:lang w:val="en-US"/>
        </w:rPr>
        <w:t>VOL.</w:t>
      </w:r>
      <w:r w:rsidRPr="00B449A5">
        <w:rPr>
          <w:rFonts w:eastAsia="Calibri" w:cs="Times New Roman"/>
          <w:szCs w:val="24"/>
          <w:lang w:val="en-US"/>
        </w:rPr>
        <w:t xml:space="preserve"> 32, № 9. — </w:t>
      </w:r>
      <w:r w:rsidRPr="00B449A5">
        <w:rPr>
          <w:rFonts w:eastAsia="Calibri" w:cs="Times New Roman"/>
          <w:szCs w:val="24"/>
        </w:rPr>
        <w:t>С</w:t>
      </w:r>
      <w:r w:rsidRPr="00B449A5">
        <w:rPr>
          <w:rFonts w:eastAsia="Calibri" w:cs="Times New Roman"/>
          <w:szCs w:val="24"/>
          <w:lang w:val="en-US"/>
        </w:rPr>
        <w:t>. 2515–2525. DOI: 10.1007/s00477-018-1550-0</w:t>
      </w:r>
    </w:p>
    <w:p w14:paraId="7ED4D0B6" w14:textId="7AAA50B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63.</w:t>
      </w:r>
      <w:r w:rsidRPr="00B449A5">
        <w:rPr>
          <w:rFonts w:eastAsia="Calibri" w:cs="Times New Roman"/>
          <w:szCs w:val="24"/>
          <w:lang w:val="en-US"/>
        </w:rPr>
        <w:tab/>
        <w:t xml:space="preserve">Case Study of Dam Overtopping from Waves Generated by Landslides Impinging Perpendicular to a Reservoir’s Longitudinal Axis / N.N. Tessema, F.G. Sigtryggsdóttir, L. Lia, A. Kemal Jabir // Journal of Marine Science and Engineering. — 2019. — </w:t>
      </w:r>
      <w:r w:rsidR="001A7438" w:rsidRPr="00FA3419">
        <w:rPr>
          <w:rFonts w:eastAsia="Calibri" w:cs="Times New Roman"/>
          <w:szCs w:val="24"/>
          <w:lang w:val="en-US"/>
        </w:rPr>
        <w:t>VOL.</w:t>
      </w:r>
      <w:r w:rsidRPr="00B449A5">
        <w:rPr>
          <w:rFonts w:eastAsia="Calibri" w:cs="Times New Roman"/>
          <w:szCs w:val="24"/>
          <w:lang w:val="en-US"/>
        </w:rPr>
        <w:t xml:space="preserve"> 7, № 7. — </w:t>
      </w:r>
      <w:r w:rsidRPr="00B449A5">
        <w:rPr>
          <w:rFonts w:eastAsia="Calibri" w:cs="Times New Roman"/>
          <w:szCs w:val="24"/>
        </w:rPr>
        <w:t>С</w:t>
      </w:r>
      <w:r w:rsidRPr="00B449A5">
        <w:rPr>
          <w:rFonts w:eastAsia="Calibri" w:cs="Times New Roman"/>
          <w:szCs w:val="24"/>
          <w:lang w:val="en-US"/>
        </w:rPr>
        <w:t>. 221–221. DOI: 10.3390/jmse7070221</w:t>
      </w:r>
    </w:p>
    <w:p w14:paraId="4557BF51" w14:textId="64B0598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64.</w:t>
      </w:r>
      <w:r w:rsidRPr="00B449A5">
        <w:rPr>
          <w:rFonts w:eastAsia="Calibri" w:cs="Times New Roman"/>
          <w:szCs w:val="24"/>
          <w:lang w:val="en-US"/>
        </w:rPr>
        <w:tab/>
        <w:t xml:space="preserve">Quantitative Vulnerability Model of Earth Dam Overtopping and its Application / C.-X. Mo, G.-Y. Mo, L. Peng, Q. Yang, X.-R. Zhu, Q.-L. Jiang, J.-L. Jin // Water Resources Management. — 2019. — </w:t>
      </w:r>
      <w:r w:rsidR="001A7438" w:rsidRPr="00FA3419">
        <w:rPr>
          <w:rFonts w:eastAsia="Calibri" w:cs="Times New Roman"/>
          <w:szCs w:val="24"/>
          <w:lang w:val="en-US"/>
        </w:rPr>
        <w:t>VOL.</w:t>
      </w:r>
      <w:r w:rsidRPr="00B449A5">
        <w:rPr>
          <w:rFonts w:eastAsia="Calibri" w:cs="Times New Roman"/>
          <w:szCs w:val="24"/>
          <w:lang w:val="en-US"/>
        </w:rPr>
        <w:t xml:space="preserve"> 33, № 5. — </w:t>
      </w:r>
      <w:r w:rsidRPr="00B449A5">
        <w:rPr>
          <w:rFonts w:eastAsia="Calibri" w:cs="Times New Roman"/>
          <w:szCs w:val="24"/>
        </w:rPr>
        <w:t>С</w:t>
      </w:r>
      <w:r w:rsidRPr="00B449A5">
        <w:rPr>
          <w:rFonts w:eastAsia="Calibri" w:cs="Times New Roman"/>
          <w:szCs w:val="24"/>
          <w:lang w:val="en-US"/>
        </w:rPr>
        <w:t>. 1801–1815. DOI: 10.1007/s11269-019-2195-6</w:t>
      </w:r>
    </w:p>
    <w:p w14:paraId="5253612A" w14:textId="5E17A44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65.</w:t>
      </w:r>
      <w:r w:rsidRPr="00B449A5">
        <w:rPr>
          <w:rFonts w:eastAsia="Calibri" w:cs="Times New Roman"/>
          <w:szCs w:val="24"/>
          <w:lang w:val="en-US"/>
        </w:rPr>
        <w:tab/>
        <w:t xml:space="preserve">Analysis of Dam Overtopping Failure Risks Caused by Landslide-Induced Surges Considering Spatial Variability of Material Parameters / K. Dong, Z. Li, X. Lu, C. Chen, J. Sheng, J. Chen, Z. Wu // Frontiers in Earth Science. — 2021. — </w:t>
      </w:r>
      <w:r w:rsidR="001A7438" w:rsidRPr="00FA3419">
        <w:rPr>
          <w:rFonts w:eastAsia="Calibri" w:cs="Times New Roman"/>
          <w:szCs w:val="24"/>
          <w:lang w:val="en-US"/>
        </w:rPr>
        <w:t>VOL.</w:t>
      </w:r>
      <w:r w:rsidRPr="00B449A5">
        <w:rPr>
          <w:rFonts w:eastAsia="Calibri" w:cs="Times New Roman"/>
          <w:szCs w:val="24"/>
          <w:lang w:val="en-US"/>
        </w:rPr>
        <w:t xml:space="preserve"> 9. DOI: 10.3389/feart.2021.675900</w:t>
      </w:r>
    </w:p>
    <w:p w14:paraId="63C360D2" w14:textId="1FCE064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66.</w:t>
      </w:r>
      <w:r w:rsidRPr="00B449A5">
        <w:rPr>
          <w:rFonts w:eastAsia="Calibri" w:cs="Times New Roman"/>
          <w:szCs w:val="24"/>
          <w:lang w:val="en-US"/>
        </w:rPr>
        <w:tab/>
        <w:t xml:space="preserve">Evaluation of dam overtopping probability induced by flood and wind / Y.-C. Hsu, Y.-K. Tung, J.-T. Kuo // Stochastic Environmental Research and Risk Assessment. — 2011. — </w:t>
      </w:r>
      <w:r w:rsidR="001A7438" w:rsidRPr="00FA3419">
        <w:rPr>
          <w:rFonts w:eastAsia="Calibri" w:cs="Times New Roman"/>
          <w:szCs w:val="24"/>
          <w:lang w:val="en-US"/>
        </w:rPr>
        <w:t>VOL.</w:t>
      </w:r>
      <w:r w:rsidRPr="00B449A5">
        <w:rPr>
          <w:rFonts w:eastAsia="Calibri" w:cs="Times New Roman"/>
          <w:szCs w:val="24"/>
          <w:lang w:val="en-US"/>
        </w:rPr>
        <w:t xml:space="preserve"> 25, № 1. — </w:t>
      </w:r>
      <w:r w:rsidRPr="00B449A5">
        <w:rPr>
          <w:rFonts w:eastAsia="Calibri" w:cs="Times New Roman"/>
          <w:szCs w:val="24"/>
        </w:rPr>
        <w:t>С</w:t>
      </w:r>
      <w:r w:rsidRPr="00B449A5">
        <w:rPr>
          <w:rFonts w:eastAsia="Calibri" w:cs="Times New Roman"/>
          <w:szCs w:val="24"/>
          <w:lang w:val="en-US"/>
        </w:rPr>
        <w:t>. 35–49. DOI: 10.1007/s00477-010-0435-7</w:t>
      </w:r>
    </w:p>
    <w:p w14:paraId="59664CF4" w14:textId="1CCE428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67.</w:t>
      </w:r>
      <w:r w:rsidRPr="00B449A5">
        <w:rPr>
          <w:rFonts w:eastAsia="Calibri" w:cs="Times New Roman"/>
          <w:szCs w:val="24"/>
          <w:lang w:val="en-US"/>
        </w:rPr>
        <w:tab/>
        <w:t xml:space="preserve">Experimental and Numerical Analysis for Earth-Fill Dam Seepage / A.M.S. Al-Janabi, A.H. Ghazali, Y.M. Ghazaw, H.A. Afan, N. Al-Ansari, Z.M. Yaseen // Sustainability. — 2020. — </w:t>
      </w:r>
      <w:r w:rsidR="001A7438" w:rsidRPr="00FA3419">
        <w:rPr>
          <w:rFonts w:eastAsia="Calibri" w:cs="Times New Roman"/>
          <w:szCs w:val="24"/>
          <w:lang w:val="en-US"/>
        </w:rPr>
        <w:t>VOL.</w:t>
      </w:r>
      <w:r w:rsidRPr="00B449A5">
        <w:rPr>
          <w:rFonts w:eastAsia="Calibri" w:cs="Times New Roman"/>
          <w:szCs w:val="24"/>
          <w:lang w:val="en-US"/>
        </w:rPr>
        <w:t xml:space="preserve"> 12, № 6. — </w:t>
      </w:r>
      <w:r w:rsidRPr="00B449A5">
        <w:rPr>
          <w:rFonts w:eastAsia="Calibri" w:cs="Times New Roman"/>
          <w:szCs w:val="24"/>
        </w:rPr>
        <w:t>С</w:t>
      </w:r>
      <w:r w:rsidRPr="00B449A5">
        <w:rPr>
          <w:rFonts w:eastAsia="Calibri" w:cs="Times New Roman"/>
          <w:szCs w:val="24"/>
          <w:lang w:val="en-US"/>
        </w:rPr>
        <w:t>. 2490–2490. DOI: 10.3390/su12062490</w:t>
      </w:r>
    </w:p>
    <w:p w14:paraId="44A2FF5D" w14:textId="1FA3AE8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68.</w:t>
      </w:r>
      <w:r w:rsidRPr="00B449A5">
        <w:rPr>
          <w:rFonts w:eastAsia="Calibri" w:cs="Times New Roman"/>
          <w:szCs w:val="24"/>
          <w:lang w:val="en-US"/>
        </w:rPr>
        <w:tab/>
        <w:t xml:space="preserve">Numerical modeling of earthen dam breach due to piping failure / S. Chen, Q. Zhong, G. Shen // Water Science and Engineering. — 2019. — </w:t>
      </w:r>
      <w:r w:rsidR="001A7438" w:rsidRPr="00FA3419">
        <w:rPr>
          <w:rFonts w:eastAsia="Calibri" w:cs="Times New Roman"/>
          <w:szCs w:val="24"/>
          <w:lang w:val="en-US"/>
        </w:rPr>
        <w:t>VOL.</w:t>
      </w:r>
      <w:r w:rsidRPr="00B449A5">
        <w:rPr>
          <w:rFonts w:eastAsia="Calibri" w:cs="Times New Roman"/>
          <w:szCs w:val="24"/>
          <w:lang w:val="en-US"/>
        </w:rPr>
        <w:t xml:space="preserve"> 12, № 3. — </w:t>
      </w:r>
      <w:r w:rsidRPr="00B449A5">
        <w:rPr>
          <w:rFonts w:eastAsia="Calibri" w:cs="Times New Roman"/>
          <w:szCs w:val="24"/>
        </w:rPr>
        <w:t>С</w:t>
      </w:r>
      <w:r w:rsidRPr="00B449A5">
        <w:rPr>
          <w:rFonts w:eastAsia="Calibri" w:cs="Times New Roman"/>
          <w:szCs w:val="24"/>
          <w:lang w:val="en-US"/>
        </w:rPr>
        <w:t>. 169–178. DOI: 10.1016/j.wse.2019.08.001</w:t>
      </w:r>
    </w:p>
    <w:p w14:paraId="3C2B5AA4" w14:textId="7682902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69.</w:t>
      </w:r>
      <w:r w:rsidRPr="00B449A5">
        <w:rPr>
          <w:rFonts w:eastAsia="Calibri" w:cs="Times New Roman"/>
          <w:szCs w:val="24"/>
          <w:lang w:val="en-US"/>
        </w:rPr>
        <w:tab/>
        <w:t xml:space="preserve">Natural dam failure in slope failure mode triggered by seepage / X. Jiang, Z. Zhanyuan, H. Chen, M. Deng, Z. Niu, H. Deng, Z. Zuyin // Geomatics, Natural Hazards and Risk. — 2020. — </w:t>
      </w:r>
      <w:r w:rsidR="001A7438" w:rsidRPr="00FA3419">
        <w:rPr>
          <w:rFonts w:eastAsia="Calibri" w:cs="Times New Roman"/>
          <w:szCs w:val="24"/>
          <w:lang w:val="en-US"/>
        </w:rPr>
        <w:t>VOL.</w:t>
      </w:r>
      <w:r w:rsidRPr="00B449A5">
        <w:rPr>
          <w:rFonts w:eastAsia="Calibri" w:cs="Times New Roman"/>
          <w:szCs w:val="24"/>
          <w:lang w:val="en-US"/>
        </w:rPr>
        <w:t xml:space="preserve"> 11, № 1. — </w:t>
      </w:r>
      <w:r w:rsidRPr="00B449A5">
        <w:rPr>
          <w:rFonts w:eastAsia="Calibri" w:cs="Times New Roman"/>
          <w:szCs w:val="24"/>
        </w:rPr>
        <w:t>С</w:t>
      </w:r>
      <w:r w:rsidRPr="00B449A5">
        <w:rPr>
          <w:rFonts w:eastAsia="Calibri" w:cs="Times New Roman"/>
          <w:szCs w:val="24"/>
          <w:lang w:val="en-US"/>
        </w:rPr>
        <w:t>. 698–723. DOI: 10.1080/19475705.2020.1746697</w:t>
      </w:r>
    </w:p>
    <w:p w14:paraId="664126D5" w14:textId="1DDC560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70.</w:t>
      </w:r>
      <w:r w:rsidRPr="00B449A5">
        <w:rPr>
          <w:rFonts w:eastAsia="Calibri" w:cs="Times New Roman"/>
          <w:szCs w:val="24"/>
          <w:lang w:val="en-US"/>
        </w:rPr>
        <w:tab/>
        <w:t xml:space="preserve">Evaluating the Accuracy of Common Runoff Estimation Methods for New Impervious Hot-Mix Asphalt / R.A. Brown, M. Borst // Journal of Sustainable Water in the Built Environment. — 2016. — </w:t>
      </w:r>
      <w:r w:rsidR="001A7438" w:rsidRPr="00FA3419">
        <w:rPr>
          <w:rFonts w:eastAsia="Calibri" w:cs="Times New Roman"/>
          <w:szCs w:val="24"/>
          <w:lang w:val="en-US"/>
        </w:rPr>
        <w:t>VOL.</w:t>
      </w:r>
      <w:r w:rsidRPr="00B449A5">
        <w:rPr>
          <w:rFonts w:eastAsia="Calibri" w:cs="Times New Roman"/>
          <w:szCs w:val="24"/>
          <w:lang w:val="en-US"/>
        </w:rPr>
        <w:t xml:space="preserve"> 2, № 2. — </w:t>
      </w:r>
      <w:r w:rsidRPr="00B449A5">
        <w:rPr>
          <w:rFonts w:eastAsia="Calibri" w:cs="Times New Roman"/>
          <w:szCs w:val="24"/>
        </w:rPr>
        <w:t>С</w:t>
      </w:r>
      <w:r w:rsidRPr="00B449A5">
        <w:rPr>
          <w:rFonts w:eastAsia="Calibri" w:cs="Times New Roman"/>
          <w:szCs w:val="24"/>
          <w:lang w:val="en-US"/>
        </w:rPr>
        <w:t>. 04015010–04015010. DOI: 10.1061/JSWBAY.0000806</w:t>
      </w:r>
    </w:p>
    <w:p w14:paraId="6C7BB0BD" w14:textId="1E4947C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71.</w:t>
      </w:r>
      <w:r w:rsidRPr="00B449A5">
        <w:rPr>
          <w:rFonts w:eastAsia="Calibri" w:cs="Times New Roman"/>
          <w:szCs w:val="24"/>
          <w:lang w:val="en-US"/>
        </w:rPr>
        <w:tab/>
        <w:t xml:space="preserve">Modelling surface runoff using the soil conservation service-curve number method in a drought prone agro-ecological zone in Rwanda / D. Uwizeyimana, S.M. Mureithi, S.M. Mvuyekure, G. Karuku, G. Kironchi // International Soil and Water Conservation Research. — 2019. — </w:t>
      </w:r>
      <w:r w:rsidR="001A7438" w:rsidRPr="00FA3419">
        <w:rPr>
          <w:rFonts w:eastAsia="Calibri" w:cs="Times New Roman"/>
          <w:szCs w:val="24"/>
          <w:lang w:val="en-US"/>
        </w:rPr>
        <w:t>VOL.</w:t>
      </w:r>
      <w:r w:rsidRPr="00B449A5">
        <w:rPr>
          <w:rFonts w:eastAsia="Calibri" w:cs="Times New Roman"/>
          <w:szCs w:val="24"/>
          <w:lang w:val="en-US"/>
        </w:rPr>
        <w:t xml:space="preserve"> 7, № 1. — </w:t>
      </w:r>
      <w:r w:rsidRPr="00B449A5">
        <w:rPr>
          <w:rFonts w:eastAsia="Calibri" w:cs="Times New Roman"/>
          <w:szCs w:val="24"/>
        </w:rPr>
        <w:t>С</w:t>
      </w:r>
      <w:r w:rsidRPr="00B449A5">
        <w:rPr>
          <w:rFonts w:eastAsia="Calibri" w:cs="Times New Roman"/>
          <w:szCs w:val="24"/>
          <w:lang w:val="en-US"/>
        </w:rPr>
        <w:t>. 9–17. DOI: 10.1016/j.iswcr.2018.12.001</w:t>
      </w:r>
    </w:p>
    <w:p w14:paraId="60382A0F" w14:textId="0373762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72.</w:t>
      </w:r>
      <w:r w:rsidRPr="00B449A5">
        <w:rPr>
          <w:rFonts w:eastAsia="Calibri" w:cs="Times New Roman"/>
          <w:szCs w:val="24"/>
          <w:lang w:val="en-US"/>
        </w:rPr>
        <w:tab/>
        <w:t xml:space="preserve">Generation of Natural Runoff Monthly Series at Ungauged Sites Using a Regional Regressive Model / D. Pumo, F. Viola, L. Noto // Water. — 2016. — </w:t>
      </w:r>
      <w:r w:rsidR="001A7438" w:rsidRPr="00FA3419">
        <w:rPr>
          <w:rFonts w:eastAsia="Calibri" w:cs="Times New Roman"/>
          <w:szCs w:val="24"/>
          <w:lang w:val="en-US"/>
        </w:rPr>
        <w:t>VOL.</w:t>
      </w:r>
      <w:r w:rsidRPr="00B449A5">
        <w:rPr>
          <w:rFonts w:eastAsia="Calibri" w:cs="Times New Roman"/>
          <w:szCs w:val="24"/>
          <w:lang w:val="en-US"/>
        </w:rPr>
        <w:t xml:space="preserve"> 8, № 5. — </w:t>
      </w:r>
      <w:r w:rsidRPr="00B449A5">
        <w:rPr>
          <w:rFonts w:eastAsia="Calibri" w:cs="Times New Roman"/>
          <w:szCs w:val="24"/>
        </w:rPr>
        <w:t>С</w:t>
      </w:r>
      <w:r w:rsidRPr="00B449A5">
        <w:rPr>
          <w:rFonts w:eastAsia="Calibri" w:cs="Times New Roman"/>
          <w:szCs w:val="24"/>
          <w:lang w:val="en-US"/>
        </w:rPr>
        <w:t>. 209–209. DOI: 10.3390/w8050209</w:t>
      </w:r>
    </w:p>
    <w:p w14:paraId="65B274C3" w14:textId="1C94C81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73.</w:t>
      </w:r>
      <w:r w:rsidRPr="00B449A5">
        <w:rPr>
          <w:rFonts w:eastAsia="Calibri" w:cs="Times New Roman"/>
          <w:szCs w:val="24"/>
          <w:lang w:val="en-US"/>
        </w:rPr>
        <w:tab/>
        <w:t xml:space="preserve">Limitations in using runoff coefficients for green and gray roof design / L.A. Schärer, J.O. Busklein, E. Sivertsen, T.M. Muthanna // Hydrology Research. — 2020. — </w:t>
      </w:r>
      <w:r w:rsidR="001A7438" w:rsidRPr="00FA3419">
        <w:rPr>
          <w:rFonts w:eastAsia="Calibri" w:cs="Times New Roman"/>
          <w:szCs w:val="24"/>
          <w:lang w:val="en-US"/>
        </w:rPr>
        <w:t>VOL.</w:t>
      </w:r>
      <w:r w:rsidRPr="00B449A5">
        <w:rPr>
          <w:rFonts w:eastAsia="Calibri" w:cs="Times New Roman"/>
          <w:szCs w:val="24"/>
          <w:lang w:val="en-US"/>
        </w:rPr>
        <w:t xml:space="preserve"> 51, № 2. — </w:t>
      </w:r>
      <w:r w:rsidRPr="00B449A5">
        <w:rPr>
          <w:rFonts w:eastAsia="Calibri" w:cs="Times New Roman"/>
          <w:szCs w:val="24"/>
        </w:rPr>
        <w:t>С</w:t>
      </w:r>
      <w:r w:rsidRPr="00B449A5">
        <w:rPr>
          <w:rFonts w:eastAsia="Calibri" w:cs="Times New Roman"/>
          <w:szCs w:val="24"/>
          <w:lang w:val="en-US"/>
        </w:rPr>
        <w:t>. 339–350. DOI: 10.2166/nh.2020.049</w:t>
      </w:r>
    </w:p>
    <w:p w14:paraId="0A364B96" w14:textId="1B61393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74.</w:t>
      </w:r>
      <w:r w:rsidRPr="00B449A5">
        <w:rPr>
          <w:rFonts w:eastAsia="Calibri" w:cs="Times New Roman"/>
          <w:szCs w:val="24"/>
          <w:lang w:val="en-US"/>
        </w:rPr>
        <w:tab/>
        <w:t>DRAINAGE CRITERIA MANUAL CHAPTER 3 . DETERMINATION OF STORM WATER RUNOFF / City of Bella Vista // DRAINAGE CRITERIA MANUAL2020.</w:t>
      </w:r>
    </w:p>
    <w:p w14:paraId="5FFE7ECD" w14:textId="3EBD420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75.</w:t>
      </w:r>
      <w:r w:rsidRPr="00B449A5">
        <w:rPr>
          <w:rFonts w:eastAsia="Calibri" w:cs="Times New Roman"/>
          <w:szCs w:val="24"/>
          <w:lang w:val="en-US"/>
        </w:rPr>
        <w:tab/>
        <w:t xml:space="preserve">Rational Hydrograph Method for Small Urban Watersheds / J.C.Y. Guo // Journal of Hydrologic Engineering. — 2001. — </w:t>
      </w:r>
      <w:r w:rsidR="001A7438" w:rsidRPr="00FA3419">
        <w:rPr>
          <w:rFonts w:eastAsia="Calibri" w:cs="Times New Roman"/>
          <w:szCs w:val="24"/>
          <w:lang w:val="en-US"/>
        </w:rPr>
        <w:t>VOL.</w:t>
      </w:r>
      <w:r w:rsidRPr="00B449A5">
        <w:rPr>
          <w:rFonts w:eastAsia="Calibri" w:cs="Times New Roman"/>
          <w:szCs w:val="24"/>
          <w:lang w:val="en-US"/>
        </w:rPr>
        <w:t xml:space="preserve"> 6, № 4. — </w:t>
      </w:r>
      <w:r w:rsidRPr="00B449A5">
        <w:rPr>
          <w:rFonts w:eastAsia="Calibri" w:cs="Times New Roman"/>
          <w:szCs w:val="24"/>
        </w:rPr>
        <w:t>С</w:t>
      </w:r>
      <w:r w:rsidRPr="00B449A5">
        <w:rPr>
          <w:rFonts w:eastAsia="Calibri" w:cs="Times New Roman"/>
          <w:szCs w:val="24"/>
          <w:lang w:val="en-US"/>
        </w:rPr>
        <w:t>. 352–356. DOI: 10.1061/(ASCE)1084-0699(2001)6:4(352)</w:t>
      </w:r>
    </w:p>
    <w:p w14:paraId="415358FC" w14:textId="25E184A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76.</w:t>
      </w:r>
      <w:r w:rsidRPr="00B449A5">
        <w:rPr>
          <w:rFonts w:eastAsia="Calibri" w:cs="Times New Roman"/>
          <w:szCs w:val="24"/>
          <w:lang w:val="en-US"/>
        </w:rPr>
        <w:tab/>
        <w:t xml:space="preserve">The impact of vegetative cover type on runoff and soil erosion under different land uses / A.G. Mohammad, M.A. Adam // CATENA. — 2010. — </w:t>
      </w:r>
      <w:r w:rsidR="001A7438" w:rsidRPr="00FA3419">
        <w:rPr>
          <w:rFonts w:eastAsia="Calibri" w:cs="Times New Roman"/>
          <w:szCs w:val="24"/>
          <w:lang w:val="en-US"/>
        </w:rPr>
        <w:t>VOL.</w:t>
      </w:r>
      <w:r w:rsidRPr="00B449A5">
        <w:rPr>
          <w:rFonts w:eastAsia="Calibri" w:cs="Times New Roman"/>
          <w:szCs w:val="24"/>
          <w:lang w:val="en-US"/>
        </w:rPr>
        <w:t xml:space="preserve"> 81, № 2. — </w:t>
      </w:r>
      <w:r w:rsidRPr="00B449A5">
        <w:rPr>
          <w:rFonts w:eastAsia="Calibri" w:cs="Times New Roman"/>
          <w:szCs w:val="24"/>
        </w:rPr>
        <w:t>С</w:t>
      </w:r>
      <w:r w:rsidRPr="00B449A5">
        <w:rPr>
          <w:rFonts w:eastAsia="Calibri" w:cs="Times New Roman"/>
          <w:szCs w:val="24"/>
          <w:lang w:val="en-US"/>
        </w:rPr>
        <w:t>. 97–103. DOI: 10.1016/j.catena.2010.01.008</w:t>
      </w:r>
    </w:p>
    <w:p w14:paraId="3589A592" w14:textId="2C37690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77.</w:t>
      </w:r>
      <w:r w:rsidRPr="00B449A5">
        <w:rPr>
          <w:rFonts w:eastAsia="Calibri" w:cs="Times New Roman"/>
          <w:szCs w:val="24"/>
          <w:lang w:val="en-US"/>
        </w:rPr>
        <w:tab/>
        <w:t xml:space="preserve">The rational formula from the runhydrograph / M. Parak, G. Pegram // Water SA. — 2007. — </w:t>
      </w:r>
      <w:r w:rsidR="001A7438" w:rsidRPr="00FA3419">
        <w:rPr>
          <w:rFonts w:eastAsia="Calibri" w:cs="Times New Roman"/>
          <w:szCs w:val="24"/>
          <w:lang w:val="en-US"/>
        </w:rPr>
        <w:t>VOL.</w:t>
      </w:r>
      <w:r w:rsidRPr="00B449A5">
        <w:rPr>
          <w:rFonts w:eastAsia="Calibri" w:cs="Times New Roman"/>
          <w:szCs w:val="24"/>
          <w:lang w:val="en-US"/>
        </w:rPr>
        <w:t xml:space="preserve"> 32, № 2. DOI: 10.4314/wsa.v32i2.5257</w:t>
      </w:r>
    </w:p>
    <w:p w14:paraId="7CA1ACB3" w14:textId="18E2323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78.</w:t>
      </w:r>
      <w:r w:rsidRPr="00B449A5">
        <w:rPr>
          <w:rFonts w:eastAsia="Calibri" w:cs="Times New Roman"/>
          <w:szCs w:val="24"/>
          <w:lang w:val="en-US"/>
        </w:rPr>
        <w:tab/>
        <w:t xml:space="preserve">Uncertainty in Rainfall Intensity Duration Frequency Curves of Peninsular Malaysia under Changing Climate Scenarios / M. Noor, T. Ismail, E.-S. Chung, S. Shahid, J. Sung // Water. — 2018. — </w:t>
      </w:r>
      <w:r w:rsidR="001A7438" w:rsidRPr="00FA3419">
        <w:rPr>
          <w:rFonts w:eastAsia="Calibri" w:cs="Times New Roman"/>
          <w:szCs w:val="24"/>
          <w:lang w:val="en-US"/>
        </w:rPr>
        <w:t>VOL.</w:t>
      </w:r>
      <w:r w:rsidRPr="00B449A5">
        <w:rPr>
          <w:rFonts w:eastAsia="Calibri" w:cs="Times New Roman"/>
          <w:szCs w:val="24"/>
          <w:lang w:val="en-US"/>
        </w:rPr>
        <w:t xml:space="preserve"> 10, № 12. — </w:t>
      </w:r>
      <w:r w:rsidRPr="00B449A5">
        <w:rPr>
          <w:rFonts w:eastAsia="Calibri" w:cs="Times New Roman"/>
          <w:szCs w:val="24"/>
        </w:rPr>
        <w:t>С</w:t>
      </w:r>
      <w:r w:rsidRPr="00B449A5">
        <w:rPr>
          <w:rFonts w:eastAsia="Calibri" w:cs="Times New Roman"/>
          <w:szCs w:val="24"/>
          <w:lang w:val="en-US"/>
        </w:rPr>
        <w:t>. 1750–1750. DOI: 10.3390/w10121750</w:t>
      </w:r>
    </w:p>
    <w:p w14:paraId="616B46FC" w14:textId="603D54A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79.</w:t>
      </w:r>
      <w:r w:rsidRPr="00B449A5">
        <w:rPr>
          <w:rFonts w:eastAsia="Calibri" w:cs="Times New Roman"/>
          <w:szCs w:val="24"/>
          <w:lang w:val="en-US"/>
        </w:rPr>
        <w:tab/>
        <w:t xml:space="preserve">A rational runoff coefficient for a revisited rational formula / G. Baiamonte // Hydrological Sciences Journal. — 2020. — </w:t>
      </w:r>
      <w:r w:rsidR="001A7438" w:rsidRPr="00FA3419">
        <w:rPr>
          <w:rFonts w:eastAsia="Calibri" w:cs="Times New Roman"/>
          <w:szCs w:val="24"/>
          <w:lang w:val="en-US"/>
        </w:rPr>
        <w:t>VOL.</w:t>
      </w:r>
      <w:r w:rsidRPr="00B449A5">
        <w:rPr>
          <w:rFonts w:eastAsia="Calibri" w:cs="Times New Roman"/>
          <w:szCs w:val="24"/>
          <w:lang w:val="en-US"/>
        </w:rPr>
        <w:t xml:space="preserve"> 65, № 1. — </w:t>
      </w:r>
      <w:r w:rsidRPr="00B449A5">
        <w:rPr>
          <w:rFonts w:eastAsia="Calibri" w:cs="Times New Roman"/>
          <w:szCs w:val="24"/>
        </w:rPr>
        <w:t>С</w:t>
      </w:r>
      <w:r w:rsidRPr="00B449A5">
        <w:rPr>
          <w:rFonts w:eastAsia="Calibri" w:cs="Times New Roman"/>
          <w:szCs w:val="24"/>
          <w:lang w:val="en-US"/>
        </w:rPr>
        <w:t>. 112–126. DOI: 10.1080/02626667.2019.1682150</w:t>
      </w:r>
    </w:p>
    <w:p w14:paraId="6B8F2A67" w14:textId="7847E8C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80.</w:t>
      </w:r>
      <w:r w:rsidRPr="00B449A5">
        <w:rPr>
          <w:rFonts w:eastAsia="Calibri" w:cs="Times New Roman"/>
          <w:szCs w:val="24"/>
          <w:lang w:val="en-US"/>
        </w:rPr>
        <w:tab/>
        <w:t xml:space="preserve">Intensity-duration-frequency curve derivation from different rain gauge records / A. Saad Al-Wagdany // Journal of King Saud University - Science. — 2020. — </w:t>
      </w:r>
      <w:r w:rsidR="001A7438" w:rsidRPr="00FA3419">
        <w:rPr>
          <w:rFonts w:eastAsia="Calibri" w:cs="Times New Roman"/>
          <w:szCs w:val="24"/>
          <w:lang w:val="en-US"/>
        </w:rPr>
        <w:t>VOL.</w:t>
      </w:r>
      <w:r w:rsidRPr="00B449A5">
        <w:rPr>
          <w:rFonts w:eastAsia="Calibri" w:cs="Times New Roman"/>
          <w:szCs w:val="24"/>
          <w:lang w:val="en-US"/>
        </w:rPr>
        <w:t xml:space="preserve"> 32, № 8. — </w:t>
      </w:r>
      <w:r w:rsidRPr="00B449A5">
        <w:rPr>
          <w:rFonts w:eastAsia="Calibri" w:cs="Times New Roman"/>
          <w:szCs w:val="24"/>
        </w:rPr>
        <w:t>С</w:t>
      </w:r>
      <w:r w:rsidRPr="00B449A5">
        <w:rPr>
          <w:rFonts w:eastAsia="Calibri" w:cs="Times New Roman"/>
          <w:szCs w:val="24"/>
          <w:lang w:val="en-US"/>
        </w:rPr>
        <w:t>. 3421–3431. DOI: 10.1016/j.jksus.2020.09.028</w:t>
      </w:r>
    </w:p>
    <w:p w14:paraId="6E5AB118" w14:textId="4E167BD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81.</w:t>
      </w:r>
      <w:r w:rsidRPr="00B449A5">
        <w:rPr>
          <w:rFonts w:eastAsia="Calibri" w:cs="Times New Roman"/>
          <w:szCs w:val="24"/>
          <w:lang w:val="en-US"/>
        </w:rPr>
        <w:tab/>
        <w:t xml:space="preserve">A history of the concept of time of concentration / K.J. Beven // Hydrology and Earth System Sciences. — 2020. — </w:t>
      </w:r>
      <w:r w:rsidR="001A7438" w:rsidRPr="00FA3419">
        <w:rPr>
          <w:rFonts w:eastAsia="Calibri" w:cs="Times New Roman"/>
          <w:szCs w:val="24"/>
          <w:lang w:val="en-US"/>
        </w:rPr>
        <w:t>VOL.</w:t>
      </w:r>
      <w:r w:rsidRPr="00B449A5">
        <w:rPr>
          <w:rFonts w:eastAsia="Calibri" w:cs="Times New Roman"/>
          <w:szCs w:val="24"/>
          <w:lang w:val="en-US"/>
        </w:rPr>
        <w:t xml:space="preserve"> 24, № 5. — </w:t>
      </w:r>
      <w:r w:rsidRPr="00B449A5">
        <w:rPr>
          <w:rFonts w:eastAsia="Calibri" w:cs="Times New Roman"/>
          <w:szCs w:val="24"/>
        </w:rPr>
        <w:t>С</w:t>
      </w:r>
      <w:r w:rsidRPr="00B449A5">
        <w:rPr>
          <w:rFonts w:eastAsia="Calibri" w:cs="Times New Roman"/>
          <w:szCs w:val="24"/>
          <w:lang w:val="en-US"/>
        </w:rPr>
        <w:t>. 2655–2670. DOI: 10.5194/hess-24-2655-2020</w:t>
      </w:r>
    </w:p>
    <w:p w14:paraId="2848D357" w14:textId="4CD2DC9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82.</w:t>
      </w:r>
      <w:r w:rsidRPr="00B449A5">
        <w:rPr>
          <w:rFonts w:eastAsia="Calibri" w:cs="Times New Roman"/>
          <w:szCs w:val="24"/>
          <w:lang w:val="en-US"/>
        </w:rPr>
        <w:tab/>
        <w:t xml:space="preserve">Assessing the Performance of Different Time of Concentration Equations in Urban Ungauged Watersheds: Case Study of Cartagena de Indias, Colombia / Á. González-Álvarez, J. Molina-Pérez, B. Meza-Zúñiga, O.M. Viloria-Marimón, K. Tesfagiorgis, J.A. Mouthón-Bello // Hydrology. — 2020. — </w:t>
      </w:r>
      <w:r w:rsidR="001A7438" w:rsidRPr="00FA3419">
        <w:rPr>
          <w:rFonts w:eastAsia="Calibri" w:cs="Times New Roman"/>
          <w:szCs w:val="24"/>
          <w:lang w:val="en-US"/>
        </w:rPr>
        <w:t>VOL.</w:t>
      </w:r>
      <w:r w:rsidRPr="00B449A5">
        <w:rPr>
          <w:rFonts w:eastAsia="Calibri" w:cs="Times New Roman"/>
          <w:szCs w:val="24"/>
          <w:lang w:val="en-US"/>
        </w:rPr>
        <w:t xml:space="preserve"> 7, № 3. — </w:t>
      </w:r>
      <w:r w:rsidRPr="00B449A5">
        <w:rPr>
          <w:rFonts w:eastAsia="Calibri" w:cs="Times New Roman"/>
          <w:szCs w:val="24"/>
        </w:rPr>
        <w:t>С</w:t>
      </w:r>
      <w:r w:rsidRPr="00B449A5">
        <w:rPr>
          <w:rFonts w:eastAsia="Calibri" w:cs="Times New Roman"/>
          <w:szCs w:val="24"/>
          <w:lang w:val="en-US"/>
        </w:rPr>
        <w:t>. 47–47. DOI: 10.3390/hydrology7030047</w:t>
      </w:r>
    </w:p>
    <w:p w14:paraId="0CE0808F" w14:textId="43BBD74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83.</w:t>
      </w:r>
      <w:r w:rsidRPr="00B449A5">
        <w:rPr>
          <w:rFonts w:eastAsia="Calibri" w:cs="Times New Roman"/>
          <w:szCs w:val="24"/>
          <w:lang w:val="en-US"/>
        </w:rPr>
        <w:tab/>
        <w:t xml:space="preserve">Comparative Analysis of Some Existing Models for Estimating the Time of Concentration for Watersheds in Anambra State, Nigeria / J.C. Agunwamba, N.C. Mmonwuba // Journal of Engineering Research and Reports. — 2021. — </w:t>
      </w:r>
      <w:r w:rsidRPr="00B449A5">
        <w:rPr>
          <w:rFonts w:eastAsia="Calibri" w:cs="Times New Roman"/>
          <w:szCs w:val="24"/>
        </w:rPr>
        <w:t>С</w:t>
      </w:r>
      <w:r w:rsidRPr="00B449A5">
        <w:rPr>
          <w:rFonts w:eastAsia="Calibri" w:cs="Times New Roman"/>
          <w:szCs w:val="24"/>
          <w:lang w:val="en-US"/>
        </w:rPr>
        <w:t>. 64–75. DOI: 10.9734/jerr/2021/v20i517314</w:t>
      </w:r>
    </w:p>
    <w:p w14:paraId="1BB09A29" w14:textId="6F29FCA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84.</w:t>
      </w:r>
      <w:r w:rsidRPr="00B449A5">
        <w:rPr>
          <w:rFonts w:eastAsia="Calibri" w:cs="Times New Roman"/>
          <w:szCs w:val="24"/>
          <w:lang w:val="en-US"/>
        </w:rPr>
        <w:tab/>
        <w:t xml:space="preserve">Performance of methods for estimating the time of concentration in a watershed of a tropical region / I. Kaufmann de Almeida, A. Kaufmann Almeida, S. Garcia Gabas, T. Alves Sobrinho // Hydrological Sciences Journal. — 2017. — </w:t>
      </w:r>
      <w:r w:rsidR="001A7438" w:rsidRPr="00FA3419">
        <w:rPr>
          <w:rFonts w:eastAsia="Calibri" w:cs="Times New Roman"/>
          <w:szCs w:val="24"/>
          <w:lang w:val="en-US"/>
        </w:rPr>
        <w:t>VOL.</w:t>
      </w:r>
      <w:r w:rsidRPr="00B449A5">
        <w:rPr>
          <w:rFonts w:eastAsia="Calibri" w:cs="Times New Roman"/>
          <w:szCs w:val="24"/>
          <w:lang w:val="en-US"/>
        </w:rPr>
        <w:t xml:space="preserve"> 62, № 14. — </w:t>
      </w:r>
      <w:r w:rsidRPr="00B449A5">
        <w:rPr>
          <w:rFonts w:eastAsia="Calibri" w:cs="Times New Roman"/>
          <w:szCs w:val="24"/>
        </w:rPr>
        <w:t>С</w:t>
      </w:r>
      <w:r w:rsidRPr="00B449A5">
        <w:rPr>
          <w:rFonts w:eastAsia="Calibri" w:cs="Times New Roman"/>
          <w:szCs w:val="24"/>
          <w:lang w:val="en-US"/>
        </w:rPr>
        <w:t>. 2406–2414. DOI: 10.1080/02626667.2017.1384549</w:t>
      </w:r>
    </w:p>
    <w:p w14:paraId="6116D0D0" w14:textId="4DD872C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85.</w:t>
      </w:r>
      <w:r w:rsidRPr="00B449A5">
        <w:rPr>
          <w:rFonts w:eastAsia="Calibri" w:cs="Times New Roman"/>
          <w:szCs w:val="24"/>
          <w:lang w:val="en-US"/>
        </w:rPr>
        <w:tab/>
        <w:t xml:space="preserve">Estimating time of concentration in large watersheds / E.T. Salimi, A. Nohegar, A. Malekian, M. Hoseini, A. Holisaz // Paddy and Water Environment. — 2017. — </w:t>
      </w:r>
      <w:r w:rsidR="001A7438" w:rsidRPr="00FA3419">
        <w:rPr>
          <w:rFonts w:eastAsia="Calibri" w:cs="Times New Roman"/>
          <w:szCs w:val="24"/>
          <w:lang w:val="en-US"/>
        </w:rPr>
        <w:t>VOL.</w:t>
      </w:r>
      <w:r w:rsidRPr="00B449A5">
        <w:rPr>
          <w:rFonts w:eastAsia="Calibri" w:cs="Times New Roman"/>
          <w:szCs w:val="24"/>
          <w:lang w:val="en-US"/>
        </w:rPr>
        <w:t xml:space="preserve"> 15, № 1. — </w:t>
      </w:r>
      <w:r w:rsidRPr="00B449A5">
        <w:rPr>
          <w:rFonts w:eastAsia="Calibri" w:cs="Times New Roman"/>
          <w:szCs w:val="24"/>
        </w:rPr>
        <w:t>С</w:t>
      </w:r>
      <w:r w:rsidRPr="00B449A5">
        <w:rPr>
          <w:rFonts w:eastAsia="Calibri" w:cs="Times New Roman"/>
          <w:szCs w:val="24"/>
          <w:lang w:val="en-US"/>
        </w:rPr>
        <w:t>. 123–132. DOI: 10.1007/s10333-016-0534-2</w:t>
      </w:r>
    </w:p>
    <w:p w14:paraId="4355A510" w14:textId="6170E56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86.</w:t>
      </w:r>
      <w:r w:rsidRPr="00B449A5">
        <w:rPr>
          <w:rFonts w:eastAsia="Calibri" w:cs="Times New Roman"/>
          <w:szCs w:val="24"/>
          <w:lang w:val="en-US"/>
        </w:rPr>
        <w:tab/>
        <w:t xml:space="preserve">Model for Estimating the Time of Concentration in Watersheds / I.K. de Almeida, A.K. Almeida, J.L. Steffen, T. Alves Sobrinho // Water Resources Management. — 2016. — </w:t>
      </w:r>
      <w:r w:rsidR="001A7438" w:rsidRPr="00FA3419">
        <w:rPr>
          <w:rFonts w:eastAsia="Calibri" w:cs="Times New Roman"/>
          <w:szCs w:val="24"/>
          <w:lang w:val="en-US"/>
        </w:rPr>
        <w:t>VOL.</w:t>
      </w:r>
      <w:r w:rsidRPr="00B449A5">
        <w:rPr>
          <w:rFonts w:eastAsia="Calibri" w:cs="Times New Roman"/>
          <w:szCs w:val="24"/>
          <w:lang w:val="en-US"/>
        </w:rPr>
        <w:t xml:space="preserve"> 30, № 12. — </w:t>
      </w:r>
      <w:r w:rsidRPr="00B449A5">
        <w:rPr>
          <w:rFonts w:eastAsia="Calibri" w:cs="Times New Roman"/>
          <w:szCs w:val="24"/>
        </w:rPr>
        <w:t>С</w:t>
      </w:r>
      <w:r w:rsidRPr="00B449A5">
        <w:rPr>
          <w:rFonts w:eastAsia="Calibri" w:cs="Times New Roman"/>
          <w:szCs w:val="24"/>
          <w:lang w:val="en-US"/>
        </w:rPr>
        <w:t>. 4083–4096. DOI: 10.1007/s11269-016-1383-x</w:t>
      </w:r>
    </w:p>
    <w:p w14:paraId="47AA2710" w14:textId="02EA31E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87.</w:t>
      </w:r>
      <w:r w:rsidRPr="00B449A5">
        <w:rPr>
          <w:rFonts w:eastAsia="Calibri" w:cs="Times New Roman"/>
          <w:szCs w:val="24"/>
          <w:lang w:val="en-US"/>
        </w:rPr>
        <w:tab/>
        <w:t xml:space="preserve">Spatio-temporal critical source area patterns of runoff pollution from agricultural practices in the Colombian Andes / N. Uribe, R. Srinivasan, G. Corzo, D. Arango, D. Solomatine // Ecological Engineering. — 2020. — </w:t>
      </w:r>
      <w:r w:rsidR="001A7438" w:rsidRPr="00FA3419">
        <w:rPr>
          <w:rFonts w:eastAsia="Calibri" w:cs="Times New Roman"/>
          <w:szCs w:val="24"/>
          <w:lang w:val="en-US"/>
        </w:rPr>
        <w:t>VOL.</w:t>
      </w:r>
      <w:r w:rsidRPr="00B449A5">
        <w:rPr>
          <w:rFonts w:eastAsia="Calibri" w:cs="Times New Roman"/>
          <w:szCs w:val="24"/>
          <w:lang w:val="en-US"/>
        </w:rPr>
        <w:t xml:space="preserve"> 149. — </w:t>
      </w:r>
      <w:r w:rsidRPr="00B449A5">
        <w:rPr>
          <w:rFonts w:eastAsia="Calibri" w:cs="Times New Roman"/>
          <w:szCs w:val="24"/>
        </w:rPr>
        <w:t>С</w:t>
      </w:r>
      <w:r w:rsidRPr="00B449A5">
        <w:rPr>
          <w:rFonts w:eastAsia="Calibri" w:cs="Times New Roman"/>
          <w:szCs w:val="24"/>
          <w:lang w:val="en-US"/>
        </w:rPr>
        <w:t>. 105810–105810. DOI: 10.1016/j.ecoleng.2020.105810</w:t>
      </w:r>
    </w:p>
    <w:p w14:paraId="65A958E4" w14:textId="25BAAD4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88.</w:t>
      </w:r>
      <w:r w:rsidRPr="00B449A5">
        <w:rPr>
          <w:rFonts w:eastAsia="Calibri" w:cs="Times New Roman"/>
          <w:szCs w:val="24"/>
          <w:lang w:val="en-US"/>
        </w:rPr>
        <w:tab/>
        <w:t xml:space="preserve">Estimation of CN Parameter for Small Agricultural Watersheds Using Asymptotic Functions / T. Kowalik, A. Walega // Water. — 2015. — </w:t>
      </w:r>
      <w:r w:rsidR="001A7438" w:rsidRPr="00FA3419">
        <w:rPr>
          <w:rFonts w:eastAsia="Calibri" w:cs="Times New Roman"/>
          <w:szCs w:val="24"/>
          <w:lang w:val="en-US"/>
        </w:rPr>
        <w:t>VOL.</w:t>
      </w:r>
      <w:r w:rsidRPr="00B449A5">
        <w:rPr>
          <w:rFonts w:eastAsia="Calibri" w:cs="Times New Roman"/>
          <w:szCs w:val="24"/>
          <w:lang w:val="en-US"/>
        </w:rPr>
        <w:t xml:space="preserve"> 7, № 12. — </w:t>
      </w:r>
      <w:r w:rsidRPr="00B449A5">
        <w:rPr>
          <w:rFonts w:eastAsia="Calibri" w:cs="Times New Roman"/>
          <w:szCs w:val="24"/>
        </w:rPr>
        <w:t>С</w:t>
      </w:r>
      <w:r w:rsidRPr="00B449A5">
        <w:rPr>
          <w:rFonts w:eastAsia="Calibri" w:cs="Times New Roman"/>
          <w:szCs w:val="24"/>
          <w:lang w:val="en-US"/>
        </w:rPr>
        <w:t>. 939–955. DOI: 10.3390/w7030939</w:t>
      </w:r>
    </w:p>
    <w:p w14:paraId="2CC418FE" w14:textId="04C4BC5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89.</w:t>
      </w:r>
      <w:r w:rsidRPr="00B449A5">
        <w:rPr>
          <w:rFonts w:eastAsia="Calibri" w:cs="Times New Roman"/>
          <w:szCs w:val="24"/>
          <w:lang w:val="en-US"/>
        </w:rPr>
        <w:tab/>
        <w:t>Mapping and Prediction of Surface Run-off using SCS-CN Method / Anupam K Singh, Sudhakar B Sharma, Akshay O Jain // Landscape and Urban Planning. — Ajmer, India: Geomatics-2011 National Conference, 2011. — P. 10.</w:t>
      </w:r>
    </w:p>
    <w:p w14:paraId="79FF8CE8" w14:textId="53E7C2B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90.</w:t>
      </w:r>
      <w:r w:rsidRPr="00B449A5">
        <w:rPr>
          <w:rFonts w:eastAsia="Calibri" w:cs="Times New Roman"/>
          <w:szCs w:val="24"/>
          <w:lang w:val="en-US"/>
        </w:rPr>
        <w:tab/>
        <w:t xml:space="preserve">Urban Flood Depth Estimate With a New Calibrated Curve Number Runoff Prediction Model / L. Ling, Z. Yusop, M.F. Chow // IEEE Access. — 2020. — </w:t>
      </w:r>
      <w:r w:rsidR="001A7438" w:rsidRPr="00FA3419">
        <w:rPr>
          <w:rFonts w:eastAsia="Calibri" w:cs="Times New Roman"/>
          <w:szCs w:val="24"/>
          <w:lang w:val="en-US"/>
        </w:rPr>
        <w:t>VOL.</w:t>
      </w:r>
      <w:r w:rsidRPr="00B449A5">
        <w:rPr>
          <w:rFonts w:eastAsia="Calibri" w:cs="Times New Roman"/>
          <w:szCs w:val="24"/>
          <w:lang w:val="en-US"/>
        </w:rPr>
        <w:t xml:space="preserve"> 8. — </w:t>
      </w:r>
      <w:r w:rsidRPr="00B449A5">
        <w:rPr>
          <w:rFonts w:eastAsia="Calibri" w:cs="Times New Roman"/>
          <w:szCs w:val="24"/>
        </w:rPr>
        <w:t>С</w:t>
      </w:r>
      <w:r w:rsidRPr="00B449A5">
        <w:rPr>
          <w:rFonts w:eastAsia="Calibri" w:cs="Times New Roman"/>
          <w:szCs w:val="24"/>
          <w:lang w:val="en-US"/>
        </w:rPr>
        <w:t>. 10915–10923. DOI: 10.1109/ACCESS.2020.2964898</w:t>
      </w:r>
    </w:p>
    <w:p w14:paraId="5BCD88CE" w14:textId="1DDF41C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91.</w:t>
      </w:r>
      <w:r w:rsidRPr="00B449A5">
        <w:rPr>
          <w:rFonts w:eastAsia="Calibri" w:cs="Times New Roman"/>
          <w:szCs w:val="24"/>
          <w:lang w:val="en-US"/>
        </w:rPr>
        <w:tab/>
        <w:t xml:space="preserve">Comparative evaluation of models to estimate direct runoff volume from an agricultural watershed / K.S. Rawat, S.K. Singh, S. Szilard // Geology, Ecology, and Landscapes. — 2021. — </w:t>
      </w:r>
      <w:r w:rsidR="001A7438" w:rsidRPr="00FA3419">
        <w:rPr>
          <w:rFonts w:eastAsia="Calibri" w:cs="Times New Roman"/>
          <w:szCs w:val="24"/>
          <w:lang w:val="en-US"/>
        </w:rPr>
        <w:t>VOL.</w:t>
      </w:r>
      <w:r w:rsidRPr="00B449A5">
        <w:rPr>
          <w:rFonts w:eastAsia="Calibri" w:cs="Times New Roman"/>
          <w:szCs w:val="24"/>
          <w:lang w:val="en-US"/>
        </w:rPr>
        <w:t xml:space="preserve"> 5, № 2. — </w:t>
      </w:r>
      <w:r w:rsidRPr="00B449A5">
        <w:rPr>
          <w:rFonts w:eastAsia="Calibri" w:cs="Times New Roman"/>
          <w:szCs w:val="24"/>
        </w:rPr>
        <w:t>С</w:t>
      </w:r>
      <w:r w:rsidRPr="00B449A5">
        <w:rPr>
          <w:rFonts w:eastAsia="Calibri" w:cs="Times New Roman"/>
          <w:szCs w:val="24"/>
          <w:lang w:val="en-US"/>
        </w:rPr>
        <w:t>. 94–108. DOI: 10.1080/24749508.2020.1833629</w:t>
      </w:r>
    </w:p>
    <w:p w14:paraId="77062FA8" w14:textId="201F852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92.</w:t>
      </w:r>
      <w:r w:rsidRPr="00B449A5">
        <w:rPr>
          <w:rFonts w:eastAsia="Calibri" w:cs="Times New Roman"/>
          <w:szCs w:val="24"/>
          <w:lang w:val="en-US"/>
        </w:rPr>
        <w:tab/>
        <w:t>Urban Hydrology for Small Watersheds TR-55NRCS. (1986). Urban Hydrology for Small Watersheds TR-55. USDA Natural Resource Conservation Service Conservation Engeneering Division Technical Release 55. http://doi.org/Technical Release 55 / NRCS1986.</w:t>
      </w:r>
    </w:p>
    <w:p w14:paraId="435F44A8" w14:textId="1065287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93.</w:t>
      </w:r>
      <w:r w:rsidRPr="00B449A5">
        <w:rPr>
          <w:rFonts w:eastAsia="Calibri" w:cs="Times New Roman"/>
          <w:szCs w:val="24"/>
          <w:lang w:val="en-US"/>
        </w:rPr>
        <w:tab/>
        <w:t xml:space="preserve">Simulation of Urban Drainage System Using a Storm Water Management Model (SWMM) / V.A. Rangari, S. Sai Prashanth // Asian Journal of Engineering and Applied Technology. — 2018. — </w:t>
      </w:r>
      <w:r w:rsidR="001A7438" w:rsidRPr="00FA3419">
        <w:rPr>
          <w:rFonts w:eastAsia="Calibri" w:cs="Times New Roman"/>
          <w:szCs w:val="24"/>
          <w:lang w:val="en-US"/>
        </w:rPr>
        <w:t>VOL.</w:t>
      </w:r>
      <w:r w:rsidRPr="00B449A5">
        <w:rPr>
          <w:rFonts w:eastAsia="Calibri" w:cs="Times New Roman"/>
          <w:szCs w:val="24"/>
          <w:lang w:val="en-US"/>
        </w:rPr>
        <w:t xml:space="preserve"> 7, № 1. — </w:t>
      </w:r>
      <w:r w:rsidRPr="00B449A5">
        <w:rPr>
          <w:rFonts w:eastAsia="Calibri" w:cs="Times New Roman"/>
          <w:szCs w:val="24"/>
        </w:rPr>
        <w:t>С</w:t>
      </w:r>
      <w:r w:rsidRPr="00B449A5">
        <w:rPr>
          <w:rFonts w:eastAsia="Calibri" w:cs="Times New Roman"/>
          <w:szCs w:val="24"/>
          <w:lang w:val="en-US"/>
        </w:rPr>
        <w:t>. 7–10. DOI: 10.51983/ajeat-2018.7.1.872</w:t>
      </w:r>
    </w:p>
    <w:p w14:paraId="38D9A7FD" w14:textId="4A931F3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94.</w:t>
      </w:r>
      <w:r w:rsidRPr="00B449A5">
        <w:rPr>
          <w:rFonts w:eastAsia="Calibri" w:cs="Times New Roman"/>
          <w:szCs w:val="24"/>
          <w:lang w:val="en-US"/>
        </w:rPr>
        <w:tab/>
        <w:t xml:space="preserve">Determination of Watershed Characteristics and Curve Number (CN) for Ponnaniyaru Dam Catchment Area / S. R, N. N, S. C R // International Journal of Engineering &amp; Technology. — 2018. — </w:t>
      </w:r>
      <w:r w:rsidR="001A7438" w:rsidRPr="00FA3419">
        <w:rPr>
          <w:rFonts w:eastAsia="Calibri" w:cs="Times New Roman"/>
          <w:szCs w:val="24"/>
          <w:lang w:val="en-US"/>
        </w:rPr>
        <w:t>VOL.</w:t>
      </w:r>
      <w:r w:rsidRPr="00B449A5">
        <w:rPr>
          <w:rFonts w:eastAsia="Calibri" w:cs="Times New Roman"/>
          <w:szCs w:val="24"/>
          <w:lang w:val="en-US"/>
        </w:rPr>
        <w:t xml:space="preserve"> 7, № 3.12. — </w:t>
      </w:r>
      <w:r w:rsidRPr="00B449A5">
        <w:rPr>
          <w:rFonts w:eastAsia="Calibri" w:cs="Times New Roman"/>
          <w:szCs w:val="24"/>
        </w:rPr>
        <w:t>С</w:t>
      </w:r>
      <w:r w:rsidRPr="00B449A5">
        <w:rPr>
          <w:rFonts w:eastAsia="Calibri" w:cs="Times New Roman"/>
          <w:szCs w:val="24"/>
          <w:lang w:val="en-US"/>
        </w:rPr>
        <w:t>. 558–558. DOI: 10.14419/ijet.v7i3.12.16179</w:t>
      </w:r>
    </w:p>
    <w:p w14:paraId="110E6F47" w14:textId="7EA3970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95.</w:t>
      </w:r>
      <w:r w:rsidRPr="00B449A5">
        <w:rPr>
          <w:rFonts w:eastAsia="Calibri" w:cs="Times New Roman"/>
          <w:szCs w:val="24"/>
          <w:lang w:val="en-US"/>
        </w:rPr>
        <w:tab/>
        <w:t xml:space="preserve">Curve Number Estimation for Ungauged Watershed in Semi-Arid Region / D.S. Krisnayanti, W. Bunganaen, J.H. Frans, Y.A. Seran, D. Legono // Civil Engineering Journal. — 2021. — </w:t>
      </w:r>
      <w:r w:rsidR="001A7438" w:rsidRPr="00FA3419">
        <w:rPr>
          <w:rFonts w:eastAsia="Calibri" w:cs="Times New Roman"/>
          <w:szCs w:val="24"/>
          <w:lang w:val="en-US"/>
        </w:rPr>
        <w:t>VOL.</w:t>
      </w:r>
      <w:r w:rsidRPr="00B449A5">
        <w:rPr>
          <w:rFonts w:eastAsia="Calibri" w:cs="Times New Roman"/>
          <w:szCs w:val="24"/>
          <w:lang w:val="en-US"/>
        </w:rPr>
        <w:t xml:space="preserve"> 7, № 6. — </w:t>
      </w:r>
      <w:r w:rsidRPr="00B449A5">
        <w:rPr>
          <w:rFonts w:eastAsia="Calibri" w:cs="Times New Roman"/>
          <w:szCs w:val="24"/>
        </w:rPr>
        <w:t>С</w:t>
      </w:r>
      <w:r w:rsidRPr="00B449A5">
        <w:rPr>
          <w:rFonts w:eastAsia="Calibri" w:cs="Times New Roman"/>
          <w:szCs w:val="24"/>
          <w:lang w:val="en-US"/>
        </w:rPr>
        <w:t>. 1070–1083. DOI: 10.28991/cej-2021-03091711</w:t>
      </w:r>
    </w:p>
    <w:p w14:paraId="71CFAC84" w14:textId="549EC16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96.</w:t>
      </w:r>
      <w:r w:rsidRPr="00B449A5">
        <w:rPr>
          <w:rFonts w:eastAsia="Calibri" w:cs="Times New Roman"/>
          <w:szCs w:val="24"/>
          <w:lang w:val="en-US"/>
        </w:rPr>
        <w:tab/>
        <w:t xml:space="preserve">Runoff Curve Numbers for 10 Small Forested Watersheds in the Mountains of the Eastern United States / N.H. Tedela, S.C. McCutcheon, T.C. Rasmussen, R.H. Hawkins, W.T. Swank, J.L. Campbell, M.B. Adams, C.R. Jackson, E.W. Tollner // Journal of Hydrologic Engineering. — 2012. — </w:t>
      </w:r>
      <w:r w:rsidR="001A7438" w:rsidRPr="00FA3419">
        <w:rPr>
          <w:rFonts w:eastAsia="Calibri" w:cs="Times New Roman"/>
          <w:szCs w:val="24"/>
          <w:lang w:val="en-US"/>
        </w:rPr>
        <w:t>VOL.</w:t>
      </w:r>
      <w:r w:rsidRPr="00B449A5">
        <w:rPr>
          <w:rFonts w:eastAsia="Calibri" w:cs="Times New Roman"/>
          <w:szCs w:val="24"/>
          <w:lang w:val="en-US"/>
        </w:rPr>
        <w:t xml:space="preserve"> 17, № 11. — </w:t>
      </w:r>
      <w:r w:rsidRPr="00B449A5">
        <w:rPr>
          <w:rFonts w:eastAsia="Calibri" w:cs="Times New Roman"/>
          <w:szCs w:val="24"/>
        </w:rPr>
        <w:t>С</w:t>
      </w:r>
      <w:r w:rsidRPr="00B449A5">
        <w:rPr>
          <w:rFonts w:eastAsia="Calibri" w:cs="Times New Roman"/>
          <w:szCs w:val="24"/>
          <w:lang w:val="en-US"/>
        </w:rPr>
        <w:t>. 1188–1198. DOI: 10.1061/(ASCE)HE.1943-5584.0000436</w:t>
      </w:r>
    </w:p>
    <w:p w14:paraId="471A26DC" w14:textId="5973011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97.</w:t>
      </w:r>
      <w:r w:rsidRPr="00B449A5">
        <w:rPr>
          <w:rFonts w:eastAsia="Calibri" w:cs="Times New Roman"/>
          <w:szCs w:val="24"/>
          <w:lang w:val="en-US"/>
        </w:rPr>
        <w:tab/>
        <w:t xml:space="preserve">Understanding the Basis of the Curve Number Method for Watershed Models and TMDLs / R.H. Hawkins, F.D. Theurer, M. Rezaeianzadeh // Journal of Hydrologic Engineering. — 2019. — </w:t>
      </w:r>
      <w:r w:rsidR="001A7438" w:rsidRPr="00FA3419">
        <w:rPr>
          <w:rFonts w:eastAsia="Calibri" w:cs="Times New Roman"/>
          <w:szCs w:val="24"/>
          <w:lang w:val="en-US"/>
        </w:rPr>
        <w:t>VOL.</w:t>
      </w:r>
      <w:r w:rsidRPr="00B449A5">
        <w:rPr>
          <w:rFonts w:eastAsia="Calibri" w:cs="Times New Roman"/>
          <w:szCs w:val="24"/>
          <w:lang w:val="en-US"/>
        </w:rPr>
        <w:t xml:space="preserve"> 24, № 7. — </w:t>
      </w:r>
      <w:r w:rsidRPr="00B449A5">
        <w:rPr>
          <w:rFonts w:eastAsia="Calibri" w:cs="Times New Roman"/>
          <w:szCs w:val="24"/>
        </w:rPr>
        <w:t>С</w:t>
      </w:r>
      <w:r w:rsidRPr="00B449A5">
        <w:rPr>
          <w:rFonts w:eastAsia="Calibri" w:cs="Times New Roman"/>
          <w:szCs w:val="24"/>
          <w:lang w:val="en-US"/>
        </w:rPr>
        <w:t>. 06019003–06019003. DOI: 10.1061/(ASCE)HE.1943-5584.0001755</w:t>
      </w:r>
    </w:p>
    <w:p w14:paraId="515196C5" w14:textId="375499C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98.</w:t>
      </w:r>
      <w:r w:rsidRPr="00B449A5">
        <w:rPr>
          <w:rFonts w:eastAsia="Calibri" w:cs="Times New Roman"/>
          <w:szCs w:val="24"/>
          <w:lang w:val="en-US"/>
        </w:rPr>
        <w:tab/>
        <w:t xml:space="preserve">Classification of Soils into Hydrologic Groups Using Machine Learning / S. Abraham, C. Huynh, H. Vu // Data. — 2019. — </w:t>
      </w:r>
      <w:r w:rsidR="001A7438" w:rsidRPr="00FA3419">
        <w:rPr>
          <w:rFonts w:eastAsia="Calibri" w:cs="Times New Roman"/>
          <w:szCs w:val="24"/>
          <w:lang w:val="en-US"/>
        </w:rPr>
        <w:t>VOL.</w:t>
      </w:r>
      <w:r w:rsidRPr="00B449A5">
        <w:rPr>
          <w:rFonts w:eastAsia="Calibri" w:cs="Times New Roman"/>
          <w:szCs w:val="24"/>
          <w:lang w:val="en-US"/>
        </w:rPr>
        <w:t xml:space="preserve"> 5, № 1. — </w:t>
      </w:r>
      <w:r w:rsidRPr="00B449A5">
        <w:rPr>
          <w:rFonts w:eastAsia="Calibri" w:cs="Times New Roman"/>
          <w:szCs w:val="24"/>
        </w:rPr>
        <w:t>С</w:t>
      </w:r>
      <w:r w:rsidRPr="00B449A5">
        <w:rPr>
          <w:rFonts w:eastAsia="Calibri" w:cs="Times New Roman"/>
          <w:szCs w:val="24"/>
          <w:lang w:val="en-US"/>
        </w:rPr>
        <w:t>. 2–2. DOI: 10.3390/data5010002</w:t>
      </w:r>
    </w:p>
    <w:p w14:paraId="4211DD08" w14:textId="4CA39D8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99.</w:t>
      </w:r>
      <w:r w:rsidRPr="00B449A5">
        <w:rPr>
          <w:rFonts w:eastAsia="Calibri" w:cs="Times New Roman"/>
          <w:szCs w:val="24"/>
          <w:lang w:val="en-US"/>
        </w:rPr>
        <w:tab/>
        <w:t xml:space="preserve">Reassessment of the hydrologic soil group for runoff modelling / K. Auerswald, Q.-L. Gu // Soil and Tillage Research. — 2021. — </w:t>
      </w:r>
      <w:r w:rsidR="001A7438" w:rsidRPr="00FA3419">
        <w:rPr>
          <w:rFonts w:eastAsia="Calibri" w:cs="Times New Roman"/>
          <w:szCs w:val="24"/>
          <w:lang w:val="en-US"/>
        </w:rPr>
        <w:t>VOL.</w:t>
      </w:r>
      <w:r w:rsidRPr="00B449A5">
        <w:rPr>
          <w:rFonts w:eastAsia="Calibri" w:cs="Times New Roman"/>
          <w:szCs w:val="24"/>
          <w:lang w:val="en-US"/>
        </w:rPr>
        <w:t xml:space="preserve"> 212. — </w:t>
      </w:r>
      <w:r w:rsidRPr="00B449A5">
        <w:rPr>
          <w:rFonts w:eastAsia="Calibri" w:cs="Times New Roman"/>
          <w:szCs w:val="24"/>
        </w:rPr>
        <w:t>С</w:t>
      </w:r>
      <w:r w:rsidRPr="00B449A5">
        <w:rPr>
          <w:rFonts w:eastAsia="Calibri" w:cs="Times New Roman"/>
          <w:szCs w:val="24"/>
          <w:lang w:val="en-US"/>
        </w:rPr>
        <w:t>. 105034–105034. DOI: 10.1016/j.still.2021.105034</w:t>
      </w:r>
    </w:p>
    <w:p w14:paraId="4259511A" w14:textId="5485032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100.</w:t>
      </w:r>
      <w:r w:rsidRPr="00B449A5">
        <w:rPr>
          <w:rFonts w:eastAsia="Calibri" w:cs="Times New Roman"/>
          <w:szCs w:val="24"/>
          <w:lang w:val="en-US"/>
        </w:rPr>
        <w:tab/>
        <w:t xml:space="preserve">CN Modeling for Predicting Discharge in Lesti Sub-watershed / A.A. Hoesein, M. Bisri, L.M. Limantara, E. Suhartanto // International Journal of Innovative Technology and Exploring Engineering. — 2019. — </w:t>
      </w:r>
      <w:r w:rsidR="001A7438" w:rsidRPr="00FA3419">
        <w:rPr>
          <w:rFonts w:eastAsia="Calibri" w:cs="Times New Roman"/>
          <w:szCs w:val="24"/>
          <w:lang w:val="en-US"/>
        </w:rPr>
        <w:t>VOL.</w:t>
      </w:r>
      <w:r w:rsidRPr="00B449A5">
        <w:rPr>
          <w:rFonts w:eastAsia="Calibri" w:cs="Times New Roman"/>
          <w:szCs w:val="24"/>
          <w:lang w:val="en-US"/>
        </w:rPr>
        <w:t xml:space="preserve"> 8, № 12. — </w:t>
      </w:r>
      <w:r w:rsidRPr="00B449A5">
        <w:rPr>
          <w:rFonts w:eastAsia="Calibri" w:cs="Times New Roman"/>
          <w:szCs w:val="24"/>
        </w:rPr>
        <w:t>С</w:t>
      </w:r>
      <w:r w:rsidRPr="00B449A5">
        <w:rPr>
          <w:rFonts w:eastAsia="Calibri" w:cs="Times New Roman"/>
          <w:szCs w:val="24"/>
          <w:lang w:val="en-US"/>
        </w:rPr>
        <w:t>. 4890–4896. DOI: 10.35940/ijitee.L3544.1081219</w:t>
      </w:r>
    </w:p>
    <w:p w14:paraId="77891A13" w14:textId="1052747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101.</w:t>
      </w:r>
      <w:r w:rsidRPr="00B449A5">
        <w:rPr>
          <w:rFonts w:eastAsia="Calibri" w:cs="Times New Roman"/>
          <w:szCs w:val="24"/>
          <w:lang w:val="en-US"/>
        </w:rPr>
        <w:tab/>
        <w:t xml:space="preserve">The effect of land cover change on duration and severity of high and low flows / K.-H. Ahn, V. Merwade // Hydrological Processes. — 2017. — </w:t>
      </w:r>
      <w:r w:rsidR="001A7438" w:rsidRPr="00FA3419">
        <w:rPr>
          <w:rFonts w:eastAsia="Calibri" w:cs="Times New Roman"/>
          <w:szCs w:val="24"/>
          <w:lang w:val="en-US"/>
        </w:rPr>
        <w:t>VOL.</w:t>
      </w:r>
      <w:r w:rsidRPr="00B449A5">
        <w:rPr>
          <w:rFonts w:eastAsia="Calibri" w:cs="Times New Roman"/>
          <w:szCs w:val="24"/>
          <w:lang w:val="en-US"/>
        </w:rPr>
        <w:t xml:space="preserve"> 31, № 1. — </w:t>
      </w:r>
      <w:r w:rsidRPr="00B449A5">
        <w:rPr>
          <w:rFonts w:eastAsia="Calibri" w:cs="Times New Roman"/>
          <w:szCs w:val="24"/>
        </w:rPr>
        <w:t>С</w:t>
      </w:r>
      <w:r w:rsidRPr="00B449A5">
        <w:rPr>
          <w:rFonts w:eastAsia="Calibri" w:cs="Times New Roman"/>
          <w:szCs w:val="24"/>
          <w:lang w:val="en-US"/>
        </w:rPr>
        <w:t>. 133–149. DOI: 10.1002/hyp.10981</w:t>
      </w:r>
    </w:p>
    <w:p w14:paraId="61BA3D9E" w14:textId="6974E8B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102.</w:t>
      </w:r>
      <w:r w:rsidRPr="00B449A5">
        <w:rPr>
          <w:rFonts w:eastAsia="Calibri" w:cs="Times New Roman"/>
          <w:szCs w:val="24"/>
          <w:lang w:val="en-US"/>
        </w:rPr>
        <w:tab/>
        <w:t xml:space="preserve">Assessment of antecedent moisture condition on flood frequency: An experimental study in Napa River Basin, CA / J. Kim, L. Johnson, R. Cifelli, A. Thorstensen, V. Chandrasekar // Journal of Hydrology: Regional Studies. — 2019. — </w:t>
      </w:r>
      <w:r w:rsidR="001A7438" w:rsidRPr="00FA3419">
        <w:rPr>
          <w:rFonts w:eastAsia="Calibri" w:cs="Times New Roman"/>
          <w:szCs w:val="24"/>
          <w:lang w:val="en-US"/>
        </w:rPr>
        <w:t>VOL.</w:t>
      </w:r>
      <w:r w:rsidRPr="00B449A5">
        <w:rPr>
          <w:rFonts w:eastAsia="Calibri" w:cs="Times New Roman"/>
          <w:szCs w:val="24"/>
          <w:lang w:val="en-US"/>
        </w:rPr>
        <w:t xml:space="preserve"> 26. — </w:t>
      </w:r>
      <w:r w:rsidRPr="00B449A5">
        <w:rPr>
          <w:rFonts w:eastAsia="Calibri" w:cs="Times New Roman"/>
          <w:szCs w:val="24"/>
        </w:rPr>
        <w:t>С</w:t>
      </w:r>
      <w:r w:rsidRPr="00B449A5">
        <w:rPr>
          <w:rFonts w:eastAsia="Calibri" w:cs="Times New Roman"/>
          <w:szCs w:val="24"/>
          <w:lang w:val="en-US"/>
        </w:rPr>
        <w:t>. 100629–100629. DOI: 10.1016/j.ejrh.2019.100629</w:t>
      </w:r>
    </w:p>
    <w:p w14:paraId="40DAB3D6" w14:textId="0B944F7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103.</w:t>
      </w:r>
      <w:r w:rsidRPr="00B449A5">
        <w:rPr>
          <w:rFonts w:eastAsia="Calibri" w:cs="Times New Roman"/>
          <w:szCs w:val="24"/>
          <w:lang w:val="en-US"/>
        </w:rPr>
        <w:tab/>
        <w:t xml:space="preserve">Urban Runoff in the U.S. Southwest: Importance of Impervious Surfaces for Small-Storm Hydrology / G. Schoener // Journal of Hydrologic Engineering. — 2018. — </w:t>
      </w:r>
      <w:r w:rsidR="001A7438" w:rsidRPr="00FA3419">
        <w:rPr>
          <w:rFonts w:eastAsia="Calibri" w:cs="Times New Roman"/>
          <w:szCs w:val="24"/>
          <w:lang w:val="en-US"/>
        </w:rPr>
        <w:t>VOL.</w:t>
      </w:r>
      <w:r w:rsidRPr="00B449A5">
        <w:rPr>
          <w:rFonts w:eastAsia="Calibri" w:cs="Times New Roman"/>
          <w:szCs w:val="24"/>
          <w:lang w:val="en-US"/>
        </w:rPr>
        <w:t xml:space="preserve"> 23, № 2. — </w:t>
      </w:r>
      <w:r w:rsidRPr="00B449A5">
        <w:rPr>
          <w:rFonts w:eastAsia="Calibri" w:cs="Times New Roman"/>
          <w:szCs w:val="24"/>
        </w:rPr>
        <w:t>С</w:t>
      </w:r>
      <w:r w:rsidRPr="00B449A5">
        <w:rPr>
          <w:rFonts w:eastAsia="Calibri" w:cs="Times New Roman"/>
          <w:szCs w:val="24"/>
          <w:lang w:val="en-US"/>
        </w:rPr>
        <w:t>. 05017033–05017033. DOI: 10.1061/(ASCE)HE.1943-5584.0001610</w:t>
      </w:r>
    </w:p>
    <w:p w14:paraId="2131DFA0" w14:textId="163FB09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104.</w:t>
      </w:r>
      <w:r w:rsidRPr="00B449A5">
        <w:rPr>
          <w:rFonts w:eastAsia="Calibri" w:cs="Times New Roman"/>
          <w:szCs w:val="24"/>
          <w:lang w:val="en-US"/>
        </w:rPr>
        <w:tab/>
        <w:t xml:space="preserve">Implication of Directly Connected Impervious Areas to the Mitigation of Peak Flows in Urban Catchments / J. Hwang, D.S. Rhee, Y. Seo // Water. — 2017. — </w:t>
      </w:r>
      <w:r w:rsidR="001A7438" w:rsidRPr="00FA3419">
        <w:rPr>
          <w:rFonts w:eastAsia="Calibri" w:cs="Times New Roman"/>
          <w:szCs w:val="24"/>
          <w:lang w:val="en-US"/>
        </w:rPr>
        <w:t>VOL.</w:t>
      </w:r>
      <w:r w:rsidRPr="00B449A5">
        <w:rPr>
          <w:rFonts w:eastAsia="Calibri" w:cs="Times New Roman"/>
          <w:szCs w:val="24"/>
          <w:lang w:val="en-US"/>
        </w:rPr>
        <w:t xml:space="preserve"> 9, № 9. — </w:t>
      </w:r>
      <w:r w:rsidRPr="00B449A5">
        <w:rPr>
          <w:rFonts w:eastAsia="Calibri" w:cs="Times New Roman"/>
          <w:szCs w:val="24"/>
        </w:rPr>
        <w:t>С</w:t>
      </w:r>
      <w:r w:rsidRPr="00B449A5">
        <w:rPr>
          <w:rFonts w:eastAsia="Calibri" w:cs="Times New Roman"/>
          <w:szCs w:val="24"/>
          <w:lang w:val="en-US"/>
        </w:rPr>
        <w:t>. 696–696. DOI: 10.3390/w9090696</w:t>
      </w:r>
    </w:p>
    <w:p w14:paraId="115CD086" w14:textId="15AB43F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105.</w:t>
      </w:r>
      <w:r w:rsidRPr="00B449A5">
        <w:rPr>
          <w:rFonts w:eastAsia="Calibri" w:cs="Times New Roman"/>
          <w:szCs w:val="24"/>
          <w:lang w:val="en-US"/>
        </w:rPr>
        <w:tab/>
        <w:t xml:space="preserve">Evaluation of satellite precipitation products using HEC-HMS model / A. Belayneh, G. Sintayehu, K. Gedam, T. Muluken // Modeling Earth Systems and Environment. — 2020. — </w:t>
      </w:r>
      <w:r w:rsidR="001A7438" w:rsidRPr="00FA3419">
        <w:rPr>
          <w:rFonts w:eastAsia="Calibri" w:cs="Times New Roman"/>
          <w:szCs w:val="24"/>
          <w:lang w:val="en-US"/>
        </w:rPr>
        <w:t>VOL.</w:t>
      </w:r>
      <w:r w:rsidRPr="00B449A5">
        <w:rPr>
          <w:rFonts w:eastAsia="Calibri" w:cs="Times New Roman"/>
          <w:szCs w:val="24"/>
          <w:lang w:val="en-US"/>
        </w:rPr>
        <w:t xml:space="preserve"> 6, № 4. — </w:t>
      </w:r>
      <w:r w:rsidRPr="00B449A5">
        <w:rPr>
          <w:rFonts w:eastAsia="Calibri" w:cs="Times New Roman"/>
          <w:szCs w:val="24"/>
        </w:rPr>
        <w:t>С</w:t>
      </w:r>
      <w:r w:rsidRPr="00B449A5">
        <w:rPr>
          <w:rFonts w:eastAsia="Calibri" w:cs="Times New Roman"/>
          <w:szCs w:val="24"/>
          <w:lang w:val="en-US"/>
        </w:rPr>
        <w:t>. 2015–2032. DOI: 10.1007/s40808-020-00792-z</w:t>
      </w:r>
    </w:p>
    <w:p w14:paraId="30B85E87" w14:textId="6BA5263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106.</w:t>
      </w:r>
      <w:r w:rsidRPr="00B449A5">
        <w:rPr>
          <w:rFonts w:eastAsia="Calibri" w:cs="Times New Roman"/>
          <w:szCs w:val="24"/>
          <w:lang w:val="en-US"/>
        </w:rPr>
        <w:tab/>
        <w:t xml:space="preserve">ACCURACY AND PRECISION OF NRCS MODELS FOR SMALL WATERSHEDS1 / L.A.J. Fennessey, A.C. Miller, J.M. Hamlett // JAWRA Journal of the American Water Resources Association. — 2001. — </w:t>
      </w:r>
      <w:r w:rsidR="001A7438" w:rsidRPr="00FA3419">
        <w:rPr>
          <w:rFonts w:eastAsia="Calibri" w:cs="Times New Roman"/>
          <w:szCs w:val="24"/>
          <w:lang w:val="en-US"/>
        </w:rPr>
        <w:t>VOL.</w:t>
      </w:r>
      <w:r w:rsidRPr="00B449A5">
        <w:rPr>
          <w:rFonts w:eastAsia="Calibri" w:cs="Times New Roman"/>
          <w:szCs w:val="24"/>
          <w:lang w:val="en-US"/>
        </w:rPr>
        <w:t xml:space="preserve"> 37, № 4. — </w:t>
      </w:r>
      <w:r w:rsidRPr="00B449A5">
        <w:rPr>
          <w:rFonts w:eastAsia="Calibri" w:cs="Times New Roman"/>
          <w:szCs w:val="24"/>
        </w:rPr>
        <w:t>С</w:t>
      </w:r>
      <w:r w:rsidRPr="00B449A5">
        <w:rPr>
          <w:rFonts w:eastAsia="Calibri" w:cs="Times New Roman"/>
          <w:szCs w:val="24"/>
          <w:lang w:val="en-US"/>
        </w:rPr>
        <w:t>. 899–912. DOI: 10.1111/j.1752-1688.2001.tb05521.x</w:t>
      </w:r>
    </w:p>
    <w:p w14:paraId="2C0F1D36" w14:textId="68756DA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107.</w:t>
      </w:r>
      <w:r w:rsidRPr="00B449A5">
        <w:rPr>
          <w:rFonts w:eastAsia="Calibri" w:cs="Times New Roman"/>
          <w:szCs w:val="24"/>
          <w:lang w:val="en-US"/>
        </w:rPr>
        <w:tab/>
        <w:t xml:space="preserve">Evaluating the Impact of Urban Growth on the Design of Storm Water Drainage Systems / H.F. Abd-Elhamid, M. Zeleňáková, Z. Vranayová, I. Fathy // Water. — 2020. — </w:t>
      </w:r>
      <w:r w:rsidR="001A7438" w:rsidRPr="00FA3419">
        <w:rPr>
          <w:rFonts w:eastAsia="Calibri" w:cs="Times New Roman"/>
          <w:szCs w:val="24"/>
          <w:lang w:val="en-US"/>
        </w:rPr>
        <w:t>VOL.</w:t>
      </w:r>
      <w:r w:rsidRPr="00B449A5">
        <w:rPr>
          <w:rFonts w:eastAsia="Calibri" w:cs="Times New Roman"/>
          <w:szCs w:val="24"/>
          <w:lang w:val="en-US"/>
        </w:rPr>
        <w:t xml:space="preserve"> 12, № 6. — </w:t>
      </w:r>
      <w:r w:rsidRPr="00B449A5">
        <w:rPr>
          <w:rFonts w:eastAsia="Calibri" w:cs="Times New Roman"/>
          <w:szCs w:val="24"/>
        </w:rPr>
        <w:t>С</w:t>
      </w:r>
      <w:r w:rsidRPr="00B449A5">
        <w:rPr>
          <w:rFonts w:eastAsia="Calibri" w:cs="Times New Roman"/>
          <w:szCs w:val="24"/>
          <w:lang w:val="en-US"/>
        </w:rPr>
        <w:t>. 1572–1572. DOI: 10.3390/w12061572</w:t>
      </w:r>
    </w:p>
    <w:p w14:paraId="5AE074FC" w14:textId="494B840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108.</w:t>
      </w:r>
      <w:r w:rsidRPr="00B449A5">
        <w:rPr>
          <w:rFonts w:eastAsia="Calibri" w:cs="Times New Roman"/>
          <w:szCs w:val="24"/>
          <w:lang w:val="en-US"/>
        </w:rPr>
        <w:tab/>
        <w:t xml:space="preserve">Fuzzy Neural Network for Flow Estimation in Sewer Systems During Wet Weather / J. Shen, W. Shen, J. Chang, N. Gong // Water Environment Research. — 2006. — </w:t>
      </w:r>
      <w:r w:rsidR="001A7438" w:rsidRPr="00FA3419">
        <w:rPr>
          <w:rFonts w:eastAsia="Calibri" w:cs="Times New Roman"/>
          <w:szCs w:val="24"/>
          <w:lang w:val="en-US"/>
        </w:rPr>
        <w:t>VOL.</w:t>
      </w:r>
      <w:r w:rsidRPr="00B449A5">
        <w:rPr>
          <w:rFonts w:eastAsia="Calibri" w:cs="Times New Roman"/>
          <w:szCs w:val="24"/>
          <w:lang w:val="en-US"/>
        </w:rPr>
        <w:t xml:space="preserve"> 78, № 2. — </w:t>
      </w:r>
      <w:r w:rsidRPr="00B449A5">
        <w:rPr>
          <w:rFonts w:eastAsia="Calibri" w:cs="Times New Roman"/>
          <w:szCs w:val="24"/>
        </w:rPr>
        <w:t>С</w:t>
      </w:r>
      <w:r w:rsidRPr="00B449A5">
        <w:rPr>
          <w:rFonts w:eastAsia="Calibri" w:cs="Times New Roman"/>
          <w:szCs w:val="24"/>
          <w:lang w:val="en-US"/>
        </w:rPr>
        <w:t>. 100–109. DOI: 10.2175/106143005X89553</w:t>
      </w:r>
    </w:p>
    <w:p w14:paraId="6FF4D59D" w14:textId="37999B5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109.</w:t>
      </w:r>
      <w:r w:rsidRPr="00B449A5">
        <w:rPr>
          <w:rFonts w:eastAsia="Calibri" w:cs="Times New Roman"/>
          <w:szCs w:val="24"/>
          <w:lang w:val="en-US"/>
        </w:rPr>
        <w:tab/>
        <w:t>Earth and Rock-Fill Dams -- General Design and Construction Considerations / shano // Em 1110-2-2300. — 1994.</w:t>
      </w:r>
    </w:p>
    <w:p w14:paraId="1EB3E1B9" w14:textId="1AE99B6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110.</w:t>
      </w:r>
      <w:r w:rsidRPr="00B449A5">
        <w:rPr>
          <w:rFonts w:eastAsia="Calibri" w:cs="Times New Roman"/>
          <w:szCs w:val="24"/>
          <w:lang w:val="en-US"/>
        </w:rPr>
        <w:tab/>
        <w:t>Power Generation Technologies / P. BreezeElsevier, 2019. DOI: 10.1016/C2017-0-03267-6</w:t>
      </w:r>
    </w:p>
    <w:p w14:paraId="75E72915" w14:textId="59ABA83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111.</w:t>
      </w:r>
      <w:r w:rsidRPr="00B449A5">
        <w:rPr>
          <w:rFonts w:eastAsia="Calibri" w:cs="Times New Roman"/>
          <w:szCs w:val="24"/>
          <w:lang w:val="en-US"/>
        </w:rPr>
        <w:tab/>
        <w:t xml:space="preserve">Dam spillways and the SPH method: two case studies in Portugal / A. Moreira, A. Leroy, D. Violeau, F. Taveira-Pinto // Journal of Applied Water Engineering and Research. — 2019. — </w:t>
      </w:r>
      <w:r w:rsidR="001A7438" w:rsidRPr="00FA3419">
        <w:rPr>
          <w:rFonts w:eastAsia="Calibri" w:cs="Times New Roman"/>
          <w:szCs w:val="24"/>
          <w:lang w:val="en-US"/>
        </w:rPr>
        <w:t>VOL.</w:t>
      </w:r>
      <w:r w:rsidRPr="00B449A5">
        <w:rPr>
          <w:rFonts w:eastAsia="Calibri" w:cs="Times New Roman"/>
          <w:szCs w:val="24"/>
          <w:lang w:val="en-US"/>
        </w:rPr>
        <w:t xml:space="preserve"> 7, № 3. — </w:t>
      </w:r>
      <w:r w:rsidRPr="00B449A5">
        <w:rPr>
          <w:rFonts w:eastAsia="Calibri" w:cs="Times New Roman"/>
          <w:szCs w:val="24"/>
        </w:rPr>
        <w:t>С</w:t>
      </w:r>
      <w:r w:rsidRPr="00B449A5">
        <w:rPr>
          <w:rFonts w:eastAsia="Calibri" w:cs="Times New Roman"/>
          <w:szCs w:val="24"/>
          <w:lang w:val="en-US"/>
        </w:rPr>
        <w:t>. 228–245. DOI: 10.1080/23249676.2019.1611496</w:t>
      </w:r>
    </w:p>
    <w:p w14:paraId="401FF148" w14:textId="7D92D33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112.</w:t>
      </w:r>
      <w:r w:rsidRPr="00B449A5">
        <w:rPr>
          <w:rFonts w:eastAsia="Calibri" w:cs="Times New Roman"/>
          <w:szCs w:val="24"/>
          <w:lang w:val="en-US"/>
        </w:rPr>
        <w:tab/>
        <w:t>Advances in Rockfill Structures / E. Maranha Das Neves. — Dordrecht: Springer Netherlands, 1991. DOI: 10.1007/978-94-011-3206-0</w:t>
      </w:r>
    </w:p>
    <w:p w14:paraId="24782B4D" w14:textId="26FBEDD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113.</w:t>
      </w:r>
      <w:r w:rsidRPr="00B449A5">
        <w:rPr>
          <w:rFonts w:eastAsia="Calibri" w:cs="Times New Roman"/>
          <w:szCs w:val="24"/>
          <w:lang w:val="en-US"/>
        </w:rPr>
        <w:tab/>
        <w:t xml:space="preserve">Design, Construction, and Destruction in the Classroom: Experiential Learning with Earthen Dams / B. MacVicar, A. Clow, C. Muirhead, R. Al-Hammoud, J. Craig // Journal of Hydraulic Engineering. — 2020. — </w:t>
      </w:r>
      <w:r w:rsidR="001A7438" w:rsidRPr="00FA3419">
        <w:rPr>
          <w:rFonts w:eastAsia="Calibri" w:cs="Times New Roman"/>
          <w:szCs w:val="24"/>
          <w:lang w:val="en-US"/>
        </w:rPr>
        <w:t>VOL.</w:t>
      </w:r>
      <w:r w:rsidRPr="00B449A5">
        <w:rPr>
          <w:rFonts w:eastAsia="Calibri" w:cs="Times New Roman"/>
          <w:szCs w:val="24"/>
          <w:lang w:val="en-US"/>
        </w:rPr>
        <w:t xml:space="preserve"> 146, № 6. — </w:t>
      </w:r>
      <w:r w:rsidRPr="00B449A5">
        <w:rPr>
          <w:rFonts w:eastAsia="Calibri" w:cs="Times New Roman"/>
          <w:szCs w:val="24"/>
        </w:rPr>
        <w:t>С</w:t>
      </w:r>
      <w:r w:rsidRPr="00B449A5">
        <w:rPr>
          <w:rFonts w:eastAsia="Calibri" w:cs="Times New Roman"/>
          <w:szCs w:val="24"/>
          <w:lang w:val="en-US"/>
        </w:rPr>
        <w:t>. 04020037–04020037. DOI: 10.1061/(ASCE)HY.1943-7900.0001745</w:t>
      </w:r>
    </w:p>
    <w:p w14:paraId="31220223" w14:textId="697CFFC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114.</w:t>
      </w:r>
      <w:r w:rsidRPr="00B449A5">
        <w:rPr>
          <w:rFonts w:eastAsia="Calibri" w:cs="Times New Roman"/>
          <w:szCs w:val="24"/>
          <w:lang w:val="en-US"/>
        </w:rPr>
        <w:tab/>
        <w:t>IS 1893:Part-I-2016 Criteria for Earthquake resistant design of structures,Part 1:General Provisions and buildings / Bureau of Indian Standards // Bureau of Indian Standards, New Delhi. — 2016.</w:t>
      </w:r>
    </w:p>
    <w:p w14:paraId="00B8D867" w14:textId="7B6E685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115.</w:t>
      </w:r>
      <w:r w:rsidRPr="00B449A5">
        <w:rPr>
          <w:rFonts w:eastAsia="Calibri" w:cs="Times New Roman"/>
          <w:szCs w:val="24"/>
          <w:lang w:val="en-US"/>
        </w:rPr>
        <w:tab/>
        <w:t>Indian Standard (IS 8826): Guidelines for design of large earth and rockfill dams [WRD 9: Dams and Spillways] / M. Kisan, S. Sangathan, J. Nehru, S.G. Pitroda1978.</w:t>
      </w:r>
    </w:p>
    <w:p w14:paraId="4E52992B" w14:textId="31CC6CD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116.</w:t>
      </w:r>
      <w:r w:rsidRPr="00B449A5">
        <w:rPr>
          <w:rFonts w:eastAsia="Calibri" w:cs="Times New Roman"/>
          <w:szCs w:val="24"/>
          <w:lang w:val="en-US"/>
        </w:rPr>
        <w:tab/>
        <w:t xml:space="preserve">Pomme de Terre Dam of Earth and Rockfill / L.G. Elser, D.E. Schuster // Journal of the Soil Mechanics and Foundations Division. — 1963. — </w:t>
      </w:r>
      <w:r w:rsidR="001A7438" w:rsidRPr="00FA3419">
        <w:rPr>
          <w:rFonts w:eastAsia="Calibri" w:cs="Times New Roman"/>
          <w:szCs w:val="24"/>
          <w:lang w:val="en-US"/>
        </w:rPr>
        <w:t>VOL.</w:t>
      </w:r>
      <w:r w:rsidRPr="00B449A5">
        <w:rPr>
          <w:rFonts w:eastAsia="Calibri" w:cs="Times New Roman"/>
          <w:szCs w:val="24"/>
          <w:lang w:val="en-US"/>
        </w:rPr>
        <w:t xml:space="preserve"> 89, № 1. — </w:t>
      </w:r>
      <w:r w:rsidRPr="00B449A5">
        <w:rPr>
          <w:rFonts w:eastAsia="Calibri" w:cs="Times New Roman"/>
          <w:szCs w:val="24"/>
        </w:rPr>
        <w:t>С</w:t>
      </w:r>
      <w:r w:rsidRPr="00B449A5">
        <w:rPr>
          <w:rFonts w:eastAsia="Calibri" w:cs="Times New Roman"/>
          <w:szCs w:val="24"/>
          <w:lang w:val="en-US"/>
        </w:rPr>
        <w:t>. 67–94. DOI: 10.1061/JSFEAQ.0000494</w:t>
      </w:r>
    </w:p>
    <w:p w14:paraId="51CAF7D7" w14:textId="492CD6B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117.</w:t>
      </w:r>
      <w:r w:rsidRPr="00B449A5">
        <w:rPr>
          <w:rFonts w:eastAsia="Calibri" w:cs="Times New Roman"/>
          <w:szCs w:val="24"/>
          <w:lang w:val="en-US"/>
        </w:rPr>
        <w:tab/>
        <w:t xml:space="preserve">The Slurry Trench Cut-off for the Duncan Dam / D.R. Duguid, D.J. Forbes, J.L. Gordon, O.K. Simmons // Canadian Geotechnical Journal. — 1971. — </w:t>
      </w:r>
      <w:r w:rsidR="001A7438" w:rsidRPr="00FA3419">
        <w:rPr>
          <w:rFonts w:eastAsia="Calibri" w:cs="Times New Roman"/>
          <w:szCs w:val="24"/>
          <w:lang w:val="en-US"/>
        </w:rPr>
        <w:t>VOL.</w:t>
      </w:r>
      <w:r w:rsidRPr="00B449A5">
        <w:rPr>
          <w:rFonts w:eastAsia="Calibri" w:cs="Times New Roman"/>
          <w:szCs w:val="24"/>
          <w:lang w:val="en-US"/>
        </w:rPr>
        <w:t xml:space="preserve"> 8, № 1. — </w:t>
      </w:r>
      <w:r w:rsidRPr="00B449A5">
        <w:rPr>
          <w:rFonts w:eastAsia="Calibri" w:cs="Times New Roman"/>
          <w:szCs w:val="24"/>
        </w:rPr>
        <w:t>С</w:t>
      </w:r>
      <w:r w:rsidRPr="00B449A5">
        <w:rPr>
          <w:rFonts w:eastAsia="Calibri" w:cs="Times New Roman"/>
          <w:szCs w:val="24"/>
          <w:lang w:val="en-US"/>
        </w:rPr>
        <w:t>. 94–108. DOI: 10.1139/t71-008</w:t>
      </w:r>
    </w:p>
    <w:p w14:paraId="7292C3A7" w14:textId="2EA928E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118.</w:t>
      </w:r>
      <w:r w:rsidRPr="00B449A5">
        <w:rPr>
          <w:rFonts w:eastAsia="Calibri" w:cs="Times New Roman"/>
          <w:szCs w:val="24"/>
          <w:lang w:val="en-US"/>
        </w:rPr>
        <w:tab/>
        <w:t xml:space="preserve">Real-time grouting monitoring and visualization analysis system for dam foundation curtain grouting / G. Fan, D. Zhong, B. Ren, B. Cui, X. Li, P. Yue // Transactions of Tianjin University. — 2016. — </w:t>
      </w:r>
      <w:r w:rsidR="001A7438" w:rsidRPr="00FA3419">
        <w:rPr>
          <w:rFonts w:eastAsia="Calibri" w:cs="Times New Roman"/>
          <w:szCs w:val="24"/>
          <w:lang w:val="en-US"/>
        </w:rPr>
        <w:t>VOL.</w:t>
      </w:r>
      <w:r w:rsidRPr="00B449A5">
        <w:rPr>
          <w:rFonts w:eastAsia="Calibri" w:cs="Times New Roman"/>
          <w:szCs w:val="24"/>
          <w:lang w:val="en-US"/>
        </w:rPr>
        <w:t xml:space="preserve"> 22, № 6. — </w:t>
      </w:r>
      <w:r w:rsidRPr="00B449A5">
        <w:rPr>
          <w:rFonts w:eastAsia="Calibri" w:cs="Times New Roman"/>
          <w:szCs w:val="24"/>
        </w:rPr>
        <w:t>С</w:t>
      </w:r>
      <w:r w:rsidRPr="00B449A5">
        <w:rPr>
          <w:rFonts w:eastAsia="Calibri" w:cs="Times New Roman"/>
          <w:szCs w:val="24"/>
          <w:lang w:val="en-US"/>
        </w:rPr>
        <w:t>. 493–501. DOI: 10.1007/s12209-016-2794-8</w:t>
      </w:r>
    </w:p>
    <w:p w14:paraId="0368C1A0" w14:textId="0106BDA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119.</w:t>
      </w:r>
      <w:r w:rsidRPr="00B449A5">
        <w:rPr>
          <w:rFonts w:eastAsia="Calibri" w:cs="Times New Roman"/>
          <w:szCs w:val="24"/>
          <w:lang w:val="en-US"/>
        </w:rPr>
        <w:tab/>
        <w:t xml:space="preserve">Permeation grouting for remediation of dam cores / D. Park, J. Oh // Engineering Geology. — 2018. — </w:t>
      </w:r>
      <w:r w:rsidR="001A7438" w:rsidRPr="00FA3419">
        <w:rPr>
          <w:rFonts w:eastAsia="Calibri" w:cs="Times New Roman"/>
          <w:szCs w:val="24"/>
          <w:lang w:val="en-US"/>
        </w:rPr>
        <w:t>VOL.</w:t>
      </w:r>
      <w:r w:rsidRPr="00B449A5">
        <w:rPr>
          <w:rFonts w:eastAsia="Calibri" w:cs="Times New Roman"/>
          <w:szCs w:val="24"/>
          <w:lang w:val="en-US"/>
        </w:rPr>
        <w:t xml:space="preserve"> 233. — </w:t>
      </w:r>
      <w:r w:rsidRPr="00B449A5">
        <w:rPr>
          <w:rFonts w:eastAsia="Calibri" w:cs="Times New Roman"/>
          <w:szCs w:val="24"/>
        </w:rPr>
        <w:t>С</w:t>
      </w:r>
      <w:r w:rsidRPr="00B449A5">
        <w:rPr>
          <w:rFonts w:eastAsia="Calibri" w:cs="Times New Roman"/>
          <w:szCs w:val="24"/>
          <w:lang w:val="en-US"/>
        </w:rPr>
        <w:t>. 63–75. DOI: 10.1016/j.enggeo.2017.12.011</w:t>
      </w:r>
    </w:p>
    <w:p w14:paraId="64D8D696" w14:textId="3B500F0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120.</w:t>
      </w:r>
      <w:r w:rsidRPr="00B449A5">
        <w:rPr>
          <w:rFonts w:eastAsia="Calibri" w:cs="Times New Roman"/>
          <w:szCs w:val="24"/>
          <w:lang w:val="en-US"/>
        </w:rPr>
        <w:tab/>
        <w:t xml:space="preserve">Using Observational Method to Manage Safety Aspects of Remedial Grouting of Concrete Dam Foundations / J. Spross, F. Johansson, L.K.T. Uotinen, J.Y. Rafi // Geotechnical and Geological Engineering. — 2016. — </w:t>
      </w:r>
      <w:r w:rsidR="001A7438" w:rsidRPr="00FA3419">
        <w:rPr>
          <w:rFonts w:eastAsia="Calibri" w:cs="Times New Roman"/>
          <w:szCs w:val="24"/>
          <w:lang w:val="en-US"/>
        </w:rPr>
        <w:t>VOL.</w:t>
      </w:r>
      <w:r w:rsidRPr="00B449A5">
        <w:rPr>
          <w:rFonts w:eastAsia="Calibri" w:cs="Times New Roman"/>
          <w:szCs w:val="24"/>
          <w:lang w:val="en-US"/>
        </w:rPr>
        <w:t xml:space="preserve"> 34, № 5. — </w:t>
      </w:r>
      <w:r w:rsidRPr="00B449A5">
        <w:rPr>
          <w:rFonts w:eastAsia="Calibri" w:cs="Times New Roman"/>
          <w:szCs w:val="24"/>
        </w:rPr>
        <w:t>С</w:t>
      </w:r>
      <w:r w:rsidRPr="00B449A5">
        <w:rPr>
          <w:rFonts w:eastAsia="Calibri" w:cs="Times New Roman"/>
          <w:szCs w:val="24"/>
          <w:lang w:val="en-US"/>
        </w:rPr>
        <w:t>. 1613–1630. DOI: 10.1007/s10706-016-0069-8</w:t>
      </w:r>
    </w:p>
    <w:p w14:paraId="6DAD32EC" w14:textId="6EADCD4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121.</w:t>
      </w:r>
      <w:r w:rsidRPr="00B449A5">
        <w:rPr>
          <w:rFonts w:eastAsia="Calibri" w:cs="Times New Roman"/>
          <w:szCs w:val="24"/>
          <w:lang w:val="en-US"/>
        </w:rPr>
        <w:tab/>
        <w:t xml:space="preserve">Simulation of Grouting Process in Rock Masses Under a Dam Foundation Characterized by a 3D Fracture Network / S. Deng, X. Wang, J. Yu, Y. Zhang, Z. Liu, Y. Zhu // Rock Mechanics and Rock Engineering. — 2018. — </w:t>
      </w:r>
      <w:r w:rsidR="001A7438" w:rsidRPr="00FA3419">
        <w:rPr>
          <w:rFonts w:eastAsia="Calibri" w:cs="Times New Roman"/>
          <w:szCs w:val="24"/>
          <w:lang w:val="en-US"/>
        </w:rPr>
        <w:t>VOL.</w:t>
      </w:r>
      <w:r w:rsidRPr="00B449A5">
        <w:rPr>
          <w:rFonts w:eastAsia="Calibri" w:cs="Times New Roman"/>
          <w:szCs w:val="24"/>
          <w:lang w:val="en-US"/>
        </w:rPr>
        <w:t xml:space="preserve"> 51, № 6. — </w:t>
      </w:r>
      <w:r w:rsidRPr="00B449A5">
        <w:rPr>
          <w:rFonts w:eastAsia="Calibri" w:cs="Times New Roman"/>
          <w:szCs w:val="24"/>
        </w:rPr>
        <w:t>С</w:t>
      </w:r>
      <w:r w:rsidRPr="00B449A5">
        <w:rPr>
          <w:rFonts w:eastAsia="Calibri" w:cs="Times New Roman"/>
          <w:szCs w:val="24"/>
          <w:lang w:val="en-US"/>
        </w:rPr>
        <w:t>. 1801–1822. DOI: 10.1007/s00603-018-1436-y</w:t>
      </w:r>
    </w:p>
    <w:p w14:paraId="2887804C" w14:textId="3BD965B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122.</w:t>
      </w:r>
      <w:r w:rsidRPr="00B449A5">
        <w:rPr>
          <w:rFonts w:eastAsia="Calibri" w:cs="Times New Roman"/>
          <w:szCs w:val="24"/>
          <w:lang w:val="en-US"/>
        </w:rPr>
        <w:tab/>
        <w:t xml:space="preserve">Modeling the effect of central impervious core and downstream filter geometry on seepage through earth dams / S. Kumar, A.K. Sahu, M. Kumar // Ain Shams Engineering Journal. — 2022. — </w:t>
      </w:r>
      <w:r w:rsidR="001A7438" w:rsidRPr="00FA3419">
        <w:rPr>
          <w:rFonts w:eastAsia="Calibri" w:cs="Times New Roman"/>
          <w:szCs w:val="24"/>
          <w:lang w:val="en-US"/>
        </w:rPr>
        <w:t>VOL.</w:t>
      </w:r>
      <w:r w:rsidRPr="00B449A5">
        <w:rPr>
          <w:rFonts w:eastAsia="Calibri" w:cs="Times New Roman"/>
          <w:szCs w:val="24"/>
          <w:lang w:val="en-US"/>
        </w:rPr>
        <w:t xml:space="preserve"> 13, № 1. — </w:t>
      </w:r>
      <w:r w:rsidRPr="00B449A5">
        <w:rPr>
          <w:rFonts w:eastAsia="Calibri" w:cs="Times New Roman"/>
          <w:szCs w:val="24"/>
        </w:rPr>
        <w:t>С</w:t>
      </w:r>
      <w:r w:rsidRPr="00B449A5">
        <w:rPr>
          <w:rFonts w:eastAsia="Calibri" w:cs="Times New Roman"/>
          <w:szCs w:val="24"/>
          <w:lang w:val="en-US"/>
        </w:rPr>
        <w:t>. 101510–101510. DOI: 10.1016/j.asej.2021.05.024</w:t>
      </w:r>
    </w:p>
    <w:p w14:paraId="7151A11F" w14:textId="24103B3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123.</w:t>
      </w:r>
      <w:r w:rsidRPr="00B449A5">
        <w:rPr>
          <w:rFonts w:eastAsia="Calibri" w:cs="Times New Roman"/>
          <w:szCs w:val="24"/>
          <w:lang w:val="en-US"/>
        </w:rPr>
        <w:tab/>
        <w:t xml:space="preserve">Concrete core wall as a element of reconstruction of an earth dam / L.N. Rasskazov, A.S. Bestuzheva, M.P. Sainov // Hydrotechnical Construction. — 1999. — </w:t>
      </w:r>
      <w:r w:rsidR="001A7438" w:rsidRPr="00FA3419">
        <w:rPr>
          <w:rFonts w:eastAsia="Calibri" w:cs="Times New Roman"/>
          <w:szCs w:val="24"/>
          <w:lang w:val="en-US"/>
        </w:rPr>
        <w:t>VOL.</w:t>
      </w:r>
      <w:r w:rsidRPr="00B449A5">
        <w:rPr>
          <w:rFonts w:eastAsia="Calibri" w:cs="Times New Roman"/>
          <w:szCs w:val="24"/>
          <w:lang w:val="en-US"/>
        </w:rPr>
        <w:t xml:space="preserve"> 33, № 4. — </w:t>
      </w:r>
      <w:r w:rsidRPr="00B449A5">
        <w:rPr>
          <w:rFonts w:eastAsia="Calibri" w:cs="Times New Roman"/>
          <w:szCs w:val="24"/>
        </w:rPr>
        <w:t>С</w:t>
      </w:r>
      <w:r w:rsidRPr="00B449A5">
        <w:rPr>
          <w:rFonts w:eastAsia="Calibri" w:cs="Times New Roman"/>
          <w:szCs w:val="24"/>
          <w:lang w:val="en-US"/>
        </w:rPr>
        <w:t>. 201–207. DOI: 10.1007/BF02764507</w:t>
      </w:r>
    </w:p>
    <w:p w14:paraId="639F2755" w14:textId="7BF64A5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124.</w:t>
      </w:r>
      <w:r w:rsidRPr="00B449A5">
        <w:rPr>
          <w:rFonts w:eastAsia="Calibri" w:cs="Times New Roman"/>
          <w:szCs w:val="24"/>
          <w:lang w:val="en-US"/>
        </w:rPr>
        <w:tab/>
        <w:t xml:space="preserve">The effect of side slope and clay core shape on the stability of embankment dam: Southern Ethiopia / D.G. Shole, M.Z. Belayneh // International Journal of Environmental Science and Technology. — 2019. — </w:t>
      </w:r>
      <w:r w:rsidR="001A7438" w:rsidRPr="00FA3419">
        <w:rPr>
          <w:rFonts w:eastAsia="Calibri" w:cs="Times New Roman"/>
          <w:szCs w:val="24"/>
          <w:lang w:val="en-US"/>
        </w:rPr>
        <w:t>VOL.</w:t>
      </w:r>
      <w:r w:rsidRPr="00B449A5">
        <w:rPr>
          <w:rFonts w:eastAsia="Calibri" w:cs="Times New Roman"/>
          <w:szCs w:val="24"/>
          <w:lang w:val="en-US"/>
        </w:rPr>
        <w:t xml:space="preserve"> 16, № 10. — </w:t>
      </w:r>
      <w:r w:rsidRPr="00B449A5">
        <w:rPr>
          <w:rFonts w:eastAsia="Calibri" w:cs="Times New Roman"/>
          <w:szCs w:val="24"/>
        </w:rPr>
        <w:t>С</w:t>
      </w:r>
      <w:r w:rsidRPr="00B449A5">
        <w:rPr>
          <w:rFonts w:eastAsia="Calibri" w:cs="Times New Roman"/>
          <w:szCs w:val="24"/>
          <w:lang w:val="en-US"/>
        </w:rPr>
        <w:t>. 5871–5880. DOI: 10.1007/s13762-019-02228-3</w:t>
      </w:r>
    </w:p>
    <w:p w14:paraId="6BB4D87E" w14:textId="07CF24A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125.</w:t>
      </w:r>
      <w:r w:rsidRPr="00B449A5">
        <w:rPr>
          <w:rFonts w:eastAsia="Calibri" w:cs="Times New Roman"/>
          <w:szCs w:val="24"/>
          <w:lang w:val="en-US"/>
        </w:rPr>
        <w:tab/>
        <w:t xml:space="preserve">A new numerical method for the analysis of monolithic seepage problems with complex drainage systems in a groundwater recharge area for a hydropower station in China / Y. Jun, L. Si-hong, W. Ying-qi, J. Song-li, C. Hong, X. Jian-zhang // Geologia Croatica. — 2019. — </w:t>
      </w:r>
      <w:r w:rsidR="001A7438" w:rsidRPr="00FA3419">
        <w:rPr>
          <w:rFonts w:eastAsia="Calibri" w:cs="Times New Roman"/>
          <w:szCs w:val="24"/>
          <w:lang w:val="en-US"/>
        </w:rPr>
        <w:t>VOL.</w:t>
      </w:r>
      <w:r w:rsidRPr="00B449A5">
        <w:rPr>
          <w:rFonts w:eastAsia="Calibri" w:cs="Times New Roman"/>
          <w:szCs w:val="24"/>
          <w:lang w:val="en-US"/>
        </w:rPr>
        <w:t xml:space="preserve"> 72, № Special issue. — </w:t>
      </w:r>
      <w:r w:rsidRPr="00B449A5">
        <w:rPr>
          <w:rFonts w:eastAsia="Calibri" w:cs="Times New Roman"/>
          <w:szCs w:val="24"/>
        </w:rPr>
        <w:t>С</w:t>
      </w:r>
      <w:r w:rsidRPr="00B449A5">
        <w:rPr>
          <w:rFonts w:eastAsia="Calibri" w:cs="Times New Roman"/>
          <w:szCs w:val="24"/>
          <w:lang w:val="en-US"/>
        </w:rPr>
        <w:t>. 47–56. DOI: 10.4154/gc.2019.24</w:t>
      </w:r>
    </w:p>
    <w:p w14:paraId="13E25A34" w14:textId="520EBD2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126.</w:t>
      </w:r>
      <w:r w:rsidRPr="00B449A5">
        <w:rPr>
          <w:rFonts w:eastAsia="Calibri" w:cs="Times New Roman"/>
          <w:szCs w:val="24"/>
          <w:lang w:val="en-US"/>
        </w:rPr>
        <w:tab/>
        <w:t xml:space="preserve">Effect of different parameters of heterogeneous dams on safety factor using the neural network. Case study: Marvan dam / B. Beiranvand, A. Mohammadzade, M. Komasi // Nexo Revista Científica. — 2019. — </w:t>
      </w:r>
      <w:r w:rsidR="001A7438" w:rsidRPr="00FA3419">
        <w:rPr>
          <w:rFonts w:eastAsia="Calibri" w:cs="Times New Roman"/>
          <w:szCs w:val="24"/>
          <w:lang w:val="en-US"/>
        </w:rPr>
        <w:t>VOL.</w:t>
      </w:r>
      <w:r w:rsidRPr="00B449A5">
        <w:rPr>
          <w:rFonts w:eastAsia="Calibri" w:cs="Times New Roman"/>
          <w:szCs w:val="24"/>
          <w:lang w:val="en-US"/>
        </w:rPr>
        <w:t xml:space="preserve"> 32, № 02. — </w:t>
      </w:r>
      <w:r w:rsidRPr="00B449A5">
        <w:rPr>
          <w:rFonts w:eastAsia="Calibri" w:cs="Times New Roman"/>
          <w:szCs w:val="24"/>
        </w:rPr>
        <w:t>С</w:t>
      </w:r>
      <w:r w:rsidRPr="00B449A5">
        <w:rPr>
          <w:rFonts w:eastAsia="Calibri" w:cs="Times New Roman"/>
          <w:szCs w:val="24"/>
          <w:lang w:val="en-US"/>
        </w:rPr>
        <w:t>. 126–138. DOI: 10.5377/nexo.v32i02.9263</w:t>
      </w:r>
    </w:p>
    <w:p w14:paraId="6DAB3D40" w14:textId="66EF1A0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127.</w:t>
      </w:r>
      <w:r w:rsidRPr="00B449A5">
        <w:rPr>
          <w:rFonts w:eastAsia="Calibri" w:cs="Times New Roman"/>
          <w:szCs w:val="24"/>
          <w:lang w:val="en-US"/>
        </w:rPr>
        <w:tab/>
        <w:t xml:space="preserve">Erosion in Relation to Filter Design Criteria in Earth Dams / K. Arulanandan, E.B. Perry // Journal of Geotechnical Engineering. — 1983. — </w:t>
      </w:r>
      <w:r w:rsidR="001A7438" w:rsidRPr="00FA3419">
        <w:rPr>
          <w:rFonts w:eastAsia="Calibri" w:cs="Times New Roman"/>
          <w:szCs w:val="24"/>
          <w:lang w:val="en-US"/>
        </w:rPr>
        <w:t>VOL.</w:t>
      </w:r>
      <w:r w:rsidRPr="00B449A5">
        <w:rPr>
          <w:rFonts w:eastAsia="Calibri" w:cs="Times New Roman"/>
          <w:szCs w:val="24"/>
          <w:lang w:val="en-US"/>
        </w:rPr>
        <w:t xml:space="preserve"> 109, № 5. — </w:t>
      </w:r>
      <w:r w:rsidRPr="00B449A5">
        <w:rPr>
          <w:rFonts w:eastAsia="Calibri" w:cs="Times New Roman"/>
          <w:szCs w:val="24"/>
        </w:rPr>
        <w:t>С</w:t>
      </w:r>
      <w:r w:rsidRPr="00B449A5">
        <w:rPr>
          <w:rFonts w:eastAsia="Calibri" w:cs="Times New Roman"/>
          <w:szCs w:val="24"/>
          <w:lang w:val="en-US"/>
        </w:rPr>
        <w:t>. 682–698. DOI: 10.1061/(ASCE)0733-9410(1983)109:5(682)</w:t>
      </w:r>
    </w:p>
    <w:p w14:paraId="5D59C193" w14:textId="5110B4C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128.</w:t>
      </w:r>
      <w:r w:rsidRPr="00B449A5">
        <w:rPr>
          <w:rFonts w:eastAsia="Calibri" w:cs="Times New Roman"/>
          <w:szCs w:val="24"/>
          <w:lang w:val="en-US"/>
        </w:rPr>
        <w:tab/>
        <w:t xml:space="preserve">Review and Improvement Direction of the Riprap Design Standard for Fill Dams in Korea / T.J. Kim, D.G. Kim, J.H. Jeon, Y.H. Son // KSCE Journal of Civil Engineering. — 2021. — </w:t>
      </w:r>
      <w:r w:rsidR="001A7438" w:rsidRPr="00FA3419">
        <w:rPr>
          <w:rFonts w:eastAsia="Calibri" w:cs="Times New Roman"/>
          <w:szCs w:val="24"/>
          <w:lang w:val="en-US"/>
        </w:rPr>
        <w:t>VOL.</w:t>
      </w:r>
      <w:r w:rsidRPr="00B449A5">
        <w:rPr>
          <w:rFonts w:eastAsia="Calibri" w:cs="Times New Roman"/>
          <w:szCs w:val="24"/>
          <w:lang w:val="en-US"/>
        </w:rPr>
        <w:t xml:space="preserve"> 25, № 8. — </w:t>
      </w:r>
      <w:r w:rsidRPr="00B449A5">
        <w:rPr>
          <w:rFonts w:eastAsia="Calibri" w:cs="Times New Roman"/>
          <w:szCs w:val="24"/>
        </w:rPr>
        <w:t>С</w:t>
      </w:r>
      <w:r w:rsidRPr="00B449A5">
        <w:rPr>
          <w:rFonts w:eastAsia="Calibri" w:cs="Times New Roman"/>
          <w:szCs w:val="24"/>
          <w:lang w:val="en-US"/>
        </w:rPr>
        <w:t>. 2865–2875. DOI: 10.1007/s12205-021-1078-6</w:t>
      </w:r>
    </w:p>
    <w:p w14:paraId="57641205" w14:textId="749FFBA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129.</w:t>
      </w:r>
      <w:r w:rsidRPr="00B449A5">
        <w:rPr>
          <w:rFonts w:eastAsia="Calibri" w:cs="Times New Roman"/>
          <w:szCs w:val="24"/>
          <w:lang w:val="en-US"/>
        </w:rPr>
        <w:tab/>
        <w:t xml:space="preserve">METHODOLOGY FOR CALCULATION OF RIGIDITY IN EARTH DAM SLOPE PROTECTION UNDER CONDITIONS OF WAVE IMPACT / E.I. Mikhnevich // Science &amp; Technique. — 2018. — </w:t>
      </w:r>
      <w:r w:rsidR="001A7438" w:rsidRPr="00FA3419">
        <w:rPr>
          <w:rFonts w:eastAsia="Calibri" w:cs="Times New Roman"/>
          <w:szCs w:val="24"/>
          <w:lang w:val="en-US"/>
        </w:rPr>
        <w:t>VOL.</w:t>
      </w:r>
      <w:r w:rsidRPr="00B449A5">
        <w:rPr>
          <w:rFonts w:eastAsia="Calibri" w:cs="Times New Roman"/>
          <w:szCs w:val="24"/>
          <w:lang w:val="en-US"/>
        </w:rPr>
        <w:t xml:space="preserve"> 17, № 2. — </w:t>
      </w:r>
      <w:r w:rsidRPr="00B449A5">
        <w:rPr>
          <w:rFonts w:eastAsia="Calibri" w:cs="Times New Roman"/>
          <w:szCs w:val="24"/>
        </w:rPr>
        <w:t>С</w:t>
      </w:r>
      <w:r w:rsidRPr="00B449A5">
        <w:rPr>
          <w:rFonts w:eastAsia="Calibri" w:cs="Times New Roman"/>
          <w:szCs w:val="24"/>
          <w:lang w:val="en-US"/>
        </w:rPr>
        <w:t>. 100–105. DOI: 10.21122/2227-1031-2018-17-2-100-105</w:t>
      </w:r>
    </w:p>
    <w:p w14:paraId="3514400E" w14:textId="28A3DFB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130.</w:t>
      </w:r>
      <w:r w:rsidRPr="00B449A5">
        <w:rPr>
          <w:rFonts w:eastAsia="Calibri" w:cs="Times New Roman"/>
          <w:szCs w:val="24"/>
          <w:lang w:val="en-US"/>
        </w:rPr>
        <w:tab/>
        <w:t xml:space="preserve">Study on mechanism of seepage drainage facilities affecting saturated-unsaturated seepage flow field of high tailings dam / Q. Bi, Y. Wang, Y. Li // Journal of Physics: Conference Series. — 2020. — </w:t>
      </w:r>
      <w:r w:rsidR="001A7438" w:rsidRPr="00FA3419">
        <w:rPr>
          <w:rFonts w:eastAsia="Calibri" w:cs="Times New Roman"/>
          <w:szCs w:val="24"/>
          <w:lang w:val="en-US"/>
        </w:rPr>
        <w:t>VOL.</w:t>
      </w:r>
      <w:r w:rsidRPr="00B449A5">
        <w:rPr>
          <w:rFonts w:eastAsia="Calibri" w:cs="Times New Roman"/>
          <w:szCs w:val="24"/>
          <w:lang w:val="en-US"/>
        </w:rPr>
        <w:t xml:space="preserve"> 1549, № 4. — </w:t>
      </w:r>
      <w:r w:rsidRPr="00B449A5">
        <w:rPr>
          <w:rFonts w:eastAsia="Calibri" w:cs="Times New Roman"/>
          <w:szCs w:val="24"/>
        </w:rPr>
        <w:t>С</w:t>
      </w:r>
      <w:r w:rsidRPr="00B449A5">
        <w:rPr>
          <w:rFonts w:eastAsia="Calibri" w:cs="Times New Roman"/>
          <w:szCs w:val="24"/>
          <w:lang w:val="en-US"/>
        </w:rPr>
        <w:t>. 042083–042083. DOI: 10.1088/1742-6596/1549/4/042083</w:t>
      </w:r>
    </w:p>
    <w:p w14:paraId="64EA24B0" w14:textId="135AEB5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131.</w:t>
      </w:r>
      <w:r w:rsidRPr="00B449A5">
        <w:rPr>
          <w:rFonts w:eastAsia="Calibri" w:cs="Times New Roman"/>
          <w:szCs w:val="24"/>
          <w:lang w:val="en-US"/>
        </w:rPr>
        <w:tab/>
        <w:t xml:space="preserve">Effect of upstream semi-impervious blanket of embankment dams on seepage / F. Salmasi, M. Nouri // ISH Journal of Hydraulic Engineering. — 2019. — </w:t>
      </w:r>
      <w:r w:rsidR="001A7438" w:rsidRPr="00FA3419">
        <w:rPr>
          <w:rFonts w:eastAsia="Calibri" w:cs="Times New Roman"/>
          <w:szCs w:val="24"/>
          <w:lang w:val="en-US"/>
        </w:rPr>
        <w:t>VOL.</w:t>
      </w:r>
      <w:r w:rsidRPr="00B449A5">
        <w:rPr>
          <w:rFonts w:eastAsia="Calibri" w:cs="Times New Roman"/>
          <w:szCs w:val="24"/>
          <w:lang w:val="en-US"/>
        </w:rPr>
        <w:t xml:space="preserve"> 25, № 2. — </w:t>
      </w:r>
      <w:r w:rsidRPr="00B449A5">
        <w:rPr>
          <w:rFonts w:eastAsia="Calibri" w:cs="Times New Roman"/>
          <w:szCs w:val="24"/>
        </w:rPr>
        <w:t>С</w:t>
      </w:r>
      <w:r w:rsidRPr="00B449A5">
        <w:rPr>
          <w:rFonts w:eastAsia="Calibri" w:cs="Times New Roman"/>
          <w:szCs w:val="24"/>
          <w:lang w:val="en-US"/>
        </w:rPr>
        <w:t>. 143–152. DOI: 10.1080/09715010.2017.1381862</w:t>
      </w:r>
    </w:p>
    <w:p w14:paraId="058E5858" w14:textId="17F88CD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132.</w:t>
      </w:r>
      <w:r w:rsidRPr="00B449A5">
        <w:rPr>
          <w:rFonts w:eastAsia="Calibri" w:cs="Times New Roman"/>
          <w:szCs w:val="24"/>
          <w:lang w:val="en-US"/>
        </w:rPr>
        <w:tab/>
        <w:t xml:space="preserve">A methodology for the design of dam spillways with wedge shaped blocks based on numerical modeling / J. San Mauro, M. Toledo, F. Salazar, F.J. Caballero // Revista Internacional de Métodos Numéricos para Cálculo y Diseño en Ingeniería. — 2018. — </w:t>
      </w:r>
      <w:r w:rsidR="001A7438" w:rsidRPr="00FA3419">
        <w:rPr>
          <w:rFonts w:eastAsia="Calibri" w:cs="Times New Roman"/>
          <w:szCs w:val="24"/>
          <w:lang w:val="en-US"/>
        </w:rPr>
        <w:t>VOL.</w:t>
      </w:r>
      <w:r w:rsidRPr="00B449A5">
        <w:rPr>
          <w:rFonts w:eastAsia="Calibri" w:cs="Times New Roman"/>
          <w:szCs w:val="24"/>
          <w:lang w:val="en-US"/>
        </w:rPr>
        <w:t xml:space="preserve"> 35, № 1. DOI: 10.23967/j.rimni.2018.11.001</w:t>
      </w:r>
    </w:p>
    <w:p w14:paraId="40DFEABB" w14:textId="78CC3FD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133.</w:t>
      </w:r>
      <w:r w:rsidRPr="00B449A5">
        <w:rPr>
          <w:rFonts w:eastAsia="Calibri" w:cs="Times New Roman"/>
          <w:szCs w:val="24"/>
          <w:lang w:val="en-US"/>
        </w:rPr>
        <w:tab/>
        <w:t>Recent examples of reinforced grass spillways on embankment dams based on CIRIA Report 116 / R. Freer — 1992.</w:t>
      </w:r>
    </w:p>
    <w:p w14:paraId="693CDBB4" w14:textId="4EBA498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134.</w:t>
      </w:r>
      <w:r w:rsidRPr="00B449A5">
        <w:rPr>
          <w:rFonts w:eastAsia="Calibri" w:cs="Times New Roman"/>
          <w:szCs w:val="24"/>
          <w:lang w:val="en-US"/>
        </w:rPr>
        <w:tab/>
        <w:t>Minimum energy design using grassed spillways / B. Lewis // Association of State Dam Safety Officials Annual Conference 2005, Dam Safety 20052005.</w:t>
      </w:r>
    </w:p>
    <w:p w14:paraId="5EC56513" w14:textId="5BA4079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135.</w:t>
      </w:r>
      <w:r w:rsidRPr="00B449A5">
        <w:rPr>
          <w:rFonts w:eastAsia="Calibri" w:cs="Times New Roman"/>
          <w:szCs w:val="24"/>
          <w:lang w:val="en-US"/>
        </w:rPr>
        <w:tab/>
        <w:t>Methods of reducing the erosion from cells in a concrete block spillway / R. Baker, N. Bessaih // Proceedings of the Institution of Civil Engineers: Water and Maritime Engineering. — 1996. DOI: 10.1680/iwtme.1996.28688</w:t>
      </w:r>
    </w:p>
    <w:p w14:paraId="55C37E31" w14:textId="1C9953C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136.</w:t>
      </w:r>
      <w:r w:rsidRPr="00B449A5">
        <w:rPr>
          <w:rFonts w:eastAsia="Calibri" w:cs="Times New Roman"/>
          <w:szCs w:val="24"/>
          <w:lang w:val="en-US"/>
        </w:rPr>
        <w:tab/>
        <w:t>ENGINEERING AND DESIGN: Hydraulic Design of Spillways [</w:t>
      </w:r>
      <w:r w:rsidRPr="00B449A5">
        <w:rPr>
          <w:rFonts w:eastAsia="Calibri" w:cs="Times New Roman"/>
          <w:szCs w:val="24"/>
        </w:rPr>
        <w:t>Текст</w:t>
      </w:r>
      <w:r w:rsidRPr="00B449A5">
        <w:rPr>
          <w:rFonts w:eastAsia="Calibri" w:cs="Times New Roman"/>
          <w:szCs w:val="24"/>
          <w:lang w:val="en-US"/>
        </w:rPr>
        <w:t xml:space="preserve">]: </w:t>
      </w:r>
      <w:r w:rsidR="001A7438" w:rsidRPr="00FA3419">
        <w:rPr>
          <w:rFonts w:eastAsia="Calibri" w:cs="Times New Roman"/>
          <w:szCs w:val="24"/>
          <w:lang w:val="en-US"/>
        </w:rPr>
        <w:t>VOL.</w:t>
      </w:r>
      <w:r w:rsidRPr="00B449A5">
        <w:rPr>
          <w:rFonts w:eastAsia="Calibri" w:cs="Times New Roman"/>
          <w:szCs w:val="24"/>
          <w:lang w:val="en-US"/>
        </w:rPr>
        <w:t xml:space="preserve"> EM 1110-2-1603 / Department of the Army, U.S. Army Corps of EngineersUS Army Corps of Engineers, 1992.</w:t>
      </w:r>
    </w:p>
    <w:p w14:paraId="47CCF40B" w14:textId="4607BBF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137.</w:t>
      </w:r>
      <w:r w:rsidRPr="00B449A5">
        <w:rPr>
          <w:rFonts w:eastAsia="Calibri" w:cs="Times New Roman"/>
          <w:szCs w:val="24"/>
          <w:lang w:val="en-US"/>
        </w:rPr>
        <w:tab/>
        <w:t xml:space="preserve">Three-Dimensional Flow of a Vortex Drop Shaft Spillway with an Elliptical Tangential Inlet / Z. Yang, J. Yin, Y. Lu, Z. Liu, H. Yang, G. Xu // Water. — 2021. — </w:t>
      </w:r>
      <w:r w:rsidR="001A7438" w:rsidRPr="00FA3419">
        <w:rPr>
          <w:rFonts w:eastAsia="Calibri" w:cs="Times New Roman"/>
          <w:szCs w:val="24"/>
          <w:lang w:val="en-US"/>
        </w:rPr>
        <w:t>VOL.</w:t>
      </w:r>
      <w:r w:rsidRPr="00B449A5">
        <w:rPr>
          <w:rFonts w:eastAsia="Calibri" w:cs="Times New Roman"/>
          <w:szCs w:val="24"/>
          <w:lang w:val="en-US"/>
        </w:rPr>
        <w:t xml:space="preserve"> 13, № 4. — </w:t>
      </w:r>
      <w:r w:rsidRPr="00B449A5">
        <w:rPr>
          <w:rFonts w:eastAsia="Calibri" w:cs="Times New Roman"/>
          <w:szCs w:val="24"/>
        </w:rPr>
        <w:t>С</w:t>
      </w:r>
      <w:r w:rsidRPr="00B449A5">
        <w:rPr>
          <w:rFonts w:eastAsia="Calibri" w:cs="Times New Roman"/>
          <w:szCs w:val="24"/>
          <w:lang w:val="en-US"/>
        </w:rPr>
        <w:t>. 504–504. DOI: 10.3390/w13040504</w:t>
      </w:r>
    </w:p>
    <w:p w14:paraId="1CBB2676" w14:textId="6E2FC93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138.</w:t>
      </w:r>
      <w:r w:rsidRPr="00B449A5">
        <w:rPr>
          <w:rFonts w:eastAsia="Calibri" w:cs="Times New Roman"/>
          <w:szCs w:val="24"/>
          <w:lang w:val="en-US"/>
        </w:rPr>
        <w:tab/>
        <w:t>Seeded spillways: a cheaper option? / R. Wiseman // WORLD WATER. — 1985.</w:t>
      </w:r>
    </w:p>
    <w:p w14:paraId="52BF35E3" w14:textId="1E3F346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139.</w:t>
      </w:r>
      <w:r w:rsidRPr="00B449A5">
        <w:rPr>
          <w:rFonts w:eastAsia="Calibri" w:cs="Times New Roman"/>
          <w:szCs w:val="24"/>
          <w:lang w:val="en-US"/>
        </w:rPr>
        <w:tab/>
        <w:t xml:space="preserve">Analysis of Slope Stability / S. Harabinová, K. Kotrasová, E. Kormaníková, I. Hegedüsová // Civil and Environmental Engineering. — 2021. — </w:t>
      </w:r>
      <w:r w:rsidR="001A7438" w:rsidRPr="00FA3419">
        <w:rPr>
          <w:rFonts w:eastAsia="Calibri" w:cs="Times New Roman"/>
          <w:szCs w:val="24"/>
          <w:lang w:val="en-US"/>
        </w:rPr>
        <w:t>VOL.</w:t>
      </w:r>
      <w:r w:rsidRPr="00B449A5">
        <w:rPr>
          <w:rFonts w:eastAsia="Calibri" w:cs="Times New Roman"/>
          <w:szCs w:val="24"/>
          <w:lang w:val="en-US"/>
        </w:rPr>
        <w:t xml:space="preserve"> 17, № 1. — </w:t>
      </w:r>
      <w:r w:rsidRPr="00B449A5">
        <w:rPr>
          <w:rFonts w:eastAsia="Calibri" w:cs="Times New Roman"/>
          <w:szCs w:val="24"/>
        </w:rPr>
        <w:t>С</w:t>
      </w:r>
      <w:r w:rsidRPr="00B449A5">
        <w:rPr>
          <w:rFonts w:eastAsia="Calibri" w:cs="Times New Roman"/>
          <w:szCs w:val="24"/>
          <w:lang w:val="en-US"/>
        </w:rPr>
        <w:t>. 192–199. DOI: 10.2478/cee-2021-0020</w:t>
      </w:r>
    </w:p>
    <w:p w14:paraId="0C832813" w14:textId="429495E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140.</w:t>
      </w:r>
      <w:r w:rsidRPr="00B449A5">
        <w:rPr>
          <w:rFonts w:eastAsia="Calibri" w:cs="Times New Roman"/>
          <w:szCs w:val="24"/>
          <w:lang w:val="en-US"/>
        </w:rPr>
        <w:tab/>
        <w:t xml:space="preserve">A BRIEF REVIEW OF THE SLOPE STABILITY ANALYSIS METHODS / S. Ullah, M.U. Khan, G. Rehman // Geological Behavior. — 2020. — </w:t>
      </w:r>
      <w:r w:rsidR="001A7438" w:rsidRPr="00FA3419">
        <w:rPr>
          <w:rFonts w:eastAsia="Calibri" w:cs="Times New Roman"/>
          <w:szCs w:val="24"/>
          <w:lang w:val="en-US"/>
        </w:rPr>
        <w:t>VOL.</w:t>
      </w:r>
      <w:r w:rsidRPr="00B449A5">
        <w:rPr>
          <w:rFonts w:eastAsia="Calibri" w:cs="Times New Roman"/>
          <w:szCs w:val="24"/>
          <w:lang w:val="en-US"/>
        </w:rPr>
        <w:t xml:space="preserve"> 4, № 2. — </w:t>
      </w:r>
      <w:r w:rsidRPr="00B449A5">
        <w:rPr>
          <w:rFonts w:eastAsia="Calibri" w:cs="Times New Roman"/>
          <w:szCs w:val="24"/>
        </w:rPr>
        <w:t>С</w:t>
      </w:r>
      <w:r w:rsidRPr="00B449A5">
        <w:rPr>
          <w:rFonts w:eastAsia="Calibri" w:cs="Times New Roman"/>
          <w:szCs w:val="24"/>
          <w:lang w:val="en-US"/>
        </w:rPr>
        <w:t>. 73–77. DOI: 10.26480/gbr.02.2020.73.77</w:t>
      </w:r>
    </w:p>
    <w:p w14:paraId="1EA515E1" w14:textId="26554ED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141.</w:t>
      </w:r>
      <w:r w:rsidRPr="00B449A5">
        <w:rPr>
          <w:rFonts w:eastAsia="Calibri" w:cs="Times New Roman"/>
          <w:szCs w:val="24"/>
          <w:lang w:val="en-US"/>
        </w:rPr>
        <w:tab/>
        <w:t xml:space="preserve">Slope stability analysis based on the Coupled Eulerian-Lagrangian finite element method / X. Chen, L. Zhang, L. Chen, X. Li, D. Liu // Bulletin of Engineering Geology and the Environment. — 2019. — </w:t>
      </w:r>
      <w:r w:rsidR="001A7438" w:rsidRPr="00FA3419">
        <w:rPr>
          <w:rFonts w:eastAsia="Calibri" w:cs="Times New Roman"/>
          <w:szCs w:val="24"/>
          <w:lang w:val="en-US"/>
        </w:rPr>
        <w:t>VOL.</w:t>
      </w:r>
      <w:r w:rsidRPr="00B449A5">
        <w:rPr>
          <w:rFonts w:eastAsia="Calibri" w:cs="Times New Roman"/>
          <w:szCs w:val="24"/>
          <w:lang w:val="en-US"/>
        </w:rPr>
        <w:t xml:space="preserve"> 78, № 6. — </w:t>
      </w:r>
      <w:r w:rsidRPr="00B449A5">
        <w:rPr>
          <w:rFonts w:eastAsia="Calibri" w:cs="Times New Roman"/>
          <w:szCs w:val="24"/>
        </w:rPr>
        <w:t>С</w:t>
      </w:r>
      <w:r w:rsidRPr="00B449A5">
        <w:rPr>
          <w:rFonts w:eastAsia="Calibri" w:cs="Times New Roman"/>
          <w:szCs w:val="24"/>
          <w:lang w:val="en-US"/>
        </w:rPr>
        <w:t>. 4451–4463. DOI: 10.1007/s10064-018-1413-4</w:t>
      </w:r>
    </w:p>
    <w:p w14:paraId="3E451C53" w14:textId="76F5F7E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142.</w:t>
      </w:r>
      <w:r w:rsidRPr="00B449A5">
        <w:rPr>
          <w:rFonts w:eastAsia="Calibri" w:cs="Times New Roman"/>
          <w:szCs w:val="24"/>
          <w:lang w:val="en-US"/>
        </w:rPr>
        <w:tab/>
        <w:t xml:space="preserve">Three-dimensional stability of compound slope using limit analysis method / L. Wang, D. Sun, L. Li // Canadian Geotechnical Journal. — 2019. — </w:t>
      </w:r>
      <w:r w:rsidR="001A7438" w:rsidRPr="00FA3419">
        <w:rPr>
          <w:rFonts w:eastAsia="Calibri" w:cs="Times New Roman"/>
          <w:szCs w:val="24"/>
          <w:lang w:val="en-US"/>
        </w:rPr>
        <w:t>VOL.</w:t>
      </w:r>
      <w:r w:rsidRPr="00B449A5">
        <w:rPr>
          <w:rFonts w:eastAsia="Calibri" w:cs="Times New Roman"/>
          <w:szCs w:val="24"/>
          <w:lang w:val="en-US"/>
        </w:rPr>
        <w:t xml:space="preserve"> 56, № 1. — </w:t>
      </w:r>
      <w:r w:rsidRPr="00B449A5">
        <w:rPr>
          <w:rFonts w:eastAsia="Calibri" w:cs="Times New Roman"/>
          <w:szCs w:val="24"/>
        </w:rPr>
        <w:t>С</w:t>
      </w:r>
      <w:r w:rsidRPr="00B449A5">
        <w:rPr>
          <w:rFonts w:eastAsia="Calibri" w:cs="Times New Roman"/>
          <w:szCs w:val="24"/>
          <w:lang w:val="en-US"/>
        </w:rPr>
        <w:t>. 116–125. DOI: 10.1139/cgj-2017-0345</w:t>
      </w:r>
    </w:p>
    <w:p w14:paraId="7C5C6FD8" w14:textId="5218655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143.</w:t>
      </w:r>
      <w:r w:rsidRPr="00B449A5">
        <w:rPr>
          <w:rFonts w:eastAsia="Calibri" w:cs="Times New Roman"/>
          <w:szCs w:val="24"/>
          <w:lang w:val="en-US"/>
        </w:rPr>
        <w:tab/>
        <w:t xml:space="preserve">Factor of safety of strain-softening slopes / H. Rafiei Renani, C.D. Martin // Journal of Rock Mechanics and Geotechnical Engineering. — 2020. — </w:t>
      </w:r>
      <w:r w:rsidR="001A7438" w:rsidRPr="00FA3419">
        <w:rPr>
          <w:rFonts w:eastAsia="Calibri" w:cs="Times New Roman"/>
          <w:szCs w:val="24"/>
          <w:lang w:val="en-US"/>
        </w:rPr>
        <w:t>VOL.</w:t>
      </w:r>
      <w:r w:rsidRPr="00B449A5">
        <w:rPr>
          <w:rFonts w:eastAsia="Calibri" w:cs="Times New Roman"/>
          <w:szCs w:val="24"/>
          <w:lang w:val="en-US"/>
        </w:rPr>
        <w:t xml:space="preserve"> 12, № 3. — </w:t>
      </w:r>
      <w:r w:rsidRPr="00B449A5">
        <w:rPr>
          <w:rFonts w:eastAsia="Calibri" w:cs="Times New Roman"/>
          <w:szCs w:val="24"/>
        </w:rPr>
        <w:t>С</w:t>
      </w:r>
      <w:r w:rsidRPr="00B449A5">
        <w:rPr>
          <w:rFonts w:eastAsia="Calibri" w:cs="Times New Roman"/>
          <w:szCs w:val="24"/>
          <w:lang w:val="en-US"/>
        </w:rPr>
        <w:t>. 473–483. DOI: 10.1016/j.jrmge.2019.11.004</w:t>
      </w:r>
    </w:p>
    <w:p w14:paraId="013BAD8E" w14:textId="3639335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144.</w:t>
      </w:r>
      <w:r w:rsidRPr="00B449A5">
        <w:rPr>
          <w:rFonts w:eastAsia="Calibri" w:cs="Times New Roman"/>
          <w:szCs w:val="24"/>
          <w:lang w:val="en-US"/>
        </w:rPr>
        <w:tab/>
        <w:t xml:space="preserve">Study on the influence of slope height and angle on the factor of safety and shape of failure of slopes based on strength reduction method of analysis / H.M. Shiferaw // Beni-Suef University Journal of Basic and Applied Sciences. — 2021. — </w:t>
      </w:r>
      <w:r w:rsidR="001A7438" w:rsidRPr="00FA3419">
        <w:rPr>
          <w:rFonts w:eastAsia="Calibri" w:cs="Times New Roman"/>
          <w:szCs w:val="24"/>
          <w:lang w:val="en-US"/>
        </w:rPr>
        <w:t>VOL.</w:t>
      </w:r>
      <w:r w:rsidRPr="00B449A5">
        <w:rPr>
          <w:rFonts w:eastAsia="Calibri" w:cs="Times New Roman"/>
          <w:szCs w:val="24"/>
          <w:lang w:val="en-US"/>
        </w:rPr>
        <w:t xml:space="preserve"> 10, № 1. — </w:t>
      </w:r>
      <w:r w:rsidRPr="00B449A5">
        <w:rPr>
          <w:rFonts w:eastAsia="Calibri" w:cs="Times New Roman"/>
          <w:szCs w:val="24"/>
        </w:rPr>
        <w:t>С</w:t>
      </w:r>
      <w:r w:rsidRPr="00B449A5">
        <w:rPr>
          <w:rFonts w:eastAsia="Calibri" w:cs="Times New Roman"/>
          <w:szCs w:val="24"/>
          <w:lang w:val="en-US"/>
        </w:rPr>
        <w:t>. 31–31. DOI: 10.1186/s43088-021-00115-w</w:t>
      </w:r>
    </w:p>
    <w:p w14:paraId="697DCC44" w14:textId="3AACD86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145.</w:t>
      </w:r>
      <w:r w:rsidRPr="00B449A5">
        <w:rPr>
          <w:rFonts w:eastAsia="Calibri" w:cs="Times New Roman"/>
          <w:szCs w:val="24"/>
          <w:lang w:val="en-US"/>
        </w:rPr>
        <w:tab/>
        <w:t xml:space="preserve">The Maximum Stress Failure Criterion and the Maximum Strain Failure Criterion: Their Unification and Rationalization / S. Li // Journal of Composites Science. — 2020. — </w:t>
      </w:r>
      <w:r w:rsidR="001A7438" w:rsidRPr="00FA3419">
        <w:rPr>
          <w:rFonts w:eastAsia="Calibri" w:cs="Times New Roman"/>
          <w:szCs w:val="24"/>
          <w:lang w:val="en-US"/>
        </w:rPr>
        <w:t>VOL.</w:t>
      </w:r>
      <w:r w:rsidRPr="00B449A5">
        <w:rPr>
          <w:rFonts w:eastAsia="Calibri" w:cs="Times New Roman"/>
          <w:szCs w:val="24"/>
          <w:lang w:val="en-US"/>
        </w:rPr>
        <w:t xml:space="preserve"> 4, № 4. — </w:t>
      </w:r>
      <w:r w:rsidRPr="00B449A5">
        <w:rPr>
          <w:rFonts w:eastAsia="Calibri" w:cs="Times New Roman"/>
          <w:szCs w:val="24"/>
        </w:rPr>
        <w:t>С</w:t>
      </w:r>
      <w:r w:rsidRPr="00B449A5">
        <w:rPr>
          <w:rFonts w:eastAsia="Calibri" w:cs="Times New Roman"/>
          <w:szCs w:val="24"/>
          <w:lang w:val="en-US"/>
        </w:rPr>
        <w:t>. 157–157. DOI: 10.3390/jcs4040157</w:t>
      </w:r>
    </w:p>
    <w:p w14:paraId="1A1248F0" w14:textId="0850692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146.</w:t>
      </w:r>
      <w:r w:rsidRPr="00B449A5">
        <w:rPr>
          <w:rFonts w:eastAsia="Calibri" w:cs="Times New Roman"/>
          <w:szCs w:val="24"/>
          <w:lang w:val="en-US"/>
        </w:rPr>
        <w:tab/>
        <w:t xml:space="preserve">Factor of safety of slope stability from deformation energy / S. Xiao, W.D. Guo, J. Zeng // Canadian Geotechnical Journal. — 2018. — </w:t>
      </w:r>
      <w:r w:rsidR="001A7438" w:rsidRPr="00FA3419">
        <w:rPr>
          <w:rFonts w:eastAsia="Calibri" w:cs="Times New Roman"/>
          <w:szCs w:val="24"/>
          <w:lang w:val="en-US"/>
        </w:rPr>
        <w:t>VOL.</w:t>
      </w:r>
      <w:r w:rsidRPr="00B449A5">
        <w:rPr>
          <w:rFonts w:eastAsia="Calibri" w:cs="Times New Roman"/>
          <w:szCs w:val="24"/>
          <w:lang w:val="en-US"/>
        </w:rPr>
        <w:t xml:space="preserve"> 55, № 2. — </w:t>
      </w:r>
      <w:r w:rsidRPr="00B449A5">
        <w:rPr>
          <w:rFonts w:eastAsia="Calibri" w:cs="Times New Roman"/>
          <w:szCs w:val="24"/>
        </w:rPr>
        <w:t>С</w:t>
      </w:r>
      <w:r w:rsidRPr="00B449A5">
        <w:rPr>
          <w:rFonts w:eastAsia="Calibri" w:cs="Times New Roman"/>
          <w:szCs w:val="24"/>
          <w:lang w:val="en-US"/>
        </w:rPr>
        <w:t>. 296–302. DOI: 10.1139/cgj-2016-0527</w:t>
      </w:r>
    </w:p>
    <w:p w14:paraId="4A84E445" w14:textId="1441996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147.</w:t>
      </w:r>
      <w:r w:rsidRPr="00B449A5">
        <w:rPr>
          <w:rFonts w:eastAsia="Calibri" w:cs="Times New Roman"/>
          <w:szCs w:val="24"/>
          <w:lang w:val="en-US"/>
        </w:rPr>
        <w:tab/>
        <w:t xml:space="preserve">Impact of shear strength parameters on slope stability / S. Harabinová, E. Panulinová // MATEC Web of Conferences. — 2020. — </w:t>
      </w:r>
      <w:r w:rsidR="001A7438" w:rsidRPr="00FA3419">
        <w:rPr>
          <w:rFonts w:eastAsia="Calibri" w:cs="Times New Roman"/>
          <w:szCs w:val="24"/>
          <w:lang w:val="en-US"/>
        </w:rPr>
        <w:t>VOL.</w:t>
      </w:r>
      <w:r w:rsidRPr="00B449A5">
        <w:rPr>
          <w:rFonts w:eastAsia="Calibri" w:cs="Times New Roman"/>
          <w:szCs w:val="24"/>
          <w:lang w:val="en-US"/>
        </w:rPr>
        <w:t xml:space="preserve"> 310. — </w:t>
      </w:r>
      <w:r w:rsidRPr="00B449A5">
        <w:rPr>
          <w:rFonts w:eastAsia="Calibri" w:cs="Times New Roman"/>
          <w:szCs w:val="24"/>
        </w:rPr>
        <w:t>С</w:t>
      </w:r>
      <w:r w:rsidRPr="00B449A5">
        <w:rPr>
          <w:rFonts w:eastAsia="Calibri" w:cs="Times New Roman"/>
          <w:szCs w:val="24"/>
          <w:lang w:val="en-US"/>
        </w:rPr>
        <w:t>. 00040–00040. DOI: 10.1051/matecconf/202031000040</w:t>
      </w:r>
    </w:p>
    <w:p w14:paraId="67361709" w14:textId="4C3528A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148.</w:t>
      </w:r>
      <w:r w:rsidRPr="00B449A5">
        <w:rPr>
          <w:rFonts w:eastAsia="Calibri" w:cs="Times New Roman"/>
          <w:szCs w:val="24"/>
          <w:lang w:val="en-US"/>
        </w:rPr>
        <w:tab/>
        <w:t xml:space="preserve">Determination of safety factor value of PIT design based on cohesion and friction angle / E.D. Sibala, R. Langkoke // IOP Conference Series: Earth and Environmental Science. — 2019. — </w:t>
      </w:r>
      <w:r w:rsidR="001A7438" w:rsidRPr="00FA3419">
        <w:rPr>
          <w:rFonts w:eastAsia="Calibri" w:cs="Times New Roman"/>
          <w:szCs w:val="24"/>
          <w:lang w:val="en-US"/>
        </w:rPr>
        <w:t>VOL.</w:t>
      </w:r>
      <w:r w:rsidRPr="00B449A5">
        <w:rPr>
          <w:rFonts w:eastAsia="Calibri" w:cs="Times New Roman"/>
          <w:szCs w:val="24"/>
          <w:lang w:val="en-US"/>
        </w:rPr>
        <w:t xml:space="preserve"> 235. — </w:t>
      </w:r>
      <w:r w:rsidRPr="00B449A5">
        <w:rPr>
          <w:rFonts w:eastAsia="Calibri" w:cs="Times New Roman"/>
          <w:szCs w:val="24"/>
        </w:rPr>
        <w:t>С</w:t>
      </w:r>
      <w:r w:rsidRPr="00B449A5">
        <w:rPr>
          <w:rFonts w:eastAsia="Calibri" w:cs="Times New Roman"/>
          <w:szCs w:val="24"/>
          <w:lang w:val="en-US"/>
        </w:rPr>
        <w:t>. 012084–012084. DOI: 10.1088/1755-1315/235/1/012084</w:t>
      </w:r>
    </w:p>
    <w:p w14:paraId="211EAAA9" w14:textId="03E86F1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149.</w:t>
      </w:r>
      <w:r w:rsidRPr="00B449A5">
        <w:rPr>
          <w:rFonts w:eastAsia="Calibri" w:cs="Times New Roman"/>
          <w:szCs w:val="24"/>
          <w:lang w:val="en-US"/>
        </w:rPr>
        <w:tab/>
        <w:t xml:space="preserve">Analysis of unsaturated shear strength and slope stability considering soil desalinization in a reclamation area in China / W. Hongde, S. Dongli, S. Xiaoqin, T. Shengqiang, Z. Yipeng // CATENA. — 2021. — </w:t>
      </w:r>
      <w:r w:rsidR="001A7438" w:rsidRPr="00FA3419">
        <w:rPr>
          <w:rFonts w:eastAsia="Calibri" w:cs="Times New Roman"/>
          <w:szCs w:val="24"/>
          <w:lang w:val="en-US"/>
        </w:rPr>
        <w:t>VOL.</w:t>
      </w:r>
      <w:r w:rsidRPr="00B449A5">
        <w:rPr>
          <w:rFonts w:eastAsia="Calibri" w:cs="Times New Roman"/>
          <w:szCs w:val="24"/>
          <w:lang w:val="en-US"/>
        </w:rPr>
        <w:t xml:space="preserve"> 196. — </w:t>
      </w:r>
      <w:r w:rsidRPr="00B449A5">
        <w:rPr>
          <w:rFonts w:eastAsia="Calibri" w:cs="Times New Roman"/>
          <w:szCs w:val="24"/>
        </w:rPr>
        <w:t>С</w:t>
      </w:r>
      <w:r w:rsidRPr="00B449A5">
        <w:rPr>
          <w:rFonts w:eastAsia="Calibri" w:cs="Times New Roman"/>
          <w:szCs w:val="24"/>
          <w:lang w:val="en-US"/>
        </w:rPr>
        <w:t>. 104949–104949. DOI: 10.1016/j.catena.2020.104949</w:t>
      </w:r>
    </w:p>
    <w:p w14:paraId="3085C892" w14:textId="475DEF4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150.</w:t>
      </w:r>
      <w:r w:rsidRPr="00B449A5">
        <w:rPr>
          <w:rFonts w:eastAsia="Calibri" w:cs="Times New Roman"/>
          <w:szCs w:val="24"/>
          <w:lang w:val="en-US"/>
        </w:rPr>
        <w:tab/>
        <w:t xml:space="preserve">A relation between safety factors with respect to strength and height of slopes / R. Baker // Computers and Geotechnics. — 2006. — </w:t>
      </w:r>
      <w:r w:rsidR="001A7438" w:rsidRPr="00FA3419">
        <w:rPr>
          <w:rFonts w:eastAsia="Calibri" w:cs="Times New Roman"/>
          <w:szCs w:val="24"/>
          <w:lang w:val="en-US"/>
        </w:rPr>
        <w:t>VOL.</w:t>
      </w:r>
      <w:r w:rsidRPr="00B449A5">
        <w:rPr>
          <w:rFonts w:eastAsia="Calibri" w:cs="Times New Roman"/>
          <w:szCs w:val="24"/>
          <w:lang w:val="en-US"/>
        </w:rPr>
        <w:t xml:space="preserve"> 33, № 4–5. — </w:t>
      </w:r>
      <w:r w:rsidRPr="00B449A5">
        <w:rPr>
          <w:rFonts w:eastAsia="Calibri" w:cs="Times New Roman"/>
          <w:szCs w:val="24"/>
        </w:rPr>
        <w:t>С</w:t>
      </w:r>
      <w:r w:rsidRPr="00B449A5">
        <w:rPr>
          <w:rFonts w:eastAsia="Calibri" w:cs="Times New Roman"/>
          <w:szCs w:val="24"/>
          <w:lang w:val="en-US"/>
        </w:rPr>
        <w:t>. 275–277. DOI: 10.1016/j.compgeo.2006.07.001</w:t>
      </w:r>
    </w:p>
    <w:p w14:paraId="176C6534" w14:textId="0E52F02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151.</w:t>
      </w:r>
      <w:r w:rsidRPr="00B449A5">
        <w:rPr>
          <w:rFonts w:eastAsia="Calibri" w:cs="Times New Roman"/>
          <w:szCs w:val="24"/>
          <w:lang w:val="en-US"/>
        </w:rPr>
        <w:tab/>
        <w:t xml:space="preserve">Slope Stability of Loess Revisited / R.A. Lohnes, B.H. Kjartanson // Transportation Research Record: Journal of the Transportation Research Board. — 2002. — </w:t>
      </w:r>
      <w:r w:rsidR="001A7438" w:rsidRPr="00FA3419">
        <w:rPr>
          <w:rFonts w:eastAsia="Calibri" w:cs="Times New Roman"/>
          <w:szCs w:val="24"/>
          <w:lang w:val="en-US"/>
        </w:rPr>
        <w:t>VOL.</w:t>
      </w:r>
      <w:r w:rsidRPr="00B449A5">
        <w:rPr>
          <w:rFonts w:eastAsia="Calibri" w:cs="Times New Roman"/>
          <w:szCs w:val="24"/>
          <w:lang w:val="en-US"/>
        </w:rPr>
        <w:t xml:space="preserve"> 1786, № 1. — </w:t>
      </w:r>
      <w:r w:rsidRPr="00B449A5">
        <w:rPr>
          <w:rFonts w:eastAsia="Calibri" w:cs="Times New Roman"/>
          <w:szCs w:val="24"/>
        </w:rPr>
        <w:t>С</w:t>
      </w:r>
      <w:r w:rsidRPr="00B449A5">
        <w:rPr>
          <w:rFonts w:eastAsia="Calibri" w:cs="Times New Roman"/>
          <w:szCs w:val="24"/>
          <w:lang w:val="en-US"/>
        </w:rPr>
        <w:t>. 76–81. DOI: 10.3141/1786-09</w:t>
      </w:r>
    </w:p>
    <w:p w14:paraId="34733F67" w14:textId="20F139D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152.</w:t>
      </w:r>
      <w:r w:rsidRPr="00B449A5">
        <w:rPr>
          <w:rFonts w:eastAsia="Calibri" w:cs="Times New Roman"/>
          <w:szCs w:val="24"/>
          <w:lang w:val="en-US"/>
        </w:rPr>
        <w:tab/>
        <w:t xml:space="preserve">Local Geology, Shear Strength Properties and Bearing Capacity of Coastal Plain Sands in Uyo Metropolis, Akwa-Ibom State, Southeastern Nigeria / A.O. Ilori, C.E.A. Uko, I.C. Umoh // Journal of Engineering Research and Reports. — 2019. — </w:t>
      </w:r>
      <w:r w:rsidRPr="00B449A5">
        <w:rPr>
          <w:rFonts w:eastAsia="Calibri" w:cs="Times New Roman"/>
          <w:szCs w:val="24"/>
        </w:rPr>
        <w:t>С</w:t>
      </w:r>
      <w:r w:rsidRPr="00B449A5">
        <w:rPr>
          <w:rFonts w:eastAsia="Calibri" w:cs="Times New Roman"/>
          <w:szCs w:val="24"/>
          <w:lang w:val="en-US"/>
        </w:rPr>
        <w:t>. 1–23. DOI: 10.9734/jerr/2019/v8i416996</w:t>
      </w:r>
    </w:p>
    <w:p w14:paraId="44541F25" w14:textId="6144483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153.</w:t>
      </w:r>
      <w:r w:rsidRPr="00B449A5">
        <w:rPr>
          <w:rFonts w:eastAsia="Calibri" w:cs="Times New Roman"/>
          <w:szCs w:val="24"/>
          <w:lang w:val="en-US"/>
        </w:rPr>
        <w:tab/>
        <w:t>Slope stability-causes of instability, analysis methods and assumptions / The Constructor — 2021.</w:t>
      </w:r>
    </w:p>
    <w:p w14:paraId="6A3BA847" w14:textId="13943E4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154.</w:t>
      </w:r>
      <w:r w:rsidRPr="00B449A5">
        <w:rPr>
          <w:rFonts w:eastAsia="Calibri" w:cs="Times New Roman"/>
          <w:szCs w:val="24"/>
          <w:lang w:val="en-US"/>
        </w:rPr>
        <w:tab/>
        <w:t xml:space="preserve">A Simple Analytical Model for Bamboo Reinforced Slope Using Ordinary Method of Slices / P. Kumar, P. Chakrabortty // Lecture Notes in Civil Engineering2020. — </w:t>
      </w:r>
      <w:r w:rsidRPr="00B449A5">
        <w:rPr>
          <w:rFonts w:eastAsia="Calibri" w:cs="Times New Roman"/>
          <w:szCs w:val="24"/>
        </w:rPr>
        <w:t>С</w:t>
      </w:r>
      <w:r w:rsidRPr="00B449A5">
        <w:rPr>
          <w:rFonts w:eastAsia="Calibri" w:cs="Times New Roman"/>
          <w:szCs w:val="24"/>
          <w:lang w:val="en-US"/>
        </w:rPr>
        <w:t>. 269–283. DOI: 10.1007/978-981-15-6086-6_22</w:t>
      </w:r>
    </w:p>
    <w:p w14:paraId="0DB3A3D5" w14:textId="3925F5C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155.</w:t>
      </w:r>
      <w:r w:rsidRPr="00B449A5">
        <w:rPr>
          <w:rFonts w:eastAsia="Calibri" w:cs="Times New Roman"/>
          <w:szCs w:val="24"/>
          <w:lang w:val="en-US"/>
        </w:rPr>
        <w:tab/>
        <w:t>Application analysis of slope reliability based on Bishop analytical method / Z.B. Peng, J. Li, W.X. Peng // Zhongnan Daxue Xuebao (Ziran Kexue Ban)/Journal of Central South University (Science and Technology). — 2010.</w:t>
      </w:r>
    </w:p>
    <w:p w14:paraId="3FA0D568" w14:textId="3846237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156.</w:t>
      </w:r>
      <w:r w:rsidRPr="00B449A5">
        <w:rPr>
          <w:rFonts w:eastAsia="Calibri" w:cs="Times New Roman"/>
          <w:szCs w:val="24"/>
          <w:lang w:val="en-US"/>
        </w:rPr>
        <w:tab/>
        <w:t xml:space="preserve">The Analysis of the Stability of General Slip Surfaces / N.R. Morgenstern, V.E. Price // Géotechnique. — 1965. — </w:t>
      </w:r>
      <w:r w:rsidR="001A7438" w:rsidRPr="00FA3419">
        <w:rPr>
          <w:rFonts w:eastAsia="Calibri" w:cs="Times New Roman"/>
          <w:szCs w:val="24"/>
          <w:lang w:val="en-US"/>
        </w:rPr>
        <w:t>VOL.</w:t>
      </w:r>
      <w:r w:rsidRPr="00B449A5">
        <w:rPr>
          <w:rFonts w:eastAsia="Calibri" w:cs="Times New Roman"/>
          <w:szCs w:val="24"/>
          <w:lang w:val="en-US"/>
        </w:rPr>
        <w:t xml:space="preserve"> 15, № 1. — </w:t>
      </w:r>
      <w:r w:rsidRPr="00B449A5">
        <w:rPr>
          <w:rFonts w:eastAsia="Calibri" w:cs="Times New Roman"/>
          <w:szCs w:val="24"/>
        </w:rPr>
        <w:t>С</w:t>
      </w:r>
      <w:r w:rsidRPr="00B449A5">
        <w:rPr>
          <w:rFonts w:eastAsia="Calibri" w:cs="Times New Roman"/>
          <w:szCs w:val="24"/>
          <w:lang w:val="en-US"/>
        </w:rPr>
        <w:t>. 79–93. DOI: 10.1680/geot.1965.15.1.79</w:t>
      </w:r>
    </w:p>
    <w:p w14:paraId="1827C502" w14:textId="74577B4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157.</w:t>
      </w:r>
      <w:r w:rsidRPr="00B449A5">
        <w:rPr>
          <w:rFonts w:eastAsia="Calibri" w:cs="Times New Roman"/>
          <w:szCs w:val="24"/>
          <w:lang w:val="en-US"/>
        </w:rPr>
        <w:tab/>
        <w:t>Online Help-GEO5:Morgenstern-Price / Fine spol. s r.o. — 2021.</w:t>
      </w:r>
    </w:p>
    <w:p w14:paraId="48BDA97B" w14:textId="0A79772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158.</w:t>
      </w:r>
      <w:r w:rsidRPr="00B449A5">
        <w:rPr>
          <w:rFonts w:eastAsia="Calibri" w:cs="Times New Roman"/>
          <w:szCs w:val="24"/>
          <w:lang w:val="en-US"/>
        </w:rPr>
        <w:tab/>
        <w:t>The Analysis of The Stability of General Slip Surfaces / V.E. Price, N.R. Morgenstern // Géotechnique. — 1968. — Vol. 18, No. 3. — P. 393–394. DOI: 10.1680/geot.1968.18.3.393</w:t>
      </w:r>
    </w:p>
    <w:p w14:paraId="2F1B9FAA" w14:textId="2DB4CDC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159.</w:t>
      </w:r>
      <w:r w:rsidRPr="00B449A5">
        <w:rPr>
          <w:rFonts w:eastAsia="Calibri" w:cs="Times New Roman"/>
          <w:szCs w:val="24"/>
          <w:lang w:val="en-US"/>
        </w:rPr>
        <w:tab/>
        <w:t xml:space="preserve">A Numerical Method for Solving the Equations of Stability of General Slip Surfaces / N.R. Morgenstern, V.E. Price // The Computer Journal. — 1967. — </w:t>
      </w:r>
      <w:r w:rsidR="001A7438" w:rsidRPr="00FA3419">
        <w:rPr>
          <w:rFonts w:eastAsia="Calibri" w:cs="Times New Roman"/>
          <w:szCs w:val="24"/>
          <w:lang w:val="en-US"/>
        </w:rPr>
        <w:t>VOL.</w:t>
      </w:r>
      <w:r w:rsidRPr="00B449A5">
        <w:rPr>
          <w:rFonts w:eastAsia="Calibri" w:cs="Times New Roman"/>
          <w:szCs w:val="24"/>
          <w:lang w:val="en-US"/>
        </w:rPr>
        <w:t xml:space="preserve"> 9, № 4. — </w:t>
      </w:r>
      <w:r w:rsidRPr="00B449A5">
        <w:rPr>
          <w:rFonts w:eastAsia="Calibri" w:cs="Times New Roman"/>
          <w:szCs w:val="24"/>
        </w:rPr>
        <w:t>С</w:t>
      </w:r>
      <w:r w:rsidRPr="00B449A5">
        <w:rPr>
          <w:rFonts w:eastAsia="Calibri" w:cs="Times New Roman"/>
          <w:szCs w:val="24"/>
          <w:lang w:val="en-US"/>
        </w:rPr>
        <w:t>. 388–393. DOI: 10.1093/comjnl/9.4.388</w:t>
      </w:r>
    </w:p>
    <w:p w14:paraId="51C8F747" w14:textId="7619425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160.</w:t>
      </w:r>
      <w:r w:rsidRPr="00B449A5">
        <w:rPr>
          <w:rFonts w:eastAsia="Calibri" w:cs="Times New Roman"/>
          <w:szCs w:val="24"/>
          <w:lang w:val="en-US"/>
        </w:rPr>
        <w:tab/>
        <w:t xml:space="preserve">A concise algorithm for computing the factor of safety using the Morgenstern–Price method / D.Y. Zhu, C.F. Lee, Q.H. Qian, G.R. Chen // Canadian Geotechnical Journal. — 2005. — </w:t>
      </w:r>
      <w:r w:rsidR="001A7438" w:rsidRPr="00FA3419">
        <w:rPr>
          <w:rFonts w:eastAsia="Calibri" w:cs="Times New Roman"/>
          <w:szCs w:val="24"/>
          <w:lang w:val="en-US"/>
        </w:rPr>
        <w:t>VOL.</w:t>
      </w:r>
      <w:r w:rsidRPr="00B449A5">
        <w:rPr>
          <w:rFonts w:eastAsia="Calibri" w:cs="Times New Roman"/>
          <w:szCs w:val="24"/>
          <w:lang w:val="en-US"/>
        </w:rPr>
        <w:t xml:space="preserve"> 42, № 1. — </w:t>
      </w:r>
      <w:r w:rsidRPr="00B449A5">
        <w:rPr>
          <w:rFonts w:eastAsia="Calibri" w:cs="Times New Roman"/>
          <w:szCs w:val="24"/>
        </w:rPr>
        <w:t>С</w:t>
      </w:r>
      <w:r w:rsidRPr="00B449A5">
        <w:rPr>
          <w:rFonts w:eastAsia="Calibri" w:cs="Times New Roman"/>
          <w:szCs w:val="24"/>
          <w:lang w:val="en-US"/>
        </w:rPr>
        <w:t>. 272–278. DOI: 10.1139/t04-072</w:t>
      </w:r>
    </w:p>
    <w:p w14:paraId="25C33350" w14:textId="7A98B75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161.</w:t>
      </w:r>
      <w:r w:rsidRPr="00B449A5">
        <w:rPr>
          <w:rFonts w:eastAsia="Calibri" w:cs="Times New Roman"/>
          <w:szCs w:val="24"/>
          <w:lang w:val="en-US"/>
        </w:rPr>
        <w:tab/>
        <w:t>Slope Stability: The Spencer Method of Slices / Geoengineer.org — 2021.</w:t>
      </w:r>
    </w:p>
    <w:p w14:paraId="4C9459B5" w14:textId="505D095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162.</w:t>
      </w:r>
      <w:r w:rsidRPr="00B449A5">
        <w:rPr>
          <w:rFonts w:eastAsia="Calibri" w:cs="Times New Roman"/>
          <w:szCs w:val="24"/>
          <w:lang w:val="en-US"/>
        </w:rPr>
        <w:tab/>
        <w:t xml:space="preserve">A Method of analysis of the Stability of Embankments Assuming Parallel Inter-Slice Forces / E. Spencer // Géotechnique. — 1967. — </w:t>
      </w:r>
      <w:r w:rsidR="001A7438" w:rsidRPr="00FA3419">
        <w:rPr>
          <w:rFonts w:eastAsia="Calibri" w:cs="Times New Roman"/>
          <w:szCs w:val="24"/>
          <w:lang w:val="en-US"/>
        </w:rPr>
        <w:t>VOL.</w:t>
      </w:r>
      <w:r w:rsidRPr="00B449A5">
        <w:rPr>
          <w:rFonts w:eastAsia="Calibri" w:cs="Times New Roman"/>
          <w:szCs w:val="24"/>
          <w:lang w:val="en-US"/>
        </w:rPr>
        <w:t xml:space="preserve"> 17, № 1. — </w:t>
      </w:r>
      <w:r w:rsidRPr="00B449A5">
        <w:rPr>
          <w:rFonts w:eastAsia="Calibri" w:cs="Times New Roman"/>
          <w:szCs w:val="24"/>
        </w:rPr>
        <w:t>С</w:t>
      </w:r>
      <w:r w:rsidRPr="00B449A5">
        <w:rPr>
          <w:rFonts w:eastAsia="Calibri" w:cs="Times New Roman"/>
          <w:szCs w:val="24"/>
          <w:lang w:val="en-US"/>
        </w:rPr>
        <w:t>. 11–26. DOI: 10.1680/geot.1967.17.1.11</w:t>
      </w:r>
    </w:p>
    <w:p w14:paraId="72423FD4" w14:textId="4661F82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163.</w:t>
      </w:r>
      <w:r w:rsidRPr="00B449A5">
        <w:rPr>
          <w:rFonts w:eastAsia="Calibri" w:cs="Times New Roman"/>
          <w:szCs w:val="24"/>
          <w:lang w:val="en-US"/>
        </w:rPr>
        <w:tab/>
        <w:t>Online Help- GEO5: Spencer / Fine spol. s r.o — 2021.</w:t>
      </w:r>
    </w:p>
    <w:p w14:paraId="7297A85D" w14:textId="26B7EFE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164.</w:t>
      </w:r>
      <w:r w:rsidRPr="00B449A5">
        <w:rPr>
          <w:rFonts w:eastAsia="Calibri" w:cs="Times New Roman"/>
          <w:szCs w:val="24"/>
          <w:lang w:val="en-US"/>
        </w:rPr>
        <w:tab/>
        <w:t xml:space="preserve">Correspondence / E. Spencer // Géotechnique. — 1962. — </w:t>
      </w:r>
      <w:r w:rsidR="001A7438" w:rsidRPr="00FA3419">
        <w:rPr>
          <w:rFonts w:eastAsia="Calibri" w:cs="Times New Roman"/>
          <w:szCs w:val="24"/>
          <w:lang w:val="en-US"/>
        </w:rPr>
        <w:t>VOL.</w:t>
      </w:r>
      <w:r w:rsidRPr="00B449A5">
        <w:rPr>
          <w:rFonts w:eastAsia="Calibri" w:cs="Times New Roman"/>
          <w:szCs w:val="24"/>
          <w:lang w:val="en-US"/>
        </w:rPr>
        <w:t xml:space="preserve"> 12, № 4. — </w:t>
      </w:r>
      <w:r w:rsidRPr="00B449A5">
        <w:rPr>
          <w:rFonts w:eastAsia="Calibri" w:cs="Times New Roman"/>
          <w:szCs w:val="24"/>
        </w:rPr>
        <w:t>С</w:t>
      </w:r>
      <w:r w:rsidRPr="00B449A5">
        <w:rPr>
          <w:rFonts w:eastAsia="Calibri" w:cs="Times New Roman"/>
          <w:szCs w:val="24"/>
          <w:lang w:val="en-US"/>
        </w:rPr>
        <w:t>. 351–352. DOI: 10.1680/geot.1962.12.4.351</w:t>
      </w:r>
    </w:p>
    <w:p w14:paraId="3F22FDD5" w14:textId="34D461A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165.</w:t>
      </w:r>
      <w:r w:rsidRPr="00B449A5">
        <w:rPr>
          <w:rFonts w:eastAsia="Calibri" w:cs="Times New Roman"/>
          <w:szCs w:val="24"/>
          <w:lang w:val="en-US"/>
        </w:rPr>
        <w:tab/>
        <w:t>Slope stability computations: In Embankment-dam Engineering / N. Janbu1975.</w:t>
      </w:r>
    </w:p>
    <w:p w14:paraId="3C70AC92" w14:textId="52B36A2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166.</w:t>
      </w:r>
      <w:r w:rsidRPr="00B449A5">
        <w:rPr>
          <w:rFonts w:eastAsia="Calibri" w:cs="Times New Roman"/>
          <w:szCs w:val="24"/>
          <w:lang w:val="en-US"/>
        </w:rPr>
        <w:tab/>
        <w:t>Online Help- GEO5: Janbu / Fine spol. s r.o. — 2021.</w:t>
      </w:r>
    </w:p>
    <w:p w14:paraId="49992EDC" w14:textId="0B23585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167.</w:t>
      </w:r>
      <w:r w:rsidRPr="00B449A5">
        <w:rPr>
          <w:rFonts w:eastAsia="Calibri" w:cs="Times New Roman"/>
          <w:szCs w:val="24"/>
          <w:lang w:val="en-US"/>
        </w:rPr>
        <w:tab/>
        <w:t xml:space="preserve">Stability analysis of embankments and slopes / S.K. Sarma // Géotechnique. — 1973. — </w:t>
      </w:r>
      <w:r w:rsidR="001A7438" w:rsidRPr="00FA3419">
        <w:rPr>
          <w:rFonts w:eastAsia="Calibri" w:cs="Times New Roman"/>
          <w:szCs w:val="24"/>
          <w:lang w:val="en-US"/>
        </w:rPr>
        <w:t>VOL.</w:t>
      </w:r>
      <w:r w:rsidRPr="00B449A5">
        <w:rPr>
          <w:rFonts w:eastAsia="Calibri" w:cs="Times New Roman"/>
          <w:szCs w:val="24"/>
          <w:lang w:val="en-US"/>
        </w:rPr>
        <w:t xml:space="preserve"> 23, № 3. — </w:t>
      </w:r>
      <w:r w:rsidRPr="00B449A5">
        <w:rPr>
          <w:rFonts w:eastAsia="Calibri" w:cs="Times New Roman"/>
          <w:szCs w:val="24"/>
        </w:rPr>
        <w:t>С</w:t>
      </w:r>
      <w:r w:rsidRPr="00B449A5">
        <w:rPr>
          <w:rFonts w:eastAsia="Calibri" w:cs="Times New Roman"/>
          <w:szCs w:val="24"/>
          <w:lang w:val="en-US"/>
        </w:rPr>
        <w:t>. 423–433. DOI: 10.1680/geot.1973.23.3.423</w:t>
      </w:r>
    </w:p>
    <w:p w14:paraId="14A79540" w14:textId="1ECBA6F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168.</w:t>
      </w:r>
      <w:r w:rsidRPr="00B449A5">
        <w:rPr>
          <w:rFonts w:eastAsia="Calibri" w:cs="Times New Roman"/>
          <w:szCs w:val="24"/>
          <w:lang w:val="en-US"/>
        </w:rPr>
        <w:tab/>
        <w:t xml:space="preserve">Stability Analysis of Embankments and Slopes / S.K. Sarma // Journal of the Geotechnical Engineering Division. — 1979. — </w:t>
      </w:r>
      <w:r w:rsidR="001A7438" w:rsidRPr="00FA3419">
        <w:rPr>
          <w:rFonts w:eastAsia="Calibri" w:cs="Times New Roman"/>
          <w:szCs w:val="24"/>
          <w:lang w:val="en-US"/>
        </w:rPr>
        <w:t>VOL.</w:t>
      </w:r>
      <w:r w:rsidRPr="00B449A5">
        <w:rPr>
          <w:rFonts w:eastAsia="Calibri" w:cs="Times New Roman"/>
          <w:szCs w:val="24"/>
          <w:lang w:val="en-US"/>
        </w:rPr>
        <w:t xml:space="preserve"> 105, № 12. — </w:t>
      </w:r>
      <w:r w:rsidRPr="00B449A5">
        <w:rPr>
          <w:rFonts w:eastAsia="Calibri" w:cs="Times New Roman"/>
          <w:szCs w:val="24"/>
        </w:rPr>
        <w:t>С</w:t>
      </w:r>
      <w:r w:rsidRPr="00B449A5">
        <w:rPr>
          <w:rFonts w:eastAsia="Calibri" w:cs="Times New Roman"/>
          <w:szCs w:val="24"/>
          <w:lang w:val="en-US"/>
        </w:rPr>
        <w:t>. 1511–1524. DOI: 10.1061/AJGEB6.0000903</w:t>
      </w:r>
    </w:p>
    <w:p w14:paraId="7C157E3B" w14:textId="7AD4DE9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169.</w:t>
      </w:r>
      <w:r w:rsidRPr="00B449A5">
        <w:rPr>
          <w:rFonts w:eastAsia="Calibri" w:cs="Times New Roman"/>
          <w:szCs w:val="24"/>
          <w:lang w:val="en-US"/>
        </w:rPr>
        <w:tab/>
        <w:t>Online Help- GEO5:Sarma / Fine spol. s r.o. — 2021.</w:t>
      </w:r>
    </w:p>
    <w:p w14:paraId="5F98904C" w14:textId="536B565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170.</w:t>
      </w:r>
      <w:r w:rsidRPr="00B449A5">
        <w:rPr>
          <w:rFonts w:eastAsia="Calibri" w:cs="Times New Roman"/>
          <w:szCs w:val="24"/>
          <w:lang w:val="en-US"/>
        </w:rPr>
        <w:tab/>
        <w:t>Online Help- GEO5: Shahunyants / Fine spol. s r.o. — 2021.</w:t>
      </w:r>
    </w:p>
    <w:p w14:paraId="7AE49EFA" w14:textId="374CE9C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171.</w:t>
      </w:r>
      <w:r w:rsidRPr="00B449A5">
        <w:rPr>
          <w:rFonts w:eastAsia="Calibri" w:cs="Times New Roman"/>
          <w:szCs w:val="24"/>
          <w:lang w:val="en-US"/>
        </w:rPr>
        <w:tab/>
        <w:t xml:space="preserve">Effect of weakening of sliding zone soils in hydro-fluctuation belt on long-term reliability of reservoir landslides / K. Liao, Y. Wu, F. Miao, L. Li, Y. Xue // Bulletin of Engineering Geology and the Environment. — 2021. — </w:t>
      </w:r>
      <w:r w:rsidR="001A7438" w:rsidRPr="00FA3419">
        <w:rPr>
          <w:rFonts w:eastAsia="Calibri" w:cs="Times New Roman"/>
          <w:szCs w:val="24"/>
          <w:lang w:val="en-US"/>
        </w:rPr>
        <w:t>VOL.</w:t>
      </w:r>
      <w:r w:rsidRPr="00B449A5">
        <w:rPr>
          <w:rFonts w:eastAsia="Calibri" w:cs="Times New Roman"/>
          <w:szCs w:val="24"/>
          <w:lang w:val="en-US"/>
        </w:rPr>
        <w:t xml:space="preserve"> 80, № 5. — </w:t>
      </w:r>
      <w:r w:rsidRPr="00B449A5">
        <w:rPr>
          <w:rFonts w:eastAsia="Calibri" w:cs="Times New Roman"/>
          <w:szCs w:val="24"/>
        </w:rPr>
        <w:t>С</w:t>
      </w:r>
      <w:r w:rsidRPr="00B449A5">
        <w:rPr>
          <w:rFonts w:eastAsia="Calibri" w:cs="Times New Roman"/>
          <w:szCs w:val="24"/>
          <w:lang w:val="en-US"/>
        </w:rPr>
        <w:t>. 3801–3815. DOI: 10.1007/s10064-021-02167-9</w:t>
      </w:r>
    </w:p>
    <w:p w14:paraId="2FB3E830" w14:textId="0BC627B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172.</w:t>
      </w:r>
      <w:r w:rsidRPr="00B449A5">
        <w:rPr>
          <w:rFonts w:eastAsia="Calibri" w:cs="Times New Roman"/>
          <w:szCs w:val="24"/>
          <w:lang w:val="en-US"/>
        </w:rPr>
        <w:tab/>
        <w:t>Online Help- GEO5: ITF Method (Imbalance Thrust Force Method) / Fine spol. s r.o. — 2021.</w:t>
      </w:r>
    </w:p>
    <w:p w14:paraId="23DF4D96" w14:textId="4BED8F2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173.</w:t>
      </w:r>
      <w:r w:rsidRPr="00B449A5">
        <w:rPr>
          <w:rFonts w:eastAsia="Calibri" w:cs="Times New Roman"/>
          <w:szCs w:val="24"/>
          <w:lang w:val="en-US"/>
        </w:rPr>
        <w:tab/>
        <w:t>Discussion on Slope Stability Analysis Method of Abandoned Dreg Site Based on Spatial Effect / C. Sun, C. Chen, Y. Zheng, Z. Lu, Y. Deng // Xinan Jiaotong Daxue Xuebao/Journal of Southwest Jiaotong University. — 2019. DOI: 10.3969/j.issn.0258-2724.20170607</w:t>
      </w:r>
    </w:p>
    <w:p w14:paraId="48B0264B" w14:textId="7812B6F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174.</w:t>
      </w:r>
      <w:r w:rsidRPr="00B449A5">
        <w:rPr>
          <w:rFonts w:eastAsia="Calibri" w:cs="Times New Roman"/>
          <w:szCs w:val="24"/>
          <w:lang w:val="en-US"/>
        </w:rPr>
        <w:tab/>
        <w:t xml:space="preserve">Improved Transfer Coefficient Method for Stability Analysis of a Landslide with Polyline Slip Surface / S. Xiao // Indian Geotechnical Journal. — 2019. — </w:t>
      </w:r>
      <w:r w:rsidR="001A7438" w:rsidRPr="00FA3419">
        <w:rPr>
          <w:rFonts w:eastAsia="Calibri" w:cs="Times New Roman"/>
          <w:szCs w:val="24"/>
          <w:lang w:val="en-US"/>
        </w:rPr>
        <w:t>VOL.</w:t>
      </w:r>
      <w:r w:rsidRPr="00B449A5">
        <w:rPr>
          <w:rFonts w:eastAsia="Calibri" w:cs="Times New Roman"/>
          <w:szCs w:val="24"/>
          <w:lang w:val="en-US"/>
        </w:rPr>
        <w:t xml:space="preserve"> 49, № 6. — </w:t>
      </w:r>
      <w:r w:rsidRPr="00B449A5">
        <w:rPr>
          <w:rFonts w:eastAsia="Calibri" w:cs="Times New Roman"/>
          <w:szCs w:val="24"/>
        </w:rPr>
        <w:t>С</w:t>
      </w:r>
      <w:r w:rsidRPr="00B449A5">
        <w:rPr>
          <w:rFonts w:eastAsia="Calibri" w:cs="Times New Roman"/>
          <w:szCs w:val="24"/>
          <w:lang w:val="en-US"/>
        </w:rPr>
        <w:t>. 595–602. DOI: 10.1007/s40098-018-0331-5</w:t>
      </w:r>
    </w:p>
    <w:p w14:paraId="28B9EAEE" w14:textId="19C6B63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175.</w:t>
      </w:r>
      <w:r w:rsidRPr="00B449A5">
        <w:rPr>
          <w:rFonts w:eastAsia="Calibri" w:cs="Times New Roman"/>
          <w:szCs w:val="24"/>
          <w:lang w:val="en-US"/>
        </w:rPr>
        <w:tab/>
        <w:t>Optimization calculation of design thrust for landslide / Y.Q. Chen, Q.C. Wang // Zhejiang Daxue Xuebao (Gongxue Ban)/Journal of Zhejiang University (Engineering Science). — 2018. DOI: 10.3785/j.issn.1008-973X.2018.07.012</w:t>
      </w:r>
    </w:p>
    <w:p w14:paraId="7F768493" w14:textId="7579294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176.</w:t>
      </w:r>
      <w:r w:rsidRPr="00B449A5">
        <w:rPr>
          <w:rFonts w:eastAsia="Calibri" w:cs="Times New Roman"/>
          <w:szCs w:val="24"/>
          <w:lang w:val="en-US"/>
        </w:rPr>
        <w:tab/>
        <w:t xml:space="preserve">Dams and Floods / F. Lempérière // Engineering. — 2017. — </w:t>
      </w:r>
      <w:r w:rsidR="001A7438" w:rsidRPr="00FA3419">
        <w:rPr>
          <w:rFonts w:eastAsia="Calibri" w:cs="Times New Roman"/>
          <w:szCs w:val="24"/>
          <w:lang w:val="en-US"/>
        </w:rPr>
        <w:t>VOL.</w:t>
      </w:r>
      <w:r w:rsidRPr="00B449A5">
        <w:rPr>
          <w:rFonts w:eastAsia="Calibri" w:cs="Times New Roman"/>
          <w:szCs w:val="24"/>
          <w:lang w:val="en-US"/>
        </w:rPr>
        <w:t xml:space="preserve"> 3, № 1. — </w:t>
      </w:r>
      <w:r w:rsidRPr="00B449A5">
        <w:rPr>
          <w:rFonts w:eastAsia="Calibri" w:cs="Times New Roman"/>
          <w:szCs w:val="24"/>
        </w:rPr>
        <w:t>С</w:t>
      </w:r>
      <w:r w:rsidRPr="00B449A5">
        <w:rPr>
          <w:rFonts w:eastAsia="Calibri" w:cs="Times New Roman"/>
          <w:szCs w:val="24"/>
          <w:lang w:val="en-US"/>
        </w:rPr>
        <w:t>. 144–149. DOI: 10.1016/J.ENG.2017.01.018</w:t>
      </w:r>
    </w:p>
    <w:p w14:paraId="00C8ECA0" w14:textId="29CEE63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177.</w:t>
      </w:r>
      <w:r w:rsidRPr="00B449A5">
        <w:rPr>
          <w:rFonts w:eastAsia="Calibri" w:cs="Times New Roman"/>
          <w:szCs w:val="24"/>
          <w:lang w:val="en-US"/>
        </w:rPr>
        <w:tab/>
        <w:t xml:space="preserve">Hydrological Risk Analysis of Dams: The Influence of Initial Reservoir Level Conditions / I. Gabriel-Martin, A. Sordo-Ward, L. Garrote, I. Granados // Water. — 2019. — </w:t>
      </w:r>
      <w:r w:rsidR="001A7438" w:rsidRPr="00FA3419">
        <w:rPr>
          <w:rFonts w:eastAsia="Calibri" w:cs="Times New Roman"/>
          <w:szCs w:val="24"/>
          <w:lang w:val="en-US"/>
        </w:rPr>
        <w:t>VOL.</w:t>
      </w:r>
      <w:r w:rsidRPr="00B449A5">
        <w:rPr>
          <w:rFonts w:eastAsia="Calibri" w:cs="Times New Roman"/>
          <w:szCs w:val="24"/>
          <w:lang w:val="en-US"/>
        </w:rPr>
        <w:t xml:space="preserve"> 11, № 3. — </w:t>
      </w:r>
      <w:r w:rsidRPr="00B449A5">
        <w:rPr>
          <w:rFonts w:eastAsia="Calibri" w:cs="Times New Roman"/>
          <w:szCs w:val="24"/>
        </w:rPr>
        <w:t>С</w:t>
      </w:r>
      <w:r w:rsidRPr="00B449A5">
        <w:rPr>
          <w:rFonts w:eastAsia="Calibri" w:cs="Times New Roman"/>
          <w:szCs w:val="24"/>
          <w:lang w:val="en-US"/>
        </w:rPr>
        <w:t>. 461–461. DOI: 10.3390/w11030461</w:t>
      </w:r>
    </w:p>
    <w:p w14:paraId="372A54EC" w14:textId="692E866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178.</w:t>
      </w:r>
      <w:r w:rsidRPr="00B449A5">
        <w:rPr>
          <w:rFonts w:eastAsia="Calibri" w:cs="Times New Roman"/>
          <w:szCs w:val="24"/>
          <w:lang w:val="en-US"/>
        </w:rPr>
        <w:tab/>
        <w:t xml:space="preserve">Catastrophic tailings dam failures and disaster risk disclosure / J.R. Owen, D. Kemp, É. Lèbre, K. Svobodova, G. Pérez Murillo // International Journal of Disaster Risk Reduction. — 2020. — </w:t>
      </w:r>
      <w:r w:rsidR="001A7438" w:rsidRPr="00FA3419">
        <w:rPr>
          <w:rFonts w:eastAsia="Calibri" w:cs="Times New Roman"/>
          <w:szCs w:val="24"/>
          <w:lang w:val="en-US"/>
        </w:rPr>
        <w:t>VOL.</w:t>
      </w:r>
      <w:r w:rsidRPr="00B449A5">
        <w:rPr>
          <w:rFonts w:eastAsia="Calibri" w:cs="Times New Roman"/>
          <w:szCs w:val="24"/>
          <w:lang w:val="en-US"/>
        </w:rPr>
        <w:t xml:space="preserve"> 42. — </w:t>
      </w:r>
      <w:r w:rsidRPr="00B449A5">
        <w:rPr>
          <w:rFonts w:eastAsia="Calibri" w:cs="Times New Roman"/>
          <w:szCs w:val="24"/>
        </w:rPr>
        <w:t>С</w:t>
      </w:r>
      <w:r w:rsidRPr="00B449A5">
        <w:rPr>
          <w:rFonts w:eastAsia="Calibri" w:cs="Times New Roman"/>
          <w:szCs w:val="24"/>
          <w:lang w:val="en-US"/>
        </w:rPr>
        <w:t>. 101361–101361. DOI: 10.1016/j.ijdrr.2019.101361</w:t>
      </w:r>
    </w:p>
    <w:p w14:paraId="6E08AE4F" w14:textId="1FBFA2C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179.</w:t>
      </w:r>
      <w:r w:rsidRPr="00B449A5">
        <w:rPr>
          <w:rFonts w:eastAsia="Calibri" w:cs="Times New Roman"/>
          <w:szCs w:val="24"/>
          <w:lang w:val="en-US"/>
        </w:rPr>
        <w:tab/>
        <w:t xml:space="preserve">Advances in Dam Engineering / M.A. Hariri-Ardebili, J. Salamon, G. Mazza, H. Tosun, B. Xu // Infrastructures. — 2020. — </w:t>
      </w:r>
      <w:r w:rsidR="001A7438" w:rsidRPr="00FA3419">
        <w:rPr>
          <w:rFonts w:eastAsia="Calibri" w:cs="Times New Roman"/>
          <w:szCs w:val="24"/>
          <w:lang w:val="en-US"/>
        </w:rPr>
        <w:t>VOL.</w:t>
      </w:r>
      <w:r w:rsidRPr="00B449A5">
        <w:rPr>
          <w:rFonts w:eastAsia="Calibri" w:cs="Times New Roman"/>
          <w:szCs w:val="24"/>
          <w:lang w:val="en-US"/>
        </w:rPr>
        <w:t xml:space="preserve"> 5, № 5. — </w:t>
      </w:r>
      <w:r w:rsidRPr="00B449A5">
        <w:rPr>
          <w:rFonts w:eastAsia="Calibri" w:cs="Times New Roman"/>
          <w:szCs w:val="24"/>
        </w:rPr>
        <w:t>С</w:t>
      </w:r>
      <w:r w:rsidRPr="00B449A5">
        <w:rPr>
          <w:rFonts w:eastAsia="Calibri" w:cs="Times New Roman"/>
          <w:szCs w:val="24"/>
          <w:lang w:val="en-US"/>
        </w:rPr>
        <w:t>. 39–39. DOI: 10.3390/infrastructures5050039</w:t>
      </w:r>
    </w:p>
    <w:p w14:paraId="5E140A6D" w14:textId="2584349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180.</w:t>
      </w:r>
      <w:r w:rsidRPr="00B449A5">
        <w:rPr>
          <w:rFonts w:eastAsia="Calibri" w:cs="Times New Roman"/>
          <w:szCs w:val="24"/>
          <w:lang w:val="en-US"/>
        </w:rPr>
        <w:tab/>
        <w:t>At the international commission on large dams / A.N. Semenov // Gidrotekhnicheskoe Stroitel’stvo. — 1993.</w:t>
      </w:r>
    </w:p>
    <w:p w14:paraId="41E0F002" w14:textId="2583DBB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181.</w:t>
      </w:r>
      <w:r w:rsidRPr="00B449A5">
        <w:rPr>
          <w:rFonts w:eastAsia="Calibri" w:cs="Times New Roman"/>
          <w:szCs w:val="24"/>
          <w:lang w:val="en-US"/>
        </w:rPr>
        <w:tab/>
        <w:t xml:space="preserve">International Commission on Large Dams // Nature. — 1947. — </w:t>
      </w:r>
      <w:r w:rsidR="001A7438" w:rsidRPr="00FA3419">
        <w:rPr>
          <w:rFonts w:eastAsia="Calibri" w:cs="Times New Roman"/>
          <w:szCs w:val="24"/>
          <w:lang w:val="en-US"/>
        </w:rPr>
        <w:t>VOL.</w:t>
      </w:r>
      <w:r w:rsidRPr="00B449A5">
        <w:rPr>
          <w:rFonts w:eastAsia="Calibri" w:cs="Times New Roman"/>
          <w:szCs w:val="24"/>
          <w:lang w:val="en-US"/>
        </w:rPr>
        <w:t xml:space="preserve"> 160, № 4075. — </w:t>
      </w:r>
      <w:r w:rsidRPr="00B449A5">
        <w:rPr>
          <w:rFonts w:eastAsia="Calibri" w:cs="Times New Roman"/>
          <w:szCs w:val="24"/>
        </w:rPr>
        <w:t>С</w:t>
      </w:r>
      <w:r w:rsidRPr="00B449A5">
        <w:rPr>
          <w:rFonts w:eastAsia="Calibri" w:cs="Times New Roman"/>
          <w:szCs w:val="24"/>
          <w:lang w:val="en-US"/>
        </w:rPr>
        <w:t>. 784–784. DOI: 10.1038/160784c0</w:t>
      </w:r>
    </w:p>
    <w:p w14:paraId="6D645298" w14:textId="342C917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182.</w:t>
      </w:r>
      <w:r w:rsidRPr="00B449A5">
        <w:rPr>
          <w:rFonts w:eastAsia="Calibri" w:cs="Times New Roman"/>
          <w:szCs w:val="24"/>
          <w:lang w:val="en-US"/>
        </w:rPr>
        <w:tab/>
        <w:t xml:space="preserve">Lessons learned about the diagnosis of pathologies in concrete dams: 30 years of research and practice / A. Blanco, F. Pardo-Bosch, S. Cavalaro, A. Aguado // Construction and Building Materials. — 2019. — </w:t>
      </w:r>
      <w:r w:rsidR="001A7438" w:rsidRPr="00FA3419">
        <w:rPr>
          <w:rFonts w:eastAsia="Calibri" w:cs="Times New Roman"/>
          <w:szCs w:val="24"/>
          <w:lang w:val="en-US"/>
        </w:rPr>
        <w:t>VOL.</w:t>
      </w:r>
      <w:r w:rsidRPr="00B449A5">
        <w:rPr>
          <w:rFonts w:eastAsia="Calibri" w:cs="Times New Roman"/>
          <w:szCs w:val="24"/>
          <w:lang w:val="en-US"/>
        </w:rPr>
        <w:t xml:space="preserve"> 197. — </w:t>
      </w:r>
      <w:r w:rsidRPr="00B449A5">
        <w:rPr>
          <w:rFonts w:eastAsia="Calibri" w:cs="Times New Roman"/>
          <w:szCs w:val="24"/>
        </w:rPr>
        <w:t>С</w:t>
      </w:r>
      <w:r w:rsidRPr="00B449A5">
        <w:rPr>
          <w:rFonts w:eastAsia="Calibri" w:cs="Times New Roman"/>
          <w:szCs w:val="24"/>
          <w:lang w:val="en-US"/>
        </w:rPr>
        <w:t>. 356–368. DOI: 10.1016/j.conbuildmat.2018.11.143</w:t>
      </w:r>
    </w:p>
    <w:p w14:paraId="3CC17134" w14:textId="7777777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183.</w:t>
      </w:r>
      <w:r w:rsidRPr="00B449A5">
        <w:rPr>
          <w:rFonts w:eastAsia="Calibri" w:cs="Times New Roman"/>
          <w:szCs w:val="24"/>
          <w:lang w:val="en-US"/>
        </w:rPr>
        <w:tab/>
        <w:t>ICOLD Dam Decommissioning - Guidelines [</w:t>
      </w:r>
      <w:r w:rsidRPr="00B449A5">
        <w:rPr>
          <w:rFonts w:eastAsia="Calibri" w:cs="Times New Roman"/>
          <w:szCs w:val="24"/>
        </w:rPr>
        <w:t>Текст</w:t>
      </w:r>
      <w:r w:rsidRPr="00B449A5">
        <w:rPr>
          <w:rFonts w:eastAsia="Calibri" w:cs="Times New Roman"/>
          <w:szCs w:val="24"/>
          <w:lang w:val="en-US"/>
        </w:rPr>
        <w:t>]CRC Press, 2018. DOI: 10.1201/9781351033664</w:t>
      </w:r>
    </w:p>
    <w:p w14:paraId="6420A597" w14:textId="1C210CC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184.</w:t>
      </w:r>
      <w:r w:rsidRPr="00B449A5">
        <w:rPr>
          <w:rFonts w:eastAsia="Calibri" w:cs="Times New Roman"/>
          <w:szCs w:val="24"/>
          <w:lang w:val="en-US"/>
        </w:rPr>
        <w:tab/>
        <w:t>Proceedings of the 14th ICOLD International Benchmark Workshop on Numerical Analysis of Dams / R. Malm, M. Hassanzadeh, R. Hellgren2018.</w:t>
      </w:r>
    </w:p>
    <w:p w14:paraId="537D798E" w14:textId="3855A24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185.</w:t>
      </w:r>
      <w:r w:rsidRPr="00B449A5">
        <w:rPr>
          <w:rFonts w:eastAsia="Calibri" w:cs="Times New Roman"/>
          <w:szCs w:val="24"/>
          <w:lang w:val="en-US"/>
        </w:rPr>
        <w:tab/>
        <w:t xml:space="preserve">IMPROVING MODIFIED ICOLD METHOD WITH LOSS OF LIFE INDEX FOR DAM SAFETY RISK ASSESSMENT / A. Henrianto, R.W. Triweko, D. Yudianto // Journal of Civil Engineering, Science and Technology. — 2020. — </w:t>
      </w:r>
      <w:r w:rsidR="001A7438" w:rsidRPr="00FA3419">
        <w:rPr>
          <w:rFonts w:eastAsia="Calibri" w:cs="Times New Roman"/>
          <w:szCs w:val="24"/>
          <w:lang w:val="en-US"/>
        </w:rPr>
        <w:t>VOL.</w:t>
      </w:r>
      <w:r w:rsidRPr="00B449A5">
        <w:rPr>
          <w:rFonts w:eastAsia="Calibri" w:cs="Times New Roman"/>
          <w:szCs w:val="24"/>
          <w:lang w:val="en-US"/>
        </w:rPr>
        <w:t xml:space="preserve"> 11, № 2. — </w:t>
      </w:r>
      <w:r w:rsidRPr="00B449A5">
        <w:rPr>
          <w:rFonts w:eastAsia="Calibri" w:cs="Times New Roman"/>
          <w:szCs w:val="24"/>
        </w:rPr>
        <w:t>С</w:t>
      </w:r>
      <w:r w:rsidRPr="00B449A5">
        <w:rPr>
          <w:rFonts w:eastAsia="Calibri" w:cs="Times New Roman"/>
          <w:szCs w:val="24"/>
          <w:lang w:val="en-US"/>
        </w:rPr>
        <w:t>. 79–93. DOI: 10.33736/jcest.2615.2020</w:t>
      </w:r>
    </w:p>
    <w:p w14:paraId="0FAD256A" w14:textId="25EB2C3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186.</w:t>
      </w:r>
      <w:r w:rsidRPr="00B449A5">
        <w:rPr>
          <w:rFonts w:eastAsia="Calibri" w:cs="Times New Roman"/>
          <w:szCs w:val="24"/>
          <w:lang w:val="en-US"/>
        </w:rPr>
        <w:tab/>
        <w:t xml:space="preserve">Australian dams and reservoirs within a global setting / T.A. McMahon, C. Petheram // Australasian Journal of Water Resources. — 2020. — </w:t>
      </w:r>
      <w:r w:rsidR="001A7438" w:rsidRPr="00FA3419">
        <w:rPr>
          <w:rFonts w:eastAsia="Calibri" w:cs="Times New Roman"/>
          <w:szCs w:val="24"/>
          <w:lang w:val="en-US"/>
        </w:rPr>
        <w:t>VOL.</w:t>
      </w:r>
      <w:r w:rsidRPr="00B449A5">
        <w:rPr>
          <w:rFonts w:eastAsia="Calibri" w:cs="Times New Roman"/>
          <w:szCs w:val="24"/>
          <w:lang w:val="en-US"/>
        </w:rPr>
        <w:t xml:space="preserve"> 24, № 1. — </w:t>
      </w:r>
      <w:r w:rsidRPr="00B449A5">
        <w:rPr>
          <w:rFonts w:eastAsia="Calibri" w:cs="Times New Roman"/>
          <w:szCs w:val="24"/>
        </w:rPr>
        <w:t>С</w:t>
      </w:r>
      <w:r w:rsidRPr="00B449A5">
        <w:rPr>
          <w:rFonts w:eastAsia="Calibri" w:cs="Times New Roman"/>
          <w:szCs w:val="24"/>
          <w:lang w:val="en-US"/>
        </w:rPr>
        <w:t>. 12–35. DOI: 10.1080/13241583.2020.1733743</w:t>
      </w:r>
    </w:p>
    <w:p w14:paraId="00810B69" w14:textId="18AB122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187.</w:t>
      </w:r>
      <w:r w:rsidRPr="00B449A5">
        <w:rPr>
          <w:rFonts w:eastAsia="Calibri" w:cs="Times New Roman"/>
          <w:szCs w:val="24"/>
          <w:lang w:val="en-US"/>
        </w:rPr>
        <w:tab/>
        <w:t xml:space="preserve">The Role of ICOLD // Position Paper Dam Safety and Earthquakes (2017–2020)CRC Press, 2021. — </w:t>
      </w:r>
      <w:r w:rsidRPr="00B449A5">
        <w:rPr>
          <w:rFonts w:eastAsia="Calibri" w:cs="Times New Roman"/>
          <w:szCs w:val="24"/>
        </w:rPr>
        <w:t>С</w:t>
      </w:r>
      <w:r w:rsidRPr="00B449A5">
        <w:rPr>
          <w:rFonts w:eastAsia="Calibri" w:cs="Times New Roman"/>
          <w:szCs w:val="24"/>
          <w:lang w:val="en-US"/>
        </w:rPr>
        <w:t>. 8–8. DOI: 10.1201/9781351035941-8</w:t>
      </w:r>
    </w:p>
    <w:p w14:paraId="719F5B96" w14:textId="6798F77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188.</w:t>
      </w:r>
      <w:r w:rsidRPr="00B449A5">
        <w:rPr>
          <w:rFonts w:eastAsia="Calibri" w:cs="Times New Roman"/>
          <w:szCs w:val="24"/>
          <w:lang w:val="en-US"/>
        </w:rPr>
        <w:tab/>
        <w:t xml:space="preserve">The new ICOLD Bulletin on RCC Dams / F. Ortega // WASSERWIRTSCHAFT. — 2019. — </w:t>
      </w:r>
      <w:r w:rsidR="001A7438" w:rsidRPr="00FA3419">
        <w:rPr>
          <w:rFonts w:eastAsia="Calibri" w:cs="Times New Roman"/>
          <w:szCs w:val="24"/>
          <w:lang w:val="en-US"/>
        </w:rPr>
        <w:t>VOL.</w:t>
      </w:r>
      <w:r w:rsidRPr="00B449A5">
        <w:rPr>
          <w:rFonts w:eastAsia="Calibri" w:cs="Times New Roman"/>
          <w:szCs w:val="24"/>
          <w:lang w:val="en-US"/>
        </w:rPr>
        <w:t xml:space="preserve"> 109, № 5. — </w:t>
      </w:r>
      <w:r w:rsidRPr="00B449A5">
        <w:rPr>
          <w:rFonts w:eastAsia="Calibri" w:cs="Times New Roman"/>
          <w:szCs w:val="24"/>
        </w:rPr>
        <w:t>С</w:t>
      </w:r>
      <w:r w:rsidRPr="00B449A5">
        <w:rPr>
          <w:rFonts w:eastAsia="Calibri" w:cs="Times New Roman"/>
          <w:szCs w:val="24"/>
          <w:lang w:val="en-US"/>
        </w:rPr>
        <w:t>. 166–169. DOI: 10.1007/s35147-019-0084-9</w:t>
      </w:r>
    </w:p>
    <w:p w14:paraId="09897C4A" w14:textId="20931A3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189.</w:t>
      </w:r>
      <w:r w:rsidRPr="00B449A5">
        <w:rPr>
          <w:rFonts w:eastAsia="Calibri" w:cs="Times New Roman"/>
          <w:szCs w:val="24"/>
          <w:lang w:val="en-US"/>
        </w:rPr>
        <w:tab/>
        <w:t xml:space="preserve">UK participation at ICOLD 2019, Ottawa, Canada / S. Loughrey // Dams and Reservoirs. — 2020. — </w:t>
      </w:r>
      <w:r w:rsidR="001A7438" w:rsidRPr="00FA3419">
        <w:rPr>
          <w:rFonts w:eastAsia="Calibri" w:cs="Times New Roman"/>
          <w:szCs w:val="24"/>
          <w:lang w:val="en-US"/>
        </w:rPr>
        <w:t>VOL.</w:t>
      </w:r>
      <w:r w:rsidRPr="00B449A5">
        <w:rPr>
          <w:rFonts w:eastAsia="Calibri" w:cs="Times New Roman"/>
          <w:szCs w:val="24"/>
          <w:lang w:val="en-US"/>
        </w:rPr>
        <w:t xml:space="preserve"> 30, № 3. — </w:t>
      </w:r>
      <w:r w:rsidRPr="00B449A5">
        <w:rPr>
          <w:rFonts w:eastAsia="Calibri" w:cs="Times New Roman"/>
          <w:szCs w:val="24"/>
        </w:rPr>
        <w:t>С</w:t>
      </w:r>
      <w:r w:rsidRPr="00B449A5">
        <w:rPr>
          <w:rFonts w:eastAsia="Calibri" w:cs="Times New Roman"/>
          <w:szCs w:val="24"/>
          <w:lang w:val="en-US"/>
        </w:rPr>
        <w:t>. 105–113. DOI: 10.1680/jdare.20.00018</w:t>
      </w:r>
    </w:p>
    <w:p w14:paraId="7A71C605" w14:textId="1C1E0BA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190.</w:t>
      </w:r>
      <w:r w:rsidRPr="00B449A5">
        <w:rPr>
          <w:rFonts w:eastAsia="Calibri" w:cs="Times New Roman"/>
          <w:szCs w:val="24"/>
          <w:lang w:val="en-US"/>
        </w:rPr>
        <w:tab/>
        <w:t xml:space="preserve">Geomembrane sealing systems for dams: ICOLD Bulletin 135 / A. Scuero, G. Vaschetti // Innovative Infrastructure Solutions. — 2017. — </w:t>
      </w:r>
      <w:r w:rsidR="001A7438" w:rsidRPr="00FA3419">
        <w:rPr>
          <w:rFonts w:eastAsia="Calibri" w:cs="Times New Roman"/>
          <w:szCs w:val="24"/>
          <w:lang w:val="en-US"/>
        </w:rPr>
        <w:t>VOL.</w:t>
      </w:r>
      <w:r w:rsidRPr="00B449A5">
        <w:rPr>
          <w:rFonts w:eastAsia="Calibri" w:cs="Times New Roman"/>
          <w:szCs w:val="24"/>
          <w:lang w:val="en-US"/>
        </w:rPr>
        <w:t xml:space="preserve"> 2, № 1. — </w:t>
      </w:r>
      <w:r w:rsidRPr="00B449A5">
        <w:rPr>
          <w:rFonts w:eastAsia="Calibri" w:cs="Times New Roman"/>
          <w:szCs w:val="24"/>
        </w:rPr>
        <w:t>С</w:t>
      </w:r>
      <w:r w:rsidRPr="00B449A5">
        <w:rPr>
          <w:rFonts w:eastAsia="Calibri" w:cs="Times New Roman"/>
          <w:szCs w:val="24"/>
          <w:lang w:val="en-US"/>
        </w:rPr>
        <w:t>. 29–29. DOI: 10.1007/s41062-017-0089-0</w:t>
      </w:r>
    </w:p>
    <w:p w14:paraId="79C6B549" w14:textId="6E78F93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191.</w:t>
      </w:r>
      <w:r w:rsidRPr="00B449A5">
        <w:rPr>
          <w:rFonts w:eastAsia="Calibri" w:cs="Times New Roman"/>
          <w:szCs w:val="24"/>
          <w:lang w:val="en-US"/>
        </w:rPr>
        <w:tab/>
        <w:t xml:space="preserve">Dam safety and risk governance for hydroelectric power plants in the Amazon / A. Furtado Louzada, N. Ravena // Journal of Risk Research. — 2019. — </w:t>
      </w:r>
      <w:r w:rsidR="001A7438" w:rsidRPr="00FA3419">
        <w:rPr>
          <w:rFonts w:eastAsia="Calibri" w:cs="Times New Roman"/>
          <w:szCs w:val="24"/>
          <w:lang w:val="en-US"/>
        </w:rPr>
        <w:t>VOL.</w:t>
      </w:r>
      <w:r w:rsidRPr="00B449A5">
        <w:rPr>
          <w:rFonts w:eastAsia="Calibri" w:cs="Times New Roman"/>
          <w:szCs w:val="24"/>
          <w:lang w:val="en-US"/>
        </w:rPr>
        <w:t xml:space="preserve"> 22, № 12. — </w:t>
      </w:r>
      <w:r w:rsidRPr="00B449A5">
        <w:rPr>
          <w:rFonts w:eastAsia="Calibri" w:cs="Times New Roman"/>
          <w:szCs w:val="24"/>
        </w:rPr>
        <w:t>С</w:t>
      </w:r>
      <w:r w:rsidRPr="00B449A5">
        <w:rPr>
          <w:rFonts w:eastAsia="Calibri" w:cs="Times New Roman"/>
          <w:szCs w:val="24"/>
          <w:lang w:val="en-US"/>
        </w:rPr>
        <w:t>. 1571–1585. DOI: 10.1080/13669877.2018.1501595</w:t>
      </w:r>
    </w:p>
    <w:p w14:paraId="57259AF1" w14:textId="7F9A205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192.</w:t>
      </w:r>
      <w:r w:rsidRPr="00B449A5">
        <w:rPr>
          <w:rFonts w:eastAsia="Calibri" w:cs="Times New Roman"/>
          <w:szCs w:val="24"/>
          <w:lang w:val="en-US"/>
        </w:rPr>
        <w:tab/>
        <w:t>Do you really know your Surveillance and Monitoring Program? / R.M. Rudolph, A.J. Hughes // Association of State Dam Safety Officials - Dam Safety 2006, Proceedings from the 2006 Annual Conference2006.</w:t>
      </w:r>
    </w:p>
    <w:p w14:paraId="58B5FF45" w14:textId="0486D2B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193.</w:t>
      </w:r>
      <w:r w:rsidRPr="00B449A5">
        <w:rPr>
          <w:rFonts w:eastAsia="Calibri" w:cs="Times New Roman"/>
          <w:szCs w:val="24"/>
          <w:lang w:val="en-US"/>
        </w:rPr>
        <w:tab/>
        <w:t xml:space="preserve">Dam-break risk analysis of the Attabad landslide dam in Pakistan and emergency countermeasures / X. Chen, P. Cui, Y. You, Z. Cheng, A. Khan, C. Ye, S. Zhang // Landslides. — 2017. — </w:t>
      </w:r>
      <w:r w:rsidR="001A7438" w:rsidRPr="00FA3419">
        <w:rPr>
          <w:rFonts w:eastAsia="Calibri" w:cs="Times New Roman"/>
          <w:szCs w:val="24"/>
          <w:lang w:val="en-US"/>
        </w:rPr>
        <w:t>VOL.</w:t>
      </w:r>
      <w:r w:rsidRPr="00B449A5">
        <w:rPr>
          <w:rFonts w:eastAsia="Calibri" w:cs="Times New Roman"/>
          <w:szCs w:val="24"/>
          <w:lang w:val="en-US"/>
        </w:rPr>
        <w:t xml:space="preserve"> 14, № 2. — </w:t>
      </w:r>
      <w:r w:rsidRPr="00B449A5">
        <w:rPr>
          <w:rFonts w:eastAsia="Calibri" w:cs="Times New Roman"/>
          <w:szCs w:val="24"/>
        </w:rPr>
        <w:t>С</w:t>
      </w:r>
      <w:r w:rsidRPr="00B449A5">
        <w:rPr>
          <w:rFonts w:eastAsia="Calibri" w:cs="Times New Roman"/>
          <w:szCs w:val="24"/>
          <w:lang w:val="en-US"/>
        </w:rPr>
        <w:t>. 675–683. DOI: 10.1007/s10346-016-0721-7</w:t>
      </w:r>
    </w:p>
    <w:p w14:paraId="590ECD3C" w14:textId="0264AB2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194.</w:t>
      </w:r>
      <w:r w:rsidRPr="00B449A5">
        <w:rPr>
          <w:rFonts w:eastAsia="Calibri" w:cs="Times New Roman"/>
          <w:szCs w:val="24"/>
          <w:lang w:val="en-US"/>
        </w:rPr>
        <w:tab/>
        <w:t xml:space="preserve">Challenges in Preparation and Implementation of Dam Safety Emergency Plan for Hydroelectric Plants in Sarawak / F.H.B. Tipol // Water Resources Development and Management2020. — </w:t>
      </w:r>
      <w:r w:rsidRPr="00B449A5">
        <w:rPr>
          <w:rFonts w:eastAsia="Calibri" w:cs="Times New Roman"/>
          <w:szCs w:val="24"/>
        </w:rPr>
        <w:t>С</w:t>
      </w:r>
      <w:r w:rsidRPr="00B449A5">
        <w:rPr>
          <w:rFonts w:eastAsia="Calibri" w:cs="Times New Roman"/>
          <w:szCs w:val="24"/>
          <w:lang w:val="en-US"/>
        </w:rPr>
        <w:t>. 1–9. DOI: 10.1007/978-981-15-1971-0_1</w:t>
      </w:r>
    </w:p>
    <w:p w14:paraId="27E46877" w14:textId="0BB789A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195.</w:t>
      </w:r>
      <w:r w:rsidRPr="00B449A5">
        <w:rPr>
          <w:rFonts w:eastAsia="Calibri" w:cs="Times New Roman"/>
          <w:szCs w:val="24"/>
          <w:lang w:val="en-US"/>
        </w:rPr>
        <w:tab/>
        <w:t xml:space="preserve">Assessing the potential impacts of dam operation on daily flow at ungauged river reaches / A. Mailhot, G. Talbot, S. Ricard, R. Turcotte, K. Guinard // Journal of Hydrology: Regional Studies. — 2018. — </w:t>
      </w:r>
      <w:r w:rsidR="001A7438" w:rsidRPr="00FA3419">
        <w:rPr>
          <w:rFonts w:eastAsia="Calibri" w:cs="Times New Roman"/>
          <w:szCs w:val="24"/>
          <w:lang w:val="en-US"/>
        </w:rPr>
        <w:t>VOL.</w:t>
      </w:r>
      <w:r w:rsidRPr="00B449A5">
        <w:rPr>
          <w:rFonts w:eastAsia="Calibri" w:cs="Times New Roman"/>
          <w:szCs w:val="24"/>
          <w:lang w:val="en-US"/>
        </w:rPr>
        <w:t xml:space="preserve"> 18. — </w:t>
      </w:r>
      <w:r w:rsidRPr="00B449A5">
        <w:rPr>
          <w:rFonts w:eastAsia="Calibri" w:cs="Times New Roman"/>
          <w:szCs w:val="24"/>
        </w:rPr>
        <w:t>С</w:t>
      </w:r>
      <w:r w:rsidRPr="00B449A5">
        <w:rPr>
          <w:rFonts w:eastAsia="Calibri" w:cs="Times New Roman"/>
          <w:szCs w:val="24"/>
          <w:lang w:val="en-US"/>
        </w:rPr>
        <w:t>. 156–167. DOI: 10.1016/j.ejrh.2018.06.006</w:t>
      </w:r>
    </w:p>
    <w:p w14:paraId="008865C4" w14:textId="000C2D4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196.</w:t>
      </w:r>
      <w:r w:rsidRPr="00B449A5">
        <w:rPr>
          <w:rFonts w:eastAsia="Calibri" w:cs="Times New Roman"/>
          <w:szCs w:val="24"/>
          <w:lang w:val="en-US"/>
        </w:rPr>
        <w:tab/>
        <w:t xml:space="preserve">Towards preparedness for dam failure: An evidence base for risk communication for downstream communities / A.M. Mehta, C.S. Weeks, E. Tyquin // International Journal of Disaster Risk Reduction. — 2020. — </w:t>
      </w:r>
      <w:r w:rsidR="001A7438" w:rsidRPr="00FA3419">
        <w:rPr>
          <w:rFonts w:eastAsia="Calibri" w:cs="Times New Roman"/>
          <w:szCs w:val="24"/>
          <w:lang w:val="en-US"/>
        </w:rPr>
        <w:t>VOL.</w:t>
      </w:r>
      <w:r w:rsidRPr="00B449A5">
        <w:rPr>
          <w:rFonts w:eastAsia="Calibri" w:cs="Times New Roman"/>
          <w:szCs w:val="24"/>
          <w:lang w:val="en-US"/>
        </w:rPr>
        <w:t xml:space="preserve"> 50. — </w:t>
      </w:r>
      <w:r w:rsidRPr="00B449A5">
        <w:rPr>
          <w:rFonts w:eastAsia="Calibri" w:cs="Times New Roman"/>
          <w:szCs w:val="24"/>
        </w:rPr>
        <w:t>С</w:t>
      </w:r>
      <w:r w:rsidRPr="00B449A5">
        <w:rPr>
          <w:rFonts w:eastAsia="Calibri" w:cs="Times New Roman"/>
          <w:szCs w:val="24"/>
          <w:lang w:val="en-US"/>
        </w:rPr>
        <w:t>. 101820–101820. DOI: 10.1016/j.ijdrr.2020.101820</w:t>
      </w:r>
    </w:p>
    <w:p w14:paraId="0BB4BD17" w14:textId="18F2BF0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197.</w:t>
      </w:r>
      <w:r w:rsidRPr="00B449A5">
        <w:rPr>
          <w:rFonts w:eastAsia="Calibri" w:cs="Times New Roman"/>
          <w:szCs w:val="24"/>
          <w:lang w:val="en-US"/>
        </w:rPr>
        <w:tab/>
        <w:t xml:space="preserve">Meeting report: ICOLD Annual Meeting and Congress 2015, Stavanger / T. Williamson, A. Hughes, I. Hope, P. Mason, R. Bridle, K. Grubb, S. Tudor // Dams and Reservoirs. — 2015. — </w:t>
      </w:r>
      <w:r w:rsidR="001A7438" w:rsidRPr="00FA3419">
        <w:rPr>
          <w:rFonts w:eastAsia="Calibri" w:cs="Times New Roman"/>
          <w:szCs w:val="24"/>
          <w:lang w:val="en-US"/>
        </w:rPr>
        <w:t>VOL.</w:t>
      </w:r>
      <w:r w:rsidRPr="00B449A5">
        <w:rPr>
          <w:rFonts w:eastAsia="Calibri" w:cs="Times New Roman"/>
          <w:szCs w:val="24"/>
          <w:lang w:val="en-US"/>
        </w:rPr>
        <w:t xml:space="preserve"> 25, № 3. — </w:t>
      </w:r>
      <w:r w:rsidRPr="00B449A5">
        <w:rPr>
          <w:rFonts w:eastAsia="Calibri" w:cs="Times New Roman"/>
          <w:szCs w:val="24"/>
        </w:rPr>
        <w:t>С</w:t>
      </w:r>
      <w:r w:rsidRPr="00B449A5">
        <w:rPr>
          <w:rFonts w:eastAsia="Calibri" w:cs="Times New Roman"/>
          <w:szCs w:val="24"/>
          <w:lang w:val="en-US"/>
        </w:rPr>
        <w:t>. 93–110. DOI: 10.1680/jdare.16.00009</w:t>
      </w:r>
    </w:p>
    <w:p w14:paraId="2FC6C744" w14:textId="366994D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198.</w:t>
      </w:r>
      <w:r w:rsidRPr="00B449A5">
        <w:rPr>
          <w:rFonts w:eastAsia="Calibri" w:cs="Times New Roman"/>
          <w:szCs w:val="24"/>
          <w:lang w:val="en-US"/>
        </w:rPr>
        <w:tab/>
        <w:t xml:space="preserve">ICOLD technical tours / T. Williamson, A. Hughes, I. Hope, R. Monroy // Dams and Reservoirs. — 2017. — </w:t>
      </w:r>
      <w:r w:rsidR="001A7438" w:rsidRPr="00FA3419">
        <w:rPr>
          <w:rFonts w:eastAsia="Calibri" w:cs="Times New Roman"/>
          <w:szCs w:val="24"/>
          <w:lang w:val="en-US"/>
        </w:rPr>
        <w:t>VOL.</w:t>
      </w:r>
      <w:r w:rsidRPr="00B449A5">
        <w:rPr>
          <w:rFonts w:eastAsia="Calibri" w:cs="Times New Roman"/>
          <w:szCs w:val="24"/>
          <w:lang w:val="en-US"/>
        </w:rPr>
        <w:t xml:space="preserve"> 27, № 1. — </w:t>
      </w:r>
      <w:r w:rsidRPr="00B449A5">
        <w:rPr>
          <w:rFonts w:eastAsia="Calibri" w:cs="Times New Roman"/>
          <w:szCs w:val="24"/>
        </w:rPr>
        <w:t>С</w:t>
      </w:r>
      <w:r w:rsidRPr="00B449A5">
        <w:rPr>
          <w:rFonts w:eastAsia="Calibri" w:cs="Times New Roman"/>
          <w:szCs w:val="24"/>
          <w:lang w:val="en-US"/>
        </w:rPr>
        <w:t>. 2–7. DOI: 10.1680/jdare.16.00050</w:t>
      </w:r>
    </w:p>
    <w:p w14:paraId="77D74B9C" w14:textId="299CD25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199.</w:t>
      </w:r>
      <w:r w:rsidRPr="00B449A5">
        <w:rPr>
          <w:rFonts w:eastAsia="Calibri" w:cs="Times New Roman"/>
          <w:szCs w:val="24"/>
          <w:lang w:val="en-US"/>
        </w:rPr>
        <w:tab/>
        <w:t xml:space="preserve">Neue ICOLD-Bulletins / M. Wieland // WASSERWIRTSCHAFT. — 2017. — </w:t>
      </w:r>
      <w:r w:rsidR="001A7438" w:rsidRPr="00FA3419">
        <w:rPr>
          <w:rFonts w:eastAsia="Calibri" w:cs="Times New Roman"/>
          <w:szCs w:val="24"/>
          <w:lang w:val="en-US"/>
        </w:rPr>
        <w:t>VOL.</w:t>
      </w:r>
      <w:r w:rsidRPr="00B449A5">
        <w:rPr>
          <w:rFonts w:eastAsia="Calibri" w:cs="Times New Roman"/>
          <w:szCs w:val="24"/>
          <w:lang w:val="en-US"/>
        </w:rPr>
        <w:t xml:space="preserve"> 107, № 2–3. — </w:t>
      </w:r>
      <w:r w:rsidRPr="00B449A5">
        <w:rPr>
          <w:rFonts w:eastAsia="Calibri" w:cs="Times New Roman"/>
          <w:szCs w:val="24"/>
        </w:rPr>
        <w:t>С</w:t>
      </w:r>
      <w:r w:rsidRPr="00B449A5">
        <w:rPr>
          <w:rFonts w:eastAsia="Calibri" w:cs="Times New Roman"/>
          <w:szCs w:val="24"/>
          <w:lang w:val="en-US"/>
        </w:rPr>
        <w:t>. 87–87. DOI: 10.1007/s35147-017-0019-2</w:t>
      </w:r>
    </w:p>
    <w:p w14:paraId="197CA84E" w14:textId="59401C7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200.</w:t>
      </w:r>
      <w:r w:rsidRPr="00B449A5">
        <w:rPr>
          <w:rFonts w:eastAsia="Calibri" w:cs="Times New Roman"/>
          <w:szCs w:val="24"/>
          <w:lang w:val="en-US"/>
        </w:rPr>
        <w:tab/>
        <w:t xml:space="preserve">Dam safety management for sustainable farming businesses and catchments / J.D. Pisaniello, R.L. Burritt, J. Tingey-Holyoak // Agricultural Water Management. — 2011. — </w:t>
      </w:r>
      <w:r w:rsidR="001A7438" w:rsidRPr="00FA3419">
        <w:rPr>
          <w:rFonts w:eastAsia="Calibri" w:cs="Times New Roman"/>
          <w:szCs w:val="24"/>
          <w:lang w:val="en-US"/>
        </w:rPr>
        <w:t>VOL.</w:t>
      </w:r>
      <w:r w:rsidRPr="00B449A5">
        <w:rPr>
          <w:rFonts w:eastAsia="Calibri" w:cs="Times New Roman"/>
          <w:szCs w:val="24"/>
          <w:lang w:val="en-US"/>
        </w:rPr>
        <w:t xml:space="preserve"> 98, № 4. — </w:t>
      </w:r>
      <w:r w:rsidRPr="00B449A5">
        <w:rPr>
          <w:rFonts w:eastAsia="Calibri" w:cs="Times New Roman"/>
          <w:szCs w:val="24"/>
        </w:rPr>
        <w:t>С</w:t>
      </w:r>
      <w:r w:rsidRPr="00B449A5">
        <w:rPr>
          <w:rFonts w:eastAsia="Calibri" w:cs="Times New Roman"/>
          <w:szCs w:val="24"/>
          <w:lang w:val="en-US"/>
        </w:rPr>
        <w:t>. 507–516. DOI: 10.1016/j.agwat.2010.10.001</w:t>
      </w:r>
    </w:p>
    <w:p w14:paraId="5E518789" w14:textId="43E563B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201.</w:t>
      </w:r>
      <w:r w:rsidRPr="00B449A5">
        <w:rPr>
          <w:rFonts w:eastAsia="Calibri" w:cs="Times New Roman"/>
          <w:szCs w:val="24"/>
          <w:lang w:val="en-US"/>
        </w:rPr>
        <w:tab/>
        <w:t xml:space="preserve">Development of dam safety management system / J. Jeon, J. Lee, D. Shin, H. Park // Advances in Engineering Software. — 2009. — </w:t>
      </w:r>
      <w:r w:rsidR="001A7438" w:rsidRPr="00FA3419">
        <w:rPr>
          <w:rFonts w:eastAsia="Calibri" w:cs="Times New Roman"/>
          <w:szCs w:val="24"/>
          <w:lang w:val="en-US"/>
        </w:rPr>
        <w:t>VOL.</w:t>
      </w:r>
      <w:r w:rsidRPr="00B449A5">
        <w:rPr>
          <w:rFonts w:eastAsia="Calibri" w:cs="Times New Roman"/>
          <w:szCs w:val="24"/>
          <w:lang w:val="en-US"/>
        </w:rPr>
        <w:t xml:space="preserve"> 40, № 8. — </w:t>
      </w:r>
      <w:r w:rsidRPr="00B449A5">
        <w:rPr>
          <w:rFonts w:eastAsia="Calibri" w:cs="Times New Roman"/>
          <w:szCs w:val="24"/>
        </w:rPr>
        <w:t>С</w:t>
      </w:r>
      <w:r w:rsidRPr="00B449A5">
        <w:rPr>
          <w:rFonts w:eastAsia="Calibri" w:cs="Times New Roman"/>
          <w:szCs w:val="24"/>
          <w:lang w:val="en-US"/>
        </w:rPr>
        <w:t>. 554–563. DOI: 10.1016/j.advengsoft.2008.10.009</w:t>
      </w:r>
    </w:p>
    <w:p w14:paraId="78C96C61" w14:textId="61E9D1F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202.</w:t>
      </w:r>
      <w:r w:rsidRPr="00B449A5">
        <w:rPr>
          <w:rFonts w:eastAsia="Calibri" w:cs="Times New Roman"/>
          <w:szCs w:val="24"/>
          <w:lang w:val="en-US"/>
        </w:rPr>
        <w:tab/>
        <w:t xml:space="preserve">The Cemented Material Dam: A New, Environmentally Friendly Type of Dam / J. Jia, M. Lino, F. Jin, C. Zheng // Engineering. — 2016. — </w:t>
      </w:r>
      <w:r w:rsidR="001A7438" w:rsidRPr="00FA3419">
        <w:rPr>
          <w:rFonts w:eastAsia="Calibri" w:cs="Times New Roman"/>
          <w:szCs w:val="24"/>
          <w:lang w:val="en-US"/>
        </w:rPr>
        <w:t>VOL.</w:t>
      </w:r>
      <w:r w:rsidRPr="00B449A5">
        <w:rPr>
          <w:rFonts w:eastAsia="Calibri" w:cs="Times New Roman"/>
          <w:szCs w:val="24"/>
          <w:lang w:val="en-US"/>
        </w:rPr>
        <w:t xml:space="preserve"> 2, № 4. — </w:t>
      </w:r>
      <w:r w:rsidRPr="00B449A5">
        <w:rPr>
          <w:rFonts w:eastAsia="Calibri" w:cs="Times New Roman"/>
          <w:szCs w:val="24"/>
        </w:rPr>
        <w:t>С</w:t>
      </w:r>
      <w:r w:rsidRPr="00B449A5">
        <w:rPr>
          <w:rFonts w:eastAsia="Calibri" w:cs="Times New Roman"/>
          <w:szCs w:val="24"/>
          <w:lang w:val="en-US"/>
        </w:rPr>
        <w:t>. 490–497. DOI: 10.1016/J.ENG.2016.04.003</w:t>
      </w:r>
    </w:p>
    <w:p w14:paraId="624FCEBB" w14:textId="08D1BB5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203.</w:t>
      </w:r>
      <w:r w:rsidRPr="00B449A5">
        <w:rPr>
          <w:rFonts w:eastAsia="Calibri" w:cs="Times New Roman"/>
          <w:szCs w:val="24"/>
          <w:lang w:val="en-US"/>
        </w:rPr>
        <w:tab/>
        <w:t>New directions for bia dam safety program / J. Byers // Association of State Dam Safety Officials - Dam Safety 20122012.</w:t>
      </w:r>
    </w:p>
    <w:p w14:paraId="2ABAC1C3" w14:textId="7777777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204.</w:t>
      </w:r>
      <w:r w:rsidRPr="00B449A5">
        <w:rPr>
          <w:rFonts w:eastAsia="Calibri" w:cs="Times New Roman"/>
          <w:szCs w:val="24"/>
          <w:lang w:val="en-US"/>
        </w:rPr>
        <w:tab/>
        <w:t>Dam Surveillance Guide [</w:t>
      </w:r>
      <w:r w:rsidRPr="00B449A5">
        <w:rPr>
          <w:rFonts w:eastAsia="Calibri" w:cs="Times New Roman"/>
          <w:szCs w:val="24"/>
        </w:rPr>
        <w:t>Текст</w:t>
      </w:r>
      <w:r w:rsidRPr="00B449A5">
        <w:rPr>
          <w:rFonts w:eastAsia="Calibri" w:cs="Times New Roman"/>
          <w:szCs w:val="24"/>
          <w:lang w:val="en-US"/>
        </w:rPr>
        <w:t>]CRC Press, 2018. DOI: 10.1201/9781351035781</w:t>
      </w:r>
    </w:p>
    <w:p w14:paraId="59A829E8" w14:textId="710BF6E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205.</w:t>
      </w:r>
      <w:r w:rsidRPr="00B449A5">
        <w:rPr>
          <w:rFonts w:eastAsia="Calibri" w:cs="Times New Roman"/>
          <w:szCs w:val="24"/>
          <w:lang w:val="en-US"/>
        </w:rPr>
        <w:tab/>
        <w:t>Bulletin 158: Dam Surveillance Guide / ICOLD (International Committee on Large Dams) // ICOLD Bulletin. — 2003.</w:t>
      </w:r>
    </w:p>
    <w:p w14:paraId="235CA1D8" w14:textId="730BEC0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206.</w:t>
      </w:r>
      <w:r w:rsidRPr="00B449A5">
        <w:rPr>
          <w:rFonts w:eastAsia="Calibri" w:cs="Times New Roman"/>
          <w:szCs w:val="24"/>
          <w:lang w:val="en-US"/>
        </w:rPr>
        <w:tab/>
        <w:t xml:space="preserve">Dams Safety: Inspections, Safety Reviews, and Legislations / N. Adamo, N. Al-Ansari, V. Sissakian, J. Laue, S. Knutsson // Journal of Earth Sciences and Geotechnical Engineering. — 2020. — </w:t>
      </w:r>
      <w:r w:rsidRPr="00B449A5">
        <w:rPr>
          <w:rFonts w:eastAsia="Calibri" w:cs="Times New Roman"/>
          <w:szCs w:val="24"/>
        </w:rPr>
        <w:t>С</w:t>
      </w:r>
      <w:r w:rsidRPr="00B449A5">
        <w:rPr>
          <w:rFonts w:eastAsia="Calibri" w:cs="Times New Roman"/>
          <w:szCs w:val="24"/>
          <w:lang w:val="en-US"/>
        </w:rPr>
        <w:t>. 109–143. DOI: 10.47260/jesge/1114</w:t>
      </w:r>
    </w:p>
    <w:p w14:paraId="33B998E9" w14:textId="2B69FEB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207.</w:t>
      </w:r>
      <w:r w:rsidRPr="00B449A5">
        <w:rPr>
          <w:rFonts w:eastAsia="Calibri" w:cs="Times New Roman"/>
          <w:szCs w:val="24"/>
          <w:lang w:val="en-US"/>
        </w:rPr>
        <w:tab/>
        <w:t xml:space="preserve">Dam Safety: Monitoring of Tailings Dams and Safety Reviews / N. Adamo, N. Al-Ansari, V. Sissakian, J. Laue, S. Knutsson // Journal of Earth Sciences and Geotechnical Engineering. — 2020. — </w:t>
      </w:r>
      <w:r w:rsidRPr="00B449A5">
        <w:rPr>
          <w:rFonts w:eastAsia="Calibri" w:cs="Times New Roman"/>
          <w:szCs w:val="24"/>
        </w:rPr>
        <w:t>С</w:t>
      </w:r>
      <w:r w:rsidRPr="00B449A5">
        <w:rPr>
          <w:rFonts w:eastAsia="Calibri" w:cs="Times New Roman"/>
          <w:szCs w:val="24"/>
          <w:lang w:val="en-US"/>
        </w:rPr>
        <w:t>. 249–289. DOI: 10.47260/jesge/1117</w:t>
      </w:r>
    </w:p>
    <w:p w14:paraId="722BFA62" w14:textId="1C5E75C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208.</w:t>
      </w:r>
      <w:r w:rsidRPr="00B449A5">
        <w:rPr>
          <w:rFonts w:eastAsia="Calibri" w:cs="Times New Roman"/>
          <w:szCs w:val="24"/>
          <w:lang w:val="en-US"/>
        </w:rPr>
        <w:tab/>
        <w:t>Dam safety risk assessment with uncertainty analysis / S.S. Chauhan, D.S. Bowles // Proceedings of the Australian Committee on Large Dams Risk Workshop. — 2003.</w:t>
      </w:r>
    </w:p>
    <w:p w14:paraId="1C317658" w14:textId="70DBB83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209.</w:t>
      </w:r>
      <w:r w:rsidRPr="00B449A5">
        <w:rPr>
          <w:rFonts w:eastAsia="Calibri" w:cs="Times New Roman"/>
          <w:szCs w:val="24"/>
          <w:lang w:val="en-US"/>
        </w:rPr>
        <w:tab/>
        <w:t>Safety management of dams – the Australian practice / Gamini Adikari, Natalie Kho // Water Power and Dam Construction. — 2021.</w:t>
      </w:r>
    </w:p>
    <w:p w14:paraId="3095C172" w14:textId="6ED9E47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210.</w:t>
      </w:r>
      <w:r w:rsidRPr="00B449A5">
        <w:rPr>
          <w:rFonts w:eastAsia="Calibri" w:cs="Times New Roman"/>
          <w:szCs w:val="24"/>
          <w:lang w:val="en-US"/>
        </w:rPr>
        <w:tab/>
        <w:t>The practice of dam safety risk assessment and management: Its roots, its branches and its fruit / D.S. Bowles, L.R. Anderson, T.F. Glover // Eighteenth USCOLD Annual Meeting and Lecture. — 1998.</w:t>
      </w:r>
    </w:p>
    <w:p w14:paraId="7C2B0415" w14:textId="7777777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211.</w:t>
      </w:r>
      <w:r w:rsidRPr="00B449A5">
        <w:rPr>
          <w:rFonts w:eastAsia="Calibri" w:cs="Times New Roman"/>
          <w:szCs w:val="24"/>
          <w:lang w:val="en-US"/>
        </w:rPr>
        <w:tab/>
        <w:t>Flood Evaluation and Dam Safety [</w:t>
      </w:r>
      <w:r w:rsidRPr="00B449A5">
        <w:rPr>
          <w:rFonts w:eastAsia="Calibri" w:cs="Times New Roman"/>
          <w:szCs w:val="24"/>
        </w:rPr>
        <w:t>Текст</w:t>
      </w:r>
      <w:r w:rsidRPr="00B449A5">
        <w:rPr>
          <w:rFonts w:eastAsia="Calibri" w:cs="Times New Roman"/>
          <w:szCs w:val="24"/>
          <w:lang w:val="en-US"/>
        </w:rPr>
        <w:t>]CRC Press, 2018. DOI: 10.1201/9781351031103</w:t>
      </w:r>
    </w:p>
    <w:p w14:paraId="19489962" w14:textId="381F269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212.</w:t>
      </w:r>
      <w:r w:rsidRPr="00B449A5">
        <w:rPr>
          <w:rFonts w:eastAsia="Calibri" w:cs="Times New Roman"/>
          <w:szCs w:val="24"/>
          <w:lang w:val="en-US"/>
        </w:rPr>
        <w:tab/>
        <w:t>Internal erosion in dams / L. Caldeira // Soils and Rocks. — 2018. DOI: 10.28927/SR.413237</w:t>
      </w:r>
    </w:p>
    <w:p w14:paraId="113112E8" w14:textId="1E17411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213.</w:t>
      </w:r>
      <w:r w:rsidRPr="00B449A5">
        <w:rPr>
          <w:rFonts w:eastAsia="Calibri" w:cs="Times New Roman"/>
          <w:szCs w:val="24"/>
          <w:lang w:val="en-US"/>
        </w:rPr>
        <w:tab/>
        <w:t>Internal erosion in dams and dikes: a comparison / A.R. Koelewijn, R. Bridle // EWGIE 20172017.</w:t>
      </w:r>
    </w:p>
    <w:p w14:paraId="22AEFAA4" w14:textId="7D292D4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214.</w:t>
      </w:r>
      <w:r w:rsidRPr="00B449A5">
        <w:rPr>
          <w:rFonts w:eastAsia="Calibri" w:cs="Times New Roman"/>
          <w:szCs w:val="24"/>
          <w:lang w:val="en-US"/>
        </w:rPr>
        <w:tab/>
        <w:t>Bulletin 164: Internal Erosion of Existing Dams, Levees and Dikes, and their Foundations / ICOLD2017.</w:t>
      </w:r>
    </w:p>
    <w:p w14:paraId="2DD22D70" w14:textId="625A97A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215.</w:t>
      </w:r>
      <w:r w:rsidRPr="00B449A5">
        <w:rPr>
          <w:rFonts w:eastAsia="Calibri" w:cs="Times New Roman"/>
          <w:szCs w:val="24"/>
          <w:lang w:val="en-US"/>
        </w:rPr>
        <w:tab/>
        <w:t xml:space="preserve">Assessing Embankment Dam Filters That Do Not Satisfy Design Criteria / M. Foster, R. Fell // Journal of Geotechnical and Geoenvironmental Engineering. — 2001. — </w:t>
      </w:r>
      <w:r w:rsidR="001A7438" w:rsidRPr="00FA3419">
        <w:rPr>
          <w:rFonts w:eastAsia="Calibri" w:cs="Times New Roman"/>
          <w:szCs w:val="24"/>
          <w:lang w:val="en-US"/>
        </w:rPr>
        <w:t>VOL.</w:t>
      </w:r>
      <w:r w:rsidRPr="00B449A5">
        <w:rPr>
          <w:rFonts w:eastAsia="Calibri" w:cs="Times New Roman"/>
          <w:szCs w:val="24"/>
          <w:lang w:val="en-US"/>
        </w:rPr>
        <w:t xml:space="preserve"> 127, № 5. — </w:t>
      </w:r>
      <w:r w:rsidRPr="00B449A5">
        <w:rPr>
          <w:rFonts w:eastAsia="Calibri" w:cs="Times New Roman"/>
          <w:szCs w:val="24"/>
        </w:rPr>
        <w:t>С</w:t>
      </w:r>
      <w:r w:rsidRPr="00B449A5">
        <w:rPr>
          <w:rFonts w:eastAsia="Calibri" w:cs="Times New Roman"/>
          <w:szCs w:val="24"/>
          <w:lang w:val="en-US"/>
        </w:rPr>
        <w:t>. 398–407. DOI: 10.1061/(ASCE)1090-0241(2001)127:5(398)</w:t>
      </w:r>
    </w:p>
    <w:p w14:paraId="7325DC94" w14:textId="436348E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216.</w:t>
      </w:r>
      <w:r w:rsidRPr="00B449A5">
        <w:rPr>
          <w:rFonts w:eastAsia="Calibri" w:cs="Times New Roman"/>
          <w:szCs w:val="24"/>
          <w:lang w:val="en-US"/>
        </w:rPr>
        <w:tab/>
        <w:t xml:space="preserve">Hydraulic failures of earthen dams and embankments / P. Talukdar, A. Dey // Innovative Infrastructure Solutions. — 2019. — </w:t>
      </w:r>
      <w:r w:rsidR="001A7438" w:rsidRPr="00FA3419">
        <w:rPr>
          <w:rFonts w:eastAsia="Calibri" w:cs="Times New Roman"/>
          <w:szCs w:val="24"/>
          <w:lang w:val="en-US"/>
        </w:rPr>
        <w:t>VOL.</w:t>
      </w:r>
      <w:r w:rsidRPr="00B449A5">
        <w:rPr>
          <w:rFonts w:eastAsia="Calibri" w:cs="Times New Roman"/>
          <w:szCs w:val="24"/>
          <w:lang w:val="en-US"/>
        </w:rPr>
        <w:t xml:space="preserve"> 4, № 1. — </w:t>
      </w:r>
      <w:r w:rsidRPr="00B449A5">
        <w:rPr>
          <w:rFonts w:eastAsia="Calibri" w:cs="Times New Roman"/>
          <w:szCs w:val="24"/>
        </w:rPr>
        <w:t>С</w:t>
      </w:r>
      <w:r w:rsidRPr="00B449A5">
        <w:rPr>
          <w:rFonts w:eastAsia="Calibri" w:cs="Times New Roman"/>
          <w:szCs w:val="24"/>
          <w:lang w:val="en-US"/>
        </w:rPr>
        <w:t>. 42–42. DOI: 10.1007/s41062-019-0229-9</w:t>
      </w:r>
    </w:p>
    <w:p w14:paraId="0E8C1121" w14:textId="6B20CF6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217.</w:t>
      </w:r>
      <w:r w:rsidRPr="00B449A5">
        <w:rPr>
          <w:rFonts w:eastAsia="Calibri" w:cs="Times New Roman"/>
          <w:szCs w:val="24"/>
          <w:lang w:val="en-US"/>
        </w:rPr>
        <w:tab/>
        <w:t xml:space="preserve">The Effects of Grout Curtain Parameters on Uplift and Piping Phenomenon; Case Study: Sattarkhan Dam / K. Meshkabadi, Y. Zandi // Hydrology. — 2019. — </w:t>
      </w:r>
      <w:r w:rsidR="001A7438" w:rsidRPr="00FA3419">
        <w:rPr>
          <w:rFonts w:eastAsia="Calibri" w:cs="Times New Roman"/>
          <w:szCs w:val="24"/>
          <w:lang w:val="en-US"/>
        </w:rPr>
        <w:t>VOL.</w:t>
      </w:r>
      <w:r w:rsidRPr="00B449A5">
        <w:rPr>
          <w:rFonts w:eastAsia="Calibri" w:cs="Times New Roman"/>
          <w:szCs w:val="24"/>
          <w:lang w:val="en-US"/>
        </w:rPr>
        <w:t xml:space="preserve"> 6, № 3. — </w:t>
      </w:r>
      <w:r w:rsidRPr="00B449A5">
        <w:rPr>
          <w:rFonts w:eastAsia="Calibri" w:cs="Times New Roman"/>
          <w:szCs w:val="24"/>
        </w:rPr>
        <w:t>С</w:t>
      </w:r>
      <w:r w:rsidRPr="00B449A5">
        <w:rPr>
          <w:rFonts w:eastAsia="Calibri" w:cs="Times New Roman"/>
          <w:szCs w:val="24"/>
          <w:lang w:val="en-US"/>
        </w:rPr>
        <w:t>. 71–71. DOI: 10.3390/hydrology6030071</w:t>
      </w:r>
    </w:p>
    <w:p w14:paraId="2E79E01A" w14:textId="2B30F2D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218.</w:t>
      </w:r>
      <w:r w:rsidRPr="00B449A5">
        <w:rPr>
          <w:rFonts w:eastAsia="Calibri" w:cs="Times New Roman"/>
          <w:szCs w:val="24"/>
          <w:lang w:val="en-US"/>
        </w:rPr>
        <w:tab/>
        <w:t>Encyclopedia of Engineering Geology / P.T. Bobrowsky, Brian Marker // Encyclopedia of Engineering Geology. — 2017.</w:t>
      </w:r>
    </w:p>
    <w:p w14:paraId="1497195E" w14:textId="0FE0727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219.</w:t>
      </w:r>
      <w:r w:rsidRPr="00B449A5">
        <w:rPr>
          <w:rFonts w:eastAsia="Calibri" w:cs="Times New Roman"/>
          <w:szCs w:val="24"/>
          <w:lang w:val="en-US"/>
        </w:rPr>
        <w:tab/>
        <w:t xml:space="preserve">Organic Soils and Peats / S. Kazemian2018. — </w:t>
      </w:r>
      <w:r w:rsidRPr="00B449A5">
        <w:rPr>
          <w:rFonts w:eastAsia="Calibri" w:cs="Times New Roman"/>
          <w:szCs w:val="24"/>
        </w:rPr>
        <w:t>С</w:t>
      </w:r>
      <w:r w:rsidRPr="00B449A5">
        <w:rPr>
          <w:rFonts w:eastAsia="Calibri" w:cs="Times New Roman"/>
          <w:szCs w:val="24"/>
          <w:lang w:val="en-US"/>
        </w:rPr>
        <w:t>. 691–695. DOI: 10.1007/978-3-319-73568-9_214</w:t>
      </w:r>
    </w:p>
    <w:p w14:paraId="03B4EF6A" w14:textId="5451670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220.</w:t>
      </w:r>
      <w:r w:rsidRPr="00B449A5">
        <w:rPr>
          <w:rFonts w:eastAsia="Calibri" w:cs="Times New Roman"/>
          <w:szCs w:val="24"/>
          <w:lang w:val="en-US"/>
        </w:rPr>
        <w:tab/>
        <w:t xml:space="preserve">Engineering properties of the Bukit Timah Granitic residual soil in Singapore / W.G. Zhang, R.H. Zhang, L. Han, A.T.C. Goh // Underground Space. — 2019. — </w:t>
      </w:r>
      <w:r w:rsidR="001A7438" w:rsidRPr="00FA3419">
        <w:rPr>
          <w:rFonts w:eastAsia="Calibri" w:cs="Times New Roman"/>
          <w:szCs w:val="24"/>
          <w:lang w:val="en-US"/>
        </w:rPr>
        <w:t>VOL.</w:t>
      </w:r>
      <w:r w:rsidRPr="00B449A5">
        <w:rPr>
          <w:rFonts w:eastAsia="Calibri" w:cs="Times New Roman"/>
          <w:szCs w:val="24"/>
          <w:lang w:val="en-US"/>
        </w:rPr>
        <w:t xml:space="preserve"> 4, № 2. — </w:t>
      </w:r>
      <w:r w:rsidRPr="00B449A5">
        <w:rPr>
          <w:rFonts w:eastAsia="Calibri" w:cs="Times New Roman"/>
          <w:szCs w:val="24"/>
        </w:rPr>
        <w:t>С</w:t>
      </w:r>
      <w:r w:rsidRPr="00B449A5">
        <w:rPr>
          <w:rFonts w:eastAsia="Calibri" w:cs="Times New Roman"/>
          <w:szCs w:val="24"/>
          <w:lang w:val="en-US"/>
        </w:rPr>
        <w:t>. 98–108. DOI: 10.1016/j.undsp.2018.07.001</w:t>
      </w:r>
    </w:p>
    <w:p w14:paraId="4F5154D4" w14:textId="2F9E16E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221.</w:t>
      </w:r>
      <w:r w:rsidRPr="00B449A5">
        <w:rPr>
          <w:rFonts w:eastAsia="Calibri" w:cs="Times New Roman"/>
          <w:szCs w:val="24"/>
          <w:lang w:val="en-US"/>
        </w:rPr>
        <w:tab/>
        <w:t xml:space="preserve">Effect of cementation on the small-strain stiffness of granite residual soil / X. Liu, X. Zhang, L. Kong, X. Li, G. Wang // Soils and Foundations. — 2021. — </w:t>
      </w:r>
      <w:r w:rsidR="001A7438" w:rsidRPr="00FA3419">
        <w:rPr>
          <w:rFonts w:eastAsia="Calibri" w:cs="Times New Roman"/>
          <w:szCs w:val="24"/>
          <w:lang w:val="en-US"/>
        </w:rPr>
        <w:t>VOL.</w:t>
      </w:r>
      <w:r w:rsidRPr="00B449A5">
        <w:rPr>
          <w:rFonts w:eastAsia="Calibri" w:cs="Times New Roman"/>
          <w:szCs w:val="24"/>
          <w:lang w:val="en-US"/>
        </w:rPr>
        <w:t xml:space="preserve"> 61, № 2. — </w:t>
      </w:r>
      <w:r w:rsidRPr="00B449A5">
        <w:rPr>
          <w:rFonts w:eastAsia="Calibri" w:cs="Times New Roman"/>
          <w:szCs w:val="24"/>
        </w:rPr>
        <w:t>С</w:t>
      </w:r>
      <w:r w:rsidRPr="00B449A5">
        <w:rPr>
          <w:rFonts w:eastAsia="Calibri" w:cs="Times New Roman"/>
          <w:szCs w:val="24"/>
          <w:lang w:val="en-US"/>
        </w:rPr>
        <w:t>. 520–532. DOI: 10.1016/j.sandf.2021.02.001</w:t>
      </w:r>
    </w:p>
    <w:p w14:paraId="7E302001" w14:textId="0F408DA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222.</w:t>
      </w:r>
      <w:r w:rsidRPr="00B449A5">
        <w:rPr>
          <w:rFonts w:eastAsia="Calibri" w:cs="Times New Roman"/>
          <w:szCs w:val="24"/>
          <w:lang w:val="en-US"/>
        </w:rPr>
        <w:tab/>
        <w:t xml:space="preserve">Influence of Burrow Holes in Residual Soil Slope Infiltration / Z. Abu Talib, A. Kassim, G.H. Yusak, M.F. Mohd Yusof, F.L. Ngee Leh // International Journal of Integrated Engineering. — 2019. — </w:t>
      </w:r>
      <w:r w:rsidR="001A7438" w:rsidRPr="00FA3419">
        <w:rPr>
          <w:rFonts w:eastAsia="Calibri" w:cs="Times New Roman"/>
          <w:szCs w:val="24"/>
          <w:lang w:val="en-US"/>
        </w:rPr>
        <w:t>VOL.</w:t>
      </w:r>
      <w:r w:rsidRPr="00B449A5">
        <w:rPr>
          <w:rFonts w:eastAsia="Calibri" w:cs="Times New Roman"/>
          <w:szCs w:val="24"/>
          <w:lang w:val="en-US"/>
        </w:rPr>
        <w:t xml:space="preserve"> 11, № 2. DOI: 10.30880/ijie.2019.11.02.030</w:t>
      </w:r>
    </w:p>
    <w:p w14:paraId="1748C226" w14:textId="025C7F6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223.</w:t>
      </w:r>
      <w:r w:rsidRPr="00B449A5">
        <w:rPr>
          <w:rFonts w:eastAsia="Calibri" w:cs="Times New Roman"/>
          <w:szCs w:val="24"/>
          <w:lang w:val="en-US"/>
        </w:rPr>
        <w:tab/>
        <w:t xml:space="preserve">Numerical Modeling of Zoned Rockfill Dam during Construction Considering Granular Interface Behavior / B. Pardoen, J.-M. Konrad // Journal of Geotechnical and Geoenvironmental Engineering. — 2019. — </w:t>
      </w:r>
      <w:r w:rsidR="001A7438" w:rsidRPr="00FA3419">
        <w:rPr>
          <w:rFonts w:eastAsia="Calibri" w:cs="Times New Roman"/>
          <w:szCs w:val="24"/>
          <w:lang w:val="en-US"/>
        </w:rPr>
        <w:t>VOL.</w:t>
      </w:r>
      <w:r w:rsidRPr="00B449A5">
        <w:rPr>
          <w:rFonts w:eastAsia="Calibri" w:cs="Times New Roman"/>
          <w:szCs w:val="24"/>
          <w:lang w:val="en-US"/>
        </w:rPr>
        <w:t xml:space="preserve"> 145, № 3. — </w:t>
      </w:r>
      <w:r w:rsidRPr="00B449A5">
        <w:rPr>
          <w:rFonts w:eastAsia="Calibri" w:cs="Times New Roman"/>
          <w:szCs w:val="24"/>
        </w:rPr>
        <w:t>С</w:t>
      </w:r>
      <w:r w:rsidRPr="00B449A5">
        <w:rPr>
          <w:rFonts w:eastAsia="Calibri" w:cs="Times New Roman"/>
          <w:szCs w:val="24"/>
          <w:lang w:val="en-US"/>
        </w:rPr>
        <w:t>. 04018111–04018111. DOI: 10.1061/(ASCE)GT.1943-5606.0001997</w:t>
      </w:r>
    </w:p>
    <w:p w14:paraId="5D4CE1FA" w14:textId="65CA907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224.</w:t>
      </w:r>
      <w:r w:rsidRPr="00B449A5">
        <w:rPr>
          <w:rFonts w:eastAsia="Calibri" w:cs="Times New Roman"/>
          <w:szCs w:val="24"/>
          <w:lang w:val="en-US"/>
        </w:rPr>
        <w:tab/>
        <w:t xml:space="preserve">Assessing the Efficiency of Seepage Control Measures in Earthfill Dams / A. Torabi Haghighi, A. Tuomela, A.A. Hekmatzadeh // Geotechnical and Geological Engineering. — 2020. — </w:t>
      </w:r>
      <w:r w:rsidR="001A7438" w:rsidRPr="00FA3419">
        <w:rPr>
          <w:rFonts w:eastAsia="Calibri" w:cs="Times New Roman"/>
          <w:szCs w:val="24"/>
          <w:lang w:val="en-US"/>
        </w:rPr>
        <w:t>VOL.</w:t>
      </w:r>
      <w:r w:rsidRPr="00B449A5">
        <w:rPr>
          <w:rFonts w:eastAsia="Calibri" w:cs="Times New Roman"/>
          <w:szCs w:val="24"/>
          <w:lang w:val="en-US"/>
        </w:rPr>
        <w:t xml:space="preserve"> 38, № 5. — </w:t>
      </w:r>
      <w:r w:rsidRPr="00B449A5">
        <w:rPr>
          <w:rFonts w:eastAsia="Calibri" w:cs="Times New Roman"/>
          <w:szCs w:val="24"/>
        </w:rPr>
        <w:t>С</w:t>
      </w:r>
      <w:r w:rsidRPr="00B449A5">
        <w:rPr>
          <w:rFonts w:eastAsia="Calibri" w:cs="Times New Roman"/>
          <w:szCs w:val="24"/>
          <w:lang w:val="en-US"/>
        </w:rPr>
        <w:t>. 5667–5680. DOI: 10.1007/s10706-020-01371-w</w:t>
      </w:r>
    </w:p>
    <w:p w14:paraId="69861A2C" w14:textId="757CF4A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225.</w:t>
      </w:r>
      <w:r w:rsidRPr="00B449A5">
        <w:rPr>
          <w:rFonts w:eastAsia="Calibri" w:cs="Times New Roman"/>
          <w:szCs w:val="24"/>
          <w:lang w:val="en-US"/>
        </w:rPr>
        <w:tab/>
        <w:t xml:space="preserve">A statistical model of deformation during the construction of a concrete face rockfill dam / Y. Shi, J. Yang, J. Wu, J. He // Structural Control and Health Monitoring. — 2018. — </w:t>
      </w:r>
      <w:r w:rsidR="001A7438" w:rsidRPr="00FA3419">
        <w:rPr>
          <w:rFonts w:eastAsia="Calibri" w:cs="Times New Roman"/>
          <w:szCs w:val="24"/>
          <w:lang w:val="en-US"/>
        </w:rPr>
        <w:t>VOL.</w:t>
      </w:r>
      <w:r w:rsidRPr="00B449A5">
        <w:rPr>
          <w:rFonts w:eastAsia="Calibri" w:cs="Times New Roman"/>
          <w:szCs w:val="24"/>
          <w:lang w:val="en-US"/>
        </w:rPr>
        <w:t xml:space="preserve"> 25, № 2. — </w:t>
      </w:r>
      <w:r w:rsidRPr="00B449A5">
        <w:rPr>
          <w:rFonts w:eastAsia="Calibri" w:cs="Times New Roman"/>
          <w:szCs w:val="24"/>
        </w:rPr>
        <w:t>С</w:t>
      </w:r>
      <w:r w:rsidRPr="00B449A5">
        <w:rPr>
          <w:rFonts w:eastAsia="Calibri" w:cs="Times New Roman"/>
          <w:szCs w:val="24"/>
          <w:lang w:val="en-US"/>
        </w:rPr>
        <w:t>. e2074–e2074. DOI: 10.1002/stc.2074</w:t>
      </w:r>
    </w:p>
    <w:p w14:paraId="58A6E878" w14:textId="7ECFDAA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226.</w:t>
      </w:r>
      <w:r w:rsidRPr="00B449A5">
        <w:rPr>
          <w:rFonts w:eastAsia="Calibri" w:cs="Times New Roman"/>
          <w:szCs w:val="24"/>
          <w:lang w:val="en-US"/>
        </w:rPr>
        <w:tab/>
        <w:t xml:space="preserve">Re-Assessment of an Earth fill Dam using Finite Element Method and Limit Equilibrium Method (Case study of Latamber Dam, Pakistan) / A. Ahmad, S. Ali, M. Khan, I.S.H. Harahap, M.S. Aslam </w:t>
      </w:r>
      <w:r w:rsidRPr="00B449A5">
        <w:rPr>
          <w:rFonts w:eastAsia="Calibri" w:cs="Times New Roman"/>
          <w:szCs w:val="24"/>
          <w:lang w:val="en-US"/>
        </w:rPr>
        <w:lastRenderedPageBreak/>
        <w:t xml:space="preserve">// Journal of Advanced Research in Fluid Mechanics and Thermal Sciences. — 2020. — </w:t>
      </w:r>
      <w:r w:rsidR="001A7438" w:rsidRPr="00FA3419">
        <w:rPr>
          <w:rFonts w:eastAsia="Calibri" w:cs="Times New Roman"/>
          <w:szCs w:val="24"/>
          <w:lang w:val="en-US"/>
        </w:rPr>
        <w:t>VOL.</w:t>
      </w:r>
      <w:r w:rsidRPr="00B449A5">
        <w:rPr>
          <w:rFonts w:eastAsia="Calibri" w:cs="Times New Roman"/>
          <w:szCs w:val="24"/>
          <w:lang w:val="en-US"/>
        </w:rPr>
        <w:t xml:space="preserve"> 71, № 2. — </w:t>
      </w:r>
      <w:r w:rsidRPr="00B449A5">
        <w:rPr>
          <w:rFonts w:eastAsia="Calibri" w:cs="Times New Roman"/>
          <w:szCs w:val="24"/>
        </w:rPr>
        <w:t>С</w:t>
      </w:r>
      <w:r w:rsidRPr="00B449A5">
        <w:rPr>
          <w:rFonts w:eastAsia="Calibri" w:cs="Times New Roman"/>
          <w:szCs w:val="24"/>
          <w:lang w:val="en-US"/>
        </w:rPr>
        <w:t>. 87–102. DOI: 10.37934/arfmts.71.2.87102</w:t>
      </w:r>
    </w:p>
    <w:p w14:paraId="16311F4F" w14:textId="678B49D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227.</w:t>
      </w:r>
      <w:r w:rsidRPr="00B449A5">
        <w:rPr>
          <w:rFonts w:eastAsia="Calibri" w:cs="Times New Roman"/>
          <w:szCs w:val="24"/>
          <w:lang w:val="en-US"/>
        </w:rPr>
        <w:tab/>
        <w:t xml:space="preserve">Random finite element method for the seismic analysis of gravity dams / M.A. Hariri-Ardebili, S.M. Seyed-Kolbadi, V.E. Saouma, J. Salamon, B. Rajagopalan // Engineering Structures. — 2018. — </w:t>
      </w:r>
      <w:r w:rsidR="001A7438" w:rsidRPr="00FA3419">
        <w:rPr>
          <w:rFonts w:eastAsia="Calibri" w:cs="Times New Roman"/>
          <w:szCs w:val="24"/>
          <w:lang w:val="en-US"/>
        </w:rPr>
        <w:t>VOL.</w:t>
      </w:r>
      <w:r w:rsidRPr="00B449A5">
        <w:rPr>
          <w:rFonts w:eastAsia="Calibri" w:cs="Times New Roman"/>
          <w:szCs w:val="24"/>
          <w:lang w:val="en-US"/>
        </w:rPr>
        <w:t xml:space="preserve"> 171. — </w:t>
      </w:r>
      <w:r w:rsidRPr="00B449A5">
        <w:rPr>
          <w:rFonts w:eastAsia="Calibri" w:cs="Times New Roman"/>
          <w:szCs w:val="24"/>
        </w:rPr>
        <w:t>С</w:t>
      </w:r>
      <w:r w:rsidRPr="00B449A5">
        <w:rPr>
          <w:rFonts w:eastAsia="Calibri" w:cs="Times New Roman"/>
          <w:szCs w:val="24"/>
          <w:lang w:val="en-US"/>
        </w:rPr>
        <w:t>. 405–420. DOI: 10.1016/j.engstruct.2018.05.096</w:t>
      </w:r>
    </w:p>
    <w:p w14:paraId="758AD9C3" w14:textId="492D8A6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228.</w:t>
      </w:r>
      <w:r w:rsidRPr="00B449A5">
        <w:rPr>
          <w:rFonts w:eastAsia="Calibri" w:cs="Times New Roman"/>
          <w:szCs w:val="24"/>
          <w:lang w:val="en-US"/>
        </w:rPr>
        <w:tab/>
        <w:t>Failure of Teton Dam: A Report of Findings / Wi.F. Eikenberry, H.G. Arthur, N.F. Bogner, F.P. Lacy, R.L. Schuster, H.B. Willis // US Department of the Interior Teton Dam Failure Review Group. — 1977.</w:t>
      </w:r>
    </w:p>
    <w:p w14:paraId="6AD0F34A" w14:textId="1FCDCCE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229.</w:t>
      </w:r>
      <w:r w:rsidRPr="00B449A5">
        <w:rPr>
          <w:rFonts w:eastAsia="Calibri" w:cs="Times New Roman"/>
          <w:szCs w:val="24"/>
          <w:lang w:val="en-US"/>
        </w:rPr>
        <w:tab/>
        <w:t xml:space="preserve">Evaluation of Seepage, Internal Erosion, and Remedial Alternatives for East Branch Dam, Elk County, Pennsylvania / B.H. GREENE, J. CROCK, L. MOSKOVITZ, J.W. PREMOZIC // Environmental and Engineering Geoscience. — 2010. — </w:t>
      </w:r>
      <w:r w:rsidR="001A7438" w:rsidRPr="00FA3419">
        <w:rPr>
          <w:rFonts w:eastAsia="Calibri" w:cs="Times New Roman"/>
          <w:szCs w:val="24"/>
          <w:lang w:val="en-US"/>
        </w:rPr>
        <w:t>VOL.</w:t>
      </w:r>
      <w:r w:rsidRPr="00B449A5">
        <w:rPr>
          <w:rFonts w:eastAsia="Calibri" w:cs="Times New Roman"/>
          <w:szCs w:val="24"/>
          <w:lang w:val="en-US"/>
        </w:rPr>
        <w:t xml:space="preserve"> 16, № 3. — </w:t>
      </w:r>
      <w:r w:rsidRPr="00B449A5">
        <w:rPr>
          <w:rFonts w:eastAsia="Calibri" w:cs="Times New Roman"/>
          <w:szCs w:val="24"/>
        </w:rPr>
        <w:t>С</w:t>
      </w:r>
      <w:r w:rsidRPr="00B449A5">
        <w:rPr>
          <w:rFonts w:eastAsia="Calibri" w:cs="Times New Roman"/>
          <w:szCs w:val="24"/>
          <w:lang w:val="en-US"/>
        </w:rPr>
        <w:t>. 229–243. DOI: 10.2113/gseegeosci.16.3.229</w:t>
      </w:r>
    </w:p>
    <w:p w14:paraId="6D125BFC" w14:textId="2323AC9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230.</w:t>
      </w:r>
      <w:r w:rsidRPr="00B449A5">
        <w:rPr>
          <w:rFonts w:eastAsia="Calibri" w:cs="Times New Roman"/>
          <w:szCs w:val="24"/>
          <w:lang w:val="en-US"/>
        </w:rPr>
        <w:tab/>
        <w:t xml:space="preserve">Investigation of Sabalan Earth Dam Settlement at First Filling by Finite Difference Method / R. Tarinejad, O. Alizadeh-Arasi, M. Isari, R. Sobhkhiz Foumani // Transportation Infrastructure Geotechnology. — 2021. — </w:t>
      </w:r>
      <w:r w:rsidR="001A7438" w:rsidRPr="00FA3419">
        <w:rPr>
          <w:rFonts w:eastAsia="Calibri" w:cs="Times New Roman"/>
          <w:szCs w:val="24"/>
          <w:lang w:val="en-US"/>
        </w:rPr>
        <w:t>VOL.</w:t>
      </w:r>
      <w:r w:rsidRPr="00B449A5">
        <w:rPr>
          <w:rFonts w:eastAsia="Calibri" w:cs="Times New Roman"/>
          <w:szCs w:val="24"/>
          <w:lang w:val="en-US"/>
        </w:rPr>
        <w:t xml:space="preserve"> 8, № 3. — </w:t>
      </w:r>
      <w:r w:rsidRPr="00B449A5">
        <w:rPr>
          <w:rFonts w:eastAsia="Calibri" w:cs="Times New Roman"/>
          <w:szCs w:val="24"/>
        </w:rPr>
        <w:t>С</w:t>
      </w:r>
      <w:r w:rsidRPr="00B449A5">
        <w:rPr>
          <w:rFonts w:eastAsia="Calibri" w:cs="Times New Roman"/>
          <w:szCs w:val="24"/>
          <w:lang w:val="en-US"/>
        </w:rPr>
        <w:t>. 473–490. DOI: 10.1007/s40515-020-00147-2</w:t>
      </w:r>
    </w:p>
    <w:p w14:paraId="745FC75B" w14:textId="294F236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231.</w:t>
      </w:r>
      <w:r w:rsidRPr="00B449A5">
        <w:rPr>
          <w:rFonts w:eastAsia="Calibri" w:cs="Times New Roman"/>
          <w:szCs w:val="24"/>
          <w:lang w:val="en-US"/>
        </w:rPr>
        <w:tab/>
        <w:t xml:space="preserve">Quantitative Risk-Informed Design of Levees / H.M. Sibley, N.D. Vroman, S.E. Shewbridge // Geo-Risk 2017. — Reston, VA: American Society of Civil Engineers, 2017. — </w:t>
      </w:r>
      <w:r w:rsidRPr="00B449A5">
        <w:rPr>
          <w:rFonts w:eastAsia="Calibri" w:cs="Times New Roman"/>
          <w:szCs w:val="24"/>
        </w:rPr>
        <w:t>С</w:t>
      </w:r>
      <w:r w:rsidRPr="00B449A5">
        <w:rPr>
          <w:rFonts w:eastAsia="Calibri" w:cs="Times New Roman"/>
          <w:szCs w:val="24"/>
          <w:lang w:val="en-US"/>
        </w:rPr>
        <w:t>. 76–90. DOI: 10.1061/9780784480717.008</w:t>
      </w:r>
    </w:p>
    <w:p w14:paraId="196FF528" w14:textId="5C0E0AF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232.</w:t>
      </w:r>
      <w:r w:rsidRPr="00B449A5">
        <w:rPr>
          <w:rFonts w:eastAsia="Calibri" w:cs="Times New Roman"/>
          <w:szCs w:val="24"/>
          <w:lang w:val="en-US"/>
        </w:rPr>
        <w:tab/>
        <w:t>Colorado parks and wildlife screening level risk analysis completed by consultant, owner, regulator / J.P. Clark, B. McCormick, V.J. Scharnhorst // Association of State Dam Safety Officials Annual Conference 2014, Dam Safety 20142014.</w:t>
      </w:r>
    </w:p>
    <w:p w14:paraId="771CC630" w14:textId="21C7C32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233.</w:t>
      </w:r>
      <w:r w:rsidRPr="00B449A5">
        <w:rPr>
          <w:rFonts w:eastAsia="Calibri" w:cs="Times New Roman"/>
          <w:szCs w:val="24"/>
          <w:lang w:val="en-US"/>
        </w:rPr>
        <w:tab/>
        <w:t xml:space="preserve">Numerical Modelling of the Thermo-Mechanical Behavior of Concrete Arch Dams During the First Filling of the Reservoir / N.S. Leitão, E. Castilho2019. — </w:t>
      </w:r>
      <w:r w:rsidRPr="00B449A5">
        <w:rPr>
          <w:rFonts w:eastAsia="Calibri" w:cs="Times New Roman"/>
          <w:szCs w:val="24"/>
        </w:rPr>
        <w:t>С</w:t>
      </w:r>
      <w:r w:rsidRPr="00B449A5">
        <w:rPr>
          <w:rFonts w:eastAsia="Calibri" w:cs="Times New Roman"/>
          <w:szCs w:val="24"/>
          <w:lang w:val="en-US"/>
        </w:rPr>
        <w:t>. 238–253. DOI: 10.1007/978-981-13-2405-5_20</w:t>
      </w:r>
    </w:p>
    <w:p w14:paraId="25EC044B" w14:textId="0796A11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234.</w:t>
      </w:r>
      <w:r w:rsidRPr="00B449A5">
        <w:rPr>
          <w:rFonts w:eastAsia="Calibri" w:cs="Times New Roman"/>
          <w:szCs w:val="24"/>
          <w:lang w:val="en-US"/>
        </w:rPr>
        <w:tab/>
        <w:t xml:space="preserve">Finite Element Methods for Fills and Embankment Dams / D.J. Naylor // Advances in Rockfill Structures. — Dordrecht: Springer Netherlands, 1991. — </w:t>
      </w:r>
      <w:r w:rsidRPr="00B449A5">
        <w:rPr>
          <w:rFonts w:eastAsia="Calibri" w:cs="Times New Roman"/>
          <w:szCs w:val="24"/>
        </w:rPr>
        <w:t>С</w:t>
      </w:r>
      <w:r w:rsidRPr="00B449A5">
        <w:rPr>
          <w:rFonts w:eastAsia="Calibri" w:cs="Times New Roman"/>
          <w:szCs w:val="24"/>
          <w:lang w:val="en-US"/>
        </w:rPr>
        <w:t>. 291–340. DOI: 10.1007/978-94-011-3206-0_12</w:t>
      </w:r>
    </w:p>
    <w:p w14:paraId="6A6D779A" w14:textId="60603C2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235.</w:t>
      </w:r>
      <w:r w:rsidRPr="00B449A5">
        <w:rPr>
          <w:rFonts w:eastAsia="Calibri" w:cs="Times New Roman"/>
          <w:szCs w:val="24"/>
          <w:lang w:val="en-US"/>
        </w:rPr>
        <w:tab/>
        <w:t xml:space="preserve">Simulation of collapse settlement of first filling in a high rockfill dam / R. Mahinroosta, A. Alizadeh, B. Gatmiri // Engineering Geology. — 2015. — </w:t>
      </w:r>
      <w:r w:rsidR="001A7438" w:rsidRPr="00FA3419">
        <w:rPr>
          <w:rFonts w:eastAsia="Calibri" w:cs="Times New Roman"/>
          <w:szCs w:val="24"/>
          <w:lang w:val="en-US"/>
        </w:rPr>
        <w:t>VOL.</w:t>
      </w:r>
      <w:r w:rsidRPr="00B449A5">
        <w:rPr>
          <w:rFonts w:eastAsia="Calibri" w:cs="Times New Roman"/>
          <w:szCs w:val="24"/>
          <w:lang w:val="en-US"/>
        </w:rPr>
        <w:t xml:space="preserve"> 187. — </w:t>
      </w:r>
      <w:r w:rsidRPr="00B449A5">
        <w:rPr>
          <w:rFonts w:eastAsia="Calibri" w:cs="Times New Roman"/>
          <w:szCs w:val="24"/>
        </w:rPr>
        <w:t>С</w:t>
      </w:r>
      <w:r w:rsidRPr="00B449A5">
        <w:rPr>
          <w:rFonts w:eastAsia="Calibri" w:cs="Times New Roman"/>
          <w:szCs w:val="24"/>
          <w:lang w:val="en-US"/>
        </w:rPr>
        <w:t>. 32–44. DOI: 10.1016/j.enggeo.2014.12.013</w:t>
      </w:r>
    </w:p>
    <w:p w14:paraId="04923E4B" w14:textId="3C9057A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236.</w:t>
      </w:r>
      <w:r w:rsidRPr="00B449A5">
        <w:rPr>
          <w:rFonts w:eastAsia="Calibri" w:cs="Times New Roman"/>
          <w:szCs w:val="24"/>
          <w:lang w:val="en-US"/>
        </w:rPr>
        <w:tab/>
        <w:t xml:space="preserve">Modeling assessment of seepage and slope stability of dam under static and dynamic conditions of Grindeho Dam in Ethiopia / M.B. Hailu // Modeling Earth Systems and Environment. — 2021. — </w:t>
      </w:r>
      <w:r w:rsidR="001A7438" w:rsidRPr="00FA3419">
        <w:rPr>
          <w:rFonts w:eastAsia="Calibri" w:cs="Times New Roman"/>
          <w:szCs w:val="24"/>
          <w:lang w:val="en-US"/>
        </w:rPr>
        <w:t>VOL.</w:t>
      </w:r>
      <w:r w:rsidRPr="00B449A5">
        <w:rPr>
          <w:rFonts w:eastAsia="Calibri" w:cs="Times New Roman"/>
          <w:szCs w:val="24"/>
          <w:lang w:val="en-US"/>
        </w:rPr>
        <w:t xml:space="preserve"> 7, № 4. — </w:t>
      </w:r>
      <w:r w:rsidRPr="00B449A5">
        <w:rPr>
          <w:rFonts w:eastAsia="Calibri" w:cs="Times New Roman"/>
          <w:szCs w:val="24"/>
        </w:rPr>
        <w:t>С</w:t>
      </w:r>
      <w:r w:rsidRPr="00B449A5">
        <w:rPr>
          <w:rFonts w:eastAsia="Calibri" w:cs="Times New Roman"/>
          <w:szCs w:val="24"/>
          <w:lang w:val="en-US"/>
        </w:rPr>
        <w:t>. 2231–2239. DOI: 10.1007/s40808-020-01006-2</w:t>
      </w:r>
    </w:p>
    <w:p w14:paraId="796C7392" w14:textId="04AABC2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237.</w:t>
      </w:r>
      <w:r w:rsidRPr="00B449A5">
        <w:rPr>
          <w:rFonts w:eastAsia="Calibri" w:cs="Times New Roman"/>
          <w:szCs w:val="24"/>
          <w:lang w:val="en-US"/>
        </w:rPr>
        <w:tab/>
        <w:t xml:space="preserve">Review on applications of artificial intelligence methods for dam and reservoir-hydro-environment models / M.F. Allawi, O. Jaafar, F. Mohamad Hamzah, S.M.S. Abdullah, A. El-shafie // Environmental Science and Pollution Research. — 2018. — </w:t>
      </w:r>
      <w:r w:rsidR="001A7438" w:rsidRPr="00FA3419">
        <w:rPr>
          <w:rFonts w:eastAsia="Calibri" w:cs="Times New Roman"/>
          <w:szCs w:val="24"/>
          <w:lang w:val="en-US"/>
        </w:rPr>
        <w:t>VOL.</w:t>
      </w:r>
      <w:r w:rsidRPr="00B449A5">
        <w:rPr>
          <w:rFonts w:eastAsia="Calibri" w:cs="Times New Roman"/>
          <w:szCs w:val="24"/>
          <w:lang w:val="en-US"/>
        </w:rPr>
        <w:t xml:space="preserve"> 25, № 14. — </w:t>
      </w:r>
      <w:r w:rsidRPr="00B449A5">
        <w:rPr>
          <w:rFonts w:eastAsia="Calibri" w:cs="Times New Roman"/>
          <w:szCs w:val="24"/>
        </w:rPr>
        <w:t>С</w:t>
      </w:r>
      <w:r w:rsidRPr="00B449A5">
        <w:rPr>
          <w:rFonts w:eastAsia="Calibri" w:cs="Times New Roman"/>
          <w:szCs w:val="24"/>
          <w:lang w:val="en-US"/>
        </w:rPr>
        <w:t>. 13446–13469. DOI: 10.1007/s11356-018-1867-8</w:t>
      </w:r>
    </w:p>
    <w:p w14:paraId="509AAE4F" w14:textId="45D7E12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238.</w:t>
      </w:r>
      <w:r w:rsidRPr="00B449A5">
        <w:rPr>
          <w:rFonts w:eastAsia="Calibri" w:cs="Times New Roman"/>
          <w:szCs w:val="24"/>
          <w:lang w:val="en-US"/>
        </w:rPr>
        <w:tab/>
        <w:t xml:space="preserve">Unified egg ellipse critical threshold estimation for the deformation behavior of ultrahigh arch dams / E. Zhao, C. Wu // Engineering Structures. — 2020. — </w:t>
      </w:r>
      <w:r w:rsidR="001A7438" w:rsidRPr="00FA3419">
        <w:rPr>
          <w:rFonts w:eastAsia="Calibri" w:cs="Times New Roman"/>
          <w:szCs w:val="24"/>
          <w:lang w:val="en-US"/>
        </w:rPr>
        <w:t>VOL.</w:t>
      </w:r>
      <w:r w:rsidRPr="00B449A5">
        <w:rPr>
          <w:rFonts w:eastAsia="Calibri" w:cs="Times New Roman"/>
          <w:szCs w:val="24"/>
          <w:lang w:val="en-US"/>
        </w:rPr>
        <w:t xml:space="preserve"> 214. — </w:t>
      </w:r>
      <w:r w:rsidRPr="00B449A5">
        <w:rPr>
          <w:rFonts w:eastAsia="Calibri" w:cs="Times New Roman"/>
          <w:szCs w:val="24"/>
        </w:rPr>
        <w:t>С</w:t>
      </w:r>
      <w:r w:rsidRPr="00B449A5">
        <w:rPr>
          <w:rFonts w:eastAsia="Calibri" w:cs="Times New Roman"/>
          <w:szCs w:val="24"/>
          <w:lang w:val="en-US"/>
        </w:rPr>
        <w:t>. 110598–110598. DOI: 10.1016/j.engstruct.2020.110598</w:t>
      </w:r>
    </w:p>
    <w:p w14:paraId="591DF9B8" w14:textId="6C0C35E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239.</w:t>
      </w:r>
      <w:r w:rsidRPr="00B449A5">
        <w:rPr>
          <w:rFonts w:eastAsia="Calibri" w:cs="Times New Roman"/>
          <w:szCs w:val="24"/>
          <w:lang w:val="en-US"/>
        </w:rPr>
        <w:tab/>
        <w:t xml:space="preserve">Rapid drawdown on earth dam stability after a strong earthquake / S. Sica, L. Pagano, F. Rotili // Computers and Geotechnics. — 2019. — </w:t>
      </w:r>
      <w:r w:rsidR="001A7438" w:rsidRPr="00FA3419">
        <w:rPr>
          <w:rFonts w:eastAsia="Calibri" w:cs="Times New Roman"/>
          <w:szCs w:val="24"/>
          <w:lang w:val="en-US"/>
        </w:rPr>
        <w:t>VOL.</w:t>
      </w:r>
      <w:r w:rsidRPr="00B449A5">
        <w:rPr>
          <w:rFonts w:eastAsia="Calibri" w:cs="Times New Roman"/>
          <w:szCs w:val="24"/>
          <w:lang w:val="en-US"/>
        </w:rPr>
        <w:t xml:space="preserve"> 116. — </w:t>
      </w:r>
      <w:r w:rsidRPr="00B449A5">
        <w:rPr>
          <w:rFonts w:eastAsia="Calibri" w:cs="Times New Roman"/>
          <w:szCs w:val="24"/>
        </w:rPr>
        <w:t>С</w:t>
      </w:r>
      <w:r w:rsidRPr="00B449A5">
        <w:rPr>
          <w:rFonts w:eastAsia="Calibri" w:cs="Times New Roman"/>
          <w:szCs w:val="24"/>
          <w:lang w:val="en-US"/>
        </w:rPr>
        <w:t>. 103187–103187. DOI: 10.1016/j.compgeo.2019.103187</w:t>
      </w:r>
    </w:p>
    <w:p w14:paraId="6E01ECB2" w14:textId="6705C77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240.</w:t>
      </w:r>
      <w:r w:rsidRPr="00B449A5">
        <w:rPr>
          <w:rFonts w:eastAsia="Calibri" w:cs="Times New Roman"/>
          <w:szCs w:val="24"/>
          <w:lang w:val="en-US"/>
        </w:rPr>
        <w:tab/>
        <w:t xml:space="preserve">Reliability analysis of slope stability in earthen dams following rapid drawdown / Z. Kahot, R. Dkiouak, A. Khamlichi // International Review of Applied Sciences and Engineering. — 2019. — </w:t>
      </w:r>
      <w:r w:rsidR="001A7438" w:rsidRPr="00FA3419">
        <w:rPr>
          <w:rFonts w:eastAsia="Calibri" w:cs="Times New Roman"/>
          <w:szCs w:val="24"/>
          <w:lang w:val="en-US"/>
        </w:rPr>
        <w:t>VOL.</w:t>
      </w:r>
      <w:r w:rsidRPr="00B449A5">
        <w:rPr>
          <w:rFonts w:eastAsia="Calibri" w:cs="Times New Roman"/>
          <w:szCs w:val="24"/>
          <w:lang w:val="en-US"/>
        </w:rPr>
        <w:t xml:space="preserve"> 10, № 1. — </w:t>
      </w:r>
      <w:r w:rsidRPr="00B449A5">
        <w:rPr>
          <w:rFonts w:eastAsia="Calibri" w:cs="Times New Roman"/>
          <w:szCs w:val="24"/>
        </w:rPr>
        <w:t>С</w:t>
      </w:r>
      <w:r w:rsidRPr="00B449A5">
        <w:rPr>
          <w:rFonts w:eastAsia="Calibri" w:cs="Times New Roman"/>
          <w:szCs w:val="24"/>
          <w:lang w:val="en-US"/>
        </w:rPr>
        <w:t>. 101–112. DOI: 10.1556/1848.2018.0011</w:t>
      </w:r>
    </w:p>
    <w:p w14:paraId="5AE2553C" w14:textId="2EFD737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241.</w:t>
      </w:r>
      <w:r w:rsidRPr="00B449A5">
        <w:rPr>
          <w:rFonts w:eastAsia="Calibri" w:cs="Times New Roman"/>
          <w:szCs w:val="24"/>
          <w:lang w:val="en-US"/>
        </w:rPr>
        <w:tab/>
        <w:t xml:space="preserve">Failure of infrastructure embankments induced by flooding and seepage: a neglected source of hazard / M. Polemio, P. Lollino // Natural Hazards and Earth System Sciences. — 2011. — </w:t>
      </w:r>
      <w:r w:rsidR="001A7438" w:rsidRPr="00FA3419">
        <w:rPr>
          <w:rFonts w:eastAsia="Calibri" w:cs="Times New Roman"/>
          <w:szCs w:val="24"/>
          <w:lang w:val="en-US"/>
        </w:rPr>
        <w:t>VOL.</w:t>
      </w:r>
      <w:r w:rsidRPr="00B449A5">
        <w:rPr>
          <w:rFonts w:eastAsia="Calibri" w:cs="Times New Roman"/>
          <w:szCs w:val="24"/>
          <w:lang w:val="en-US"/>
        </w:rPr>
        <w:t xml:space="preserve"> 11, № 12. — </w:t>
      </w:r>
      <w:r w:rsidRPr="00B449A5">
        <w:rPr>
          <w:rFonts w:eastAsia="Calibri" w:cs="Times New Roman"/>
          <w:szCs w:val="24"/>
        </w:rPr>
        <w:t>С</w:t>
      </w:r>
      <w:r w:rsidRPr="00B449A5">
        <w:rPr>
          <w:rFonts w:eastAsia="Calibri" w:cs="Times New Roman"/>
          <w:szCs w:val="24"/>
          <w:lang w:val="en-US"/>
        </w:rPr>
        <w:t>. 3383–3396. DOI: 10.5194/nhess-11-3383-2011</w:t>
      </w:r>
    </w:p>
    <w:p w14:paraId="37ECC048" w14:textId="4F8BEAF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242.</w:t>
      </w:r>
      <w:r w:rsidRPr="00B449A5">
        <w:rPr>
          <w:rFonts w:eastAsia="Calibri" w:cs="Times New Roman"/>
          <w:szCs w:val="24"/>
          <w:lang w:val="en-US"/>
        </w:rPr>
        <w:tab/>
        <w:t xml:space="preserve">A review of floodwater impacts on the stability of transportation embankments / I. Johnston, W. Murphy, J. Holden // Earth-Science Reviews. — 2021. — </w:t>
      </w:r>
      <w:r w:rsidR="001A7438" w:rsidRPr="00FA3419">
        <w:rPr>
          <w:rFonts w:eastAsia="Calibri" w:cs="Times New Roman"/>
          <w:szCs w:val="24"/>
          <w:lang w:val="en-US"/>
        </w:rPr>
        <w:t>VOL.</w:t>
      </w:r>
      <w:r w:rsidRPr="00B449A5">
        <w:rPr>
          <w:rFonts w:eastAsia="Calibri" w:cs="Times New Roman"/>
          <w:szCs w:val="24"/>
          <w:lang w:val="en-US"/>
        </w:rPr>
        <w:t xml:space="preserve"> 215. — </w:t>
      </w:r>
      <w:r w:rsidRPr="00B449A5">
        <w:rPr>
          <w:rFonts w:eastAsia="Calibri" w:cs="Times New Roman"/>
          <w:szCs w:val="24"/>
        </w:rPr>
        <w:t>С</w:t>
      </w:r>
      <w:r w:rsidRPr="00B449A5">
        <w:rPr>
          <w:rFonts w:eastAsia="Calibri" w:cs="Times New Roman"/>
          <w:szCs w:val="24"/>
          <w:lang w:val="en-US"/>
        </w:rPr>
        <w:t>. 103553–103553. DOI: 10.1016/j.earscirev.2021.103553</w:t>
      </w:r>
    </w:p>
    <w:p w14:paraId="109949B3" w14:textId="21ABEA1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243.</w:t>
      </w:r>
      <w:r w:rsidRPr="00B449A5">
        <w:rPr>
          <w:rFonts w:eastAsia="Calibri" w:cs="Times New Roman"/>
          <w:szCs w:val="24"/>
          <w:lang w:val="en-US"/>
        </w:rPr>
        <w:tab/>
        <w:t xml:space="preserve">Effect of repeated rise and fall of water level on seepage-induced deformation and related stability analysis of Princeville levee / R. Jadid, B.M. Montoya, V. Bennett, M.A. Gabr // Engineering Geology. — 2020. — </w:t>
      </w:r>
      <w:r w:rsidR="001A7438" w:rsidRPr="00FA3419">
        <w:rPr>
          <w:rFonts w:eastAsia="Calibri" w:cs="Times New Roman"/>
          <w:szCs w:val="24"/>
          <w:lang w:val="en-US"/>
        </w:rPr>
        <w:t>VOL.</w:t>
      </w:r>
      <w:r w:rsidRPr="00B449A5">
        <w:rPr>
          <w:rFonts w:eastAsia="Calibri" w:cs="Times New Roman"/>
          <w:szCs w:val="24"/>
          <w:lang w:val="en-US"/>
        </w:rPr>
        <w:t xml:space="preserve"> 266. — </w:t>
      </w:r>
      <w:r w:rsidRPr="00B449A5">
        <w:rPr>
          <w:rFonts w:eastAsia="Calibri" w:cs="Times New Roman"/>
          <w:szCs w:val="24"/>
        </w:rPr>
        <w:t>С</w:t>
      </w:r>
      <w:r w:rsidRPr="00B449A5">
        <w:rPr>
          <w:rFonts w:eastAsia="Calibri" w:cs="Times New Roman"/>
          <w:szCs w:val="24"/>
          <w:lang w:val="en-US"/>
        </w:rPr>
        <w:t>. 105458–105458. DOI: 10.1016/j.enggeo.2019.105458</w:t>
      </w:r>
    </w:p>
    <w:p w14:paraId="63AD0CB3" w14:textId="3EED282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244.</w:t>
      </w:r>
      <w:r w:rsidRPr="00B449A5">
        <w:rPr>
          <w:rFonts w:eastAsia="Calibri" w:cs="Times New Roman"/>
          <w:szCs w:val="24"/>
          <w:lang w:val="en-US"/>
        </w:rPr>
        <w:tab/>
        <w:t xml:space="preserve">Total stress rapid drawdown analysis of the Pilarcitos Dam failure using the finite element method / D.R. Vandenberge // Frontiers of Structural and Civil Engineering. — 2014. — </w:t>
      </w:r>
      <w:r w:rsidR="001A7438" w:rsidRPr="00FA3419">
        <w:rPr>
          <w:rFonts w:eastAsia="Calibri" w:cs="Times New Roman"/>
          <w:szCs w:val="24"/>
          <w:lang w:val="en-US"/>
        </w:rPr>
        <w:t>VOL.</w:t>
      </w:r>
      <w:r w:rsidRPr="00B449A5">
        <w:rPr>
          <w:rFonts w:eastAsia="Calibri" w:cs="Times New Roman"/>
          <w:szCs w:val="24"/>
          <w:lang w:val="en-US"/>
        </w:rPr>
        <w:t xml:space="preserve"> 8, № 2. — </w:t>
      </w:r>
      <w:r w:rsidRPr="00B449A5">
        <w:rPr>
          <w:rFonts w:eastAsia="Calibri" w:cs="Times New Roman"/>
          <w:szCs w:val="24"/>
        </w:rPr>
        <w:t>С</w:t>
      </w:r>
      <w:r w:rsidRPr="00B449A5">
        <w:rPr>
          <w:rFonts w:eastAsia="Calibri" w:cs="Times New Roman"/>
          <w:szCs w:val="24"/>
          <w:lang w:val="en-US"/>
        </w:rPr>
        <w:t>. 115–123. DOI: 10.1007/s11709-014-0249-7</w:t>
      </w:r>
    </w:p>
    <w:p w14:paraId="00CD2378" w14:textId="281E8A6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245.</w:t>
      </w:r>
      <w:r w:rsidRPr="00B449A5">
        <w:rPr>
          <w:rFonts w:eastAsia="Calibri" w:cs="Times New Roman"/>
          <w:szCs w:val="24"/>
          <w:lang w:val="en-US"/>
        </w:rPr>
        <w:tab/>
        <w:t>Environmental Applications of Digital Terrain Modeling / J.P. Wilson. — Chichester, UK: John Wiley &amp; Sons, Ltd, 2018. DOI: 10.1002/9781118938188</w:t>
      </w:r>
    </w:p>
    <w:p w14:paraId="58D67069" w14:textId="36B08F1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246.</w:t>
      </w:r>
      <w:r w:rsidRPr="00B449A5">
        <w:rPr>
          <w:rFonts w:eastAsia="Calibri" w:cs="Times New Roman"/>
          <w:szCs w:val="24"/>
          <w:lang w:val="en-US"/>
        </w:rPr>
        <w:tab/>
        <w:t xml:space="preserve">Level III Design of Erosion &amp; Sediment Control Plans / North Carolina Department of Transportation. — North Carolina: North Carolina State University, </w:t>
      </w:r>
    </w:p>
    <w:p w14:paraId="35A3405E" w14:textId="2E6D96D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247.</w:t>
      </w:r>
      <w:r w:rsidRPr="00B449A5">
        <w:rPr>
          <w:rFonts w:eastAsia="Calibri" w:cs="Times New Roman"/>
          <w:szCs w:val="24"/>
          <w:lang w:val="en-US"/>
        </w:rPr>
        <w:tab/>
        <w:t>The National Land Cover Database / C. Homer, J. Fry // US Geological Survey Fact Sheet. — 2012. DOI: 10.3133/fs20123020</w:t>
      </w:r>
    </w:p>
    <w:p w14:paraId="52E91B62" w14:textId="3D40356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248.</w:t>
      </w:r>
      <w:r w:rsidRPr="00B449A5">
        <w:rPr>
          <w:rFonts w:eastAsia="Calibri" w:cs="Times New Roman"/>
          <w:szCs w:val="24"/>
          <w:lang w:val="en-US"/>
        </w:rPr>
        <w:tab/>
        <w:t>Catchment area delineation using GIS technique for Bekhma Dam Catchment area delineation using GIS technique for Bekhma Dam / M. Abdulla // Spatial Information Processing. — 2011.</w:t>
      </w:r>
    </w:p>
    <w:p w14:paraId="53CC5225" w14:textId="7B9EA41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249.</w:t>
      </w:r>
      <w:r w:rsidRPr="00B449A5">
        <w:rPr>
          <w:rFonts w:eastAsia="Calibri" w:cs="Times New Roman"/>
          <w:szCs w:val="24"/>
          <w:lang w:val="en-US"/>
        </w:rPr>
        <w:tab/>
        <w:t xml:space="preserve">How large is the Upper Indus Basin? The pitfalls of auto-delineation using DEMs / A. Khan, K.S. Richards, G.T. Parker, A. McRobie, B. Mukhopadhyay // Journal of Hydrology. — 2014. — </w:t>
      </w:r>
      <w:r w:rsidR="001A7438" w:rsidRPr="00FA3419">
        <w:rPr>
          <w:rFonts w:eastAsia="Calibri" w:cs="Times New Roman"/>
          <w:szCs w:val="24"/>
          <w:lang w:val="en-US"/>
        </w:rPr>
        <w:t>VOL.</w:t>
      </w:r>
      <w:r w:rsidRPr="00B449A5">
        <w:rPr>
          <w:rFonts w:eastAsia="Calibri" w:cs="Times New Roman"/>
          <w:szCs w:val="24"/>
          <w:lang w:val="en-US"/>
        </w:rPr>
        <w:t xml:space="preserve"> 509. — </w:t>
      </w:r>
      <w:r w:rsidRPr="00B449A5">
        <w:rPr>
          <w:rFonts w:eastAsia="Calibri" w:cs="Times New Roman"/>
          <w:szCs w:val="24"/>
        </w:rPr>
        <w:t>С</w:t>
      </w:r>
      <w:r w:rsidRPr="00B449A5">
        <w:rPr>
          <w:rFonts w:eastAsia="Calibri" w:cs="Times New Roman"/>
          <w:szCs w:val="24"/>
          <w:lang w:val="en-US"/>
        </w:rPr>
        <w:t>. 442–453. DOI: 10.1016/j.jhydrol.2013.11.028</w:t>
      </w:r>
    </w:p>
    <w:p w14:paraId="60784396" w14:textId="7BFB11B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250.</w:t>
      </w:r>
      <w:r w:rsidRPr="00B449A5">
        <w:rPr>
          <w:rFonts w:eastAsia="Calibri" w:cs="Times New Roman"/>
          <w:szCs w:val="24"/>
          <w:lang w:val="en-US"/>
        </w:rPr>
        <w:tab/>
        <w:t xml:space="preserve">Delineation of groundwater potential zones in Theni district, Tamil Nadu, using remote sensing, GIS and MIF techniques / N.S. Magesh, N. Chandrasekar, J.P. Soundranayagam // Geoscience Frontiers. — 2012. — </w:t>
      </w:r>
      <w:r w:rsidR="001A7438" w:rsidRPr="00FA3419">
        <w:rPr>
          <w:rFonts w:eastAsia="Calibri" w:cs="Times New Roman"/>
          <w:szCs w:val="24"/>
          <w:lang w:val="en-US"/>
        </w:rPr>
        <w:t>VOL.</w:t>
      </w:r>
      <w:r w:rsidRPr="00B449A5">
        <w:rPr>
          <w:rFonts w:eastAsia="Calibri" w:cs="Times New Roman"/>
          <w:szCs w:val="24"/>
          <w:lang w:val="en-US"/>
        </w:rPr>
        <w:t xml:space="preserve"> 3, № 2. — </w:t>
      </w:r>
      <w:r w:rsidRPr="00B449A5">
        <w:rPr>
          <w:rFonts w:eastAsia="Calibri" w:cs="Times New Roman"/>
          <w:szCs w:val="24"/>
        </w:rPr>
        <w:t>С</w:t>
      </w:r>
      <w:r w:rsidRPr="00B449A5">
        <w:rPr>
          <w:rFonts w:eastAsia="Calibri" w:cs="Times New Roman"/>
          <w:szCs w:val="24"/>
          <w:lang w:val="en-US"/>
        </w:rPr>
        <w:t>. 189–196. DOI: 10.1016/j.gsf.2011.10.007</w:t>
      </w:r>
    </w:p>
    <w:p w14:paraId="00C5ABC9" w14:textId="4F7F4B2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251.</w:t>
      </w:r>
      <w:r w:rsidRPr="00B449A5">
        <w:rPr>
          <w:rFonts w:eastAsia="Calibri" w:cs="Times New Roman"/>
          <w:szCs w:val="24"/>
          <w:lang w:val="en-US"/>
        </w:rPr>
        <w:tab/>
        <w:t xml:space="preserve">Effects of Digital Elevation Model Accuracy on Hydrologic Predictions / T. Kenward // Remote Sensing of Environment. — 2000. — </w:t>
      </w:r>
      <w:r w:rsidR="001A7438" w:rsidRPr="00FA3419">
        <w:rPr>
          <w:rFonts w:eastAsia="Calibri" w:cs="Times New Roman"/>
          <w:szCs w:val="24"/>
          <w:lang w:val="en-US"/>
        </w:rPr>
        <w:t>VOL.</w:t>
      </w:r>
      <w:r w:rsidRPr="00B449A5">
        <w:rPr>
          <w:rFonts w:eastAsia="Calibri" w:cs="Times New Roman"/>
          <w:szCs w:val="24"/>
          <w:lang w:val="en-US"/>
        </w:rPr>
        <w:t xml:space="preserve"> 74, № 3. — </w:t>
      </w:r>
      <w:r w:rsidRPr="00B449A5">
        <w:rPr>
          <w:rFonts w:eastAsia="Calibri" w:cs="Times New Roman"/>
          <w:szCs w:val="24"/>
        </w:rPr>
        <w:t>С</w:t>
      </w:r>
      <w:r w:rsidRPr="00B449A5">
        <w:rPr>
          <w:rFonts w:eastAsia="Calibri" w:cs="Times New Roman"/>
          <w:szCs w:val="24"/>
          <w:lang w:val="en-US"/>
        </w:rPr>
        <w:t>. 432–444. DOI: 10.1016/S0034-4257(00)00136-X</w:t>
      </w:r>
    </w:p>
    <w:p w14:paraId="3A5BECC7" w14:textId="7C3BEB8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252.</w:t>
      </w:r>
      <w:r w:rsidRPr="00B449A5">
        <w:rPr>
          <w:rFonts w:eastAsia="Calibri" w:cs="Times New Roman"/>
          <w:szCs w:val="24"/>
          <w:lang w:val="en-US"/>
        </w:rPr>
        <w:tab/>
        <w:t xml:space="preserve">The relationship between DEM resolution, accumulation area threshold and drainage network indices / J. Chen, G. Lin, Z. Yang, H. Chen // 2010 18th International Conference on GeoinformaticsIEEE, 2010. — </w:t>
      </w:r>
      <w:r w:rsidRPr="00B449A5">
        <w:rPr>
          <w:rFonts w:eastAsia="Calibri" w:cs="Times New Roman"/>
          <w:szCs w:val="24"/>
        </w:rPr>
        <w:t>С</w:t>
      </w:r>
      <w:r w:rsidRPr="00B449A5">
        <w:rPr>
          <w:rFonts w:eastAsia="Calibri" w:cs="Times New Roman"/>
          <w:szCs w:val="24"/>
          <w:lang w:val="en-US"/>
        </w:rPr>
        <w:t>. 1–5. DOI: 10.1109/GEOINFORMATICS.2010.5567513</w:t>
      </w:r>
    </w:p>
    <w:p w14:paraId="73974EF4" w14:textId="209D9E3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253.</w:t>
      </w:r>
      <w:r w:rsidRPr="00B449A5">
        <w:rPr>
          <w:rFonts w:eastAsia="Calibri" w:cs="Times New Roman"/>
          <w:szCs w:val="24"/>
          <w:lang w:val="en-US"/>
        </w:rPr>
        <w:tab/>
        <w:t xml:space="preserve">Assessing Alternatives for Sustainable Management of A Flood Control Dam / M. Yang, X. Qian, Y. Zhang, J. Sheng, D. Shen // Procedia Environmental Sciences. — 2010. — </w:t>
      </w:r>
      <w:r w:rsidR="001A7438" w:rsidRPr="00FA3419">
        <w:rPr>
          <w:rFonts w:eastAsia="Calibri" w:cs="Times New Roman"/>
          <w:szCs w:val="24"/>
          <w:lang w:val="en-US"/>
        </w:rPr>
        <w:t>VOL.</w:t>
      </w:r>
      <w:r w:rsidRPr="00B449A5">
        <w:rPr>
          <w:rFonts w:eastAsia="Calibri" w:cs="Times New Roman"/>
          <w:szCs w:val="24"/>
          <w:lang w:val="en-US"/>
        </w:rPr>
        <w:t xml:space="preserve"> 2. — </w:t>
      </w:r>
      <w:r w:rsidRPr="00B449A5">
        <w:rPr>
          <w:rFonts w:eastAsia="Calibri" w:cs="Times New Roman"/>
          <w:szCs w:val="24"/>
        </w:rPr>
        <w:t>С</w:t>
      </w:r>
      <w:r w:rsidRPr="00B449A5">
        <w:rPr>
          <w:rFonts w:eastAsia="Calibri" w:cs="Times New Roman"/>
          <w:szCs w:val="24"/>
          <w:lang w:val="en-US"/>
        </w:rPr>
        <w:t>. 98–110. DOI: 10.1016/j.proenv.2010.10.014</w:t>
      </w:r>
    </w:p>
    <w:p w14:paraId="0EBCE8F2" w14:textId="0683002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254.</w:t>
      </w:r>
      <w:r w:rsidRPr="00B449A5">
        <w:rPr>
          <w:rFonts w:eastAsia="Calibri" w:cs="Times New Roman"/>
          <w:szCs w:val="24"/>
          <w:lang w:val="en-US"/>
        </w:rPr>
        <w:tab/>
        <w:t xml:space="preserve">Flood prevention dams for arid regions at a micro-scale sub-catchment, case study: Tabuk, Saudi Arabia / E. Abushandi // Water Science and Technology. — 2016. — </w:t>
      </w:r>
      <w:r w:rsidR="001A7438" w:rsidRPr="00FA3419">
        <w:rPr>
          <w:rFonts w:eastAsia="Calibri" w:cs="Times New Roman"/>
          <w:szCs w:val="24"/>
          <w:lang w:val="en-US"/>
        </w:rPr>
        <w:t>VOL.</w:t>
      </w:r>
      <w:r w:rsidRPr="00B449A5">
        <w:rPr>
          <w:rFonts w:eastAsia="Calibri" w:cs="Times New Roman"/>
          <w:szCs w:val="24"/>
          <w:lang w:val="en-US"/>
        </w:rPr>
        <w:t xml:space="preserve"> 74, № 11. — </w:t>
      </w:r>
      <w:r w:rsidRPr="00B449A5">
        <w:rPr>
          <w:rFonts w:eastAsia="Calibri" w:cs="Times New Roman"/>
          <w:szCs w:val="24"/>
        </w:rPr>
        <w:t>С</w:t>
      </w:r>
      <w:r w:rsidRPr="00B449A5">
        <w:rPr>
          <w:rFonts w:eastAsia="Calibri" w:cs="Times New Roman"/>
          <w:szCs w:val="24"/>
          <w:lang w:val="en-US"/>
        </w:rPr>
        <w:t>. 2523–2533. DOI: 10.2166/wst.2016.341</w:t>
      </w:r>
    </w:p>
    <w:p w14:paraId="00413A99" w14:textId="55B56EE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255.</w:t>
      </w:r>
      <w:r w:rsidRPr="00B449A5">
        <w:rPr>
          <w:rFonts w:eastAsia="Calibri" w:cs="Times New Roman"/>
          <w:szCs w:val="24"/>
          <w:lang w:val="en-US"/>
        </w:rPr>
        <w:tab/>
        <w:t xml:space="preserve">Consultancy services for preparation of feasibility study, detailed design for lugoda dam and Maluluma hydropower on Ndembera river: Interim report. Hydrological report. / Beomhan </w:t>
      </w:r>
      <w:r w:rsidRPr="00B449A5">
        <w:rPr>
          <w:rFonts w:eastAsia="Calibri" w:cs="Times New Roman"/>
          <w:szCs w:val="24"/>
          <w:lang w:val="en-US"/>
        </w:rPr>
        <w:lastRenderedPageBreak/>
        <w:t>Engineering &amp; Architects in association with Hankuk Engineering Co. — Dar es Salaam, Tanzania: 2014.</w:t>
      </w:r>
    </w:p>
    <w:p w14:paraId="6171B946" w14:textId="2C6BF3C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256.</w:t>
      </w:r>
      <w:r w:rsidRPr="00B449A5">
        <w:rPr>
          <w:rFonts w:eastAsia="Calibri" w:cs="Times New Roman"/>
          <w:szCs w:val="24"/>
          <w:lang w:val="en-US"/>
        </w:rPr>
        <w:tab/>
        <w:t>EarthExplorer / U.S. Department of the Interior — 2019.</w:t>
      </w:r>
    </w:p>
    <w:p w14:paraId="62DDAD63" w14:textId="7DFE7F9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257.</w:t>
      </w:r>
      <w:r w:rsidRPr="00B449A5">
        <w:rPr>
          <w:rFonts w:eastAsia="Calibri" w:cs="Times New Roman"/>
          <w:szCs w:val="24"/>
          <w:lang w:val="en-US"/>
        </w:rPr>
        <w:tab/>
        <w:t xml:space="preserve">Using Landsat satellite data for assessing the land use and land cover change in Kashmir valley / A. Alam, M.S. Bhat, M. Maheen // GeoJournal. — 2020. — </w:t>
      </w:r>
      <w:r w:rsidR="001A7438" w:rsidRPr="00FA3419">
        <w:rPr>
          <w:rFonts w:eastAsia="Calibri" w:cs="Times New Roman"/>
          <w:szCs w:val="24"/>
          <w:lang w:val="en-US"/>
        </w:rPr>
        <w:t>VOL.</w:t>
      </w:r>
      <w:r w:rsidRPr="00B449A5">
        <w:rPr>
          <w:rFonts w:eastAsia="Calibri" w:cs="Times New Roman"/>
          <w:szCs w:val="24"/>
          <w:lang w:val="en-US"/>
        </w:rPr>
        <w:t xml:space="preserve"> 85, № 6. — </w:t>
      </w:r>
      <w:r w:rsidRPr="00B449A5">
        <w:rPr>
          <w:rFonts w:eastAsia="Calibri" w:cs="Times New Roman"/>
          <w:szCs w:val="24"/>
        </w:rPr>
        <w:t>С</w:t>
      </w:r>
      <w:r w:rsidRPr="00B449A5">
        <w:rPr>
          <w:rFonts w:eastAsia="Calibri" w:cs="Times New Roman"/>
          <w:szCs w:val="24"/>
          <w:lang w:val="en-US"/>
        </w:rPr>
        <w:t>. 1529–1543. DOI: 10.1007/s10708-019-10037-x</w:t>
      </w:r>
    </w:p>
    <w:p w14:paraId="6D5199F6" w14:textId="3EBB089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258.</w:t>
      </w:r>
      <w:r w:rsidRPr="00B449A5">
        <w:rPr>
          <w:rFonts w:eastAsia="Calibri" w:cs="Times New Roman"/>
          <w:szCs w:val="24"/>
          <w:lang w:val="en-US"/>
        </w:rPr>
        <w:tab/>
        <w:t xml:space="preserve">Land Use and Land Cover Change Detection and Prediction in the Kathmandu District of Nepal Using Remote Sensing and GIS / S.W. Wang, B.M. Gebru, M. Lamchin, R.B. Kayastha, W.-K. Lee // Sustainability. — 2020. — </w:t>
      </w:r>
      <w:r w:rsidR="001A7438" w:rsidRPr="00FA3419">
        <w:rPr>
          <w:rFonts w:eastAsia="Calibri" w:cs="Times New Roman"/>
          <w:szCs w:val="24"/>
          <w:lang w:val="en-US"/>
        </w:rPr>
        <w:t>VOL.</w:t>
      </w:r>
      <w:r w:rsidRPr="00B449A5">
        <w:rPr>
          <w:rFonts w:eastAsia="Calibri" w:cs="Times New Roman"/>
          <w:szCs w:val="24"/>
          <w:lang w:val="en-US"/>
        </w:rPr>
        <w:t xml:space="preserve"> 12, № 9. — </w:t>
      </w:r>
      <w:r w:rsidRPr="00B449A5">
        <w:rPr>
          <w:rFonts w:eastAsia="Calibri" w:cs="Times New Roman"/>
          <w:szCs w:val="24"/>
        </w:rPr>
        <w:t>С</w:t>
      </w:r>
      <w:r w:rsidRPr="00B449A5">
        <w:rPr>
          <w:rFonts w:eastAsia="Calibri" w:cs="Times New Roman"/>
          <w:szCs w:val="24"/>
          <w:lang w:val="en-US"/>
        </w:rPr>
        <w:t>. 3925–3925. DOI: 10.3390/su12093925</w:t>
      </w:r>
    </w:p>
    <w:p w14:paraId="1987C5A8" w14:textId="1F93B33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259.</w:t>
      </w:r>
      <w:r w:rsidRPr="00B449A5">
        <w:rPr>
          <w:rFonts w:eastAsia="Calibri" w:cs="Times New Roman"/>
          <w:szCs w:val="24"/>
          <w:lang w:val="en-US"/>
        </w:rPr>
        <w:tab/>
        <w:t xml:space="preserve">Mapping land limitations for agricultural land use planning using fuzzy logic approach: a case study for Marinduque Island, Philippines / A.R. Salvacion // GeoJournal. — 2021. — </w:t>
      </w:r>
      <w:r w:rsidR="001A7438" w:rsidRPr="00FA3419">
        <w:rPr>
          <w:rFonts w:eastAsia="Calibri" w:cs="Times New Roman"/>
          <w:szCs w:val="24"/>
          <w:lang w:val="en-US"/>
        </w:rPr>
        <w:t>VOL.</w:t>
      </w:r>
      <w:r w:rsidRPr="00B449A5">
        <w:rPr>
          <w:rFonts w:eastAsia="Calibri" w:cs="Times New Roman"/>
          <w:szCs w:val="24"/>
          <w:lang w:val="en-US"/>
        </w:rPr>
        <w:t xml:space="preserve"> 86, № 2. — </w:t>
      </w:r>
      <w:r w:rsidRPr="00B449A5">
        <w:rPr>
          <w:rFonts w:eastAsia="Calibri" w:cs="Times New Roman"/>
          <w:szCs w:val="24"/>
        </w:rPr>
        <w:t>С</w:t>
      </w:r>
      <w:r w:rsidRPr="00B449A5">
        <w:rPr>
          <w:rFonts w:eastAsia="Calibri" w:cs="Times New Roman"/>
          <w:szCs w:val="24"/>
          <w:lang w:val="en-US"/>
        </w:rPr>
        <w:t>. 915–925. DOI: 10.1007/s10708-019-10103-4</w:t>
      </w:r>
    </w:p>
    <w:p w14:paraId="08B67602" w14:textId="0835C27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260.</w:t>
      </w:r>
      <w:r w:rsidRPr="00B449A5">
        <w:rPr>
          <w:rFonts w:eastAsia="Calibri" w:cs="Times New Roman"/>
          <w:szCs w:val="24"/>
          <w:lang w:val="en-US"/>
        </w:rPr>
        <w:tab/>
        <w:t xml:space="preserve">Grid‐Based Application of Runoff Curve Numbers / D. White // Journal of Water Resources Planning and Management. — 1988. — </w:t>
      </w:r>
      <w:r w:rsidR="001A7438" w:rsidRPr="00FA3419">
        <w:rPr>
          <w:rFonts w:eastAsia="Calibri" w:cs="Times New Roman"/>
          <w:szCs w:val="24"/>
          <w:lang w:val="en-US"/>
        </w:rPr>
        <w:t>VOL.</w:t>
      </w:r>
      <w:r w:rsidRPr="00B449A5">
        <w:rPr>
          <w:rFonts w:eastAsia="Calibri" w:cs="Times New Roman"/>
          <w:szCs w:val="24"/>
          <w:lang w:val="en-US"/>
        </w:rPr>
        <w:t xml:space="preserve"> 114, № 6. — </w:t>
      </w:r>
      <w:r w:rsidRPr="00B449A5">
        <w:rPr>
          <w:rFonts w:eastAsia="Calibri" w:cs="Times New Roman"/>
          <w:szCs w:val="24"/>
        </w:rPr>
        <w:t>С</w:t>
      </w:r>
      <w:r w:rsidRPr="00B449A5">
        <w:rPr>
          <w:rFonts w:eastAsia="Calibri" w:cs="Times New Roman"/>
          <w:szCs w:val="24"/>
          <w:lang w:val="en-US"/>
        </w:rPr>
        <w:t>. 601–612. DOI: 10.1061/(ASCE)0733-9496(1988)114:6(601)</w:t>
      </w:r>
    </w:p>
    <w:p w14:paraId="5AD9D223" w14:textId="5F90C64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261.</w:t>
      </w:r>
      <w:r w:rsidRPr="00B449A5">
        <w:rPr>
          <w:rFonts w:eastAsia="Calibri" w:cs="Times New Roman"/>
          <w:szCs w:val="24"/>
          <w:lang w:val="en-US"/>
        </w:rPr>
        <w:tab/>
        <w:t xml:space="preserve">Land-Use Classification Using Convolutional Neural Networks / A.M. Stepchenko // Automatic Control and Computer Sciences. — 2021. — </w:t>
      </w:r>
      <w:r w:rsidR="001A7438" w:rsidRPr="00FA3419">
        <w:rPr>
          <w:rFonts w:eastAsia="Calibri" w:cs="Times New Roman"/>
          <w:szCs w:val="24"/>
          <w:lang w:val="en-US"/>
        </w:rPr>
        <w:t>VOL.</w:t>
      </w:r>
      <w:r w:rsidRPr="00B449A5">
        <w:rPr>
          <w:rFonts w:eastAsia="Calibri" w:cs="Times New Roman"/>
          <w:szCs w:val="24"/>
          <w:lang w:val="en-US"/>
        </w:rPr>
        <w:t xml:space="preserve"> 55, № 4. — </w:t>
      </w:r>
      <w:r w:rsidRPr="00B449A5">
        <w:rPr>
          <w:rFonts w:eastAsia="Calibri" w:cs="Times New Roman"/>
          <w:szCs w:val="24"/>
        </w:rPr>
        <w:t>С</w:t>
      </w:r>
      <w:r w:rsidRPr="00B449A5">
        <w:rPr>
          <w:rFonts w:eastAsia="Calibri" w:cs="Times New Roman"/>
          <w:szCs w:val="24"/>
          <w:lang w:val="en-US"/>
        </w:rPr>
        <w:t>. 358–367. DOI: 10.3103/S0146411621040088</w:t>
      </w:r>
    </w:p>
    <w:p w14:paraId="715F7762" w14:textId="0FBDF98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262.</w:t>
      </w:r>
      <w:r w:rsidRPr="00B449A5">
        <w:rPr>
          <w:rFonts w:eastAsia="Calibri" w:cs="Times New Roman"/>
          <w:szCs w:val="24"/>
          <w:lang w:val="en-US"/>
        </w:rPr>
        <w:tab/>
        <w:t xml:space="preserve">Impacts of land use and land cover change on surface runoff, discharge and low flows: Evidence from East Africa / A.C. Guzha, M.C. Rufino, S. Okoth, S. Jacobs, R.L.B. Nóbrega // Journal of Hydrology: Regional Studies. — 2018. — </w:t>
      </w:r>
      <w:r w:rsidR="001A7438" w:rsidRPr="00FA3419">
        <w:rPr>
          <w:rFonts w:eastAsia="Calibri" w:cs="Times New Roman"/>
          <w:szCs w:val="24"/>
          <w:lang w:val="en-US"/>
        </w:rPr>
        <w:t>VOL.</w:t>
      </w:r>
      <w:r w:rsidRPr="00B449A5">
        <w:rPr>
          <w:rFonts w:eastAsia="Calibri" w:cs="Times New Roman"/>
          <w:szCs w:val="24"/>
          <w:lang w:val="en-US"/>
        </w:rPr>
        <w:t xml:space="preserve"> 15. — </w:t>
      </w:r>
      <w:r w:rsidRPr="00B449A5">
        <w:rPr>
          <w:rFonts w:eastAsia="Calibri" w:cs="Times New Roman"/>
          <w:szCs w:val="24"/>
        </w:rPr>
        <w:t>С</w:t>
      </w:r>
      <w:r w:rsidRPr="00B449A5">
        <w:rPr>
          <w:rFonts w:eastAsia="Calibri" w:cs="Times New Roman"/>
          <w:szCs w:val="24"/>
          <w:lang w:val="en-US"/>
        </w:rPr>
        <w:t>. 49–67. DOI: 10.1016/j.ejrh.2017.11.005</w:t>
      </w:r>
    </w:p>
    <w:p w14:paraId="7673CF4D" w14:textId="5D97045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263.</w:t>
      </w:r>
      <w:r w:rsidRPr="00B449A5">
        <w:rPr>
          <w:rFonts w:eastAsia="Calibri" w:cs="Times New Roman"/>
          <w:szCs w:val="24"/>
          <w:lang w:val="en-US"/>
        </w:rPr>
        <w:tab/>
        <w:t xml:space="preserve">Risk Assessment of Dam-Breach Flood Under Extreme Storm Events / X. Lin, G. Huang, G. Wang, D. Yan, X. Zhou // Frontiers in Environmental Science. — 2021. — </w:t>
      </w:r>
      <w:r w:rsidR="001A7438" w:rsidRPr="00FA3419">
        <w:rPr>
          <w:rFonts w:eastAsia="Calibri" w:cs="Times New Roman"/>
          <w:szCs w:val="24"/>
          <w:lang w:val="en-US"/>
        </w:rPr>
        <w:t>VOL.</w:t>
      </w:r>
      <w:r w:rsidRPr="00B449A5">
        <w:rPr>
          <w:rFonts w:eastAsia="Calibri" w:cs="Times New Roman"/>
          <w:szCs w:val="24"/>
          <w:lang w:val="en-US"/>
        </w:rPr>
        <w:t xml:space="preserve"> 9. DOI: 10.3389/fenvs.2021.742901</w:t>
      </w:r>
    </w:p>
    <w:p w14:paraId="53E4C1F8" w14:textId="4169FA5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264.</w:t>
      </w:r>
      <w:r w:rsidRPr="00B449A5">
        <w:rPr>
          <w:rFonts w:eastAsia="Calibri" w:cs="Times New Roman"/>
          <w:szCs w:val="24"/>
          <w:lang w:val="en-US"/>
        </w:rPr>
        <w:tab/>
        <w:t xml:space="preserve">Phreatic line calculation and stability analysis of slopes under the combined effect of reservoir water level fluctuations and rainfall / G. Sun, Y. Yang, S. Cheng, H. Zheng // Canadian Geotechnical Journal. — 2017. — </w:t>
      </w:r>
      <w:r w:rsidR="001A7438" w:rsidRPr="00FA3419">
        <w:rPr>
          <w:rFonts w:eastAsia="Calibri" w:cs="Times New Roman"/>
          <w:szCs w:val="24"/>
          <w:lang w:val="en-US"/>
        </w:rPr>
        <w:t>VOL.</w:t>
      </w:r>
      <w:r w:rsidRPr="00B449A5">
        <w:rPr>
          <w:rFonts w:eastAsia="Calibri" w:cs="Times New Roman"/>
          <w:szCs w:val="24"/>
          <w:lang w:val="en-US"/>
        </w:rPr>
        <w:t xml:space="preserve"> 54, № 5. — </w:t>
      </w:r>
      <w:r w:rsidRPr="00B449A5">
        <w:rPr>
          <w:rFonts w:eastAsia="Calibri" w:cs="Times New Roman"/>
          <w:szCs w:val="24"/>
        </w:rPr>
        <w:t>С</w:t>
      </w:r>
      <w:r w:rsidRPr="00B449A5">
        <w:rPr>
          <w:rFonts w:eastAsia="Calibri" w:cs="Times New Roman"/>
          <w:szCs w:val="24"/>
          <w:lang w:val="en-US"/>
        </w:rPr>
        <w:t>. 631–645. DOI: 10.1139/cgj-2016-0315</w:t>
      </w:r>
    </w:p>
    <w:p w14:paraId="09F230D2" w14:textId="571ECCF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265.</w:t>
      </w:r>
      <w:r w:rsidRPr="00B449A5">
        <w:rPr>
          <w:rFonts w:eastAsia="Calibri" w:cs="Times New Roman"/>
          <w:szCs w:val="24"/>
          <w:lang w:val="en-US"/>
        </w:rPr>
        <w:tab/>
        <w:t xml:space="preserve">Failure analysis of a geomembrane lined reservoir embankment / R. Bhowmik, J.T. Shahu, M. Datta // Geotextiles and Geomembranes. — 2018. — </w:t>
      </w:r>
      <w:r w:rsidR="001A7438" w:rsidRPr="00FA3419">
        <w:rPr>
          <w:rFonts w:eastAsia="Calibri" w:cs="Times New Roman"/>
          <w:szCs w:val="24"/>
          <w:lang w:val="en-US"/>
        </w:rPr>
        <w:t>VOL.</w:t>
      </w:r>
      <w:r w:rsidRPr="00B449A5">
        <w:rPr>
          <w:rFonts w:eastAsia="Calibri" w:cs="Times New Roman"/>
          <w:szCs w:val="24"/>
          <w:lang w:val="en-US"/>
        </w:rPr>
        <w:t xml:space="preserve"> 46, № 1. — </w:t>
      </w:r>
      <w:r w:rsidRPr="00B449A5">
        <w:rPr>
          <w:rFonts w:eastAsia="Calibri" w:cs="Times New Roman"/>
          <w:szCs w:val="24"/>
        </w:rPr>
        <w:t>С</w:t>
      </w:r>
      <w:r w:rsidRPr="00B449A5">
        <w:rPr>
          <w:rFonts w:eastAsia="Calibri" w:cs="Times New Roman"/>
          <w:szCs w:val="24"/>
          <w:lang w:val="en-US"/>
        </w:rPr>
        <w:t>. 52–65. DOI: 10.1016/j.geotexmem.2017.10.005</w:t>
      </w:r>
    </w:p>
    <w:p w14:paraId="2B47A715" w14:textId="63CE4FE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266.</w:t>
      </w:r>
      <w:r w:rsidRPr="00B449A5">
        <w:rPr>
          <w:rFonts w:eastAsia="Calibri" w:cs="Times New Roman"/>
          <w:szCs w:val="24"/>
          <w:lang w:val="en-US"/>
        </w:rPr>
        <w:tab/>
        <w:t xml:space="preserve">Flow through a Tailings Pond Embankment / C.D. Kealy, R.E. Williams // Water Resources Research. — 1971. — </w:t>
      </w:r>
      <w:r w:rsidR="001A7438" w:rsidRPr="00FA3419">
        <w:rPr>
          <w:rFonts w:eastAsia="Calibri" w:cs="Times New Roman"/>
          <w:szCs w:val="24"/>
          <w:lang w:val="en-US"/>
        </w:rPr>
        <w:t>VOL.</w:t>
      </w:r>
      <w:r w:rsidRPr="00B449A5">
        <w:rPr>
          <w:rFonts w:eastAsia="Calibri" w:cs="Times New Roman"/>
          <w:szCs w:val="24"/>
          <w:lang w:val="en-US"/>
        </w:rPr>
        <w:t xml:space="preserve"> 7, № 1. — </w:t>
      </w:r>
      <w:r w:rsidRPr="00B449A5">
        <w:rPr>
          <w:rFonts w:eastAsia="Calibri" w:cs="Times New Roman"/>
          <w:szCs w:val="24"/>
        </w:rPr>
        <w:t>С</w:t>
      </w:r>
      <w:r w:rsidRPr="00B449A5">
        <w:rPr>
          <w:rFonts w:eastAsia="Calibri" w:cs="Times New Roman"/>
          <w:szCs w:val="24"/>
          <w:lang w:val="en-US"/>
        </w:rPr>
        <w:t>. 143–154. DOI: 10.1029/WR007i001p00143</w:t>
      </w:r>
    </w:p>
    <w:p w14:paraId="76E18C58" w14:textId="4E460F2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267.</w:t>
      </w:r>
      <w:r w:rsidRPr="00B449A5">
        <w:rPr>
          <w:rFonts w:eastAsia="Calibri" w:cs="Times New Roman"/>
          <w:szCs w:val="24"/>
          <w:lang w:val="en-US"/>
        </w:rPr>
        <w:tab/>
        <w:t xml:space="preserve">Numerical analysis and geophysical monitoring for stability assessment of the Northwest tailings dam at Westwood Mine / Y. Coulibaly, T. Belem, L. Cheng // International Journal of Mining Science and Technology. — 2017. — </w:t>
      </w:r>
      <w:r w:rsidR="001A7438" w:rsidRPr="00FA3419">
        <w:rPr>
          <w:rFonts w:eastAsia="Calibri" w:cs="Times New Roman"/>
          <w:szCs w:val="24"/>
          <w:lang w:val="en-US"/>
        </w:rPr>
        <w:t>VOL.</w:t>
      </w:r>
      <w:r w:rsidRPr="00B449A5">
        <w:rPr>
          <w:rFonts w:eastAsia="Calibri" w:cs="Times New Roman"/>
          <w:szCs w:val="24"/>
          <w:lang w:val="en-US"/>
        </w:rPr>
        <w:t xml:space="preserve"> 27, № 4. — </w:t>
      </w:r>
      <w:r w:rsidRPr="00B449A5">
        <w:rPr>
          <w:rFonts w:eastAsia="Calibri" w:cs="Times New Roman"/>
          <w:szCs w:val="24"/>
        </w:rPr>
        <w:t>С</w:t>
      </w:r>
      <w:r w:rsidRPr="00B449A5">
        <w:rPr>
          <w:rFonts w:eastAsia="Calibri" w:cs="Times New Roman"/>
          <w:szCs w:val="24"/>
          <w:lang w:val="en-US"/>
        </w:rPr>
        <w:t>. 701–710. DOI: 10.1016/j.ijmst.2017.05.012</w:t>
      </w:r>
    </w:p>
    <w:p w14:paraId="45D20341" w14:textId="0974A3D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268.</w:t>
      </w:r>
      <w:r w:rsidRPr="00B449A5">
        <w:rPr>
          <w:rFonts w:eastAsia="Calibri" w:cs="Times New Roman"/>
          <w:szCs w:val="24"/>
          <w:lang w:val="en-US"/>
        </w:rPr>
        <w:tab/>
        <w:t xml:space="preserve">Discussion on the Safety Factors of Slopes Recommended for Small Dams / J. Vrubel, J. Říha // Acta Universitatis Agriculturae et Silviculturae Mendelianae Brunensis. — 2017. — </w:t>
      </w:r>
      <w:r w:rsidR="001A7438" w:rsidRPr="00FA3419">
        <w:rPr>
          <w:rFonts w:eastAsia="Calibri" w:cs="Times New Roman"/>
          <w:szCs w:val="24"/>
          <w:lang w:val="en-US"/>
        </w:rPr>
        <w:t>VOL.</w:t>
      </w:r>
      <w:r w:rsidRPr="00B449A5">
        <w:rPr>
          <w:rFonts w:eastAsia="Calibri" w:cs="Times New Roman"/>
          <w:szCs w:val="24"/>
          <w:lang w:val="en-US"/>
        </w:rPr>
        <w:t xml:space="preserve"> 65, № 2. — </w:t>
      </w:r>
      <w:r w:rsidRPr="00B449A5">
        <w:rPr>
          <w:rFonts w:eastAsia="Calibri" w:cs="Times New Roman"/>
          <w:szCs w:val="24"/>
        </w:rPr>
        <w:t>С</w:t>
      </w:r>
      <w:r w:rsidRPr="00B449A5">
        <w:rPr>
          <w:rFonts w:eastAsia="Calibri" w:cs="Times New Roman"/>
          <w:szCs w:val="24"/>
          <w:lang w:val="en-US"/>
        </w:rPr>
        <w:t>. 569–576. DOI: 10.11118/actaun201765020569</w:t>
      </w:r>
    </w:p>
    <w:p w14:paraId="24D3B50C" w14:textId="754B9B9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269.</w:t>
      </w:r>
      <w:r w:rsidRPr="00B449A5">
        <w:rPr>
          <w:rFonts w:eastAsia="Calibri" w:cs="Times New Roman"/>
          <w:szCs w:val="24"/>
          <w:lang w:val="en-US"/>
        </w:rPr>
        <w:tab/>
        <w:t xml:space="preserve">Distribution of pore water pressure in an earthen dam considering unsaturated-saturated seepage analysis / K. Venkatesh, S.R. Karumanchi // E3S Web of Conferences. — 2016. — </w:t>
      </w:r>
      <w:r w:rsidR="001A7438" w:rsidRPr="00FA3419">
        <w:rPr>
          <w:rFonts w:eastAsia="Calibri" w:cs="Times New Roman"/>
          <w:szCs w:val="24"/>
          <w:lang w:val="en-US"/>
        </w:rPr>
        <w:t>VOL.</w:t>
      </w:r>
      <w:r w:rsidRPr="00B449A5">
        <w:rPr>
          <w:rFonts w:eastAsia="Calibri" w:cs="Times New Roman"/>
          <w:szCs w:val="24"/>
          <w:lang w:val="en-US"/>
        </w:rPr>
        <w:t xml:space="preserve"> 9. — </w:t>
      </w:r>
      <w:r w:rsidRPr="00B449A5">
        <w:rPr>
          <w:rFonts w:eastAsia="Calibri" w:cs="Times New Roman"/>
          <w:szCs w:val="24"/>
        </w:rPr>
        <w:t>С</w:t>
      </w:r>
      <w:r w:rsidRPr="00B449A5">
        <w:rPr>
          <w:rFonts w:eastAsia="Calibri" w:cs="Times New Roman"/>
          <w:szCs w:val="24"/>
          <w:lang w:val="en-US"/>
        </w:rPr>
        <w:t>. 19004–19004. DOI: 10.1051/e3sconf/20160919004</w:t>
      </w:r>
    </w:p>
    <w:p w14:paraId="68D55E6E" w14:textId="5FCC47B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270.</w:t>
      </w:r>
      <w:r w:rsidRPr="00B449A5">
        <w:rPr>
          <w:rFonts w:eastAsia="Calibri" w:cs="Times New Roman"/>
          <w:szCs w:val="24"/>
          <w:lang w:val="en-US"/>
        </w:rPr>
        <w:tab/>
        <w:t xml:space="preserve">Numerical analysis of rapid drawdown: Applications in real cases / E.E. Alonso, N.M. Pinyol // Water Science and Engineering. — 2016. — </w:t>
      </w:r>
      <w:r w:rsidR="001A7438" w:rsidRPr="00FA3419">
        <w:rPr>
          <w:rFonts w:eastAsia="Calibri" w:cs="Times New Roman"/>
          <w:szCs w:val="24"/>
          <w:lang w:val="en-US"/>
        </w:rPr>
        <w:t>VOL.</w:t>
      </w:r>
      <w:r w:rsidRPr="00B449A5">
        <w:rPr>
          <w:rFonts w:eastAsia="Calibri" w:cs="Times New Roman"/>
          <w:szCs w:val="24"/>
          <w:lang w:val="en-US"/>
        </w:rPr>
        <w:t xml:space="preserve"> 9, № 3. — </w:t>
      </w:r>
      <w:r w:rsidRPr="00B449A5">
        <w:rPr>
          <w:rFonts w:eastAsia="Calibri" w:cs="Times New Roman"/>
          <w:szCs w:val="24"/>
        </w:rPr>
        <w:t>С</w:t>
      </w:r>
      <w:r w:rsidRPr="00B449A5">
        <w:rPr>
          <w:rFonts w:eastAsia="Calibri" w:cs="Times New Roman"/>
          <w:szCs w:val="24"/>
          <w:lang w:val="en-US"/>
        </w:rPr>
        <w:t>. 175–182. DOI: 10.1016/j.wse.2016.11.003</w:t>
      </w:r>
    </w:p>
    <w:p w14:paraId="5C949054" w14:textId="1CE9306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271.</w:t>
      </w:r>
      <w:r w:rsidRPr="00B449A5">
        <w:rPr>
          <w:rFonts w:eastAsia="Calibri" w:cs="Times New Roman"/>
          <w:szCs w:val="24"/>
          <w:lang w:val="en-US"/>
        </w:rPr>
        <w:tab/>
        <w:t xml:space="preserve">Effects of Water Table Level on Slope Stability and Construction Cost of Highway Embankment / R.H. Latief, A.K.E. Zainal // Engineering Journal. — 2019. — </w:t>
      </w:r>
      <w:r w:rsidR="001A7438" w:rsidRPr="00FA3419">
        <w:rPr>
          <w:rFonts w:eastAsia="Calibri" w:cs="Times New Roman"/>
          <w:szCs w:val="24"/>
          <w:lang w:val="en-US"/>
        </w:rPr>
        <w:t>VOL.</w:t>
      </w:r>
      <w:r w:rsidRPr="00B449A5">
        <w:rPr>
          <w:rFonts w:eastAsia="Calibri" w:cs="Times New Roman"/>
          <w:szCs w:val="24"/>
          <w:lang w:val="en-US"/>
        </w:rPr>
        <w:t xml:space="preserve"> 23, № 5. — </w:t>
      </w:r>
      <w:r w:rsidRPr="00B449A5">
        <w:rPr>
          <w:rFonts w:eastAsia="Calibri" w:cs="Times New Roman"/>
          <w:szCs w:val="24"/>
        </w:rPr>
        <w:t>С</w:t>
      </w:r>
      <w:r w:rsidRPr="00B449A5">
        <w:rPr>
          <w:rFonts w:eastAsia="Calibri" w:cs="Times New Roman"/>
          <w:szCs w:val="24"/>
          <w:lang w:val="en-US"/>
        </w:rPr>
        <w:t>. 1–12. DOI: 10.4186/ej.2019.23.5.1</w:t>
      </w:r>
    </w:p>
    <w:p w14:paraId="4A71D5B5" w14:textId="6EE3264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272.</w:t>
      </w:r>
      <w:r w:rsidRPr="00B449A5">
        <w:rPr>
          <w:rFonts w:eastAsia="Calibri" w:cs="Times New Roman"/>
          <w:szCs w:val="24"/>
          <w:lang w:val="en-US"/>
        </w:rPr>
        <w:tab/>
        <w:t xml:space="preserve">Study on the limit equilibrium slice method considering characteristics of inter-slice normal forces distribution: the improved Spencer method / S. Wu, L. Han, Z. Cheng, X. Zhang, H. Cheng // Environmental Earth Sciences. — 2019. — </w:t>
      </w:r>
      <w:r w:rsidR="001A7438" w:rsidRPr="00FA3419">
        <w:rPr>
          <w:rFonts w:eastAsia="Calibri" w:cs="Times New Roman"/>
          <w:szCs w:val="24"/>
          <w:lang w:val="en-US"/>
        </w:rPr>
        <w:t>VOL.</w:t>
      </w:r>
      <w:r w:rsidRPr="00B449A5">
        <w:rPr>
          <w:rFonts w:eastAsia="Calibri" w:cs="Times New Roman"/>
          <w:szCs w:val="24"/>
          <w:lang w:val="en-US"/>
        </w:rPr>
        <w:t xml:space="preserve"> 78, № 20. — </w:t>
      </w:r>
      <w:r w:rsidRPr="00B449A5">
        <w:rPr>
          <w:rFonts w:eastAsia="Calibri" w:cs="Times New Roman"/>
          <w:szCs w:val="24"/>
        </w:rPr>
        <w:t>С</w:t>
      </w:r>
      <w:r w:rsidRPr="00B449A5">
        <w:rPr>
          <w:rFonts w:eastAsia="Calibri" w:cs="Times New Roman"/>
          <w:szCs w:val="24"/>
          <w:lang w:val="en-US"/>
        </w:rPr>
        <w:t>. 611–611. DOI: 10.1007/s12665-019-8621-5</w:t>
      </w:r>
    </w:p>
    <w:p w14:paraId="0C206FE0" w14:textId="2CAE2681"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273.</w:t>
      </w:r>
      <w:r w:rsidRPr="00B449A5">
        <w:rPr>
          <w:rFonts w:eastAsia="Calibri" w:cs="Times New Roman"/>
          <w:szCs w:val="24"/>
          <w:lang w:val="en-US"/>
        </w:rPr>
        <w:tab/>
        <w:t xml:space="preserve">A Simplified Calculation Method of Seepage Flux for Slope-Wall Rock-Fill Dams with a Horizontal Blanket / G. Li, Z. Shen, C. Yang // Applied Sciences. — 2020. — </w:t>
      </w:r>
      <w:r w:rsidR="001A7438" w:rsidRPr="00FA3419">
        <w:rPr>
          <w:rFonts w:eastAsia="Calibri" w:cs="Times New Roman"/>
          <w:szCs w:val="24"/>
          <w:lang w:val="en-US"/>
        </w:rPr>
        <w:t>VOL.</w:t>
      </w:r>
      <w:r w:rsidRPr="00B449A5">
        <w:rPr>
          <w:rFonts w:eastAsia="Calibri" w:cs="Times New Roman"/>
          <w:szCs w:val="24"/>
          <w:lang w:val="en-US"/>
        </w:rPr>
        <w:t xml:space="preserve"> 10, № 11. — </w:t>
      </w:r>
      <w:r w:rsidRPr="00B449A5">
        <w:rPr>
          <w:rFonts w:eastAsia="Calibri" w:cs="Times New Roman"/>
          <w:szCs w:val="24"/>
        </w:rPr>
        <w:t>С</w:t>
      </w:r>
      <w:r w:rsidRPr="00B449A5">
        <w:rPr>
          <w:rFonts w:eastAsia="Calibri" w:cs="Times New Roman"/>
          <w:szCs w:val="24"/>
          <w:lang w:val="en-US"/>
        </w:rPr>
        <w:t>. 3848–3848. DOI: 10.3390/app10113848</w:t>
      </w:r>
    </w:p>
    <w:p w14:paraId="5370A629" w14:textId="3B17D25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274.</w:t>
      </w:r>
      <w:r w:rsidRPr="00B449A5">
        <w:rPr>
          <w:rFonts w:eastAsia="Calibri" w:cs="Times New Roman"/>
          <w:szCs w:val="24"/>
          <w:lang w:val="en-US"/>
        </w:rPr>
        <w:tab/>
        <w:t xml:space="preserve">Determination of critical slip surface and safety factor of slope using the vector sum numerical manifold method and MAX-MIN ant colony optimization algorithm / Y. Yang, W. Wu, J. Zhang, H. Zheng, D. Xu // Engineering Analysis with Boundary Elements. — 2021. — </w:t>
      </w:r>
      <w:r w:rsidR="001A7438" w:rsidRPr="00FA3419">
        <w:rPr>
          <w:rFonts w:eastAsia="Calibri" w:cs="Times New Roman"/>
          <w:szCs w:val="24"/>
          <w:lang w:val="en-US"/>
        </w:rPr>
        <w:t>VOL.</w:t>
      </w:r>
      <w:r w:rsidRPr="00B449A5">
        <w:rPr>
          <w:rFonts w:eastAsia="Calibri" w:cs="Times New Roman"/>
          <w:szCs w:val="24"/>
          <w:lang w:val="en-US"/>
        </w:rPr>
        <w:t xml:space="preserve"> 127. — </w:t>
      </w:r>
      <w:r w:rsidRPr="00B449A5">
        <w:rPr>
          <w:rFonts w:eastAsia="Calibri" w:cs="Times New Roman"/>
          <w:szCs w:val="24"/>
        </w:rPr>
        <w:t>С</w:t>
      </w:r>
      <w:r w:rsidRPr="00B449A5">
        <w:rPr>
          <w:rFonts w:eastAsia="Calibri" w:cs="Times New Roman"/>
          <w:szCs w:val="24"/>
          <w:lang w:val="en-US"/>
        </w:rPr>
        <w:t>. 64–74. DOI: 10.1016/j.enganabound.2021.03.012</w:t>
      </w:r>
    </w:p>
    <w:p w14:paraId="23A35F2B" w14:textId="0437B05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275.</w:t>
      </w:r>
      <w:r w:rsidRPr="00B449A5">
        <w:rPr>
          <w:rFonts w:eastAsia="Calibri" w:cs="Times New Roman"/>
          <w:szCs w:val="24"/>
          <w:lang w:val="en-US"/>
        </w:rPr>
        <w:tab/>
        <w:t xml:space="preserve">Numerical Analysis of Drawdown in an Unconfined Aquifer due to Pumping Well by SIGMA/W and SEEP/W Simulations / I. Arshad, M.M. Babar, N. Javed // Advances in Science, Technology and Engineering Systems Journal. — 2016. — </w:t>
      </w:r>
      <w:r w:rsidR="001A7438" w:rsidRPr="00FA3419">
        <w:rPr>
          <w:rFonts w:eastAsia="Calibri" w:cs="Times New Roman"/>
          <w:szCs w:val="24"/>
          <w:lang w:val="en-US"/>
        </w:rPr>
        <w:t>VOL.</w:t>
      </w:r>
      <w:r w:rsidRPr="00B449A5">
        <w:rPr>
          <w:rFonts w:eastAsia="Calibri" w:cs="Times New Roman"/>
          <w:szCs w:val="24"/>
          <w:lang w:val="en-US"/>
        </w:rPr>
        <w:t xml:space="preserve"> 1, № 1. — </w:t>
      </w:r>
      <w:r w:rsidRPr="00B449A5">
        <w:rPr>
          <w:rFonts w:eastAsia="Calibri" w:cs="Times New Roman"/>
          <w:szCs w:val="24"/>
        </w:rPr>
        <w:t>С</w:t>
      </w:r>
      <w:r w:rsidRPr="00B449A5">
        <w:rPr>
          <w:rFonts w:eastAsia="Calibri" w:cs="Times New Roman"/>
          <w:szCs w:val="24"/>
          <w:lang w:val="en-US"/>
        </w:rPr>
        <w:t>. 11–18. DOI: 10.25046/aj010102</w:t>
      </w:r>
    </w:p>
    <w:p w14:paraId="4D86BA27" w14:textId="7C63F26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276.</w:t>
      </w:r>
      <w:r w:rsidRPr="00B449A5">
        <w:rPr>
          <w:rFonts w:eastAsia="Calibri" w:cs="Times New Roman"/>
          <w:szCs w:val="24"/>
          <w:lang w:val="en-US"/>
        </w:rPr>
        <w:tab/>
        <w:t xml:space="preserve">Slope Stability Analysis of Granitic Residual Soil Using SLOPE/W, Resistivity and Seismic / R. Omar, I. Baharuddin, H. Taha, R. Roslan, H. NK, M. MF // International Journal of Engineering &amp; Technology. — 2018. — </w:t>
      </w:r>
      <w:r w:rsidR="001A7438" w:rsidRPr="00FA3419">
        <w:rPr>
          <w:rFonts w:eastAsia="Calibri" w:cs="Times New Roman"/>
          <w:szCs w:val="24"/>
          <w:lang w:val="en-US"/>
        </w:rPr>
        <w:t>VOL.</w:t>
      </w:r>
      <w:r w:rsidRPr="00B449A5">
        <w:rPr>
          <w:rFonts w:eastAsia="Calibri" w:cs="Times New Roman"/>
          <w:szCs w:val="24"/>
          <w:lang w:val="en-US"/>
        </w:rPr>
        <w:t xml:space="preserve"> 7, № 4.35. — </w:t>
      </w:r>
      <w:r w:rsidRPr="00B449A5">
        <w:rPr>
          <w:rFonts w:eastAsia="Calibri" w:cs="Times New Roman"/>
          <w:szCs w:val="24"/>
        </w:rPr>
        <w:t>С</w:t>
      </w:r>
      <w:r w:rsidRPr="00B449A5">
        <w:rPr>
          <w:rFonts w:eastAsia="Calibri" w:cs="Times New Roman"/>
          <w:szCs w:val="24"/>
          <w:lang w:val="en-US"/>
        </w:rPr>
        <w:t>. 172–172. DOI: 10.14419/ijet.v7i4.28.22355</w:t>
      </w:r>
    </w:p>
    <w:p w14:paraId="44A05996" w14:textId="11A7ED8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277.</w:t>
      </w:r>
      <w:r w:rsidRPr="00B449A5">
        <w:rPr>
          <w:rFonts w:eastAsia="Calibri" w:cs="Times New Roman"/>
          <w:szCs w:val="24"/>
          <w:lang w:val="en-US"/>
        </w:rPr>
        <w:tab/>
        <w:t xml:space="preserve">Probabilistic slope stability analysis for practice / H. El-Ramly, N.R. Morgenstern, D.M. Cruden // Canadian Geotechnical Journal. — 2002. — </w:t>
      </w:r>
      <w:r w:rsidR="001A7438" w:rsidRPr="00FA3419">
        <w:rPr>
          <w:rFonts w:eastAsia="Calibri" w:cs="Times New Roman"/>
          <w:szCs w:val="24"/>
          <w:lang w:val="en-US"/>
        </w:rPr>
        <w:t>VOL.</w:t>
      </w:r>
      <w:r w:rsidRPr="00B449A5">
        <w:rPr>
          <w:rFonts w:eastAsia="Calibri" w:cs="Times New Roman"/>
          <w:szCs w:val="24"/>
          <w:lang w:val="en-US"/>
        </w:rPr>
        <w:t xml:space="preserve"> 39, № 3. — </w:t>
      </w:r>
      <w:r w:rsidRPr="00B449A5">
        <w:rPr>
          <w:rFonts w:eastAsia="Calibri" w:cs="Times New Roman"/>
          <w:szCs w:val="24"/>
        </w:rPr>
        <w:t>С</w:t>
      </w:r>
      <w:r w:rsidRPr="00B449A5">
        <w:rPr>
          <w:rFonts w:eastAsia="Calibri" w:cs="Times New Roman"/>
          <w:szCs w:val="24"/>
          <w:lang w:val="en-US"/>
        </w:rPr>
        <w:t>. 665–683. DOI: 10.1139/t02-034</w:t>
      </w:r>
    </w:p>
    <w:p w14:paraId="5699AD27" w14:textId="252EE40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278.</w:t>
      </w:r>
      <w:r w:rsidRPr="00B449A5">
        <w:rPr>
          <w:rFonts w:eastAsia="Calibri" w:cs="Times New Roman"/>
          <w:szCs w:val="24"/>
          <w:lang w:val="en-US"/>
        </w:rPr>
        <w:tab/>
        <w:t xml:space="preserve">A general limit equilibrium model for three-dimensional slope stability analysis / L. Lam, D.G. Fredlund // Canadian Geotechnical Journal. — 1993. — </w:t>
      </w:r>
      <w:r w:rsidR="001A7438" w:rsidRPr="00FA3419">
        <w:rPr>
          <w:rFonts w:eastAsia="Calibri" w:cs="Times New Roman"/>
          <w:szCs w:val="24"/>
          <w:lang w:val="en-US"/>
        </w:rPr>
        <w:t>VOL.</w:t>
      </w:r>
      <w:r w:rsidRPr="00B449A5">
        <w:rPr>
          <w:rFonts w:eastAsia="Calibri" w:cs="Times New Roman"/>
          <w:szCs w:val="24"/>
          <w:lang w:val="en-US"/>
        </w:rPr>
        <w:t xml:space="preserve"> 30, № 6. — </w:t>
      </w:r>
      <w:r w:rsidRPr="00B449A5">
        <w:rPr>
          <w:rFonts w:eastAsia="Calibri" w:cs="Times New Roman"/>
          <w:szCs w:val="24"/>
        </w:rPr>
        <w:t>С</w:t>
      </w:r>
      <w:r w:rsidRPr="00B449A5">
        <w:rPr>
          <w:rFonts w:eastAsia="Calibri" w:cs="Times New Roman"/>
          <w:szCs w:val="24"/>
          <w:lang w:val="en-US"/>
        </w:rPr>
        <w:t>. 905–919. DOI: 10.1139/t93-089</w:t>
      </w:r>
    </w:p>
    <w:p w14:paraId="60948CF4" w14:textId="51F16F7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279.</w:t>
      </w:r>
      <w:r w:rsidRPr="00B449A5">
        <w:rPr>
          <w:rFonts w:eastAsia="Calibri" w:cs="Times New Roman"/>
          <w:szCs w:val="24"/>
          <w:lang w:val="en-US"/>
        </w:rPr>
        <w:tab/>
        <w:t xml:space="preserve">Evaluate Reliability of Morgenstern–Price Method in Vertical Excavations / S. Atashband // Numerical Methods for Reliability and Safety Assessment. — Cham: Springer International Publishing, 2015. — </w:t>
      </w:r>
      <w:r w:rsidRPr="00B449A5">
        <w:rPr>
          <w:rFonts w:eastAsia="Calibri" w:cs="Times New Roman"/>
          <w:szCs w:val="24"/>
        </w:rPr>
        <w:t>С</w:t>
      </w:r>
      <w:r w:rsidRPr="00B449A5">
        <w:rPr>
          <w:rFonts w:eastAsia="Calibri" w:cs="Times New Roman"/>
          <w:szCs w:val="24"/>
          <w:lang w:val="en-US"/>
        </w:rPr>
        <w:t>. 529–547. DOI: 10.1007/978-3-319-07167-1_20</w:t>
      </w:r>
    </w:p>
    <w:p w14:paraId="3DF05A09" w14:textId="78663E0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280.</w:t>
      </w:r>
      <w:r w:rsidRPr="00B449A5">
        <w:rPr>
          <w:rFonts w:eastAsia="Calibri" w:cs="Times New Roman"/>
          <w:szCs w:val="24"/>
          <w:lang w:val="en-US"/>
        </w:rPr>
        <w:tab/>
        <w:t xml:space="preserve">A Review on Effects and Control of Seepage through Earth-fill Dam / O. Omofunmi, J. Kolo, A. Oladipo, P. Diabana, A. Ojo // Current Journal of Applied Science and Technology. — 2017. — </w:t>
      </w:r>
      <w:r w:rsidR="001A7438" w:rsidRPr="00FA3419">
        <w:rPr>
          <w:rFonts w:eastAsia="Calibri" w:cs="Times New Roman"/>
          <w:szCs w:val="24"/>
          <w:lang w:val="en-US"/>
        </w:rPr>
        <w:t>VOL.</w:t>
      </w:r>
      <w:r w:rsidRPr="00B449A5">
        <w:rPr>
          <w:rFonts w:eastAsia="Calibri" w:cs="Times New Roman"/>
          <w:szCs w:val="24"/>
          <w:lang w:val="en-US"/>
        </w:rPr>
        <w:t xml:space="preserve"> 22, № 5. — </w:t>
      </w:r>
      <w:r w:rsidRPr="00B449A5">
        <w:rPr>
          <w:rFonts w:eastAsia="Calibri" w:cs="Times New Roman"/>
          <w:szCs w:val="24"/>
        </w:rPr>
        <w:t>С</w:t>
      </w:r>
      <w:r w:rsidRPr="00B449A5">
        <w:rPr>
          <w:rFonts w:eastAsia="Calibri" w:cs="Times New Roman"/>
          <w:szCs w:val="24"/>
          <w:lang w:val="en-US"/>
        </w:rPr>
        <w:t>. 1–11. DOI: 10.9734/CJAST/2017/28538</w:t>
      </w:r>
    </w:p>
    <w:p w14:paraId="48BAEC9A" w14:textId="16A4D886"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281.</w:t>
      </w:r>
      <w:r w:rsidRPr="00B449A5">
        <w:rPr>
          <w:rFonts w:eastAsia="Calibri" w:cs="Times New Roman"/>
          <w:szCs w:val="24"/>
          <w:lang w:val="en-US"/>
        </w:rPr>
        <w:tab/>
        <w:t>Causes of Failure of Earthen Dams and Suggested Remedial Measures / I. Singh Saluja ZHCET, A. Mohammad Athar ZHCET, A.A. Sarfaraz Ansari ZHCET // Prof. Sarfaraz A. Ansari International Journal of Computer &amp; Mathematical Sciences IJCMS. — 2018.</w:t>
      </w:r>
    </w:p>
    <w:p w14:paraId="4613A7E9" w14:textId="4D133F5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282.</w:t>
      </w:r>
      <w:r w:rsidRPr="00B449A5">
        <w:rPr>
          <w:rFonts w:eastAsia="Calibri" w:cs="Times New Roman"/>
          <w:szCs w:val="24"/>
          <w:lang w:val="en-US"/>
        </w:rPr>
        <w:tab/>
        <w:t xml:space="preserve">Selecting Minimum Factors of Safety for 3D Slope Stability Analyses / T.D. Stark, D.G. Ruffing // Geo-Risk 2017. — Reston, VA: American Society of Civil Engineers, 2017. — </w:t>
      </w:r>
      <w:r w:rsidRPr="00B449A5">
        <w:rPr>
          <w:rFonts w:eastAsia="Calibri" w:cs="Times New Roman"/>
          <w:szCs w:val="24"/>
        </w:rPr>
        <w:t>С</w:t>
      </w:r>
      <w:r w:rsidRPr="00B449A5">
        <w:rPr>
          <w:rFonts w:eastAsia="Calibri" w:cs="Times New Roman"/>
          <w:szCs w:val="24"/>
          <w:lang w:val="en-US"/>
        </w:rPr>
        <w:t>. 259–266. DOI: 10.1061/9780784480700.025</w:t>
      </w:r>
    </w:p>
    <w:p w14:paraId="34B4E96D" w14:textId="4B3AF995"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283.</w:t>
      </w:r>
      <w:r w:rsidRPr="00B449A5">
        <w:rPr>
          <w:rFonts w:eastAsia="Calibri" w:cs="Times New Roman"/>
          <w:szCs w:val="24"/>
          <w:lang w:val="en-US"/>
        </w:rPr>
        <w:tab/>
        <w:t xml:space="preserve">Slope Sensitivity Analysis Using Spencer’s Method in Comparison with General Limit Equilibrium Method / M.W. Agam, M.H.M. Hashim, M.I. Murad, H. Zabidi // Procedia Chemistry. — 2016. — </w:t>
      </w:r>
      <w:r w:rsidR="001A7438" w:rsidRPr="00FA3419">
        <w:rPr>
          <w:rFonts w:eastAsia="Calibri" w:cs="Times New Roman"/>
          <w:szCs w:val="24"/>
          <w:lang w:val="en-US"/>
        </w:rPr>
        <w:t>VOL.</w:t>
      </w:r>
      <w:r w:rsidRPr="00B449A5">
        <w:rPr>
          <w:rFonts w:eastAsia="Calibri" w:cs="Times New Roman"/>
          <w:szCs w:val="24"/>
          <w:lang w:val="en-US"/>
        </w:rPr>
        <w:t xml:space="preserve"> 19. — </w:t>
      </w:r>
      <w:r w:rsidRPr="00B449A5">
        <w:rPr>
          <w:rFonts w:eastAsia="Calibri" w:cs="Times New Roman"/>
          <w:szCs w:val="24"/>
        </w:rPr>
        <w:t>С</w:t>
      </w:r>
      <w:r w:rsidRPr="00B449A5">
        <w:rPr>
          <w:rFonts w:eastAsia="Calibri" w:cs="Times New Roman"/>
          <w:szCs w:val="24"/>
          <w:lang w:val="en-US"/>
        </w:rPr>
        <w:t>. 651–658. DOI: 10.1016/j.proche.2016.03.066</w:t>
      </w:r>
    </w:p>
    <w:p w14:paraId="1B6BBF76" w14:textId="7920E77B"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284.</w:t>
      </w:r>
      <w:r w:rsidRPr="00B449A5">
        <w:rPr>
          <w:rFonts w:eastAsia="Calibri" w:cs="Times New Roman"/>
          <w:szCs w:val="24"/>
          <w:lang w:val="en-US"/>
        </w:rPr>
        <w:tab/>
        <w:t xml:space="preserve">WSDOT Geotechnical Design Manual M 46-03.08. Chapter 7: Slope Stability Analysis / D.W. Fleck — 2013. — № October. — </w:t>
      </w:r>
      <w:r w:rsidRPr="00B449A5">
        <w:rPr>
          <w:rFonts w:eastAsia="Calibri" w:cs="Times New Roman"/>
          <w:szCs w:val="24"/>
        </w:rPr>
        <w:t>С</w:t>
      </w:r>
      <w:r w:rsidRPr="00B449A5">
        <w:rPr>
          <w:rFonts w:eastAsia="Calibri" w:cs="Times New Roman"/>
          <w:szCs w:val="24"/>
          <w:lang w:val="en-US"/>
        </w:rPr>
        <w:t>. 522–624.</w:t>
      </w:r>
    </w:p>
    <w:p w14:paraId="0BE1376E" w14:textId="111A7DA8"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285.</w:t>
      </w:r>
      <w:r w:rsidRPr="00B449A5">
        <w:rPr>
          <w:rFonts w:eastAsia="Calibri" w:cs="Times New Roman"/>
          <w:szCs w:val="24"/>
          <w:lang w:val="en-US"/>
        </w:rPr>
        <w:tab/>
        <w:t xml:space="preserve">Desirable plant root traits for protecting natural and engineered slopes against landslides / A. Stokes, C. Atger, A.G. Bengough, T. Fourcaud, R.C. Sidle // Plant and Soil. — 2009. — </w:t>
      </w:r>
      <w:r w:rsidR="001A7438" w:rsidRPr="00FA3419">
        <w:rPr>
          <w:rFonts w:eastAsia="Calibri" w:cs="Times New Roman"/>
          <w:szCs w:val="24"/>
          <w:lang w:val="en-US"/>
        </w:rPr>
        <w:t>VOL.</w:t>
      </w:r>
      <w:r w:rsidRPr="00B449A5">
        <w:rPr>
          <w:rFonts w:eastAsia="Calibri" w:cs="Times New Roman"/>
          <w:szCs w:val="24"/>
          <w:lang w:val="en-US"/>
        </w:rPr>
        <w:t xml:space="preserve"> 324, № 1–2. — </w:t>
      </w:r>
      <w:r w:rsidRPr="00B449A5">
        <w:rPr>
          <w:rFonts w:eastAsia="Calibri" w:cs="Times New Roman"/>
          <w:szCs w:val="24"/>
        </w:rPr>
        <w:t>С</w:t>
      </w:r>
      <w:r w:rsidRPr="00B449A5">
        <w:rPr>
          <w:rFonts w:eastAsia="Calibri" w:cs="Times New Roman"/>
          <w:szCs w:val="24"/>
          <w:lang w:val="en-US"/>
        </w:rPr>
        <w:t>. 1–30. DOI: 10.1007/s11104-009-0159-y</w:t>
      </w:r>
    </w:p>
    <w:p w14:paraId="5A182903" w14:textId="59540E1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286.</w:t>
      </w:r>
      <w:r w:rsidRPr="00B449A5">
        <w:rPr>
          <w:rFonts w:eastAsia="Calibri" w:cs="Times New Roman"/>
          <w:szCs w:val="24"/>
          <w:lang w:val="en-US"/>
        </w:rPr>
        <w:tab/>
        <w:t xml:space="preserve">Failure of an Embankment on Soil-Cement Column–Improved Clay Deposit: Investigation and Analysis / J. Chai, S. Shrestha, T. Hino // Journal of Geotechnical and Geoenvironmental Engineering. — 2019. — </w:t>
      </w:r>
      <w:r w:rsidR="001A7438" w:rsidRPr="00FA3419">
        <w:rPr>
          <w:rFonts w:eastAsia="Calibri" w:cs="Times New Roman"/>
          <w:szCs w:val="24"/>
          <w:lang w:val="en-US"/>
        </w:rPr>
        <w:t>VOL.</w:t>
      </w:r>
      <w:r w:rsidRPr="00B449A5">
        <w:rPr>
          <w:rFonts w:eastAsia="Calibri" w:cs="Times New Roman"/>
          <w:szCs w:val="24"/>
          <w:lang w:val="en-US"/>
        </w:rPr>
        <w:t xml:space="preserve"> 145, № 9. — </w:t>
      </w:r>
      <w:r w:rsidRPr="00B449A5">
        <w:rPr>
          <w:rFonts w:eastAsia="Calibri" w:cs="Times New Roman"/>
          <w:szCs w:val="24"/>
        </w:rPr>
        <w:t>С</w:t>
      </w:r>
      <w:r w:rsidRPr="00B449A5">
        <w:rPr>
          <w:rFonts w:eastAsia="Calibri" w:cs="Times New Roman"/>
          <w:szCs w:val="24"/>
          <w:lang w:val="en-US"/>
        </w:rPr>
        <w:t>. 05019006–05019006. DOI: 10.1061/(ASCE)GT.1943-5606.0002118</w:t>
      </w:r>
    </w:p>
    <w:p w14:paraId="6BEA3ED0" w14:textId="68F4034E"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287.</w:t>
      </w:r>
      <w:r w:rsidRPr="00B449A5">
        <w:rPr>
          <w:rFonts w:eastAsia="Calibri" w:cs="Times New Roman"/>
          <w:szCs w:val="24"/>
          <w:lang w:val="en-US"/>
        </w:rPr>
        <w:tab/>
        <w:t xml:space="preserve">Predicted and measured behaviour of a test embankment on Ballina clay / Y. Gong, Y.H. Chok // Computers and Geotechnics. — 2018. — </w:t>
      </w:r>
      <w:r w:rsidR="001A7438" w:rsidRPr="00FA3419">
        <w:rPr>
          <w:rFonts w:eastAsia="Calibri" w:cs="Times New Roman"/>
          <w:szCs w:val="24"/>
          <w:lang w:val="en-US"/>
        </w:rPr>
        <w:t>VOL.</w:t>
      </w:r>
      <w:r w:rsidRPr="00B449A5">
        <w:rPr>
          <w:rFonts w:eastAsia="Calibri" w:cs="Times New Roman"/>
          <w:szCs w:val="24"/>
          <w:lang w:val="en-US"/>
        </w:rPr>
        <w:t xml:space="preserve"> 93. — </w:t>
      </w:r>
      <w:r w:rsidRPr="00B449A5">
        <w:rPr>
          <w:rFonts w:eastAsia="Calibri" w:cs="Times New Roman"/>
          <w:szCs w:val="24"/>
        </w:rPr>
        <w:t>С</w:t>
      </w:r>
      <w:r w:rsidRPr="00B449A5">
        <w:rPr>
          <w:rFonts w:eastAsia="Calibri" w:cs="Times New Roman"/>
          <w:szCs w:val="24"/>
          <w:lang w:val="en-US"/>
        </w:rPr>
        <w:t>. 178–190. DOI: 10.1016/j.compgeo.2017.06.003</w:t>
      </w:r>
    </w:p>
    <w:p w14:paraId="1478B2E4" w14:textId="6374DF7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288.</w:t>
      </w:r>
      <w:r w:rsidRPr="00B449A5">
        <w:rPr>
          <w:rFonts w:eastAsia="Calibri" w:cs="Times New Roman"/>
          <w:szCs w:val="24"/>
          <w:lang w:val="en-US"/>
        </w:rPr>
        <w:tab/>
        <w:t xml:space="preserve">Numerical Analysis of the Effects of Crack Characteristics on the Stress and Deformation of Unsaturated Soil Slopes / L. Yang, E. Liu // Water. — 2020. — </w:t>
      </w:r>
      <w:r w:rsidR="001A7438" w:rsidRPr="00FA3419">
        <w:rPr>
          <w:rFonts w:eastAsia="Calibri" w:cs="Times New Roman"/>
          <w:szCs w:val="24"/>
          <w:lang w:val="en-US"/>
        </w:rPr>
        <w:t>VOL.</w:t>
      </w:r>
      <w:r w:rsidRPr="00B449A5">
        <w:rPr>
          <w:rFonts w:eastAsia="Calibri" w:cs="Times New Roman"/>
          <w:szCs w:val="24"/>
          <w:lang w:val="en-US"/>
        </w:rPr>
        <w:t xml:space="preserve"> 12, № 1. — </w:t>
      </w:r>
      <w:r w:rsidRPr="00B449A5">
        <w:rPr>
          <w:rFonts w:eastAsia="Calibri" w:cs="Times New Roman"/>
          <w:szCs w:val="24"/>
        </w:rPr>
        <w:t>С</w:t>
      </w:r>
      <w:r w:rsidRPr="00B449A5">
        <w:rPr>
          <w:rFonts w:eastAsia="Calibri" w:cs="Times New Roman"/>
          <w:szCs w:val="24"/>
          <w:lang w:val="en-US"/>
        </w:rPr>
        <w:t>. 194–194. DOI: 10.3390/w12010194</w:t>
      </w:r>
    </w:p>
    <w:p w14:paraId="75739C15" w14:textId="5E78C35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289.</w:t>
      </w:r>
      <w:r w:rsidRPr="00B449A5">
        <w:rPr>
          <w:rFonts w:eastAsia="Calibri" w:cs="Times New Roman"/>
          <w:szCs w:val="24"/>
          <w:lang w:val="en-US"/>
        </w:rPr>
        <w:tab/>
        <w:t>Factor of Safety? Do we use it correctly? / J. Herza, M. Ashley, J. Thorp // Proceedings Australian National Congress on Large Dams, Hobart. — 2018.</w:t>
      </w:r>
    </w:p>
    <w:p w14:paraId="6F37C7DD" w14:textId="1F6D4EA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290.</w:t>
      </w:r>
      <w:r w:rsidRPr="00B449A5">
        <w:rPr>
          <w:rFonts w:eastAsia="Calibri" w:cs="Times New Roman"/>
          <w:szCs w:val="24"/>
          <w:lang w:val="en-US"/>
        </w:rPr>
        <w:tab/>
        <w:t xml:space="preserve">Permeability coefficient tests in non-cohesive soils / G. Wrzesiński // Scientific Review Engineering and Environmental Studies (SREES). — 2020. — </w:t>
      </w:r>
      <w:r w:rsidR="001A7438" w:rsidRPr="00FA3419">
        <w:rPr>
          <w:rFonts w:eastAsia="Calibri" w:cs="Times New Roman"/>
          <w:szCs w:val="24"/>
          <w:lang w:val="en-US"/>
        </w:rPr>
        <w:t>VOL.</w:t>
      </w:r>
      <w:r w:rsidRPr="00B449A5">
        <w:rPr>
          <w:rFonts w:eastAsia="Calibri" w:cs="Times New Roman"/>
          <w:szCs w:val="24"/>
          <w:lang w:val="en-US"/>
        </w:rPr>
        <w:t xml:space="preserve"> 29, № 1. — </w:t>
      </w:r>
      <w:r w:rsidRPr="00B449A5">
        <w:rPr>
          <w:rFonts w:eastAsia="Calibri" w:cs="Times New Roman"/>
          <w:szCs w:val="24"/>
        </w:rPr>
        <w:t>С</w:t>
      </w:r>
      <w:r w:rsidRPr="00B449A5">
        <w:rPr>
          <w:rFonts w:eastAsia="Calibri" w:cs="Times New Roman"/>
          <w:szCs w:val="24"/>
          <w:lang w:val="en-US"/>
        </w:rPr>
        <w:t>. 72–80. DOI: 10.22630/PNIKS.2020.29.1.7</w:t>
      </w:r>
    </w:p>
    <w:p w14:paraId="49FB5B67" w14:textId="4113399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291.</w:t>
      </w:r>
      <w:r w:rsidRPr="00B449A5">
        <w:rPr>
          <w:rFonts w:eastAsia="Calibri" w:cs="Times New Roman"/>
          <w:szCs w:val="24"/>
          <w:lang w:val="en-US"/>
        </w:rPr>
        <w:tab/>
        <w:t>Slope Stability: Critical Failure Surface &amp; Design Factor of Safety / Geoengineer.org // Slope Stability. — 2019.</w:t>
      </w:r>
    </w:p>
    <w:p w14:paraId="4AEE4A78" w14:textId="16A4F90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292.</w:t>
      </w:r>
      <w:r w:rsidRPr="00B449A5">
        <w:rPr>
          <w:rFonts w:eastAsia="Calibri" w:cs="Times New Roman"/>
          <w:szCs w:val="24"/>
          <w:lang w:val="en-US"/>
        </w:rPr>
        <w:tab/>
        <w:t xml:space="preserve">Reliability-Based Performance of Embankments Improved with Deep Mixing Considering Spatial Variability of Material Properties / M. Wijerathna, D.S. Liyanapathirana // ASCE-ASME Journal of Risk and Uncertainty in Engineering Systems, Part A: Civil Engineering. — 2018. — </w:t>
      </w:r>
      <w:r w:rsidR="001A7438" w:rsidRPr="00FA3419">
        <w:rPr>
          <w:rFonts w:eastAsia="Calibri" w:cs="Times New Roman"/>
          <w:szCs w:val="24"/>
          <w:lang w:val="en-US"/>
        </w:rPr>
        <w:t>VOL.</w:t>
      </w:r>
      <w:r w:rsidRPr="00B449A5">
        <w:rPr>
          <w:rFonts w:eastAsia="Calibri" w:cs="Times New Roman"/>
          <w:szCs w:val="24"/>
          <w:lang w:val="en-US"/>
        </w:rPr>
        <w:t xml:space="preserve"> 4, № 4. — </w:t>
      </w:r>
      <w:r w:rsidRPr="00B449A5">
        <w:rPr>
          <w:rFonts w:eastAsia="Calibri" w:cs="Times New Roman"/>
          <w:szCs w:val="24"/>
        </w:rPr>
        <w:t>С</w:t>
      </w:r>
      <w:r w:rsidRPr="00B449A5">
        <w:rPr>
          <w:rFonts w:eastAsia="Calibri" w:cs="Times New Roman"/>
          <w:szCs w:val="24"/>
          <w:lang w:val="en-US"/>
        </w:rPr>
        <w:t>. 04018035–04018035. DOI: 10.1061/AJRUA6.0000987</w:t>
      </w:r>
    </w:p>
    <w:p w14:paraId="32ABC572" w14:textId="71E978ED"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293.</w:t>
      </w:r>
      <w:r w:rsidRPr="00B449A5">
        <w:rPr>
          <w:rFonts w:eastAsia="Calibri" w:cs="Times New Roman"/>
          <w:szCs w:val="24"/>
          <w:lang w:val="en-US"/>
        </w:rPr>
        <w:tab/>
        <w:t xml:space="preserve">Determination of Slope Safety Factor with Analytical Solution and Searching Critical Slip Surface with Genetic-Traversal Random Method / W. Niu // The Scientific World Journal. — 2014. — </w:t>
      </w:r>
      <w:r w:rsidR="001A7438" w:rsidRPr="00FA3419">
        <w:rPr>
          <w:rFonts w:eastAsia="Calibri" w:cs="Times New Roman"/>
          <w:szCs w:val="24"/>
          <w:lang w:val="en-US"/>
        </w:rPr>
        <w:t>VOL.</w:t>
      </w:r>
      <w:r w:rsidRPr="00B449A5">
        <w:rPr>
          <w:rFonts w:eastAsia="Calibri" w:cs="Times New Roman"/>
          <w:szCs w:val="24"/>
          <w:lang w:val="en-US"/>
        </w:rPr>
        <w:t xml:space="preserve"> 2014. — </w:t>
      </w:r>
      <w:r w:rsidRPr="00B449A5">
        <w:rPr>
          <w:rFonts w:eastAsia="Calibri" w:cs="Times New Roman"/>
          <w:szCs w:val="24"/>
        </w:rPr>
        <w:t>С</w:t>
      </w:r>
      <w:r w:rsidRPr="00B449A5">
        <w:rPr>
          <w:rFonts w:eastAsia="Calibri" w:cs="Times New Roman"/>
          <w:szCs w:val="24"/>
          <w:lang w:val="en-US"/>
        </w:rPr>
        <w:t>. 1–13. DOI: 10.1155/2014/950531</w:t>
      </w:r>
    </w:p>
    <w:p w14:paraId="02C276D1" w14:textId="61E9705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294.</w:t>
      </w:r>
      <w:r w:rsidRPr="00B449A5">
        <w:rPr>
          <w:rFonts w:eastAsia="Calibri" w:cs="Times New Roman"/>
          <w:szCs w:val="24"/>
          <w:lang w:val="en-US"/>
        </w:rPr>
        <w:tab/>
        <w:t>Monitoring studies of the ecological state of springs in the aktobe region in Western Kazakhstan / G.Z. Idrissova, K.M. Akhmedenov, I.V. Sergeeva, A.L. Ponomareva, E.S. Sergeeva // Journal of Pharmaceutical Sciences and Research. — 2017.</w:t>
      </w:r>
    </w:p>
    <w:p w14:paraId="7954DF94" w14:textId="7749FE53"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295.</w:t>
      </w:r>
      <w:r w:rsidRPr="00B449A5">
        <w:rPr>
          <w:rFonts w:eastAsia="Calibri" w:cs="Times New Roman"/>
          <w:szCs w:val="24"/>
          <w:lang w:val="en-US"/>
        </w:rPr>
        <w:tab/>
        <w:t>Analysis of Seepage through Earth Dams with Internal Core / Mohamed N. Salem, zagazig university // International Journal of Engineering Research and. — 2019. — Vol. V8, No. 08. — P. IJERTV8IS080168. DOI: 10.17577/IJERTV8IS080168</w:t>
      </w:r>
    </w:p>
    <w:p w14:paraId="48121EB0" w14:textId="538802F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296.</w:t>
      </w:r>
      <w:r w:rsidRPr="00B449A5">
        <w:rPr>
          <w:rFonts w:eastAsia="Calibri" w:cs="Times New Roman"/>
          <w:szCs w:val="24"/>
          <w:lang w:val="en-US"/>
        </w:rPr>
        <w:tab/>
        <w:t xml:space="preserve">Steady State Seepage Pore Water Pressures’ Influence in the Slope Stability Analysis of Levees / J.F. Perri, S.E. Shewbridge, D.A. Cobos-Roa, R.K. Green // GeoCongress 2012. — Reston, VA: American Society of Civil Engineers, 2012. — </w:t>
      </w:r>
      <w:r w:rsidRPr="00B449A5">
        <w:rPr>
          <w:rFonts w:eastAsia="Calibri" w:cs="Times New Roman"/>
          <w:szCs w:val="24"/>
        </w:rPr>
        <w:t>С</w:t>
      </w:r>
      <w:r w:rsidRPr="00B449A5">
        <w:rPr>
          <w:rFonts w:eastAsia="Calibri" w:cs="Times New Roman"/>
          <w:szCs w:val="24"/>
          <w:lang w:val="en-US"/>
        </w:rPr>
        <w:t>. 604–613. DOI: 10.1061/9780784412121.063</w:t>
      </w:r>
    </w:p>
    <w:p w14:paraId="7A302252" w14:textId="04F84A92"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297.</w:t>
      </w:r>
      <w:r w:rsidRPr="00B449A5">
        <w:rPr>
          <w:rFonts w:eastAsia="Calibri" w:cs="Times New Roman"/>
          <w:szCs w:val="24"/>
          <w:lang w:val="en-US"/>
        </w:rPr>
        <w:tab/>
        <w:t xml:space="preserve">Rapid drawdown in slopes and embankments / N.M. Pinyol, E.E. Alonso, S. Olivella // Water Resources Research. — 2008. — </w:t>
      </w:r>
      <w:r w:rsidR="001A7438" w:rsidRPr="00FA3419">
        <w:rPr>
          <w:rFonts w:eastAsia="Calibri" w:cs="Times New Roman"/>
          <w:szCs w:val="24"/>
          <w:lang w:val="en-US"/>
        </w:rPr>
        <w:t>VOL.</w:t>
      </w:r>
      <w:r w:rsidRPr="00B449A5">
        <w:rPr>
          <w:rFonts w:eastAsia="Calibri" w:cs="Times New Roman"/>
          <w:szCs w:val="24"/>
          <w:lang w:val="en-US"/>
        </w:rPr>
        <w:t xml:space="preserve"> 44, № 5. DOI: 10.1029/2007WR006525</w:t>
      </w:r>
    </w:p>
    <w:p w14:paraId="23A1A292" w14:textId="3877F8B0"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lastRenderedPageBreak/>
        <w:t>298.</w:t>
      </w:r>
      <w:r w:rsidRPr="00B449A5">
        <w:rPr>
          <w:rFonts w:eastAsia="Calibri" w:cs="Times New Roman"/>
          <w:szCs w:val="24"/>
          <w:lang w:val="en-US"/>
        </w:rPr>
        <w:tab/>
        <w:t xml:space="preserve">Geotechnical Design Manual M46-03.08 / Washington State Department of Transportation — 1996. — № October. — </w:t>
      </w:r>
      <w:r w:rsidRPr="00B449A5">
        <w:rPr>
          <w:rFonts w:eastAsia="Calibri" w:cs="Times New Roman"/>
          <w:szCs w:val="24"/>
        </w:rPr>
        <w:t>С</w:t>
      </w:r>
      <w:r w:rsidRPr="00B449A5">
        <w:rPr>
          <w:rFonts w:eastAsia="Calibri" w:cs="Times New Roman"/>
          <w:szCs w:val="24"/>
          <w:lang w:val="en-US"/>
        </w:rPr>
        <w:t>. 103–110.</w:t>
      </w:r>
    </w:p>
    <w:p w14:paraId="0AE67B68" w14:textId="018D768A"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299.</w:t>
      </w:r>
      <w:r w:rsidRPr="00B449A5">
        <w:rPr>
          <w:rFonts w:eastAsia="Calibri" w:cs="Times New Roman"/>
          <w:szCs w:val="24"/>
          <w:lang w:val="en-US"/>
        </w:rPr>
        <w:tab/>
        <w:t xml:space="preserve">Distribution of the factor of safety, in geotechnical engineering, for independent piecewise linear capacity and demand density functions / A.I. Sofianos, P.P. Nomikos, G. Papantonopoulos // Computers and Geotechnics. — 2014. — </w:t>
      </w:r>
      <w:r w:rsidR="001A7438" w:rsidRPr="00FA3419">
        <w:rPr>
          <w:rFonts w:eastAsia="Calibri" w:cs="Times New Roman"/>
          <w:szCs w:val="24"/>
          <w:lang w:val="en-US"/>
        </w:rPr>
        <w:t>VOL.</w:t>
      </w:r>
      <w:r w:rsidRPr="00B449A5">
        <w:rPr>
          <w:rFonts w:eastAsia="Calibri" w:cs="Times New Roman"/>
          <w:szCs w:val="24"/>
          <w:lang w:val="en-US"/>
        </w:rPr>
        <w:t xml:space="preserve"> 55. — </w:t>
      </w:r>
      <w:r w:rsidRPr="00B449A5">
        <w:rPr>
          <w:rFonts w:eastAsia="Calibri" w:cs="Times New Roman"/>
          <w:szCs w:val="24"/>
        </w:rPr>
        <w:t>С</w:t>
      </w:r>
      <w:r w:rsidRPr="00B449A5">
        <w:rPr>
          <w:rFonts w:eastAsia="Calibri" w:cs="Times New Roman"/>
          <w:szCs w:val="24"/>
          <w:lang w:val="en-US"/>
        </w:rPr>
        <w:t>. 440–447. DOI: 10.1016/j.compgeo.2013.09.024</w:t>
      </w:r>
    </w:p>
    <w:p w14:paraId="4718F961" w14:textId="1AE8CBB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300.</w:t>
      </w:r>
      <w:r w:rsidRPr="00B449A5">
        <w:rPr>
          <w:rFonts w:eastAsia="Calibri" w:cs="Times New Roman"/>
          <w:szCs w:val="24"/>
          <w:lang w:val="en-US"/>
        </w:rPr>
        <w:tab/>
        <w:t xml:space="preserve">Factor of Safety and Reliability in Geotechnical Engineering / C. Cherubini, J.T. Christian, G.B. Baecher, R.A. Failmezger, J.A. Focht, J.A. Focht, D.C. Koutsoftas, C.C. Ladd, G.D. Re, K.S. Li, J. Lam, Y. Moriwaki, J.A. Barneich, J.H. Schmertmann, J.M. Duncan // Journal of Geotechnical and Geoenvironmental Engineering. — 2001. — </w:t>
      </w:r>
      <w:r w:rsidR="001A7438" w:rsidRPr="00FA3419">
        <w:rPr>
          <w:rFonts w:eastAsia="Calibri" w:cs="Times New Roman"/>
          <w:szCs w:val="24"/>
          <w:lang w:val="en-US"/>
        </w:rPr>
        <w:t>VOL.</w:t>
      </w:r>
      <w:r w:rsidRPr="00B449A5">
        <w:rPr>
          <w:rFonts w:eastAsia="Calibri" w:cs="Times New Roman"/>
          <w:szCs w:val="24"/>
          <w:lang w:val="en-US"/>
        </w:rPr>
        <w:t xml:space="preserve"> 127, № 8. — </w:t>
      </w:r>
      <w:r w:rsidRPr="00B449A5">
        <w:rPr>
          <w:rFonts w:eastAsia="Calibri" w:cs="Times New Roman"/>
          <w:szCs w:val="24"/>
        </w:rPr>
        <w:t>С</w:t>
      </w:r>
      <w:r w:rsidRPr="00B449A5">
        <w:rPr>
          <w:rFonts w:eastAsia="Calibri" w:cs="Times New Roman"/>
          <w:szCs w:val="24"/>
          <w:lang w:val="en-US"/>
        </w:rPr>
        <w:t>. 700–721. DOI: 10.1061/(ASCE)1090-0241(2001)127:8(700)</w:t>
      </w:r>
    </w:p>
    <w:p w14:paraId="2423EBB6" w14:textId="6BC862B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301.</w:t>
      </w:r>
      <w:r w:rsidRPr="00B449A5">
        <w:rPr>
          <w:rFonts w:eastAsia="Calibri" w:cs="Times New Roman"/>
          <w:szCs w:val="24"/>
          <w:lang w:val="en-US"/>
        </w:rPr>
        <w:tab/>
        <w:t xml:space="preserve">Stability Analysis of Jointed Rock Slope by Strength Reduction Technique considering Ubiquitous Joint Model / R. Lu, W. Wei, K. Shang, X. Jing // Advances in Civil Engineering. — 2020. — </w:t>
      </w:r>
      <w:r w:rsidR="001A7438" w:rsidRPr="00FA3419">
        <w:rPr>
          <w:rFonts w:eastAsia="Calibri" w:cs="Times New Roman"/>
          <w:szCs w:val="24"/>
          <w:lang w:val="en-US"/>
        </w:rPr>
        <w:t>VOL.</w:t>
      </w:r>
      <w:r w:rsidRPr="00B449A5">
        <w:rPr>
          <w:rFonts w:eastAsia="Calibri" w:cs="Times New Roman"/>
          <w:szCs w:val="24"/>
          <w:lang w:val="en-US"/>
        </w:rPr>
        <w:t xml:space="preserve"> 2020. — </w:t>
      </w:r>
      <w:r w:rsidRPr="00B449A5">
        <w:rPr>
          <w:rFonts w:eastAsia="Calibri" w:cs="Times New Roman"/>
          <w:szCs w:val="24"/>
        </w:rPr>
        <w:t>С</w:t>
      </w:r>
      <w:r w:rsidRPr="00B449A5">
        <w:rPr>
          <w:rFonts w:eastAsia="Calibri" w:cs="Times New Roman"/>
          <w:szCs w:val="24"/>
          <w:lang w:val="en-US"/>
        </w:rPr>
        <w:t>. 1–13. DOI: 10.1155/2020/8862243</w:t>
      </w:r>
    </w:p>
    <w:p w14:paraId="1116670F" w14:textId="24D5989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302.</w:t>
      </w:r>
      <w:r w:rsidRPr="00B449A5">
        <w:rPr>
          <w:rFonts w:eastAsia="Calibri" w:cs="Times New Roman"/>
          <w:szCs w:val="24"/>
          <w:lang w:val="en-US"/>
        </w:rPr>
        <w:tab/>
        <w:t xml:space="preserve">Slope Stability of Embankments on Soft Soil Improved with Vertical Drains / F. Kassou, J.B. Bouziyane, A. Ghafiri, A. Sabihi // Civil Engineering Journal. — 2020. — </w:t>
      </w:r>
      <w:r w:rsidR="001A7438" w:rsidRPr="00FA3419">
        <w:rPr>
          <w:rFonts w:eastAsia="Calibri" w:cs="Times New Roman"/>
          <w:szCs w:val="24"/>
          <w:lang w:val="en-US"/>
        </w:rPr>
        <w:t>VOL.</w:t>
      </w:r>
      <w:r w:rsidRPr="00B449A5">
        <w:rPr>
          <w:rFonts w:eastAsia="Calibri" w:cs="Times New Roman"/>
          <w:szCs w:val="24"/>
          <w:lang w:val="en-US"/>
        </w:rPr>
        <w:t xml:space="preserve"> 6, № 1. — </w:t>
      </w:r>
      <w:r w:rsidRPr="00B449A5">
        <w:rPr>
          <w:rFonts w:eastAsia="Calibri" w:cs="Times New Roman"/>
          <w:szCs w:val="24"/>
        </w:rPr>
        <w:t>С</w:t>
      </w:r>
      <w:r w:rsidRPr="00B449A5">
        <w:rPr>
          <w:rFonts w:eastAsia="Calibri" w:cs="Times New Roman"/>
          <w:szCs w:val="24"/>
          <w:lang w:val="en-US"/>
        </w:rPr>
        <w:t>. 164–173. DOI: 10.28991/cej-2020-03091461</w:t>
      </w:r>
    </w:p>
    <w:p w14:paraId="237C57EF" w14:textId="6945B957"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303.</w:t>
      </w:r>
      <w:r w:rsidRPr="00B449A5">
        <w:rPr>
          <w:rFonts w:eastAsia="Calibri" w:cs="Times New Roman"/>
          <w:szCs w:val="24"/>
          <w:lang w:val="en-US"/>
        </w:rPr>
        <w:tab/>
        <w:t xml:space="preserve">Safety Criteria and Standards for Bearing Capacity of Foundation / Y. Li, W. Fan, X. Chen, Y. Liu, B. Chen // Mathematical Problems in Engineering. — 2017. — </w:t>
      </w:r>
      <w:r w:rsidR="001A7438" w:rsidRPr="00FA3419">
        <w:rPr>
          <w:rFonts w:eastAsia="Calibri" w:cs="Times New Roman"/>
          <w:szCs w:val="24"/>
          <w:lang w:val="en-US"/>
        </w:rPr>
        <w:t>VOL.</w:t>
      </w:r>
      <w:r w:rsidRPr="00B449A5">
        <w:rPr>
          <w:rFonts w:eastAsia="Calibri" w:cs="Times New Roman"/>
          <w:szCs w:val="24"/>
          <w:lang w:val="en-US"/>
        </w:rPr>
        <w:t xml:space="preserve"> 2017. — </w:t>
      </w:r>
      <w:r w:rsidRPr="00B449A5">
        <w:rPr>
          <w:rFonts w:eastAsia="Calibri" w:cs="Times New Roman"/>
          <w:szCs w:val="24"/>
        </w:rPr>
        <w:t>С</w:t>
      </w:r>
      <w:r w:rsidRPr="00B449A5">
        <w:rPr>
          <w:rFonts w:eastAsia="Calibri" w:cs="Times New Roman"/>
          <w:szCs w:val="24"/>
          <w:lang w:val="en-US"/>
        </w:rPr>
        <w:t>. 1–8. DOI: 10.1155/2017/3043571</w:t>
      </w:r>
    </w:p>
    <w:p w14:paraId="7446291D" w14:textId="0A9CB27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304.</w:t>
      </w:r>
      <w:r w:rsidRPr="00B449A5">
        <w:rPr>
          <w:rFonts w:eastAsia="Calibri" w:cs="Times New Roman"/>
          <w:szCs w:val="24"/>
          <w:lang w:val="en-US"/>
        </w:rPr>
        <w:tab/>
        <w:t>Rapid drawdown analysis using strength reduction / D.R. Van Den Berge, J.M. Duncan, T.L. Brandon // 18th International Conference on Soil Mechanics and Geotechnical Engineering: Challenges and Innovations in Geotechnics, ICSMGE 20132013.</w:t>
      </w:r>
    </w:p>
    <w:p w14:paraId="42A42DB4" w14:textId="38785E1F"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305.</w:t>
      </w:r>
      <w:r w:rsidRPr="00B449A5">
        <w:rPr>
          <w:rFonts w:eastAsia="Calibri" w:cs="Times New Roman"/>
          <w:szCs w:val="24"/>
          <w:lang w:val="en-US"/>
        </w:rPr>
        <w:tab/>
        <w:t xml:space="preserve">Aral Sea Basin Program Water &amp; Environmental Managment Project, Component C: Dam Safety and Reservoir Managment, Nurek Dam Safety Assessment Report. / GIBB // cawater-info. — 2000. — № March. — </w:t>
      </w:r>
      <w:r w:rsidRPr="00B449A5">
        <w:rPr>
          <w:rFonts w:eastAsia="Calibri" w:cs="Times New Roman"/>
          <w:szCs w:val="24"/>
        </w:rPr>
        <w:t>С</w:t>
      </w:r>
      <w:r w:rsidRPr="00B449A5">
        <w:rPr>
          <w:rFonts w:eastAsia="Calibri" w:cs="Times New Roman"/>
          <w:szCs w:val="24"/>
          <w:lang w:val="en-US"/>
        </w:rPr>
        <w:t>. 42–42.</w:t>
      </w:r>
    </w:p>
    <w:p w14:paraId="2F7A2916" w14:textId="74EABF34"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306.</w:t>
      </w:r>
      <w:r w:rsidRPr="00B449A5">
        <w:rPr>
          <w:rFonts w:eastAsia="Calibri" w:cs="Times New Roman"/>
          <w:szCs w:val="24"/>
          <w:lang w:val="en-US"/>
        </w:rPr>
        <w:tab/>
        <w:t xml:space="preserve">Performance Evaluation of Internal Drains of Earthen Dams / M. Calamak, A.N. Yilmaz, A.M. Yanmaz // Journal of Performance of Constructed Facilities. — 2018. — </w:t>
      </w:r>
      <w:r w:rsidR="001A7438" w:rsidRPr="00FA3419">
        <w:rPr>
          <w:rFonts w:eastAsia="Calibri" w:cs="Times New Roman"/>
          <w:szCs w:val="24"/>
          <w:lang w:val="en-US"/>
        </w:rPr>
        <w:t>VOL.</w:t>
      </w:r>
      <w:r w:rsidRPr="00B449A5">
        <w:rPr>
          <w:rFonts w:eastAsia="Calibri" w:cs="Times New Roman"/>
          <w:szCs w:val="24"/>
          <w:lang w:val="en-US"/>
        </w:rPr>
        <w:t xml:space="preserve"> 32, № 6. — </w:t>
      </w:r>
      <w:r w:rsidRPr="00B449A5">
        <w:rPr>
          <w:rFonts w:eastAsia="Calibri" w:cs="Times New Roman"/>
          <w:szCs w:val="24"/>
        </w:rPr>
        <w:t>С</w:t>
      </w:r>
      <w:r w:rsidRPr="00B449A5">
        <w:rPr>
          <w:rFonts w:eastAsia="Calibri" w:cs="Times New Roman"/>
          <w:szCs w:val="24"/>
          <w:lang w:val="en-US"/>
        </w:rPr>
        <w:t>. 04018085–04018085. DOI: 10.1061/(ASCE)CF.1943-5509.0001232</w:t>
      </w:r>
    </w:p>
    <w:p w14:paraId="7C86EA89" w14:textId="2291F1CC"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307.</w:t>
      </w:r>
      <w:r w:rsidRPr="00B449A5">
        <w:rPr>
          <w:rFonts w:eastAsia="Calibri" w:cs="Times New Roman"/>
          <w:szCs w:val="24"/>
          <w:lang w:val="en-US"/>
        </w:rPr>
        <w:tab/>
        <w:t xml:space="preserve">Effect of rock fragments on pore water pressure and slope stability at a hillslope / M. Mukhlisin, S.I. Naam // Journal of the Geological Society of India. — 2015. — </w:t>
      </w:r>
      <w:r w:rsidR="001A7438" w:rsidRPr="00FA3419">
        <w:rPr>
          <w:rFonts w:eastAsia="Calibri" w:cs="Times New Roman"/>
          <w:szCs w:val="24"/>
          <w:lang w:val="en-US"/>
        </w:rPr>
        <w:t>VOL.</w:t>
      </w:r>
      <w:r w:rsidRPr="00B449A5">
        <w:rPr>
          <w:rFonts w:eastAsia="Calibri" w:cs="Times New Roman"/>
          <w:szCs w:val="24"/>
          <w:lang w:val="en-US"/>
        </w:rPr>
        <w:t xml:space="preserve"> 86, № 3. — </w:t>
      </w:r>
      <w:r w:rsidRPr="00B449A5">
        <w:rPr>
          <w:rFonts w:eastAsia="Calibri" w:cs="Times New Roman"/>
          <w:szCs w:val="24"/>
        </w:rPr>
        <w:t>С</w:t>
      </w:r>
      <w:r w:rsidRPr="00B449A5">
        <w:rPr>
          <w:rFonts w:eastAsia="Calibri" w:cs="Times New Roman"/>
          <w:szCs w:val="24"/>
          <w:lang w:val="en-US"/>
        </w:rPr>
        <w:t>. 337–343. DOI: 10.1007/s12594-015-0320-6</w:t>
      </w:r>
    </w:p>
    <w:p w14:paraId="5EE076CA" w14:textId="1BDE30A9" w:rsidR="00B449A5" w:rsidRPr="00B449A5" w:rsidRDefault="00B449A5" w:rsidP="00DB6B76">
      <w:pPr>
        <w:spacing w:after="160" w:line="240" w:lineRule="auto"/>
        <w:ind w:hanging="709"/>
        <w:rPr>
          <w:rFonts w:eastAsia="Calibri" w:cs="Times New Roman"/>
          <w:szCs w:val="24"/>
          <w:lang w:val="en-US"/>
        </w:rPr>
      </w:pPr>
      <w:r w:rsidRPr="00B449A5">
        <w:rPr>
          <w:rFonts w:eastAsia="Calibri" w:cs="Times New Roman"/>
          <w:szCs w:val="24"/>
          <w:lang w:val="en-US"/>
        </w:rPr>
        <w:t>308.</w:t>
      </w:r>
      <w:r w:rsidRPr="00B449A5">
        <w:rPr>
          <w:rFonts w:eastAsia="Calibri" w:cs="Times New Roman"/>
          <w:szCs w:val="24"/>
          <w:lang w:val="en-US"/>
        </w:rPr>
        <w:tab/>
        <w:t xml:space="preserve">Real-time water quality monitoring through Internet of Things and ANOVA-based analysis: a case study on river Krishna / P.M. Pujar, H.H. Kenchannavar, R.M. Kulkarni, U.P. Kulkarni // Applied Water Science. — 2020. — </w:t>
      </w:r>
      <w:r w:rsidR="001A7438" w:rsidRPr="00FA3419">
        <w:rPr>
          <w:rFonts w:eastAsia="Calibri" w:cs="Times New Roman"/>
          <w:szCs w:val="24"/>
          <w:lang w:val="en-US"/>
        </w:rPr>
        <w:t>VOL.</w:t>
      </w:r>
      <w:r w:rsidRPr="00B449A5">
        <w:rPr>
          <w:rFonts w:eastAsia="Calibri" w:cs="Times New Roman"/>
          <w:szCs w:val="24"/>
          <w:lang w:val="en-US"/>
        </w:rPr>
        <w:t xml:space="preserve"> 10, № 1. — </w:t>
      </w:r>
      <w:r w:rsidRPr="00B449A5">
        <w:rPr>
          <w:rFonts w:eastAsia="Calibri" w:cs="Times New Roman"/>
          <w:szCs w:val="24"/>
        </w:rPr>
        <w:t>С</w:t>
      </w:r>
      <w:r w:rsidRPr="00B449A5">
        <w:rPr>
          <w:rFonts w:eastAsia="Calibri" w:cs="Times New Roman"/>
          <w:szCs w:val="24"/>
          <w:lang w:val="en-US"/>
        </w:rPr>
        <w:t>. 22–22. DOI: 10.1007/s13201-019-1111-9</w:t>
      </w:r>
    </w:p>
    <w:p w14:paraId="148E6C38" w14:textId="6CAEB0E2" w:rsidR="00B449A5" w:rsidRPr="00DB6B76" w:rsidRDefault="00B449A5" w:rsidP="00DB6B76">
      <w:pPr>
        <w:ind w:hanging="709"/>
        <w:rPr>
          <w:rFonts w:cs="Times New Roman"/>
          <w:szCs w:val="24"/>
          <w:lang w:val="en-US"/>
        </w:rPr>
      </w:pPr>
      <w:r w:rsidRPr="00DB6B76">
        <w:rPr>
          <w:rFonts w:eastAsia="Calibri" w:cs="Times New Roman"/>
          <w:szCs w:val="24"/>
          <w:lang w:val="en-US"/>
        </w:rPr>
        <w:t>309.</w:t>
      </w:r>
      <w:r w:rsidRPr="00DB6B76">
        <w:rPr>
          <w:rFonts w:eastAsia="Calibri" w:cs="Times New Roman"/>
          <w:szCs w:val="24"/>
          <w:lang w:val="en-US"/>
        </w:rPr>
        <w:tab/>
        <w:t xml:space="preserve">Dynamics of Embankment Slope Stability under Combination of Operating Water Levels and Drawdown Conditions / Y.B. Utepov, A.K. Aldungarova, T. Mkilima, I.M. Pidal, A.S. Tulebekova, S.Z. Zharassov, A.K. Abisheva // Infrastructures. — 2022. — Vol. 7, No. 5. — P. 65. </w:t>
      </w:r>
      <w:r w:rsidRPr="00CB6BBA">
        <w:rPr>
          <w:rFonts w:eastAsia="Calibri" w:cs="Times New Roman"/>
          <w:szCs w:val="24"/>
          <w:lang w:val="en-US"/>
        </w:rPr>
        <w:t>DOI: 10.3390/infrastructures7050065</w:t>
      </w:r>
      <w:bookmarkEnd w:id="1796"/>
    </w:p>
    <w:p w14:paraId="02392C4E" w14:textId="7FE9C7C2" w:rsidR="00935BE4" w:rsidRPr="00A367BA" w:rsidRDefault="00A367BA" w:rsidP="00A367BA">
      <w:pPr>
        <w:pStyle w:val="1"/>
        <w:numPr>
          <w:ilvl w:val="0"/>
          <w:numId w:val="0"/>
        </w:numPr>
        <w:jc w:val="center"/>
        <w:rPr>
          <w:lang w:val="en-US"/>
        </w:rPr>
      </w:pPr>
      <w:bookmarkStart w:id="1797" w:name="_Toc97504902"/>
      <w:bookmarkStart w:id="1798" w:name="_Toc104985380"/>
      <w:r w:rsidRPr="00A367BA">
        <w:rPr>
          <w:lang w:val="en-US"/>
        </w:rPr>
        <w:lastRenderedPageBreak/>
        <w:t>Appendi</w:t>
      </w:r>
      <w:bookmarkEnd w:id="1797"/>
      <w:r>
        <w:rPr>
          <w:lang w:val="en-US"/>
        </w:rPr>
        <w:t>x A</w:t>
      </w:r>
      <w:bookmarkStart w:id="1799" w:name="_Toc97504904"/>
      <w:r>
        <w:rPr>
          <w:lang w:val="en-US"/>
        </w:rPr>
        <w:t xml:space="preserve"> </w:t>
      </w:r>
      <w:r w:rsidR="000058AD">
        <w:rPr>
          <w:lang w:val="en-US"/>
        </w:rPr>
        <w:t>–</w:t>
      </w:r>
      <w:r>
        <w:rPr>
          <w:lang w:val="en-US"/>
        </w:rPr>
        <w:t xml:space="preserve"> </w:t>
      </w:r>
      <w:r w:rsidR="000058AD">
        <w:rPr>
          <w:rFonts w:eastAsia="Calibri"/>
          <w:lang w:val="en-US"/>
        </w:rPr>
        <w:t>Script for</w:t>
      </w:r>
      <w:r w:rsidR="00935BE4" w:rsidRPr="00A367BA">
        <w:rPr>
          <w:rFonts w:eastAsia="Calibri"/>
          <w:lang w:val="en-US"/>
        </w:rPr>
        <w:t xml:space="preserve"> geoprocessing tool</w:t>
      </w:r>
      <w:bookmarkEnd w:id="1798"/>
      <w:bookmarkEnd w:id="1799"/>
    </w:p>
    <w:p w14:paraId="66654D74" w14:textId="77777777" w:rsidR="00935BE4" w:rsidRPr="00A367BA" w:rsidRDefault="00935BE4" w:rsidP="00935BE4">
      <w:pPr>
        <w:shd w:val="clear" w:color="auto" w:fill="FFFFFF"/>
        <w:rPr>
          <w:rFonts w:eastAsia="Times New Roman" w:cs="Times New Roman"/>
          <w:color w:val="000000"/>
          <w:szCs w:val="24"/>
          <w:lang w:val="en-US"/>
        </w:rPr>
      </w:pPr>
      <w:r w:rsidRPr="00A367BA">
        <w:rPr>
          <w:rFonts w:eastAsia="Times New Roman" w:cs="Times New Roman"/>
          <w:color w:val="000000"/>
          <w:szCs w:val="24"/>
          <w:lang w:val="en-US"/>
        </w:rPr>
        <w:t># -*- coding: utf-8 -*-</w:t>
      </w:r>
    </w:p>
    <w:p w14:paraId="57593FEC" w14:textId="77777777" w:rsidR="00935BE4" w:rsidRPr="00A367BA" w:rsidRDefault="00935BE4" w:rsidP="00935BE4">
      <w:pPr>
        <w:shd w:val="clear" w:color="auto" w:fill="FFFFFF"/>
        <w:rPr>
          <w:rFonts w:eastAsia="Times New Roman" w:cs="Times New Roman"/>
          <w:color w:val="000000"/>
          <w:szCs w:val="24"/>
          <w:lang w:val="en-US"/>
        </w:rPr>
      </w:pPr>
      <w:r w:rsidRPr="00A367BA">
        <w:rPr>
          <w:rFonts w:eastAsia="Times New Roman" w:cs="Times New Roman"/>
          <w:color w:val="000000"/>
          <w:szCs w:val="24"/>
          <w:lang w:val="en-US"/>
        </w:rPr>
        <w:t># ---------------------------------------------------------------------------</w:t>
      </w:r>
    </w:p>
    <w:p w14:paraId="15F616FB" w14:textId="77777777" w:rsidR="00935BE4" w:rsidRPr="00A367BA" w:rsidRDefault="00935BE4" w:rsidP="00935BE4">
      <w:pPr>
        <w:shd w:val="clear" w:color="auto" w:fill="FFFFFF"/>
        <w:rPr>
          <w:rFonts w:eastAsia="Times New Roman" w:cs="Times New Roman"/>
          <w:color w:val="000000"/>
          <w:szCs w:val="24"/>
          <w:lang w:val="en-US"/>
        </w:rPr>
      </w:pPr>
      <w:r w:rsidRPr="00A367BA">
        <w:rPr>
          <w:rFonts w:eastAsia="Times New Roman" w:cs="Times New Roman"/>
          <w:color w:val="000000"/>
          <w:szCs w:val="24"/>
          <w:lang w:val="en-US"/>
        </w:rPr>
        <w:t># Script_lugoda.py</w:t>
      </w:r>
    </w:p>
    <w:p w14:paraId="1CDC5149" w14:textId="77777777" w:rsidR="00935BE4" w:rsidRPr="00A367BA" w:rsidRDefault="00935BE4" w:rsidP="00935BE4">
      <w:pPr>
        <w:shd w:val="clear" w:color="auto" w:fill="FFFFFF"/>
        <w:rPr>
          <w:rFonts w:eastAsia="Times New Roman" w:cs="Times New Roman"/>
          <w:color w:val="000000"/>
          <w:szCs w:val="24"/>
          <w:lang w:val="en-US"/>
        </w:rPr>
      </w:pPr>
      <w:r w:rsidRPr="00A367BA">
        <w:rPr>
          <w:rFonts w:eastAsia="Times New Roman" w:cs="Times New Roman"/>
          <w:color w:val="000000"/>
          <w:szCs w:val="24"/>
          <w:lang w:val="en-US"/>
        </w:rPr>
        <w:t># Created on: 2022-02-15 01:40:22.00000</w:t>
      </w:r>
    </w:p>
    <w:p w14:paraId="4B27168A" w14:textId="77777777" w:rsidR="00935BE4" w:rsidRPr="00A367BA" w:rsidRDefault="00935BE4" w:rsidP="00935BE4">
      <w:pPr>
        <w:shd w:val="clear" w:color="auto" w:fill="FFFFFF"/>
        <w:rPr>
          <w:rFonts w:eastAsia="Times New Roman" w:cs="Times New Roman"/>
          <w:color w:val="000000"/>
          <w:szCs w:val="24"/>
          <w:lang w:val="en-US"/>
        </w:rPr>
      </w:pPr>
      <w:r w:rsidRPr="00A367BA">
        <w:rPr>
          <w:rFonts w:eastAsia="Times New Roman" w:cs="Times New Roman"/>
          <w:color w:val="000000"/>
          <w:szCs w:val="24"/>
          <w:lang w:val="en-US"/>
        </w:rPr>
        <w:t>#   (generated by ArcGIS/ModelBuilder)</w:t>
      </w:r>
    </w:p>
    <w:p w14:paraId="35988EBD" w14:textId="77777777" w:rsidR="00935BE4" w:rsidRPr="00A367BA" w:rsidRDefault="00935BE4" w:rsidP="00935BE4">
      <w:pPr>
        <w:shd w:val="clear" w:color="auto" w:fill="FFFFFF"/>
        <w:rPr>
          <w:rFonts w:eastAsia="Times New Roman" w:cs="Times New Roman"/>
          <w:color w:val="000000"/>
          <w:szCs w:val="24"/>
          <w:lang w:val="en-US"/>
        </w:rPr>
      </w:pPr>
      <w:r w:rsidRPr="00A367BA">
        <w:rPr>
          <w:rFonts w:eastAsia="Times New Roman" w:cs="Times New Roman"/>
          <w:color w:val="000000"/>
          <w:szCs w:val="24"/>
          <w:lang w:val="en-US"/>
        </w:rPr>
        <w:t xml:space="preserve"># Description: </w:t>
      </w:r>
    </w:p>
    <w:p w14:paraId="38A8C400" w14:textId="77777777" w:rsidR="00935BE4" w:rsidRPr="00A367BA" w:rsidRDefault="00935BE4" w:rsidP="00935BE4">
      <w:pPr>
        <w:shd w:val="clear" w:color="auto" w:fill="FFFFFF"/>
        <w:rPr>
          <w:rFonts w:eastAsia="Times New Roman" w:cs="Times New Roman"/>
          <w:color w:val="000000"/>
          <w:szCs w:val="24"/>
          <w:lang w:val="en-US"/>
        </w:rPr>
      </w:pPr>
      <w:r w:rsidRPr="00A367BA">
        <w:rPr>
          <w:rFonts w:eastAsia="Times New Roman" w:cs="Times New Roman"/>
          <w:color w:val="000000"/>
          <w:szCs w:val="24"/>
          <w:lang w:val="en-US"/>
        </w:rPr>
        <w:t># ---------------------------------------------------------------------------</w:t>
      </w:r>
    </w:p>
    <w:p w14:paraId="3D73F796" w14:textId="77777777" w:rsidR="00935BE4" w:rsidRPr="00A367BA" w:rsidRDefault="00935BE4" w:rsidP="00935BE4">
      <w:pPr>
        <w:shd w:val="clear" w:color="auto" w:fill="FFFFFF"/>
        <w:rPr>
          <w:rFonts w:eastAsia="Times New Roman" w:cs="Times New Roman"/>
          <w:color w:val="000000"/>
          <w:szCs w:val="24"/>
          <w:lang w:val="en-US"/>
        </w:rPr>
      </w:pPr>
    </w:p>
    <w:p w14:paraId="24EE0930" w14:textId="77777777" w:rsidR="00935BE4" w:rsidRPr="00A367BA" w:rsidRDefault="00935BE4" w:rsidP="00935BE4">
      <w:pPr>
        <w:shd w:val="clear" w:color="auto" w:fill="FFFFFF"/>
        <w:rPr>
          <w:rFonts w:eastAsia="Times New Roman" w:cs="Times New Roman"/>
          <w:color w:val="000000"/>
          <w:szCs w:val="24"/>
          <w:lang w:val="en-US"/>
        </w:rPr>
      </w:pPr>
      <w:r w:rsidRPr="00A367BA">
        <w:rPr>
          <w:rFonts w:eastAsia="Times New Roman" w:cs="Times New Roman"/>
          <w:color w:val="000000"/>
          <w:szCs w:val="24"/>
          <w:lang w:val="en-US"/>
        </w:rPr>
        <w:t># Import arcpy module</w:t>
      </w:r>
    </w:p>
    <w:p w14:paraId="5AE34C27" w14:textId="77777777" w:rsidR="00935BE4" w:rsidRPr="00A367BA" w:rsidRDefault="00935BE4" w:rsidP="00935BE4">
      <w:pPr>
        <w:shd w:val="clear" w:color="auto" w:fill="FFFFFF"/>
        <w:rPr>
          <w:rFonts w:eastAsia="Times New Roman" w:cs="Times New Roman"/>
          <w:color w:val="000000"/>
          <w:szCs w:val="24"/>
          <w:lang w:val="en-US"/>
        </w:rPr>
      </w:pPr>
      <w:r w:rsidRPr="00A367BA">
        <w:rPr>
          <w:rFonts w:eastAsia="Times New Roman" w:cs="Times New Roman"/>
          <w:b/>
          <w:bCs/>
          <w:color w:val="0000FF"/>
          <w:szCs w:val="24"/>
          <w:lang w:val="en-US"/>
        </w:rPr>
        <w:t>import</w:t>
      </w:r>
      <w:r w:rsidRPr="00A367BA">
        <w:rPr>
          <w:rFonts w:eastAsia="Times New Roman" w:cs="Times New Roman"/>
          <w:color w:val="000000"/>
          <w:szCs w:val="24"/>
          <w:lang w:val="en-US"/>
        </w:rPr>
        <w:t xml:space="preserve"> arcpy</w:t>
      </w:r>
    </w:p>
    <w:p w14:paraId="5CED6C94" w14:textId="77777777" w:rsidR="00935BE4" w:rsidRPr="00A367BA" w:rsidRDefault="00935BE4" w:rsidP="00935BE4">
      <w:pPr>
        <w:shd w:val="clear" w:color="auto" w:fill="FFFFFF"/>
        <w:rPr>
          <w:rFonts w:eastAsia="Times New Roman" w:cs="Times New Roman"/>
          <w:color w:val="000000"/>
          <w:szCs w:val="24"/>
          <w:lang w:val="en-US"/>
        </w:rPr>
      </w:pPr>
    </w:p>
    <w:p w14:paraId="1B6B3FA3" w14:textId="77777777" w:rsidR="00935BE4" w:rsidRPr="00A367BA" w:rsidRDefault="00935BE4" w:rsidP="00935BE4">
      <w:pPr>
        <w:shd w:val="clear" w:color="auto" w:fill="FFFFFF"/>
        <w:rPr>
          <w:rFonts w:eastAsia="Times New Roman" w:cs="Times New Roman"/>
          <w:color w:val="000000"/>
          <w:szCs w:val="24"/>
          <w:lang w:val="en-US"/>
        </w:rPr>
      </w:pPr>
    </w:p>
    <w:p w14:paraId="7C7509D5" w14:textId="77777777" w:rsidR="00935BE4" w:rsidRPr="00A367BA" w:rsidRDefault="00935BE4" w:rsidP="00935BE4">
      <w:pPr>
        <w:shd w:val="clear" w:color="auto" w:fill="FFFFFF"/>
        <w:rPr>
          <w:rFonts w:eastAsia="Times New Roman" w:cs="Times New Roman"/>
          <w:color w:val="000000"/>
          <w:szCs w:val="24"/>
          <w:lang w:val="en-US"/>
        </w:rPr>
      </w:pPr>
      <w:r w:rsidRPr="00A367BA">
        <w:rPr>
          <w:rFonts w:eastAsia="Times New Roman" w:cs="Times New Roman"/>
          <w:color w:val="008000"/>
          <w:szCs w:val="24"/>
          <w:lang w:val="en-US"/>
        </w:rPr>
        <w:t># Local variables:</w:t>
      </w:r>
    </w:p>
    <w:p w14:paraId="3107245E"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s09_e036_1arc_v3_tif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"C:\\Users\\user\\Desktop\\Lugoda\\s09_e036_1arc_v3.tif"</w:t>
      </w:r>
    </w:p>
    <w:p w14:paraId="7A0B0AE1"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mosaicnew1_tif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s09_e036_1arc_v3_tif</w:t>
      </w:r>
    </w:p>
    <w:p w14:paraId="14AD46B0"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s09_e035_1arc_v3_tif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"C:\\Users\\user\\Desktop\\Lugoda\\s09_e035_1arc_v3.tif"</w:t>
      </w:r>
    </w:p>
    <w:p w14:paraId="567D859C"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s09_e034_1arc_v3_tif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"C:\\Users\\user\\Desktop\\Lugoda\\s09_e034_1arc_v3.tif"</w:t>
      </w:r>
    </w:p>
    <w:p w14:paraId="287B89F0"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s08_e036_1arc_v3_tif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"C:\\Users\\user\\Desktop\\Lugoda\\s08_e036_1arc_v3.tif"</w:t>
      </w:r>
    </w:p>
    <w:p w14:paraId="266794FB"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s08_e035_1arc_v3_tif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"C:\\Users\\user\\Desktop\\Lugoda\\s08_e035_1arc_v3.tif"</w:t>
      </w:r>
    </w:p>
    <w:p w14:paraId="6ECB1E06"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s08_e034_1arc_v3_tif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"C:\\Users\\user\\Desktop\\Lugoda\\s08_e034_1arc_v3.tif"</w:t>
      </w:r>
    </w:p>
    <w:p w14:paraId="014BB8E8"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Modelbuilder_output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"C:\\Users\\user\\Desktop\\Work-lugoda\\Modelbuilder_output"</w:t>
      </w:r>
    </w:p>
    <w:p w14:paraId="51013EF9"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Output_surface_raster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"C:\\Users\\user\\Documents\\ArcGIS\\Default.gdb\\Fill_tif8"</w:t>
      </w:r>
    </w:p>
    <w:p w14:paraId="37D9B41F"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Fdr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"C:\\Users\\user\\Desktop\\Work-lugoda\\Layers\\fdr"</w:t>
      </w:r>
    </w:p>
    <w:p w14:paraId="35DFCA27"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Fac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"C:\\Users\\user\\Desktop\\Work-lugoda\\Layers\\fac"</w:t>
      </w:r>
    </w:p>
    <w:p w14:paraId="655AF92E"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Str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"C:\\Users\\user\\Desktop\\Work-lugoda\\Layers\\str"</w:t>
      </w:r>
    </w:p>
    <w:p w14:paraId="6E1650B2"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StrLnk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"C:\\Users\\user\\Desktop\\Work-lugoda\\Layers\\strlnk"</w:t>
      </w:r>
    </w:p>
    <w:p w14:paraId="6922A796"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DrainageLine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"C:\\Users\\user\\Desktop\\Work-lugoda\\ModelBuilderTrial2.gdb\\Layers\\DrainageLine"</w:t>
      </w:r>
    </w:p>
    <w:p w14:paraId="7184071F"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Cat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"C:\\Users\\user\\Desktop\\Work-lugoda\\Layers\\cat"</w:t>
      </w:r>
    </w:p>
    <w:p w14:paraId="71122419"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Catchment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"C:\\Users\\user\\Desktop\\Work-lugoda\\ModelBuilderTrial2.gdb\\Layers\\Catchment"</w:t>
      </w:r>
    </w:p>
    <w:p w14:paraId="5FFFCC64"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AdjointCatchment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"C:\\Users\\user\\Desktop\\Work-lugoda\\ModelBuilderTrial2.gdb\\Layers\\AdjointCatchment"</w:t>
      </w:r>
    </w:p>
    <w:p w14:paraId="7350F529"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Fdr__2_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"Fdr"</w:t>
      </w:r>
    </w:p>
    <w:p w14:paraId="03DA2820"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lastRenderedPageBreak/>
        <w:t xml:space="preserve">Fdr__3_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"Fdr"</w:t>
      </w:r>
    </w:p>
    <w:p w14:paraId="6341FB69"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Fdr__4_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"Fdr"</w:t>
      </w:r>
    </w:p>
    <w:p w14:paraId="7556D64A"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Catchment__2_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"Catchment"</w:t>
      </w:r>
    </w:p>
    <w:p w14:paraId="1F67CB59"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LSU_shp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"C:\\Users\\user\\Desktop\\Work-lugoda\\LSU.shp"</w:t>
      </w:r>
    </w:p>
    <w:p w14:paraId="6BF0CF8D"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Fill_tif8_Clip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"C:\\Users\\user\\Documents\\ArcGIS\\Default.gdb\\Fill_tif8_Clip"</w:t>
      </w:r>
    </w:p>
    <w:p w14:paraId="1057333C"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CNLookUp_dbf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"C:\\Users\\user\\Desktop\\Work-lugoda\\CNLookUp.dbf"</w:t>
      </w:r>
    </w:p>
    <w:p w14:paraId="7C55448F"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CNGrid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"C:\\Users\\user\\Desktop\\Work-lugoda\\Layers\\cngrid"</w:t>
      </w:r>
    </w:p>
    <w:p w14:paraId="6E3411E4" w14:textId="77777777" w:rsidR="00935BE4" w:rsidRPr="00E826CC" w:rsidRDefault="00935BE4" w:rsidP="00935BE4">
      <w:pPr>
        <w:shd w:val="clear" w:color="auto" w:fill="FFFFFF"/>
        <w:rPr>
          <w:rFonts w:eastAsia="Times New Roman" w:cs="Times New Roman"/>
          <w:color w:val="000000"/>
          <w:szCs w:val="24"/>
          <w:lang w:val="en-US"/>
        </w:rPr>
      </w:pPr>
      <w:r w:rsidRPr="00E826CC">
        <w:rPr>
          <w:rFonts w:eastAsia="Times New Roman" w:cs="Times New Roman"/>
          <w:color w:val="000000"/>
          <w:szCs w:val="24"/>
          <w:lang w:val="en-US"/>
        </w:rPr>
        <w:t xml:space="preserve">Fil </w:t>
      </w:r>
      <w:r w:rsidRPr="00E826CC">
        <w:rPr>
          <w:rFonts w:eastAsia="Times New Roman" w:cs="Times New Roman"/>
          <w:b/>
          <w:bCs/>
          <w:color w:val="000080"/>
          <w:szCs w:val="24"/>
          <w:lang w:val="en-US"/>
        </w:rPr>
        <w:t>=</w:t>
      </w:r>
      <w:r w:rsidRPr="00E826CC">
        <w:rPr>
          <w:rFonts w:eastAsia="Times New Roman" w:cs="Times New Roman"/>
          <w:color w:val="000000"/>
          <w:szCs w:val="24"/>
          <w:lang w:val="en-US"/>
        </w:rPr>
        <w:t xml:space="preserve"> </w:t>
      </w:r>
      <w:r w:rsidRPr="00E826CC">
        <w:rPr>
          <w:rFonts w:eastAsia="Times New Roman" w:cs="Times New Roman"/>
          <w:color w:val="808080"/>
          <w:szCs w:val="24"/>
          <w:lang w:val="en-US"/>
        </w:rPr>
        <w:t>"Fil"</w:t>
      </w:r>
    </w:p>
    <w:p w14:paraId="5E9F400D" w14:textId="77777777" w:rsidR="00935BE4" w:rsidRPr="00E826CC" w:rsidRDefault="00935BE4" w:rsidP="00935BE4">
      <w:pPr>
        <w:shd w:val="clear" w:color="auto" w:fill="FFFFFF"/>
        <w:rPr>
          <w:rFonts w:eastAsia="Times New Roman" w:cs="Times New Roman"/>
          <w:color w:val="000000"/>
          <w:szCs w:val="24"/>
          <w:lang w:val="en-US"/>
        </w:rPr>
      </w:pPr>
      <w:r w:rsidRPr="00E826CC">
        <w:rPr>
          <w:rFonts w:eastAsia="Times New Roman" w:cs="Times New Roman"/>
          <w:color w:val="000000"/>
          <w:szCs w:val="24"/>
          <w:lang w:val="en-US"/>
        </w:rPr>
        <w:t xml:space="preserve">SoilLUPoly </w:t>
      </w:r>
      <w:r w:rsidRPr="00E826CC">
        <w:rPr>
          <w:rFonts w:eastAsia="Times New Roman" w:cs="Times New Roman"/>
          <w:b/>
          <w:bCs/>
          <w:color w:val="000080"/>
          <w:szCs w:val="24"/>
          <w:lang w:val="en-US"/>
        </w:rPr>
        <w:t>=</w:t>
      </w:r>
      <w:r w:rsidRPr="00E826CC">
        <w:rPr>
          <w:rFonts w:eastAsia="Times New Roman" w:cs="Times New Roman"/>
          <w:color w:val="000000"/>
          <w:szCs w:val="24"/>
          <w:lang w:val="en-US"/>
        </w:rPr>
        <w:t xml:space="preserve"> </w:t>
      </w:r>
      <w:r w:rsidRPr="00E826CC">
        <w:rPr>
          <w:rFonts w:eastAsia="Times New Roman" w:cs="Times New Roman"/>
          <w:color w:val="808080"/>
          <w:szCs w:val="24"/>
          <w:lang w:val="en-US"/>
        </w:rPr>
        <w:t>"SoilLUPoly"</w:t>
      </w:r>
    </w:p>
    <w:p w14:paraId="1E69260A"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 xml:space="preserve">CNLookUp </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"CNLookUp"</w:t>
      </w:r>
    </w:p>
    <w:p w14:paraId="42E51604"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8000"/>
          <w:szCs w:val="24"/>
          <w:lang w:val="en-US"/>
        </w:rPr>
        <w:t># Process: Mosaic To New Raster</w:t>
      </w:r>
    </w:p>
    <w:p w14:paraId="698A5CC2"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arcpy</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MosaicToNewRaster_management</w:t>
      </w:r>
      <w:r w:rsidRPr="00935BE4">
        <w:rPr>
          <w:rFonts w:eastAsia="Times New Roman" w:cs="Times New Roman"/>
          <w:b/>
          <w:bCs/>
          <w:color w:val="000080"/>
          <w:szCs w:val="24"/>
          <w:lang w:val="en-US"/>
        </w:rPr>
        <w:t>(</w:t>
      </w:r>
      <w:r w:rsidRPr="00935BE4">
        <w:rPr>
          <w:rFonts w:eastAsia="Times New Roman" w:cs="Times New Roman"/>
          <w:color w:val="808080"/>
          <w:szCs w:val="24"/>
          <w:lang w:val="en-US"/>
        </w:rPr>
        <w:t>"C:\\Users\\user\\Desktop\\Lugoda\\s09_e036_1arc_v3.tif;C:\\Users\\user\\Desktop\\Lugoda\\s09_e035_1arc_v3.tif;C:\\Users\\user\\Desktop\\Lugoda\\s09_e034_1arc_v3.tif;C:\\Users\\user\\Desktop\\Lugoda\\s08_e036_1arc_v3.tif;C:\\Users\\user\\Desktop\\Lugoda\\s08_e035_1arc_v3.tif;C:\\Users\\user\\Desktop\\Lugoda\\s08_e034_1arc_v3.tif"</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Modelbuilder_output</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"mosaicnew1.tif"</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PROJCS['WGS_1984_UTM_Zone_37S',GEOGCS['GCS_WGS_1984',DATUM['D_WGS_1984',SPHEROID['WGS_1984',6378137.0,298.257223563]],PRIMEM['Greenwich',0.0],UNIT['Degree',0.0174532925199433]],PROJECTION['Transverse_Mercator'],PARAMETER['False_Easting',500000.0],PARAMETER['False_Northing',10000000.0],PARAMETER['Central_Meridian',39.0],PARAMETER['Scale_Factor',0.9996],PARAMETER['Latitude_Of_Origin',0.0],UNIT['Meter',1.0]]"</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"32_BIT_FLOAT"</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"1"</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"LAST"</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"FIRST"</w:t>
      </w:r>
      <w:r w:rsidRPr="00935BE4">
        <w:rPr>
          <w:rFonts w:eastAsia="Times New Roman" w:cs="Times New Roman"/>
          <w:b/>
          <w:bCs/>
          <w:color w:val="000080"/>
          <w:szCs w:val="24"/>
          <w:lang w:val="en-US"/>
        </w:rPr>
        <w:t>)</w:t>
      </w:r>
    </w:p>
    <w:p w14:paraId="7C157F5A" w14:textId="77777777" w:rsidR="00935BE4" w:rsidRPr="00935BE4" w:rsidRDefault="00935BE4" w:rsidP="00935BE4">
      <w:pPr>
        <w:shd w:val="clear" w:color="auto" w:fill="FFFFFF"/>
        <w:rPr>
          <w:rFonts w:eastAsia="Times New Roman" w:cs="Times New Roman"/>
          <w:color w:val="000000"/>
          <w:szCs w:val="24"/>
          <w:lang w:val="en-US"/>
        </w:rPr>
      </w:pPr>
    </w:p>
    <w:p w14:paraId="5FC389B8"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8000"/>
          <w:szCs w:val="24"/>
          <w:lang w:val="en-US"/>
        </w:rPr>
        <w:t># Process: Fill</w:t>
      </w:r>
    </w:p>
    <w:p w14:paraId="6B873294"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arcpy</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gp</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Fill_sa</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mosaicnew1_tif</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Output_surface_raster</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w:t>
      </w:r>
      <w:r w:rsidRPr="00935BE4">
        <w:rPr>
          <w:rFonts w:eastAsia="Times New Roman" w:cs="Times New Roman"/>
          <w:b/>
          <w:bCs/>
          <w:color w:val="000080"/>
          <w:szCs w:val="24"/>
          <w:lang w:val="en-US"/>
        </w:rPr>
        <w:t>)</w:t>
      </w:r>
    </w:p>
    <w:p w14:paraId="3CAC56B2"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8000"/>
          <w:szCs w:val="24"/>
          <w:lang w:val="en-US"/>
        </w:rPr>
        <w:t># Process: Flow Direction</w:t>
      </w:r>
    </w:p>
    <w:p w14:paraId="3A86B91D"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arcpy</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FlowDirection_archydro</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Output_surface_raster</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Fdr</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w:t>
      </w:r>
      <w:r w:rsidRPr="00935BE4">
        <w:rPr>
          <w:rFonts w:eastAsia="Times New Roman" w:cs="Times New Roman"/>
          <w:b/>
          <w:bCs/>
          <w:color w:val="000080"/>
          <w:szCs w:val="24"/>
          <w:lang w:val="en-US"/>
        </w:rPr>
        <w:t>)</w:t>
      </w:r>
    </w:p>
    <w:p w14:paraId="5D786E31"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8000"/>
          <w:szCs w:val="24"/>
          <w:lang w:val="en-US"/>
        </w:rPr>
        <w:t># Process: Flow Accumulation</w:t>
      </w:r>
    </w:p>
    <w:p w14:paraId="702833C7"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arcpy</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FlowAccumulation_archydro</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Fdr</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Fac</w:t>
      </w:r>
      <w:r w:rsidRPr="00935BE4">
        <w:rPr>
          <w:rFonts w:eastAsia="Times New Roman" w:cs="Times New Roman"/>
          <w:b/>
          <w:bCs/>
          <w:color w:val="000080"/>
          <w:szCs w:val="24"/>
          <w:lang w:val="en-US"/>
        </w:rPr>
        <w:t>)</w:t>
      </w:r>
    </w:p>
    <w:p w14:paraId="51573B4C" w14:textId="77777777" w:rsidR="00935BE4" w:rsidRPr="00E826CC" w:rsidRDefault="00935BE4" w:rsidP="00935BE4">
      <w:pPr>
        <w:shd w:val="clear" w:color="auto" w:fill="FFFFFF"/>
        <w:rPr>
          <w:rFonts w:eastAsia="Times New Roman" w:cs="Times New Roman"/>
          <w:color w:val="000000"/>
          <w:szCs w:val="24"/>
          <w:lang w:val="en-US"/>
        </w:rPr>
      </w:pPr>
      <w:r w:rsidRPr="00E826CC">
        <w:rPr>
          <w:rFonts w:eastAsia="Times New Roman" w:cs="Times New Roman"/>
          <w:color w:val="008000"/>
          <w:szCs w:val="24"/>
          <w:lang w:val="en-US"/>
        </w:rPr>
        <w:t># Process: Stream Definition</w:t>
      </w:r>
    </w:p>
    <w:p w14:paraId="1A8AC2EE"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arcpy</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StreamDefinition_archydro</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Fac</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"322194"</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Str</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"309.679522"</w:t>
      </w:r>
      <w:r w:rsidRPr="00935BE4">
        <w:rPr>
          <w:rFonts w:eastAsia="Times New Roman" w:cs="Times New Roman"/>
          <w:b/>
          <w:bCs/>
          <w:color w:val="000080"/>
          <w:szCs w:val="24"/>
          <w:lang w:val="en-US"/>
        </w:rPr>
        <w:t>)</w:t>
      </w:r>
    </w:p>
    <w:p w14:paraId="5864E2A6" w14:textId="77777777" w:rsidR="00935BE4" w:rsidRPr="00E826CC" w:rsidRDefault="00935BE4" w:rsidP="00935BE4">
      <w:pPr>
        <w:shd w:val="clear" w:color="auto" w:fill="FFFFFF"/>
        <w:rPr>
          <w:rFonts w:eastAsia="Times New Roman" w:cs="Times New Roman"/>
          <w:color w:val="000000"/>
          <w:szCs w:val="24"/>
          <w:lang w:val="en-US"/>
        </w:rPr>
      </w:pPr>
      <w:r w:rsidRPr="00E826CC">
        <w:rPr>
          <w:rFonts w:eastAsia="Times New Roman" w:cs="Times New Roman"/>
          <w:color w:val="008000"/>
          <w:szCs w:val="24"/>
          <w:lang w:val="en-US"/>
        </w:rPr>
        <w:t># Process: Stream Segmentation</w:t>
      </w:r>
    </w:p>
    <w:p w14:paraId="3157F15E"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arcpy</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StreamSegmentation_archydro</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Str</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Fdr</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StrLnk</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w:t>
      </w:r>
      <w:r w:rsidRPr="00935BE4">
        <w:rPr>
          <w:rFonts w:eastAsia="Times New Roman" w:cs="Times New Roman"/>
          <w:b/>
          <w:bCs/>
          <w:color w:val="000080"/>
          <w:szCs w:val="24"/>
          <w:lang w:val="en-US"/>
        </w:rPr>
        <w:t>)</w:t>
      </w:r>
    </w:p>
    <w:p w14:paraId="15D36EAE"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8000"/>
          <w:szCs w:val="24"/>
          <w:lang w:val="en-US"/>
        </w:rPr>
        <w:t># Process: Drainage Line Processing</w:t>
      </w:r>
    </w:p>
    <w:p w14:paraId="6B49C048"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arcpy</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DrainageLineProcessing_archydro</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StrLnk</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Fdr</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DrainageLine</w:t>
      </w:r>
      <w:r w:rsidRPr="00935BE4">
        <w:rPr>
          <w:rFonts w:eastAsia="Times New Roman" w:cs="Times New Roman"/>
          <w:b/>
          <w:bCs/>
          <w:color w:val="000080"/>
          <w:szCs w:val="24"/>
          <w:lang w:val="en-US"/>
        </w:rPr>
        <w:t>)</w:t>
      </w:r>
    </w:p>
    <w:p w14:paraId="07627768"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8000"/>
          <w:szCs w:val="24"/>
          <w:lang w:val="en-US"/>
        </w:rPr>
        <w:lastRenderedPageBreak/>
        <w:t># Process: Catchment Grid Delineation</w:t>
      </w:r>
    </w:p>
    <w:p w14:paraId="678B7DF6"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arcpy</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CatchmentGridDelineation_archydro</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Fdr</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StrLnk</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Cat</w:t>
      </w:r>
      <w:r w:rsidRPr="00935BE4">
        <w:rPr>
          <w:rFonts w:eastAsia="Times New Roman" w:cs="Times New Roman"/>
          <w:b/>
          <w:bCs/>
          <w:color w:val="000080"/>
          <w:szCs w:val="24"/>
          <w:lang w:val="en-US"/>
        </w:rPr>
        <w:t>)</w:t>
      </w:r>
    </w:p>
    <w:p w14:paraId="6D6C3482"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8000"/>
          <w:szCs w:val="24"/>
          <w:lang w:val="en-US"/>
        </w:rPr>
        <w:t># Process: Catchment Polygon Processing</w:t>
      </w:r>
    </w:p>
    <w:p w14:paraId="6B275FE0"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arcpy</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CatchmentPolyProcessing_archydro</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Cat</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Catchment</w:t>
      </w:r>
      <w:r w:rsidRPr="00935BE4">
        <w:rPr>
          <w:rFonts w:eastAsia="Times New Roman" w:cs="Times New Roman"/>
          <w:b/>
          <w:bCs/>
          <w:color w:val="000080"/>
          <w:szCs w:val="24"/>
          <w:lang w:val="en-US"/>
        </w:rPr>
        <w:t>)</w:t>
      </w:r>
    </w:p>
    <w:p w14:paraId="60960FEE"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8000"/>
          <w:szCs w:val="24"/>
          <w:lang w:val="en-US"/>
        </w:rPr>
        <w:t># Process: Adjoint Catchment Processing</w:t>
      </w:r>
    </w:p>
    <w:p w14:paraId="77EE0B87"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arcpy</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AdjointCatchment_archydro</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DrainageLine</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Catchment</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AdjointCatchment</w:t>
      </w:r>
      <w:r w:rsidRPr="00935BE4">
        <w:rPr>
          <w:rFonts w:eastAsia="Times New Roman" w:cs="Times New Roman"/>
          <w:b/>
          <w:bCs/>
          <w:color w:val="000080"/>
          <w:szCs w:val="24"/>
          <w:lang w:val="en-US"/>
        </w:rPr>
        <w:t>)</w:t>
      </w:r>
    </w:p>
    <w:p w14:paraId="023D33BB"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8000"/>
          <w:szCs w:val="24"/>
          <w:lang w:val="en-US"/>
        </w:rPr>
        <w:t># Process: Clip</w:t>
      </w:r>
    </w:p>
    <w:p w14:paraId="00F63FD0"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arcpy</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Clip_management</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Output_surface_raster</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"73959.1283518013 9076606.75805134 125300.391817845 9119633.12718286"</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Fill_tif8_Clip</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LSU_shp</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"-3.402823e+38"</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"NONE"</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w:t>
      </w:r>
      <w:r w:rsidRPr="00935BE4">
        <w:rPr>
          <w:rFonts w:eastAsia="Times New Roman" w:cs="Times New Roman"/>
          <w:color w:val="808080"/>
          <w:szCs w:val="24"/>
          <w:lang w:val="en-US"/>
        </w:rPr>
        <w:t>"MAINTAIN_EXTENT"</w:t>
      </w:r>
      <w:r w:rsidRPr="00935BE4">
        <w:rPr>
          <w:rFonts w:eastAsia="Times New Roman" w:cs="Times New Roman"/>
          <w:b/>
          <w:bCs/>
          <w:color w:val="000080"/>
          <w:szCs w:val="24"/>
          <w:lang w:val="en-US"/>
        </w:rPr>
        <w:t>)</w:t>
      </w:r>
    </w:p>
    <w:p w14:paraId="01FACEDC"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8000"/>
          <w:szCs w:val="24"/>
          <w:lang w:val="en-US"/>
        </w:rPr>
        <w:t># Process: Generate CN Grid</w:t>
      </w:r>
    </w:p>
    <w:p w14:paraId="0DDE6C31" w14:textId="77777777" w:rsidR="00935BE4" w:rsidRPr="00935BE4" w:rsidRDefault="00935BE4" w:rsidP="00935BE4">
      <w:pPr>
        <w:shd w:val="clear" w:color="auto" w:fill="FFFFFF"/>
        <w:rPr>
          <w:rFonts w:eastAsia="Times New Roman" w:cs="Times New Roman"/>
          <w:color w:val="000000"/>
          <w:szCs w:val="24"/>
          <w:lang w:val="en-US"/>
        </w:rPr>
      </w:pPr>
      <w:r w:rsidRPr="00935BE4">
        <w:rPr>
          <w:rFonts w:eastAsia="Times New Roman" w:cs="Times New Roman"/>
          <w:color w:val="000000"/>
          <w:szCs w:val="24"/>
          <w:lang w:val="en-US"/>
        </w:rPr>
        <w:t>arcpy</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GenerateCNGrid_geohms</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Fill_tif8_Clip</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LSU_shp</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CNLookUp_dbf</w:t>
      </w:r>
      <w:r w:rsidRPr="00935BE4">
        <w:rPr>
          <w:rFonts w:eastAsia="Times New Roman" w:cs="Times New Roman"/>
          <w:b/>
          <w:bCs/>
          <w:color w:val="000080"/>
          <w:szCs w:val="24"/>
          <w:lang w:val="en-US"/>
        </w:rPr>
        <w:t>,</w:t>
      </w:r>
      <w:r w:rsidRPr="00935BE4">
        <w:rPr>
          <w:rFonts w:eastAsia="Times New Roman" w:cs="Times New Roman"/>
          <w:color w:val="000000"/>
          <w:szCs w:val="24"/>
          <w:lang w:val="en-US"/>
        </w:rPr>
        <w:t xml:space="preserve"> CNGrid</w:t>
      </w:r>
      <w:r w:rsidRPr="00935BE4">
        <w:rPr>
          <w:rFonts w:eastAsia="Times New Roman" w:cs="Times New Roman"/>
          <w:b/>
          <w:bCs/>
          <w:color w:val="000080"/>
          <w:szCs w:val="24"/>
          <w:lang w:val="en-US"/>
        </w:rPr>
        <w:t>)</w:t>
      </w:r>
    </w:p>
    <w:p w14:paraId="28E942D7" w14:textId="77777777" w:rsidR="00935BE4" w:rsidRPr="00935BE4" w:rsidRDefault="00935BE4" w:rsidP="00935BE4">
      <w:pPr>
        <w:shd w:val="clear" w:color="auto" w:fill="FFFFFF"/>
        <w:jc w:val="left"/>
        <w:rPr>
          <w:rFonts w:eastAsia="Times New Roman" w:cs="Times New Roman"/>
          <w:color w:val="000000"/>
          <w:szCs w:val="24"/>
          <w:lang w:val="en-US"/>
        </w:rPr>
      </w:pPr>
    </w:p>
    <w:p w14:paraId="3D3C64EA" w14:textId="12B38A43" w:rsidR="00935BE4" w:rsidRPr="00A367BA" w:rsidRDefault="00935BE4" w:rsidP="00A367BA">
      <w:pPr>
        <w:pStyle w:val="1"/>
        <w:numPr>
          <w:ilvl w:val="0"/>
          <w:numId w:val="0"/>
        </w:numPr>
        <w:jc w:val="center"/>
        <w:rPr>
          <w:lang w:val="en-US"/>
        </w:rPr>
      </w:pPr>
      <w:bookmarkStart w:id="1800" w:name="_Toc97504905"/>
      <w:bookmarkStart w:id="1801" w:name="_Toc104985381"/>
      <w:r w:rsidRPr="00A367BA">
        <w:rPr>
          <w:lang w:val="en-US"/>
        </w:rPr>
        <w:lastRenderedPageBreak/>
        <w:t xml:space="preserve">Appendix </w:t>
      </w:r>
      <w:bookmarkEnd w:id="1800"/>
      <w:r w:rsidR="00A367BA">
        <w:rPr>
          <w:lang w:val="en-US"/>
        </w:rPr>
        <w:t>B</w:t>
      </w:r>
      <w:bookmarkStart w:id="1802" w:name="_Toc97504906"/>
      <w:r w:rsidR="00A367BA">
        <w:rPr>
          <w:lang w:val="en-US"/>
        </w:rPr>
        <w:t xml:space="preserve"> - </w:t>
      </w:r>
      <w:r w:rsidR="00391E1C" w:rsidRPr="00935BE4">
        <w:rPr>
          <w:rFonts w:eastAsia="Calibri"/>
          <w:lang w:val="en-US"/>
        </w:rPr>
        <w:t>Ndembera catchment</w:t>
      </w:r>
      <w:r w:rsidRPr="00935BE4">
        <w:rPr>
          <w:rFonts w:eastAsia="Calibri"/>
          <w:lang w:val="en-US"/>
        </w:rPr>
        <w:t xml:space="preserve"> land use and land cover data for water in 1995</w:t>
      </w:r>
      <w:bookmarkEnd w:id="1801"/>
      <w:bookmarkEnd w:id="1802"/>
    </w:p>
    <w:tbl>
      <w:tblPr>
        <w:tblStyle w:val="TableGrid10"/>
        <w:tblW w:w="0" w:type="auto"/>
        <w:jc w:val="center"/>
        <w:tblLook w:val="04A0" w:firstRow="1" w:lastRow="0" w:firstColumn="1" w:lastColumn="0" w:noHBand="0" w:noVBand="1"/>
      </w:tblPr>
      <w:tblGrid>
        <w:gridCol w:w="1404"/>
        <w:gridCol w:w="1214"/>
        <w:gridCol w:w="1603"/>
        <w:gridCol w:w="1428"/>
        <w:gridCol w:w="1420"/>
        <w:gridCol w:w="1253"/>
      </w:tblGrid>
      <w:tr w:rsidR="00935BE4" w:rsidRPr="008A1D26" w14:paraId="7C31B656" w14:textId="77777777" w:rsidTr="00A807C1">
        <w:trPr>
          <w:trHeight w:val="300"/>
          <w:jc w:val="center"/>
        </w:trPr>
        <w:tc>
          <w:tcPr>
            <w:tcW w:w="1404" w:type="dxa"/>
            <w:noWrap/>
            <w:hideMark/>
          </w:tcPr>
          <w:p w14:paraId="50F83C60" w14:textId="77777777" w:rsidR="00935BE4" w:rsidRPr="005D6EF2" w:rsidRDefault="00935BE4" w:rsidP="005D6EF2">
            <w:pPr>
              <w:spacing w:line="240" w:lineRule="auto"/>
              <w:ind w:firstLine="0"/>
              <w:jc w:val="center"/>
              <w:rPr>
                <w:lang w:val="en-US"/>
              </w:rPr>
            </w:pPr>
            <w:r w:rsidRPr="005D6EF2">
              <w:rPr>
                <w:lang w:val="en-US"/>
              </w:rPr>
              <w:t>OBJECTID</w:t>
            </w:r>
          </w:p>
        </w:tc>
        <w:tc>
          <w:tcPr>
            <w:tcW w:w="1214" w:type="dxa"/>
            <w:noWrap/>
            <w:hideMark/>
          </w:tcPr>
          <w:p w14:paraId="5E3100C5" w14:textId="77777777" w:rsidR="00935BE4" w:rsidRPr="005D6EF2" w:rsidRDefault="00935BE4" w:rsidP="005D6EF2">
            <w:pPr>
              <w:spacing w:line="240" w:lineRule="auto"/>
              <w:ind w:firstLine="0"/>
              <w:jc w:val="center"/>
              <w:rPr>
                <w:lang w:val="en-US"/>
              </w:rPr>
            </w:pPr>
            <w:r w:rsidRPr="005D6EF2">
              <w:rPr>
                <w:lang w:val="en-US"/>
              </w:rPr>
              <w:t>gridcode</w:t>
            </w:r>
          </w:p>
        </w:tc>
        <w:tc>
          <w:tcPr>
            <w:tcW w:w="1603" w:type="dxa"/>
            <w:noWrap/>
            <w:hideMark/>
          </w:tcPr>
          <w:p w14:paraId="18F773DD" w14:textId="77777777" w:rsidR="00935BE4" w:rsidRPr="005D6EF2" w:rsidRDefault="00935BE4" w:rsidP="005D6EF2">
            <w:pPr>
              <w:spacing w:line="240" w:lineRule="auto"/>
              <w:ind w:firstLine="0"/>
              <w:jc w:val="center"/>
              <w:rPr>
                <w:lang w:val="en-US"/>
              </w:rPr>
            </w:pPr>
            <w:r w:rsidRPr="005D6EF2">
              <w:rPr>
                <w:lang w:val="en-US"/>
              </w:rPr>
              <w:t>Shape_Length</w:t>
            </w:r>
          </w:p>
        </w:tc>
        <w:tc>
          <w:tcPr>
            <w:tcW w:w="1428" w:type="dxa"/>
            <w:noWrap/>
            <w:hideMark/>
          </w:tcPr>
          <w:p w14:paraId="6824A725" w14:textId="77777777" w:rsidR="00935BE4" w:rsidRPr="005D6EF2" w:rsidRDefault="00935BE4" w:rsidP="005D6EF2">
            <w:pPr>
              <w:spacing w:line="240" w:lineRule="auto"/>
              <w:ind w:firstLine="0"/>
              <w:jc w:val="center"/>
              <w:rPr>
                <w:lang w:val="en-US"/>
              </w:rPr>
            </w:pPr>
            <w:r w:rsidRPr="005D6EF2">
              <w:rPr>
                <w:lang w:val="en-US"/>
              </w:rPr>
              <w:t>Shape_Area</w:t>
            </w:r>
          </w:p>
        </w:tc>
        <w:tc>
          <w:tcPr>
            <w:tcW w:w="1420" w:type="dxa"/>
            <w:noWrap/>
            <w:hideMark/>
          </w:tcPr>
          <w:p w14:paraId="612D29AE" w14:textId="77777777" w:rsidR="00935BE4" w:rsidRPr="005D6EF2" w:rsidRDefault="00935BE4" w:rsidP="005D6EF2">
            <w:pPr>
              <w:spacing w:line="240" w:lineRule="auto"/>
              <w:ind w:firstLine="0"/>
              <w:jc w:val="center"/>
              <w:rPr>
                <w:lang w:val="en-US"/>
              </w:rPr>
            </w:pPr>
            <w:r w:rsidRPr="005D6EF2">
              <w:rPr>
                <w:lang w:val="en-US"/>
              </w:rPr>
              <w:t>Class_name</w:t>
            </w:r>
          </w:p>
        </w:tc>
        <w:tc>
          <w:tcPr>
            <w:tcW w:w="1253" w:type="dxa"/>
            <w:noWrap/>
            <w:hideMark/>
          </w:tcPr>
          <w:p w14:paraId="1CA4DFFD" w14:textId="77777777" w:rsidR="00935BE4" w:rsidRPr="005D6EF2" w:rsidRDefault="00935BE4" w:rsidP="005D6EF2">
            <w:pPr>
              <w:spacing w:line="240" w:lineRule="auto"/>
              <w:ind w:firstLine="0"/>
              <w:jc w:val="center"/>
              <w:rPr>
                <w:lang w:val="en-US"/>
              </w:rPr>
            </w:pPr>
            <w:r w:rsidRPr="005D6EF2">
              <w:rPr>
                <w:lang w:val="en-US"/>
              </w:rPr>
              <w:t>Area</w:t>
            </w:r>
          </w:p>
        </w:tc>
      </w:tr>
      <w:tr w:rsidR="00161F0D" w:rsidRPr="008A1D26" w14:paraId="253C7E43" w14:textId="77777777" w:rsidTr="00A807C1">
        <w:trPr>
          <w:trHeight w:val="300"/>
          <w:jc w:val="center"/>
        </w:trPr>
        <w:tc>
          <w:tcPr>
            <w:tcW w:w="1404" w:type="dxa"/>
            <w:noWrap/>
          </w:tcPr>
          <w:p w14:paraId="6004032B" w14:textId="1CC48FA8" w:rsidR="00161F0D" w:rsidRPr="005D6EF2" w:rsidRDefault="00161F0D" w:rsidP="005D6EF2">
            <w:pPr>
              <w:spacing w:line="240" w:lineRule="auto"/>
              <w:ind w:firstLine="0"/>
              <w:jc w:val="center"/>
              <w:rPr>
                <w:lang w:val="en-US"/>
              </w:rPr>
            </w:pPr>
            <w:r>
              <w:rPr>
                <w:lang w:val="en-US"/>
              </w:rPr>
              <w:t>1</w:t>
            </w:r>
          </w:p>
        </w:tc>
        <w:tc>
          <w:tcPr>
            <w:tcW w:w="1214" w:type="dxa"/>
            <w:noWrap/>
          </w:tcPr>
          <w:p w14:paraId="14FA6742" w14:textId="3BC7E62A" w:rsidR="00161F0D" w:rsidRPr="005D6EF2" w:rsidRDefault="00161F0D" w:rsidP="005D6EF2">
            <w:pPr>
              <w:spacing w:line="240" w:lineRule="auto"/>
              <w:ind w:firstLine="0"/>
              <w:jc w:val="center"/>
              <w:rPr>
                <w:lang w:val="en-US"/>
              </w:rPr>
            </w:pPr>
            <w:r>
              <w:rPr>
                <w:lang w:val="en-US"/>
              </w:rPr>
              <w:t>2</w:t>
            </w:r>
          </w:p>
        </w:tc>
        <w:tc>
          <w:tcPr>
            <w:tcW w:w="1603" w:type="dxa"/>
            <w:noWrap/>
          </w:tcPr>
          <w:p w14:paraId="65581243" w14:textId="7ED5B3B1" w:rsidR="00161F0D" w:rsidRPr="005D6EF2" w:rsidRDefault="00161F0D" w:rsidP="005D6EF2">
            <w:pPr>
              <w:spacing w:line="240" w:lineRule="auto"/>
              <w:ind w:firstLine="0"/>
              <w:jc w:val="center"/>
              <w:rPr>
                <w:lang w:val="en-US"/>
              </w:rPr>
            </w:pPr>
            <w:r>
              <w:rPr>
                <w:lang w:val="en-US"/>
              </w:rPr>
              <w:t>3</w:t>
            </w:r>
          </w:p>
        </w:tc>
        <w:tc>
          <w:tcPr>
            <w:tcW w:w="1428" w:type="dxa"/>
            <w:noWrap/>
          </w:tcPr>
          <w:p w14:paraId="7EC17285" w14:textId="675B96B8" w:rsidR="00161F0D" w:rsidRPr="005D6EF2" w:rsidRDefault="00161F0D" w:rsidP="005D6EF2">
            <w:pPr>
              <w:spacing w:line="240" w:lineRule="auto"/>
              <w:ind w:firstLine="0"/>
              <w:jc w:val="center"/>
              <w:rPr>
                <w:lang w:val="en-US"/>
              </w:rPr>
            </w:pPr>
            <w:r>
              <w:rPr>
                <w:lang w:val="en-US"/>
              </w:rPr>
              <w:t>4</w:t>
            </w:r>
          </w:p>
        </w:tc>
        <w:tc>
          <w:tcPr>
            <w:tcW w:w="1420" w:type="dxa"/>
            <w:noWrap/>
          </w:tcPr>
          <w:p w14:paraId="5E5364E1" w14:textId="3FB1EFC7" w:rsidR="00161F0D" w:rsidRPr="005D6EF2" w:rsidRDefault="00161F0D" w:rsidP="005D6EF2">
            <w:pPr>
              <w:spacing w:line="240" w:lineRule="auto"/>
              <w:ind w:firstLine="0"/>
              <w:jc w:val="center"/>
              <w:rPr>
                <w:lang w:val="en-US"/>
              </w:rPr>
            </w:pPr>
            <w:r>
              <w:rPr>
                <w:lang w:val="en-US"/>
              </w:rPr>
              <w:t>5</w:t>
            </w:r>
          </w:p>
        </w:tc>
        <w:tc>
          <w:tcPr>
            <w:tcW w:w="1253" w:type="dxa"/>
            <w:noWrap/>
          </w:tcPr>
          <w:p w14:paraId="405202A6" w14:textId="28488474" w:rsidR="00161F0D" w:rsidRPr="005D6EF2" w:rsidRDefault="00161F0D" w:rsidP="005D6EF2">
            <w:pPr>
              <w:spacing w:line="240" w:lineRule="auto"/>
              <w:ind w:firstLine="0"/>
              <w:jc w:val="center"/>
              <w:rPr>
                <w:lang w:val="en-US"/>
              </w:rPr>
            </w:pPr>
            <w:r>
              <w:rPr>
                <w:lang w:val="en-US"/>
              </w:rPr>
              <w:t>6</w:t>
            </w:r>
          </w:p>
        </w:tc>
      </w:tr>
      <w:tr w:rsidR="00935BE4" w:rsidRPr="008A1D26" w14:paraId="18580FE8" w14:textId="77777777" w:rsidTr="00A807C1">
        <w:trPr>
          <w:trHeight w:val="300"/>
          <w:jc w:val="center"/>
        </w:trPr>
        <w:tc>
          <w:tcPr>
            <w:tcW w:w="1404" w:type="dxa"/>
            <w:noWrap/>
            <w:hideMark/>
          </w:tcPr>
          <w:p w14:paraId="1A2D01BF" w14:textId="77777777" w:rsidR="00935BE4" w:rsidRPr="005D6EF2" w:rsidRDefault="00935BE4" w:rsidP="005D6EF2">
            <w:pPr>
              <w:spacing w:line="240" w:lineRule="auto"/>
              <w:ind w:firstLine="0"/>
              <w:jc w:val="center"/>
              <w:rPr>
                <w:lang w:val="en-US"/>
              </w:rPr>
            </w:pPr>
            <w:r w:rsidRPr="005D6EF2">
              <w:rPr>
                <w:lang w:val="en-US"/>
              </w:rPr>
              <w:t>2918</w:t>
            </w:r>
          </w:p>
        </w:tc>
        <w:tc>
          <w:tcPr>
            <w:tcW w:w="1214" w:type="dxa"/>
            <w:noWrap/>
            <w:hideMark/>
          </w:tcPr>
          <w:p w14:paraId="4BA8C3A5"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46660D1"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069CFD88"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4FB70872"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BCBE68A"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257EFAEF" w14:textId="77777777" w:rsidTr="00A807C1">
        <w:trPr>
          <w:trHeight w:val="300"/>
          <w:jc w:val="center"/>
        </w:trPr>
        <w:tc>
          <w:tcPr>
            <w:tcW w:w="1404" w:type="dxa"/>
            <w:noWrap/>
            <w:hideMark/>
          </w:tcPr>
          <w:p w14:paraId="0566ED9C" w14:textId="77777777" w:rsidR="00935BE4" w:rsidRPr="005D6EF2" w:rsidRDefault="00935BE4" w:rsidP="005D6EF2">
            <w:pPr>
              <w:spacing w:line="240" w:lineRule="auto"/>
              <w:ind w:firstLine="0"/>
              <w:jc w:val="center"/>
              <w:rPr>
                <w:lang w:val="en-US"/>
              </w:rPr>
            </w:pPr>
            <w:r w:rsidRPr="005D6EF2">
              <w:rPr>
                <w:lang w:val="en-US"/>
              </w:rPr>
              <w:t>2960</w:t>
            </w:r>
          </w:p>
        </w:tc>
        <w:tc>
          <w:tcPr>
            <w:tcW w:w="1214" w:type="dxa"/>
            <w:noWrap/>
            <w:hideMark/>
          </w:tcPr>
          <w:p w14:paraId="58B6213C"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E25D10A"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6BD14918"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56EDFD1A"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313B121"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593A5AC1" w14:textId="77777777" w:rsidTr="00A807C1">
        <w:trPr>
          <w:trHeight w:val="300"/>
          <w:jc w:val="center"/>
        </w:trPr>
        <w:tc>
          <w:tcPr>
            <w:tcW w:w="1404" w:type="dxa"/>
            <w:noWrap/>
            <w:hideMark/>
          </w:tcPr>
          <w:p w14:paraId="136D624B" w14:textId="77777777" w:rsidR="00935BE4" w:rsidRPr="005D6EF2" w:rsidRDefault="00935BE4" w:rsidP="005D6EF2">
            <w:pPr>
              <w:spacing w:line="240" w:lineRule="auto"/>
              <w:ind w:firstLine="0"/>
              <w:jc w:val="center"/>
              <w:rPr>
                <w:lang w:val="en-US"/>
              </w:rPr>
            </w:pPr>
            <w:r w:rsidRPr="005D6EF2">
              <w:rPr>
                <w:lang w:val="en-US"/>
              </w:rPr>
              <w:t>3090</w:t>
            </w:r>
          </w:p>
        </w:tc>
        <w:tc>
          <w:tcPr>
            <w:tcW w:w="1214" w:type="dxa"/>
            <w:noWrap/>
            <w:hideMark/>
          </w:tcPr>
          <w:p w14:paraId="66609BF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34BCF23"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2E562FFB"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3B7B87DA"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D177D9B"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4F8C7005" w14:textId="77777777" w:rsidTr="00A807C1">
        <w:trPr>
          <w:trHeight w:val="300"/>
          <w:jc w:val="center"/>
        </w:trPr>
        <w:tc>
          <w:tcPr>
            <w:tcW w:w="1404" w:type="dxa"/>
            <w:noWrap/>
            <w:hideMark/>
          </w:tcPr>
          <w:p w14:paraId="2EB887D7" w14:textId="77777777" w:rsidR="00935BE4" w:rsidRPr="005D6EF2" w:rsidRDefault="00935BE4" w:rsidP="005D6EF2">
            <w:pPr>
              <w:spacing w:line="240" w:lineRule="auto"/>
              <w:ind w:firstLine="0"/>
              <w:jc w:val="center"/>
              <w:rPr>
                <w:lang w:val="en-US"/>
              </w:rPr>
            </w:pPr>
            <w:r w:rsidRPr="005D6EF2">
              <w:rPr>
                <w:lang w:val="en-US"/>
              </w:rPr>
              <w:t>3118</w:t>
            </w:r>
          </w:p>
        </w:tc>
        <w:tc>
          <w:tcPr>
            <w:tcW w:w="1214" w:type="dxa"/>
            <w:noWrap/>
            <w:hideMark/>
          </w:tcPr>
          <w:p w14:paraId="784001E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A959046" w14:textId="77777777" w:rsidR="00935BE4" w:rsidRPr="005D6EF2" w:rsidRDefault="00935BE4" w:rsidP="005D6EF2">
            <w:pPr>
              <w:spacing w:line="240" w:lineRule="auto"/>
              <w:ind w:firstLine="0"/>
              <w:jc w:val="center"/>
              <w:rPr>
                <w:lang w:val="en-US"/>
              </w:rPr>
            </w:pPr>
            <w:r w:rsidRPr="005D6EF2">
              <w:rPr>
                <w:lang w:val="en-US"/>
              </w:rPr>
              <w:t>113.1729</w:t>
            </w:r>
          </w:p>
        </w:tc>
        <w:tc>
          <w:tcPr>
            <w:tcW w:w="1428" w:type="dxa"/>
            <w:noWrap/>
            <w:hideMark/>
          </w:tcPr>
          <w:p w14:paraId="66CC9E6D" w14:textId="77777777" w:rsidR="00935BE4" w:rsidRPr="005D6EF2" w:rsidRDefault="00935BE4" w:rsidP="005D6EF2">
            <w:pPr>
              <w:spacing w:line="240" w:lineRule="auto"/>
              <w:ind w:firstLine="0"/>
              <w:jc w:val="center"/>
              <w:rPr>
                <w:lang w:val="en-US"/>
              </w:rPr>
            </w:pPr>
            <w:r w:rsidRPr="005D6EF2">
              <w:rPr>
                <w:lang w:val="en-US"/>
              </w:rPr>
              <w:t>616.0529</w:t>
            </w:r>
          </w:p>
        </w:tc>
        <w:tc>
          <w:tcPr>
            <w:tcW w:w="1420" w:type="dxa"/>
            <w:noWrap/>
            <w:hideMark/>
          </w:tcPr>
          <w:p w14:paraId="52E6A2FF"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50803F3"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538A1ADE" w14:textId="77777777" w:rsidTr="00A807C1">
        <w:trPr>
          <w:trHeight w:val="300"/>
          <w:jc w:val="center"/>
        </w:trPr>
        <w:tc>
          <w:tcPr>
            <w:tcW w:w="1404" w:type="dxa"/>
            <w:noWrap/>
            <w:hideMark/>
          </w:tcPr>
          <w:p w14:paraId="59B25BA3" w14:textId="77777777" w:rsidR="00935BE4" w:rsidRPr="005D6EF2" w:rsidRDefault="00935BE4" w:rsidP="005D6EF2">
            <w:pPr>
              <w:spacing w:line="240" w:lineRule="auto"/>
              <w:ind w:firstLine="0"/>
              <w:jc w:val="center"/>
              <w:rPr>
                <w:lang w:val="en-US"/>
              </w:rPr>
            </w:pPr>
            <w:r w:rsidRPr="005D6EF2">
              <w:rPr>
                <w:lang w:val="en-US"/>
              </w:rPr>
              <w:t>3202</w:t>
            </w:r>
          </w:p>
        </w:tc>
        <w:tc>
          <w:tcPr>
            <w:tcW w:w="1214" w:type="dxa"/>
            <w:noWrap/>
            <w:hideMark/>
          </w:tcPr>
          <w:p w14:paraId="2A7264A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18CAF8B" w14:textId="77777777" w:rsidR="00935BE4" w:rsidRPr="005D6EF2" w:rsidRDefault="00935BE4" w:rsidP="005D6EF2">
            <w:pPr>
              <w:spacing w:line="240" w:lineRule="auto"/>
              <w:ind w:firstLine="0"/>
              <w:jc w:val="center"/>
              <w:rPr>
                <w:lang w:val="en-US"/>
              </w:rPr>
            </w:pPr>
            <w:r w:rsidRPr="005D6EF2">
              <w:rPr>
                <w:lang w:val="en-US"/>
              </w:rPr>
              <w:t>112.4817</w:t>
            </w:r>
          </w:p>
        </w:tc>
        <w:tc>
          <w:tcPr>
            <w:tcW w:w="1428" w:type="dxa"/>
            <w:noWrap/>
            <w:hideMark/>
          </w:tcPr>
          <w:p w14:paraId="0D371C8C" w14:textId="77777777" w:rsidR="00935BE4" w:rsidRPr="005D6EF2" w:rsidRDefault="00935BE4" w:rsidP="005D6EF2">
            <w:pPr>
              <w:spacing w:line="240" w:lineRule="auto"/>
              <w:ind w:firstLine="0"/>
              <w:jc w:val="center"/>
              <w:rPr>
                <w:lang w:val="en-US"/>
              </w:rPr>
            </w:pPr>
            <w:r w:rsidRPr="005D6EF2">
              <w:rPr>
                <w:lang w:val="en-US"/>
              </w:rPr>
              <w:t>576.2144</w:t>
            </w:r>
          </w:p>
        </w:tc>
        <w:tc>
          <w:tcPr>
            <w:tcW w:w="1420" w:type="dxa"/>
            <w:noWrap/>
            <w:hideMark/>
          </w:tcPr>
          <w:p w14:paraId="164EF16B"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D904A95"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327A9C08" w14:textId="77777777" w:rsidTr="00A807C1">
        <w:trPr>
          <w:trHeight w:val="300"/>
          <w:jc w:val="center"/>
        </w:trPr>
        <w:tc>
          <w:tcPr>
            <w:tcW w:w="1404" w:type="dxa"/>
            <w:noWrap/>
            <w:hideMark/>
          </w:tcPr>
          <w:p w14:paraId="7435AC0F" w14:textId="77777777" w:rsidR="00935BE4" w:rsidRPr="005D6EF2" w:rsidRDefault="00935BE4" w:rsidP="005D6EF2">
            <w:pPr>
              <w:spacing w:line="240" w:lineRule="auto"/>
              <w:ind w:firstLine="0"/>
              <w:jc w:val="center"/>
              <w:rPr>
                <w:lang w:val="en-US"/>
              </w:rPr>
            </w:pPr>
            <w:r w:rsidRPr="005D6EF2">
              <w:rPr>
                <w:lang w:val="en-US"/>
              </w:rPr>
              <w:t>3335</w:t>
            </w:r>
          </w:p>
        </w:tc>
        <w:tc>
          <w:tcPr>
            <w:tcW w:w="1214" w:type="dxa"/>
            <w:noWrap/>
            <w:hideMark/>
          </w:tcPr>
          <w:p w14:paraId="4A16AD7D"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30A7FEE"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24DAC067"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7713FB51"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49D52B4"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3409798D" w14:textId="77777777" w:rsidTr="00A807C1">
        <w:trPr>
          <w:trHeight w:val="300"/>
          <w:jc w:val="center"/>
        </w:trPr>
        <w:tc>
          <w:tcPr>
            <w:tcW w:w="1404" w:type="dxa"/>
            <w:noWrap/>
            <w:hideMark/>
          </w:tcPr>
          <w:p w14:paraId="24C0B42D" w14:textId="77777777" w:rsidR="00935BE4" w:rsidRPr="005D6EF2" w:rsidRDefault="00935BE4" w:rsidP="005D6EF2">
            <w:pPr>
              <w:spacing w:line="240" w:lineRule="auto"/>
              <w:ind w:firstLine="0"/>
              <w:jc w:val="center"/>
              <w:rPr>
                <w:lang w:val="en-US"/>
              </w:rPr>
            </w:pPr>
            <w:r w:rsidRPr="005D6EF2">
              <w:rPr>
                <w:lang w:val="en-US"/>
              </w:rPr>
              <w:t>3463</w:t>
            </w:r>
          </w:p>
        </w:tc>
        <w:tc>
          <w:tcPr>
            <w:tcW w:w="1214" w:type="dxa"/>
            <w:noWrap/>
            <w:hideMark/>
          </w:tcPr>
          <w:p w14:paraId="0FCCF0F3"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4446282"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0E83F2F7"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770CAA1F"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BE75089"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67433D0D" w14:textId="77777777" w:rsidTr="00A807C1">
        <w:trPr>
          <w:trHeight w:val="300"/>
          <w:jc w:val="center"/>
        </w:trPr>
        <w:tc>
          <w:tcPr>
            <w:tcW w:w="1404" w:type="dxa"/>
            <w:noWrap/>
            <w:hideMark/>
          </w:tcPr>
          <w:p w14:paraId="6A88F1A2" w14:textId="77777777" w:rsidR="00935BE4" w:rsidRPr="005D6EF2" w:rsidRDefault="00935BE4" w:rsidP="005D6EF2">
            <w:pPr>
              <w:spacing w:line="240" w:lineRule="auto"/>
              <w:ind w:firstLine="0"/>
              <w:jc w:val="center"/>
              <w:rPr>
                <w:lang w:val="en-US"/>
              </w:rPr>
            </w:pPr>
            <w:r w:rsidRPr="005D6EF2">
              <w:rPr>
                <w:lang w:val="en-US"/>
              </w:rPr>
              <w:t>3516</w:t>
            </w:r>
          </w:p>
        </w:tc>
        <w:tc>
          <w:tcPr>
            <w:tcW w:w="1214" w:type="dxa"/>
            <w:noWrap/>
            <w:hideMark/>
          </w:tcPr>
          <w:p w14:paraId="22AAC4C5"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C4B8925" w14:textId="77777777" w:rsidR="00935BE4" w:rsidRPr="005D6EF2" w:rsidRDefault="00935BE4" w:rsidP="005D6EF2">
            <w:pPr>
              <w:spacing w:line="240" w:lineRule="auto"/>
              <w:ind w:firstLine="0"/>
              <w:jc w:val="center"/>
              <w:rPr>
                <w:lang w:val="en-US"/>
              </w:rPr>
            </w:pPr>
            <w:r w:rsidRPr="005D6EF2">
              <w:rPr>
                <w:lang w:val="en-US"/>
              </w:rPr>
              <w:t>545.1984</w:t>
            </w:r>
          </w:p>
        </w:tc>
        <w:tc>
          <w:tcPr>
            <w:tcW w:w="1428" w:type="dxa"/>
            <w:noWrap/>
            <w:hideMark/>
          </w:tcPr>
          <w:p w14:paraId="48D9002C" w14:textId="77777777" w:rsidR="00935BE4" w:rsidRPr="005D6EF2" w:rsidRDefault="00935BE4" w:rsidP="005D6EF2">
            <w:pPr>
              <w:spacing w:line="240" w:lineRule="auto"/>
              <w:ind w:firstLine="0"/>
              <w:jc w:val="center"/>
              <w:rPr>
                <w:lang w:val="en-US"/>
              </w:rPr>
            </w:pPr>
            <w:r w:rsidRPr="005D6EF2">
              <w:rPr>
                <w:lang w:val="en-US"/>
              </w:rPr>
              <w:t>10375.9</w:t>
            </w:r>
          </w:p>
        </w:tc>
        <w:tc>
          <w:tcPr>
            <w:tcW w:w="1420" w:type="dxa"/>
            <w:noWrap/>
            <w:hideMark/>
          </w:tcPr>
          <w:p w14:paraId="47E86682"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9B170DA" w14:textId="77777777" w:rsidR="00935BE4" w:rsidRPr="005D6EF2" w:rsidRDefault="00935BE4" w:rsidP="005D6EF2">
            <w:pPr>
              <w:spacing w:line="240" w:lineRule="auto"/>
              <w:ind w:firstLine="0"/>
              <w:jc w:val="center"/>
              <w:rPr>
                <w:lang w:val="en-US"/>
              </w:rPr>
            </w:pPr>
            <w:r w:rsidRPr="005D6EF2">
              <w:rPr>
                <w:lang w:val="en-US"/>
              </w:rPr>
              <w:t>0.010376</w:t>
            </w:r>
          </w:p>
        </w:tc>
      </w:tr>
      <w:tr w:rsidR="00935BE4" w:rsidRPr="008A1D26" w14:paraId="64DE94EA" w14:textId="77777777" w:rsidTr="00A807C1">
        <w:trPr>
          <w:trHeight w:val="300"/>
          <w:jc w:val="center"/>
        </w:trPr>
        <w:tc>
          <w:tcPr>
            <w:tcW w:w="1404" w:type="dxa"/>
            <w:noWrap/>
            <w:hideMark/>
          </w:tcPr>
          <w:p w14:paraId="1989FE1B" w14:textId="77777777" w:rsidR="00935BE4" w:rsidRPr="005D6EF2" w:rsidRDefault="00935BE4" w:rsidP="005D6EF2">
            <w:pPr>
              <w:spacing w:line="240" w:lineRule="auto"/>
              <w:ind w:firstLine="0"/>
              <w:jc w:val="center"/>
              <w:rPr>
                <w:lang w:val="en-US"/>
              </w:rPr>
            </w:pPr>
            <w:r w:rsidRPr="005D6EF2">
              <w:rPr>
                <w:lang w:val="en-US"/>
              </w:rPr>
              <w:t>3550</w:t>
            </w:r>
          </w:p>
        </w:tc>
        <w:tc>
          <w:tcPr>
            <w:tcW w:w="1214" w:type="dxa"/>
            <w:noWrap/>
            <w:hideMark/>
          </w:tcPr>
          <w:p w14:paraId="5DE6183D"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F3CD278"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3B633E87"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6962A153"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7D3D6A8"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5E4C95A7" w14:textId="77777777" w:rsidTr="00A807C1">
        <w:trPr>
          <w:trHeight w:val="300"/>
          <w:jc w:val="center"/>
        </w:trPr>
        <w:tc>
          <w:tcPr>
            <w:tcW w:w="1404" w:type="dxa"/>
            <w:noWrap/>
            <w:hideMark/>
          </w:tcPr>
          <w:p w14:paraId="4A03C374" w14:textId="77777777" w:rsidR="00935BE4" w:rsidRPr="005D6EF2" w:rsidRDefault="00935BE4" w:rsidP="005D6EF2">
            <w:pPr>
              <w:spacing w:line="240" w:lineRule="auto"/>
              <w:ind w:firstLine="0"/>
              <w:jc w:val="center"/>
              <w:rPr>
                <w:lang w:val="en-US"/>
              </w:rPr>
            </w:pPr>
            <w:r w:rsidRPr="005D6EF2">
              <w:rPr>
                <w:lang w:val="en-US"/>
              </w:rPr>
              <w:t>3564</w:t>
            </w:r>
          </w:p>
        </w:tc>
        <w:tc>
          <w:tcPr>
            <w:tcW w:w="1214" w:type="dxa"/>
            <w:noWrap/>
            <w:hideMark/>
          </w:tcPr>
          <w:p w14:paraId="0D6E08F1"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159CA2F" w14:textId="77777777" w:rsidR="00935BE4" w:rsidRPr="005D6EF2" w:rsidRDefault="00935BE4" w:rsidP="005D6EF2">
            <w:pPr>
              <w:spacing w:line="240" w:lineRule="auto"/>
              <w:ind w:firstLine="0"/>
              <w:jc w:val="center"/>
              <w:rPr>
                <w:lang w:val="en-US"/>
              </w:rPr>
            </w:pPr>
            <w:r w:rsidRPr="005D6EF2">
              <w:rPr>
                <w:lang w:val="en-US"/>
              </w:rPr>
              <w:t>112.4817</w:t>
            </w:r>
          </w:p>
        </w:tc>
        <w:tc>
          <w:tcPr>
            <w:tcW w:w="1428" w:type="dxa"/>
            <w:noWrap/>
            <w:hideMark/>
          </w:tcPr>
          <w:p w14:paraId="7CAE5599" w14:textId="77777777" w:rsidR="00935BE4" w:rsidRPr="005D6EF2" w:rsidRDefault="00935BE4" w:rsidP="005D6EF2">
            <w:pPr>
              <w:spacing w:line="240" w:lineRule="auto"/>
              <w:ind w:firstLine="0"/>
              <w:jc w:val="center"/>
              <w:rPr>
                <w:lang w:val="en-US"/>
              </w:rPr>
            </w:pPr>
            <w:r w:rsidRPr="005D6EF2">
              <w:rPr>
                <w:lang w:val="en-US"/>
              </w:rPr>
              <w:t>576.2144</w:t>
            </w:r>
          </w:p>
        </w:tc>
        <w:tc>
          <w:tcPr>
            <w:tcW w:w="1420" w:type="dxa"/>
            <w:noWrap/>
            <w:hideMark/>
          </w:tcPr>
          <w:p w14:paraId="4716B755"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D840F52"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02686F9E" w14:textId="77777777" w:rsidTr="00A807C1">
        <w:trPr>
          <w:trHeight w:val="300"/>
          <w:jc w:val="center"/>
        </w:trPr>
        <w:tc>
          <w:tcPr>
            <w:tcW w:w="1404" w:type="dxa"/>
            <w:noWrap/>
            <w:hideMark/>
          </w:tcPr>
          <w:p w14:paraId="3B1611D8" w14:textId="77777777" w:rsidR="00935BE4" w:rsidRPr="005D6EF2" w:rsidRDefault="00935BE4" w:rsidP="005D6EF2">
            <w:pPr>
              <w:spacing w:line="240" w:lineRule="auto"/>
              <w:ind w:firstLine="0"/>
              <w:jc w:val="center"/>
              <w:rPr>
                <w:lang w:val="en-US"/>
              </w:rPr>
            </w:pPr>
            <w:r w:rsidRPr="005D6EF2">
              <w:rPr>
                <w:lang w:val="en-US"/>
              </w:rPr>
              <w:t>3591</w:t>
            </w:r>
          </w:p>
        </w:tc>
        <w:tc>
          <w:tcPr>
            <w:tcW w:w="1214" w:type="dxa"/>
            <w:noWrap/>
            <w:hideMark/>
          </w:tcPr>
          <w:p w14:paraId="58B74DB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B2CE21D" w14:textId="77777777" w:rsidR="00935BE4" w:rsidRPr="005D6EF2" w:rsidRDefault="00935BE4" w:rsidP="005D6EF2">
            <w:pPr>
              <w:spacing w:line="240" w:lineRule="auto"/>
              <w:ind w:firstLine="0"/>
              <w:jc w:val="center"/>
              <w:rPr>
                <w:lang w:val="en-US"/>
              </w:rPr>
            </w:pPr>
            <w:r w:rsidRPr="005D6EF2">
              <w:rPr>
                <w:lang w:val="en-US"/>
              </w:rPr>
              <w:t>449.5233</w:t>
            </w:r>
          </w:p>
        </w:tc>
        <w:tc>
          <w:tcPr>
            <w:tcW w:w="1428" w:type="dxa"/>
            <w:noWrap/>
            <w:hideMark/>
          </w:tcPr>
          <w:p w14:paraId="53EB1F57" w14:textId="77777777" w:rsidR="00935BE4" w:rsidRPr="005D6EF2" w:rsidRDefault="00935BE4" w:rsidP="005D6EF2">
            <w:pPr>
              <w:spacing w:line="240" w:lineRule="auto"/>
              <w:ind w:firstLine="0"/>
              <w:jc w:val="center"/>
              <w:rPr>
                <w:lang w:val="en-US"/>
              </w:rPr>
            </w:pPr>
            <w:r w:rsidRPr="005D6EF2">
              <w:rPr>
                <w:lang w:val="en-US"/>
              </w:rPr>
              <w:t>6622.103</w:t>
            </w:r>
          </w:p>
        </w:tc>
        <w:tc>
          <w:tcPr>
            <w:tcW w:w="1420" w:type="dxa"/>
            <w:noWrap/>
            <w:hideMark/>
          </w:tcPr>
          <w:p w14:paraId="7E1E3E45"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947CBF5" w14:textId="77777777" w:rsidR="00935BE4" w:rsidRPr="005D6EF2" w:rsidRDefault="00935BE4" w:rsidP="005D6EF2">
            <w:pPr>
              <w:spacing w:line="240" w:lineRule="auto"/>
              <w:ind w:firstLine="0"/>
              <w:jc w:val="center"/>
              <w:rPr>
                <w:lang w:val="en-US"/>
              </w:rPr>
            </w:pPr>
            <w:r w:rsidRPr="005D6EF2">
              <w:rPr>
                <w:lang w:val="en-US"/>
              </w:rPr>
              <w:t>0.006622</w:t>
            </w:r>
          </w:p>
        </w:tc>
      </w:tr>
      <w:tr w:rsidR="00935BE4" w:rsidRPr="008A1D26" w14:paraId="05FB0FCE" w14:textId="77777777" w:rsidTr="00A807C1">
        <w:trPr>
          <w:trHeight w:val="300"/>
          <w:jc w:val="center"/>
        </w:trPr>
        <w:tc>
          <w:tcPr>
            <w:tcW w:w="1404" w:type="dxa"/>
            <w:noWrap/>
            <w:hideMark/>
          </w:tcPr>
          <w:p w14:paraId="7B8EAC4E" w14:textId="77777777" w:rsidR="00935BE4" w:rsidRPr="005D6EF2" w:rsidRDefault="00935BE4" w:rsidP="005D6EF2">
            <w:pPr>
              <w:spacing w:line="240" w:lineRule="auto"/>
              <w:ind w:firstLine="0"/>
              <w:jc w:val="center"/>
              <w:rPr>
                <w:lang w:val="en-US"/>
              </w:rPr>
            </w:pPr>
            <w:r w:rsidRPr="005D6EF2">
              <w:rPr>
                <w:lang w:val="en-US"/>
              </w:rPr>
              <w:t>4144</w:t>
            </w:r>
          </w:p>
        </w:tc>
        <w:tc>
          <w:tcPr>
            <w:tcW w:w="1214" w:type="dxa"/>
            <w:noWrap/>
            <w:hideMark/>
          </w:tcPr>
          <w:p w14:paraId="2B75171D"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60477CB"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347492CB"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77304CBC"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2FCC415"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3F47E6DA" w14:textId="77777777" w:rsidTr="00A807C1">
        <w:trPr>
          <w:trHeight w:val="300"/>
          <w:jc w:val="center"/>
        </w:trPr>
        <w:tc>
          <w:tcPr>
            <w:tcW w:w="1404" w:type="dxa"/>
            <w:noWrap/>
            <w:hideMark/>
          </w:tcPr>
          <w:p w14:paraId="0B9A11D4" w14:textId="77777777" w:rsidR="00935BE4" w:rsidRPr="005D6EF2" w:rsidRDefault="00935BE4" w:rsidP="005D6EF2">
            <w:pPr>
              <w:spacing w:line="240" w:lineRule="auto"/>
              <w:ind w:firstLine="0"/>
              <w:jc w:val="center"/>
              <w:rPr>
                <w:lang w:val="en-US"/>
              </w:rPr>
            </w:pPr>
            <w:r w:rsidRPr="005D6EF2">
              <w:rPr>
                <w:lang w:val="en-US"/>
              </w:rPr>
              <w:t>4209</w:t>
            </w:r>
          </w:p>
        </w:tc>
        <w:tc>
          <w:tcPr>
            <w:tcW w:w="1214" w:type="dxa"/>
            <w:noWrap/>
            <w:hideMark/>
          </w:tcPr>
          <w:p w14:paraId="30AAAA23"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E4DDC6E"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2C0E2807"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362253A2"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DEF4571"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66AA44CE" w14:textId="77777777" w:rsidTr="00A807C1">
        <w:trPr>
          <w:trHeight w:val="300"/>
          <w:jc w:val="center"/>
        </w:trPr>
        <w:tc>
          <w:tcPr>
            <w:tcW w:w="1404" w:type="dxa"/>
            <w:noWrap/>
            <w:hideMark/>
          </w:tcPr>
          <w:p w14:paraId="44701B20" w14:textId="77777777" w:rsidR="00935BE4" w:rsidRPr="005D6EF2" w:rsidRDefault="00935BE4" w:rsidP="005D6EF2">
            <w:pPr>
              <w:spacing w:line="240" w:lineRule="auto"/>
              <w:ind w:firstLine="0"/>
              <w:jc w:val="center"/>
              <w:rPr>
                <w:lang w:val="en-US"/>
              </w:rPr>
            </w:pPr>
            <w:r w:rsidRPr="005D6EF2">
              <w:rPr>
                <w:lang w:val="en-US"/>
              </w:rPr>
              <w:t>4247</w:t>
            </w:r>
          </w:p>
        </w:tc>
        <w:tc>
          <w:tcPr>
            <w:tcW w:w="1214" w:type="dxa"/>
            <w:noWrap/>
            <w:hideMark/>
          </w:tcPr>
          <w:p w14:paraId="1BCD83FA"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64CD022" w14:textId="77777777" w:rsidR="00935BE4" w:rsidRPr="005D6EF2" w:rsidRDefault="00935BE4" w:rsidP="005D6EF2">
            <w:pPr>
              <w:spacing w:line="240" w:lineRule="auto"/>
              <w:ind w:firstLine="0"/>
              <w:jc w:val="center"/>
              <w:rPr>
                <w:lang w:val="en-US"/>
              </w:rPr>
            </w:pPr>
            <w:r w:rsidRPr="005D6EF2">
              <w:rPr>
                <w:lang w:val="en-US"/>
              </w:rPr>
              <w:t>2510.529</w:t>
            </w:r>
          </w:p>
        </w:tc>
        <w:tc>
          <w:tcPr>
            <w:tcW w:w="1428" w:type="dxa"/>
            <w:noWrap/>
            <w:hideMark/>
          </w:tcPr>
          <w:p w14:paraId="3BD978AD" w14:textId="77777777" w:rsidR="00935BE4" w:rsidRPr="005D6EF2" w:rsidRDefault="00935BE4" w:rsidP="005D6EF2">
            <w:pPr>
              <w:spacing w:line="240" w:lineRule="auto"/>
              <w:ind w:firstLine="0"/>
              <w:jc w:val="center"/>
              <w:rPr>
                <w:lang w:val="en-US"/>
              </w:rPr>
            </w:pPr>
            <w:r w:rsidRPr="005D6EF2">
              <w:rPr>
                <w:lang w:val="en-US"/>
              </w:rPr>
              <w:t>81775.81</w:t>
            </w:r>
          </w:p>
        </w:tc>
        <w:tc>
          <w:tcPr>
            <w:tcW w:w="1420" w:type="dxa"/>
            <w:noWrap/>
            <w:hideMark/>
          </w:tcPr>
          <w:p w14:paraId="20F753E6"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B5A6A3B" w14:textId="77777777" w:rsidR="00935BE4" w:rsidRPr="005D6EF2" w:rsidRDefault="00935BE4" w:rsidP="005D6EF2">
            <w:pPr>
              <w:spacing w:line="240" w:lineRule="auto"/>
              <w:ind w:firstLine="0"/>
              <w:jc w:val="center"/>
              <w:rPr>
                <w:lang w:val="en-US"/>
              </w:rPr>
            </w:pPr>
            <w:r w:rsidRPr="005D6EF2">
              <w:rPr>
                <w:lang w:val="en-US"/>
              </w:rPr>
              <w:t>0.081776</w:t>
            </w:r>
          </w:p>
        </w:tc>
      </w:tr>
      <w:tr w:rsidR="00935BE4" w:rsidRPr="008A1D26" w14:paraId="410D0C28" w14:textId="77777777" w:rsidTr="00A807C1">
        <w:trPr>
          <w:trHeight w:val="300"/>
          <w:jc w:val="center"/>
        </w:trPr>
        <w:tc>
          <w:tcPr>
            <w:tcW w:w="1404" w:type="dxa"/>
            <w:noWrap/>
            <w:hideMark/>
          </w:tcPr>
          <w:p w14:paraId="2D1E77D7" w14:textId="77777777" w:rsidR="00935BE4" w:rsidRPr="005D6EF2" w:rsidRDefault="00935BE4" w:rsidP="005D6EF2">
            <w:pPr>
              <w:spacing w:line="240" w:lineRule="auto"/>
              <w:ind w:firstLine="0"/>
              <w:jc w:val="center"/>
              <w:rPr>
                <w:lang w:val="en-US"/>
              </w:rPr>
            </w:pPr>
            <w:r w:rsidRPr="005D6EF2">
              <w:rPr>
                <w:lang w:val="en-US"/>
              </w:rPr>
              <w:t>4442</w:t>
            </w:r>
          </w:p>
        </w:tc>
        <w:tc>
          <w:tcPr>
            <w:tcW w:w="1214" w:type="dxa"/>
            <w:noWrap/>
            <w:hideMark/>
          </w:tcPr>
          <w:p w14:paraId="04E84741"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E023B6A"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16AE3132"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33A1FCEB"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8708E39"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4AB5ABD2" w14:textId="77777777" w:rsidTr="00A807C1">
        <w:trPr>
          <w:trHeight w:val="300"/>
          <w:jc w:val="center"/>
        </w:trPr>
        <w:tc>
          <w:tcPr>
            <w:tcW w:w="1404" w:type="dxa"/>
            <w:noWrap/>
            <w:hideMark/>
          </w:tcPr>
          <w:p w14:paraId="2C982024" w14:textId="77777777" w:rsidR="00935BE4" w:rsidRPr="005D6EF2" w:rsidRDefault="00935BE4" w:rsidP="005D6EF2">
            <w:pPr>
              <w:spacing w:line="240" w:lineRule="auto"/>
              <w:ind w:firstLine="0"/>
              <w:jc w:val="center"/>
              <w:rPr>
                <w:lang w:val="en-US"/>
              </w:rPr>
            </w:pPr>
            <w:r w:rsidRPr="005D6EF2">
              <w:rPr>
                <w:lang w:val="en-US"/>
              </w:rPr>
              <w:t>4479</w:t>
            </w:r>
          </w:p>
        </w:tc>
        <w:tc>
          <w:tcPr>
            <w:tcW w:w="1214" w:type="dxa"/>
            <w:noWrap/>
            <w:hideMark/>
          </w:tcPr>
          <w:p w14:paraId="6315D51A"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79D1FFC" w14:textId="77777777" w:rsidR="00935BE4" w:rsidRPr="005D6EF2" w:rsidRDefault="00935BE4" w:rsidP="005D6EF2">
            <w:pPr>
              <w:spacing w:line="240" w:lineRule="auto"/>
              <w:ind w:firstLine="0"/>
              <w:jc w:val="center"/>
              <w:rPr>
                <w:lang w:val="en-US"/>
              </w:rPr>
            </w:pPr>
            <w:r w:rsidRPr="005D6EF2">
              <w:rPr>
                <w:lang w:val="en-US"/>
              </w:rPr>
              <w:t>395.639</w:t>
            </w:r>
          </w:p>
        </w:tc>
        <w:tc>
          <w:tcPr>
            <w:tcW w:w="1428" w:type="dxa"/>
            <w:noWrap/>
            <w:hideMark/>
          </w:tcPr>
          <w:p w14:paraId="41E0E2B5" w14:textId="77777777" w:rsidR="00935BE4" w:rsidRPr="005D6EF2" w:rsidRDefault="00935BE4" w:rsidP="005D6EF2">
            <w:pPr>
              <w:spacing w:line="240" w:lineRule="auto"/>
              <w:ind w:firstLine="0"/>
              <w:jc w:val="center"/>
              <w:rPr>
                <w:lang w:val="en-US"/>
              </w:rPr>
            </w:pPr>
            <w:r w:rsidRPr="005D6EF2">
              <w:rPr>
                <w:lang w:val="en-US"/>
              </w:rPr>
              <w:t>6143.871</w:t>
            </w:r>
          </w:p>
        </w:tc>
        <w:tc>
          <w:tcPr>
            <w:tcW w:w="1420" w:type="dxa"/>
            <w:noWrap/>
            <w:hideMark/>
          </w:tcPr>
          <w:p w14:paraId="6B6623A0"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871A437" w14:textId="77777777" w:rsidR="00935BE4" w:rsidRPr="005D6EF2" w:rsidRDefault="00935BE4" w:rsidP="005D6EF2">
            <w:pPr>
              <w:spacing w:line="240" w:lineRule="auto"/>
              <w:ind w:firstLine="0"/>
              <w:jc w:val="center"/>
              <w:rPr>
                <w:lang w:val="en-US"/>
              </w:rPr>
            </w:pPr>
            <w:r w:rsidRPr="005D6EF2">
              <w:rPr>
                <w:lang w:val="en-US"/>
              </w:rPr>
              <w:t>0.006144</w:t>
            </w:r>
          </w:p>
        </w:tc>
      </w:tr>
      <w:tr w:rsidR="00935BE4" w:rsidRPr="008A1D26" w14:paraId="15DD13A3" w14:textId="77777777" w:rsidTr="00A807C1">
        <w:trPr>
          <w:trHeight w:val="300"/>
          <w:jc w:val="center"/>
        </w:trPr>
        <w:tc>
          <w:tcPr>
            <w:tcW w:w="1404" w:type="dxa"/>
            <w:noWrap/>
            <w:hideMark/>
          </w:tcPr>
          <w:p w14:paraId="368D68F6" w14:textId="77777777" w:rsidR="00935BE4" w:rsidRPr="005D6EF2" w:rsidRDefault="00935BE4" w:rsidP="005D6EF2">
            <w:pPr>
              <w:spacing w:line="240" w:lineRule="auto"/>
              <w:ind w:firstLine="0"/>
              <w:jc w:val="center"/>
              <w:rPr>
                <w:lang w:val="en-US"/>
              </w:rPr>
            </w:pPr>
            <w:r w:rsidRPr="005D6EF2">
              <w:rPr>
                <w:lang w:val="en-US"/>
              </w:rPr>
              <w:t>5443</w:t>
            </w:r>
          </w:p>
        </w:tc>
        <w:tc>
          <w:tcPr>
            <w:tcW w:w="1214" w:type="dxa"/>
            <w:noWrap/>
            <w:hideMark/>
          </w:tcPr>
          <w:p w14:paraId="6A007EC1"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00BA6B4" w14:textId="77777777" w:rsidR="00935BE4" w:rsidRPr="005D6EF2" w:rsidRDefault="00935BE4" w:rsidP="005D6EF2">
            <w:pPr>
              <w:spacing w:line="240" w:lineRule="auto"/>
              <w:ind w:firstLine="0"/>
              <w:jc w:val="center"/>
              <w:rPr>
                <w:lang w:val="en-US"/>
              </w:rPr>
            </w:pPr>
            <w:r w:rsidRPr="005D6EF2">
              <w:rPr>
                <w:lang w:val="en-US"/>
              </w:rPr>
              <w:t>746.2693</w:t>
            </w:r>
          </w:p>
        </w:tc>
        <w:tc>
          <w:tcPr>
            <w:tcW w:w="1428" w:type="dxa"/>
            <w:noWrap/>
            <w:hideMark/>
          </w:tcPr>
          <w:p w14:paraId="4A071325" w14:textId="77777777" w:rsidR="00935BE4" w:rsidRPr="005D6EF2" w:rsidRDefault="00935BE4" w:rsidP="005D6EF2">
            <w:pPr>
              <w:spacing w:line="240" w:lineRule="auto"/>
              <w:ind w:firstLine="0"/>
              <w:jc w:val="center"/>
              <w:rPr>
                <w:lang w:val="en-US"/>
              </w:rPr>
            </w:pPr>
            <w:r w:rsidRPr="005D6EF2">
              <w:rPr>
                <w:lang w:val="en-US"/>
              </w:rPr>
              <w:t>20567</w:t>
            </w:r>
          </w:p>
        </w:tc>
        <w:tc>
          <w:tcPr>
            <w:tcW w:w="1420" w:type="dxa"/>
            <w:noWrap/>
            <w:hideMark/>
          </w:tcPr>
          <w:p w14:paraId="0C763E6C"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F456FC1" w14:textId="77777777" w:rsidR="00935BE4" w:rsidRPr="005D6EF2" w:rsidRDefault="00935BE4" w:rsidP="005D6EF2">
            <w:pPr>
              <w:spacing w:line="240" w:lineRule="auto"/>
              <w:ind w:firstLine="0"/>
              <w:jc w:val="center"/>
              <w:rPr>
                <w:lang w:val="en-US"/>
              </w:rPr>
            </w:pPr>
            <w:r w:rsidRPr="005D6EF2">
              <w:rPr>
                <w:lang w:val="en-US"/>
              </w:rPr>
              <w:t>0.020567</w:t>
            </w:r>
          </w:p>
        </w:tc>
      </w:tr>
      <w:tr w:rsidR="00935BE4" w:rsidRPr="008A1D26" w14:paraId="1C6D8FE2" w14:textId="77777777" w:rsidTr="00A807C1">
        <w:trPr>
          <w:trHeight w:val="300"/>
          <w:jc w:val="center"/>
        </w:trPr>
        <w:tc>
          <w:tcPr>
            <w:tcW w:w="1404" w:type="dxa"/>
            <w:noWrap/>
            <w:hideMark/>
          </w:tcPr>
          <w:p w14:paraId="5D47037E" w14:textId="77777777" w:rsidR="00935BE4" w:rsidRPr="005D6EF2" w:rsidRDefault="00935BE4" w:rsidP="005D6EF2">
            <w:pPr>
              <w:spacing w:line="240" w:lineRule="auto"/>
              <w:ind w:firstLine="0"/>
              <w:jc w:val="center"/>
              <w:rPr>
                <w:lang w:val="en-US"/>
              </w:rPr>
            </w:pPr>
            <w:r w:rsidRPr="005D6EF2">
              <w:rPr>
                <w:lang w:val="en-US"/>
              </w:rPr>
              <w:t>5644</w:t>
            </w:r>
          </w:p>
        </w:tc>
        <w:tc>
          <w:tcPr>
            <w:tcW w:w="1214" w:type="dxa"/>
            <w:noWrap/>
            <w:hideMark/>
          </w:tcPr>
          <w:p w14:paraId="085DEA38"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5EF19F9" w14:textId="77777777" w:rsidR="00935BE4" w:rsidRPr="005D6EF2" w:rsidRDefault="00935BE4" w:rsidP="005D6EF2">
            <w:pPr>
              <w:spacing w:line="240" w:lineRule="auto"/>
              <w:ind w:firstLine="0"/>
              <w:jc w:val="center"/>
              <w:rPr>
                <w:lang w:val="en-US"/>
              </w:rPr>
            </w:pPr>
            <w:r w:rsidRPr="005D6EF2">
              <w:rPr>
                <w:lang w:val="en-US"/>
              </w:rPr>
              <w:t>299.9648</w:t>
            </w:r>
          </w:p>
        </w:tc>
        <w:tc>
          <w:tcPr>
            <w:tcW w:w="1428" w:type="dxa"/>
            <w:noWrap/>
            <w:hideMark/>
          </w:tcPr>
          <w:p w14:paraId="10C41EB5" w14:textId="77777777" w:rsidR="00935BE4" w:rsidRPr="005D6EF2" w:rsidRDefault="00935BE4" w:rsidP="005D6EF2">
            <w:pPr>
              <w:spacing w:line="240" w:lineRule="auto"/>
              <w:ind w:firstLine="0"/>
              <w:jc w:val="center"/>
              <w:rPr>
                <w:lang w:val="en-US"/>
              </w:rPr>
            </w:pPr>
            <w:r w:rsidRPr="005D6EF2">
              <w:rPr>
                <w:lang w:val="en-US"/>
              </w:rPr>
              <w:t>3599.155</w:t>
            </w:r>
          </w:p>
        </w:tc>
        <w:tc>
          <w:tcPr>
            <w:tcW w:w="1420" w:type="dxa"/>
            <w:noWrap/>
            <w:hideMark/>
          </w:tcPr>
          <w:p w14:paraId="4EDAB08A"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6B36D1C" w14:textId="77777777" w:rsidR="00935BE4" w:rsidRPr="005D6EF2" w:rsidRDefault="00935BE4" w:rsidP="005D6EF2">
            <w:pPr>
              <w:spacing w:line="240" w:lineRule="auto"/>
              <w:ind w:firstLine="0"/>
              <w:jc w:val="center"/>
              <w:rPr>
                <w:lang w:val="en-US"/>
              </w:rPr>
            </w:pPr>
            <w:r w:rsidRPr="005D6EF2">
              <w:rPr>
                <w:lang w:val="en-US"/>
              </w:rPr>
              <w:t>0.003599</w:t>
            </w:r>
          </w:p>
        </w:tc>
      </w:tr>
      <w:tr w:rsidR="00935BE4" w:rsidRPr="008A1D26" w14:paraId="52162756" w14:textId="77777777" w:rsidTr="00A807C1">
        <w:trPr>
          <w:trHeight w:val="300"/>
          <w:jc w:val="center"/>
        </w:trPr>
        <w:tc>
          <w:tcPr>
            <w:tcW w:w="1404" w:type="dxa"/>
            <w:noWrap/>
            <w:hideMark/>
          </w:tcPr>
          <w:p w14:paraId="32359A3C" w14:textId="77777777" w:rsidR="00935BE4" w:rsidRPr="005D6EF2" w:rsidRDefault="00935BE4" w:rsidP="005D6EF2">
            <w:pPr>
              <w:spacing w:line="240" w:lineRule="auto"/>
              <w:ind w:firstLine="0"/>
              <w:jc w:val="center"/>
              <w:rPr>
                <w:lang w:val="en-US"/>
              </w:rPr>
            </w:pPr>
            <w:r w:rsidRPr="005D6EF2">
              <w:rPr>
                <w:lang w:val="en-US"/>
              </w:rPr>
              <w:t>5756</w:t>
            </w:r>
          </w:p>
        </w:tc>
        <w:tc>
          <w:tcPr>
            <w:tcW w:w="1214" w:type="dxa"/>
            <w:noWrap/>
            <w:hideMark/>
          </w:tcPr>
          <w:p w14:paraId="4D6AAE10"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0A4737B"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0FEEFD18"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5E70392A"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24DE9FC"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27A5534A" w14:textId="77777777" w:rsidTr="00A807C1">
        <w:trPr>
          <w:trHeight w:val="300"/>
          <w:jc w:val="center"/>
        </w:trPr>
        <w:tc>
          <w:tcPr>
            <w:tcW w:w="1404" w:type="dxa"/>
            <w:noWrap/>
            <w:hideMark/>
          </w:tcPr>
          <w:p w14:paraId="36EFF053" w14:textId="77777777" w:rsidR="00935BE4" w:rsidRPr="005D6EF2" w:rsidRDefault="00935BE4" w:rsidP="005D6EF2">
            <w:pPr>
              <w:spacing w:line="240" w:lineRule="auto"/>
              <w:ind w:firstLine="0"/>
              <w:jc w:val="center"/>
              <w:rPr>
                <w:lang w:val="en-US"/>
              </w:rPr>
            </w:pPr>
            <w:r w:rsidRPr="005D6EF2">
              <w:rPr>
                <w:lang w:val="en-US"/>
              </w:rPr>
              <w:t>6251</w:t>
            </w:r>
          </w:p>
        </w:tc>
        <w:tc>
          <w:tcPr>
            <w:tcW w:w="1214" w:type="dxa"/>
            <w:noWrap/>
            <w:hideMark/>
          </w:tcPr>
          <w:p w14:paraId="2DE3711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975C657" w14:textId="77777777" w:rsidR="00935BE4" w:rsidRPr="005D6EF2" w:rsidRDefault="00935BE4" w:rsidP="005D6EF2">
            <w:pPr>
              <w:spacing w:line="240" w:lineRule="auto"/>
              <w:ind w:firstLine="0"/>
              <w:jc w:val="center"/>
              <w:rPr>
                <w:lang w:val="en-US"/>
              </w:rPr>
            </w:pPr>
            <w:r w:rsidRPr="005D6EF2">
              <w:rPr>
                <w:lang w:val="en-US"/>
              </w:rPr>
              <w:t>570.8975</w:t>
            </w:r>
          </w:p>
        </w:tc>
        <w:tc>
          <w:tcPr>
            <w:tcW w:w="1428" w:type="dxa"/>
            <w:noWrap/>
            <w:hideMark/>
          </w:tcPr>
          <w:p w14:paraId="0646A252" w14:textId="77777777" w:rsidR="00935BE4" w:rsidRPr="005D6EF2" w:rsidRDefault="00935BE4" w:rsidP="005D6EF2">
            <w:pPr>
              <w:spacing w:line="240" w:lineRule="auto"/>
              <w:ind w:firstLine="0"/>
              <w:jc w:val="center"/>
              <w:rPr>
                <w:lang w:val="en-US"/>
              </w:rPr>
            </w:pPr>
            <w:r w:rsidRPr="005D6EF2">
              <w:rPr>
                <w:lang w:val="en-US"/>
              </w:rPr>
              <w:t>13548.74</w:t>
            </w:r>
          </w:p>
        </w:tc>
        <w:tc>
          <w:tcPr>
            <w:tcW w:w="1420" w:type="dxa"/>
            <w:noWrap/>
            <w:hideMark/>
          </w:tcPr>
          <w:p w14:paraId="5ECDC56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71BFC28" w14:textId="77777777" w:rsidR="00935BE4" w:rsidRPr="005D6EF2" w:rsidRDefault="00935BE4" w:rsidP="005D6EF2">
            <w:pPr>
              <w:spacing w:line="240" w:lineRule="auto"/>
              <w:ind w:firstLine="0"/>
              <w:jc w:val="center"/>
              <w:rPr>
                <w:lang w:val="en-US"/>
              </w:rPr>
            </w:pPr>
            <w:r w:rsidRPr="005D6EF2">
              <w:rPr>
                <w:lang w:val="en-US"/>
              </w:rPr>
              <w:t>0.013549</w:t>
            </w:r>
          </w:p>
        </w:tc>
      </w:tr>
      <w:tr w:rsidR="00935BE4" w:rsidRPr="008A1D26" w14:paraId="3104B7BC" w14:textId="77777777" w:rsidTr="00A807C1">
        <w:trPr>
          <w:trHeight w:val="300"/>
          <w:jc w:val="center"/>
        </w:trPr>
        <w:tc>
          <w:tcPr>
            <w:tcW w:w="1404" w:type="dxa"/>
            <w:noWrap/>
            <w:hideMark/>
          </w:tcPr>
          <w:p w14:paraId="0C78FFAC" w14:textId="77777777" w:rsidR="00935BE4" w:rsidRPr="005D6EF2" w:rsidRDefault="00935BE4" w:rsidP="005D6EF2">
            <w:pPr>
              <w:spacing w:line="240" w:lineRule="auto"/>
              <w:ind w:firstLine="0"/>
              <w:jc w:val="center"/>
              <w:rPr>
                <w:lang w:val="en-US"/>
              </w:rPr>
            </w:pPr>
            <w:r w:rsidRPr="005D6EF2">
              <w:rPr>
                <w:lang w:val="en-US"/>
              </w:rPr>
              <w:t>6357</w:t>
            </w:r>
          </w:p>
        </w:tc>
        <w:tc>
          <w:tcPr>
            <w:tcW w:w="1214" w:type="dxa"/>
            <w:noWrap/>
            <w:hideMark/>
          </w:tcPr>
          <w:p w14:paraId="18F52F65"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127FB3A"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45DDA920"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63AE0E4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766E24F"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2076D52E" w14:textId="77777777" w:rsidTr="00A807C1">
        <w:trPr>
          <w:trHeight w:val="300"/>
          <w:jc w:val="center"/>
        </w:trPr>
        <w:tc>
          <w:tcPr>
            <w:tcW w:w="1404" w:type="dxa"/>
            <w:noWrap/>
            <w:hideMark/>
          </w:tcPr>
          <w:p w14:paraId="1D096245" w14:textId="77777777" w:rsidR="00935BE4" w:rsidRPr="005D6EF2" w:rsidRDefault="00935BE4" w:rsidP="005D6EF2">
            <w:pPr>
              <w:spacing w:line="240" w:lineRule="auto"/>
              <w:ind w:firstLine="0"/>
              <w:jc w:val="center"/>
              <w:rPr>
                <w:lang w:val="en-US"/>
              </w:rPr>
            </w:pPr>
            <w:r w:rsidRPr="005D6EF2">
              <w:rPr>
                <w:lang w:val="en-US"/>
              </w:rPr>
              <w:t>6458</w:t>
            </w:r>
          </w:p>
        </w:tc>
        <w:tc>
          <w:tcPr>
            <w:tcW w:w="1214" w:type="dxa"/>
            <w:noWrap/>
            <w:hideMark/>
          </w:tcPr>
          <w:p w14:paraId="0C0BA2AC"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56C5D67" w14:textId="77777777" w:rsidR="00935BE4" w:rsidRPr="005D6EF2" w:rsidRDefault="00935BE4" w:rsidP="005D6EF2">
            <w:pPr>
              <w:spacing w:line="240" w:lineRule="auto"/>
              <w:ind w:firstLine="0"/>
              <w:jc w:val="center"/>
              <w:rPr>
                <w:lang w:val="en-US"/>
              </w:rPr>
            </w:pPr>
            <w:r w:rsidRPr="005D6EF2">
              <w:rPr>
                <w:lang w:val="en-US"/>
              </w:rPr>
              <w:t>1404.025</w:t>
            </w:r>
          </w:p>
        </w:tc>
        <w:tc>
          <w:tcPr>
            <w:tcW w:w="1428" w:type="dxa"/>
            <w:noWrap/>
            <w:hideMark/>
          </w:tcPr>
          <w:p w14:paraId="194805BF" w14:textId="77777777" w:rsidR="00935BE4" w:rsidRPr="005D6EF2" w:rsidRDefault="00935BE4" w:rsidP="005D6EF2">
            <w:pPr>
              <w:spacing w:line="240" w:lineRule="auto"/>
              <w:ind w:firstLine="0"/>
              <w:jc w:val="center"/>
              <w:rPr>
                <w:lang w:val="en-US"/>
              </w:rPr>
            </w:pPr>
            <w:r w:rsidRPr="005D6EF2">
              <w:rPr>
                <w:lang w:val="en-US"/>
              </w:rPr>
              <w:t>71353.29</w:t>
            </w:r>
          </w:p>
        </w:tc>
        <w:tc>
          <w:tcPr>
            <w:tcW w:w="1420" w:type="dxa"/>
            <w:noWrap/>
            <w:hideMark/>
          </w:tcPr>
          <w:p w14:paraId="7B11353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E3488F4" w14:textId="77777777" w:rsidR="00935BE4" w:rsidRPr="005D6EF2" w:rsidRDefault="00935BE4" w:rsidP="005D6EF2">
            <w:pPr>
              <w:spacing w:line="240" w:lineRule="auto"/>
              <w:ind w:firstLine="0"/>
              <w:jc w:val="center"/>
              <w:rPr>
                <w:lang w:val="en-US"/>
              </w:rPr>
            </w:pPr>
            <w:r w:rsidRPr="005D6EF2">
              <w:rPr>
                <w:lang w:val="en-US"/>
              </w:rPr>
              <w:t>0.071353</w:t>
            </w:r>
          </w:p>
        </w:tc>
      </w:tr>
      <w:tr w:rsidR="00935BE4" w:rsidRPr="008A1D26" w14:paraId="30CD0FE5" w14:textId="77777777" w:rsidTr="00A807C1">
        <w:trPr>
          <w:trHeight w:val="300"/>
          <w:jc w:val="center"/>
        </w:trPr>
        <w:tc>
          <w:tcPr>
            <w:tcW w:w="1404" w:type="dxa"/>
            <w:noWrap/>
            <w:hideMark/>
          </w:tcPr>
          <w:p w14:paraId="09DD05B4" w14:textId="77777777" w:rsidR="00935BE4" w:rsidRPr="005D6EF2" w:rsidRDefault="00935BE4" w:rsidP="005D6EF2">
            <w:pPr>
              <w:spacing w:line="240" w:lineRule="auto"/>
              <w:ind w:firstLine="0"/>
              <w:jc w:val="center"/>
              <w:rPr>
                <w:lang w:val="en-US"/>
              </w:rPr>
            </w:pPr>
            <w:r w:rsidRPr="005D6EF2">
              <w:rPr>
                <w:lang w:val="en-US"/>
              </w:rPr>
              <w:t>6565</w:t>
            </w:r>
          </w:p>
        </w:tc>
        <w:tc>
          <w:tcPr>
            <w:tcW w:w="1214" w:type="dxa"/>
            <w:noWrap/>
            <w:hideMark/>
          </w:tcPr>
          <w:p w14:paraId="7F308282"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30BB74E" w14:textId="77777777" w:rsidR="00935BE4" w:rsidRPr="005D6EF2" w:rsidRDefault="00935BE4" w:rsidP="005D6EF2">
            <w:pPr>
              <w:spacing w:line="240" w:lineRule="auto"/>
              <w:ind w:firstLine="0"/>
              <w:jc w:val="center"/>
              <w:rPr>
                <w:lang w:val="en-US"/>
              </w:rPr>
            </w:pPr>
            <w:r w:rsidRPr="005D6EF2">
              <w:rPr>
                <w:lang w:val="en-US"/>
              </w:rPr>
              <w:t>493.9497</w:t>
            </w:r>
          </w:p>
        </w:tc>
        <w:tc>
          <w:tcPr>
            <w:tcW w:w="1428" w:type="dxa"/>
            <w:noWrap/>
            <w:hideMark/>
          </w:tcPr>
          <w:p w14:paraId="7383EB66" w14:textId="77777777" w:rsidR="00935BE4" w:rsidRPr="005D6EF2" w:rsidRDefault="00935BE4" w:rsidP="005D6EF2">
            <w:pPr>
              <w:spacing w:line="240" w:lineRule="auto"/>
              <w:ind w:firstLine="0"/>
              <w:jc w:val="center"/>
              <w:rPr>
                <w:lang w:val="en-US"/>
              </w:rPr>
            </w:pPr>
            <w:r w:rsidRPr="005D6EF2">
              <w:rPr>
                <w:lang w:val="en-US"/>
              </w:rPr>
              <w:t>10807.98</w:t>
            </w:r>
          </w:p>
        </w:tc>
        <w:tc>
          <w:tcPr>
            <w:tcW w:w="1420" w:type="dxa"/>
            <w:noWrap/>
            <w:hideMark/>
          </w:tcPr>
          <w:p w14:paraId="26EA8D83"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F43A2E6" w14:textId="77777777" w:rsidR="00935BE4" w:rsidRPr="005D6EF2" w:rsidRDefault="00935BE4" w:rsidP="005D6EF2">
            <w:pPr>
              <w:spacing w:line="240" w:lineRule="auto"/>
              <w:ind w:firstLine="0"/>
              <w:jc w:val="center"/>
              <w:rPr>
                <w:lang w:val="en-US"/>
              </w:rPr>
            </w:pPr>
            <w:r w:rsidRPr="005D6EF2">
              <w:rPr>
                <w:lang w:val="en-US"/>
              </w:rPr>
              <w:t>0.010808</w:t>
            </w:r>
          </w:p>
        </w:tc>
      </w:tr>
      <w:tr w:rsidR="00935BE4" w:rsidRPr="008A1D26" w14:paraId="6F3000E9" w14:textId="77777777" w:rsidTr="00A807C1">
        <w:trPr>
          <w:trHeight w:val="300"/>
          <w:jc w:val="center"/>
        </w:trPr>
        <w:tc>
          <w:tcPr>
            <w:tcW w:w="1404" w:type="dxa"/>
            <w:noWrap/>
            <w:hideMark/>
          </w:tcPr>
          <w:p w14:paraId="45E7A2D3" w14:textId="77777777" w:rsidR="00935BE4" w:rsidRPr="005D6EF2" w:rsidRDefault="00935BE4" w:rsidP="005D6EF2">
            <w:pPr>
              <w:spacing w:line="240" w:lineRule="auto"/>
              <w:ind w:firstLine="0"/>
              <w:jc w:val="center"/>
              <w:rPr>
                <w:lang w:val="en-US"/>
              </w:rPr>
            </w:pPr>
            <w:r w:rsidRPr="005D6EF2">
              <w:rPr>
                <w:lang w:val="en-US"/>
              </w:rPr>
              <w:t>6752</w:t>
            </w:r>
          </w:p>
        </w:tc>
        <w:tc>
          <w:tcPr>
            <w:tcW w:w="1214" w:type="dxa"/>
            <w:noWrap/>
            <w:hideMark/>
          </w:tcPr>
          <w:p w14:paraId="625E624D"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9EE0228" w14:textId="77777777" w:rsidR="00935BE4" w:rsidRPr="005D6EF2" w:rsidRDefault="00935BE4" w:rsidP="005D6EF2">
            <w:pPr>
              <w:spacing w:line="240" w:lineRule="auto"/>
              <w:ind w:firstLine="0"/>
              <w:jc w:val="center"/>
              <w:rPr>
                <w:lang w:val="en-US"/>
              </w:rPr>
            </w:pPr>
            <w:r w:rsidRPr="005D6EF2">
              <w:rPr>
                <w:lang w:val="en-US"/>
              </w:rPr>
              <w:t>172.6313</w:t>
            </w:r>
          </w:p>
        </w:tc>
        <w:tc>
          <w:tcPr>
            <w:tcW w:w="1428" w:type="dxa"/>
            <w:noWrap/>
            <w:hideMark/>
          </w:tcPr>
          <w:p w14:paraId="1AD59EBC" w14:textId="77777777" w:rsidR="00935BE4" w:rsidRPr="005D6EF2" w:rsidRDefault="00935BE4" w:rsidP="005D6EF2">
            <w:pPr>
              <w:spacing w:line="240" w:lineRule="auto"/>
              <w:ind w:firstLine="0"/>
              <w:jc w:val="center"/>
              <w:rPr>
                <w:lang w:val="en-US"/>
              </w:rPr>
            </w:pPr>
            <w:r w:rsidRPr="005D6EF2">
              <w:rPr>
                <w:lang w:val="en-US"/>
              </w:rPr>
              <w:t>1045.715</w:t>
            </w:r>
          </w:p>
        </w:tc>
        <w:tc>
          <w:tcPr>
            <w:tcW w:w="1420" w:type="dxa"/>
            <w:noWrap/>
            <w:hideMark/>
          </w:tcPr>
          <w:p w14:paraId="103762D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7D7DC6D" w14:textId="77777777" w:rsidR="00935BE4" w:rsidRPr="005D6EF2" w:rsidRDefault="00935BE4" w:rsidP="005D6EF2">
            <w:pPr>
              <w:spacing w:line="240" w:lineRule="auto"/>
              <w:ind w:firstLine="0"/>
              <w:jc w:val="center"/>
              <w:rPr>
                <w:lang w:val="en-US"/>
              </w:rPr>
            </w:pPr>
            <w:r w:rsidRPr="005D6EF2">
              <w:rPr>
                <w:lang w:val="en-US"/>
              </w:rPr>
              <w:t>0.001046</w:t>
            </w:r>
          </w:p>
        </w:tc>
      </w:tr>
      <w:tr w:rsidR="00935BE4" w:rsidRPr="008A1D26" w14:paraId="2DACDED1" w14:textId="77777777" w:rsidTr="00A807C1">
        <w:trPr>
          <w:trHeight w:val="300"/>
          <w:jc w:val="center"/>
        </w:trPr>
        <w:tc>
          <w:tcPr>
            <w:tcW w:w="1404" w:type="dxa"/>
            <w:noWrap/>
            <w:hideMark/>
          </w:tcPr>
          <w:p w14:paraId="1F9FD725" w14:textId="77777777" w:rsidR="00935BE4" w:rsidRPr="005D6EF2" w:rsidRDefault="00935BE4" w:rsidP="005D6EF2">
            <w:pPr>
              <w:spacing w:line="240" w:lineRule="auto"/>
              <w:ind w:firstLine="0"/>
              <w:jc w:val="center"/>
              <w:rPr>
                <w:lang w:val="en-US"/>
              </w:rPr>
            </w:pPr>
            <w:r w:rsidRPr="005D6EF2">
              <w:rPr>
                <w:lang w:val="en-US"/>
              </w:rPr>
              <w:t>7055</w:t>
            </w:r>
          </w:p>
        </w:tc>
        <w:tc>
          <w:tcPr>
            <w:tcW w:w="1214" w:type="dxa"/>
            <w:noWrap/>
            <w:hideMark/>
          </w:tcPr>
          <w:p w14:paraId="520D5A8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5565D02" w14:textId="77777777" w:rsidR="00935BE4" w:rsidRPr="005D6EF2" w:rsidRDefault="00935BE4" w:rsidP="005D6EF2">
            <w:pPr>
              <w:spacing w:line="240" w:lineRule="auto"/>
              <w:ind w:firstLine="0"/>
              <w:jc w:val="center"/>
              <w:rPr>
                <w:lang w:val="en-US"/>
              </w:rPr>
            </w:pPr>
            <w:r w:rsidRPr="005D6EF2">
              <w:rPr>
                <w:lang w:val="en-US"/>
              </w:rPr>
              <w:t>471.1541</w:t>
            </w:r>
          </w:p>
        </w:tc>
        <w:tc>
          <w:tcPr>
            <w:tcW w:w="1428" w:type="dxa"/>
            <w:noWrap/>
            <w:hideMark/>
          </w:tcPr>
          <w:p w14:paraId="3D3AF483" w14:textId="77777777" w:rsidR="00935BE4" w:rsidRPr="005D6EF2" w:rsidRDefault="00935BE4" w:rsidP="005D6EF2">
            <w:pPr>
              <w:spacing w:line="240" w:lineRule="auto"/>
              <w:ind w:firstLine="0"/>
              <w:jc w:val="center"/>
              <w:rPr>
                <w:lang w:val="en-US"/>
              </w:rPr>
            </w:pPr>
            <w:r w:rsidRPr="005D6EF2">
              <w:rPr>
                <w:lang w:val="en-US"/>
              </w:rPr>
              <w:t>11305.99</w:t>
            </w:r>
          </w:p>
        </w:tc>
        <w:tc>
          <w:tcPr>
            <w:tcW w:w="1420" w:type="dxa"/>
            <w:noWrap/>
            <w:hideMark/>
          </w:tcPr>
          <w:p w14:paraId="19C316D1"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C4EFF81" w14:textId="77777777" w:rsidR="00935BE4" w:rsidRPr="005D6EF2" w:rsidRDefault="00935BE4" w:rsidP="005D6EF2">
            <w:pPr>
              <w:spacing w:line="240" w:lineRule="auto"/>
              <w:ind w:firstLine="0"/>
              <w:jc w:val="center"/>
              <w:rPr>
                <w:lang w:val="en-US"/>
              </w:rPr>
            </w:pPr>
            <w:r w:rsidRPr="005D6EF2">
              <w:rPr>
                <w:lang w:val="en-US"/>
              </w:rPr>
              <w:t>0.011306</w:t>
            </w:r>
          </w:p>
        </w:tc>
      </w:tr>
      <w:tr w:rsidR="00935BE4" w:rsidRPr="008A1D26" w14:paraId="61B782E4" w14:textId="77777777" w:rsidTr="00A807C1">
        <w:trPr>
          <w:trHeight w:val="300"/>
          <w:jc w:val="center"/>
        </w:trPr>
        <w:tc>
          <w:tcPr>
            <w:tcW w:w="1404" w:type="dxa"/>
            <w:noWrap/>
            <w:hideMark/>
          </w:tcPr>
          <w:p w14:paraId="5BECC194" w14:textId="77777777" w:rsidR="00935BE4" w:rsidRPr="005D6EF2" w:rsidRDefault="00935BE4" w:rsidP="005D6EF2">
            <w:pPr>
              <w:spacing w:line="240" w:lineRule="auto"/>
              <w:ind w:firstLine="0"/>
              <w:jc w:val="center"/>
              <w:rPr>
                <w:lang w:val="en-US"/>
              </w:rPr>
            </w:pPr>
            <w:r w:rsidRPr="005D6EF2">
              <w:rPr>
                <w:lang w:val="en-US"/>
              </w:rPr>
              <w:t>7199</w:t>
            </w:r>
          </w:p>
        </w:tc>
        <w:tc>
          <w:tcPr>
            <w:tcW w:w="1214" w:type="dxa"/>
            <w:noWrap/>
            <w:hideMark/>
          </w:tcPr>
          <w:p w14:paraId="24CB39D0"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3759B62"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71D6C8A1"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57DBB402"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295A3BE"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6CE4B177" w14:textId="77777777" w:rsidTr="00A807C1">
        <w:trPr>
          <w:trHeight w:val="300"/>
          <w:jc w:val="center"/>
        </w:trPr>
        <w:tc>
          <w:tcPr>
            <w:tcW w:w="1404" w:type="dxa"/>
            <w:noWrap/>
            <w:hideMark/>
          </w:tcPr>
          <w:p w14:paraId="582560FC" w14:textId="77777777" w:rsidR="00935BE4" w:rsidRPr="005D6EF2" w:rsidRDefault="00935BE4" w:rsidP="005D6EF2">
            <w:pPr>
              <w:spacing w:line="240" w:lineRule="auto"/>
              <w:ind w:firstLine="0"/>
              <w:jc w:val="center"/>
              <w:rPr>
                <w:lang w:val="en-US"/>
              </w:rPr>
            </w:pPr>
            <w:r w:rsidRPr="005D6EF2">
              <w:rPr>
                <w:lang w:val="en-US"/>
              </w:rPr>
              <w:t>7412</w:t>
            </w:r>
          </w:p>
        </w:tc>
        <w:tc>
          <w:tcPr>
            <w:tcW w:w="1214" w:type="dxa"/>
            <w:noWrap/>
            <w:hideMark/>
          </w:tcPr>
          <w:p w14:paraId="2D067C90"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CE5720F"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395589CF"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21949475"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C100034"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0708DB15" w14:textId="77777777" w:rsidTr="00A807C1">
        <w:trPr>
          <w:trHeight w:val="300"/>
          <w:jc w:val="center"/>
        </w:trPr>
        <w:tc>
          <w:tcPr>
            <w:tcW w:w="1404" w:type="dxa"/>
            <w:noWrap/>
            <w:hideMark/>
          </w:tcPr>
          <w:p w14:paraId="1C79159F" w14:textId="77777777" w:rsidR="00935BE4" w:rsidRPr="005D6EF2" w:rsidRDefault="00935BE4" w:rsidP="005D6EF2">
            <w:pPr>
              <w:spacing w:line="240" w:lineRule="auto"/>
              <w:ind w:firstLine="0"/>
              <w:jc w:val="center"/>
              <w:rPr>
                <w:lang w:val="en-US"/>
              </w:rPr>
            </w:pPr>
            <w:r w:rsidRPr="005D6EF2">
              <w:rPr>
                <w:lang w:val="en-US"/>
              </w:rPr>
              <w:t>7665</w:t>
            </w:r>
          </w:p>
        </w:tc>
        <w:tc>
          <w:tcPr>
            <w:tcW w:w="1214" w:type="dxa"/>
            <w:noWrap/>
            <w:hideMark/>
          </w:tcPr>
          <w:p w14:paraId="6C3F441C"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224CDB9" w14:textId="77777777" w:rsidR="00935BE4" w:rsidRPr="005D6EF2" w:rsidRDefault="00935BE4" w:rsidP="005D6EF2">
            <w:pPr>
              <w:spacing w:line="240" w:lineRule="auto"/>
              <w:ind w:firstLine="0"/>
              <w:jc w:val="center"/>
              <w:rPr>
                <w:lang w:val="en-US"/>
              </w:rPr>
            </w:pPr>
            <w:r w:rsidRPr="005D6EF2">
              <w:rPr>
                <w:lang w:val="en-US"/>
              </w:rPr>
              <w:t>299.9648</w:t>
            </w:r>
          </w:p>
        </w:tc>
        <w:tc>
          <w:tcPr>
            <w:tcW w:w="1428" w:type="dxa"/>
            <w:noWrap/>
            <w:hideMark/>
          </w:tcPr>
          <w:p w14:paraId="68F50D3E" w14:textId="77777777" w:rsidR="00935BE4" w:rsidRPr="005D6EF2" w:rsidRDefault="00935BE4" w:rsidP="005D6EF2">
            <w:pPr>
              <w:spacing w:line="240" w:lineRule="auto"/>
              <w:ind w:firstLine="0"/>
              <w:jc w:val="center"/>
              <w:rPr>
                <w:lang w:val="en-US"/>
              </w:rPr>
            </w:pPr>
            <w:r w:rsidRPr="005D6EF2">
              <w:rPr>
                <w:lang w:val="en-US"/>
              </w:rPr>
              <w:t>3599.155</w:t>
            </w:r>
          </w:p>
        </w:tc>
        <w:tc>
          <w:tcPr>
            <w:tcW w:w="1420" w:type="dxa"/>
            <w:noWrap/>
            <w:hideMark/>
          </w:tcPr>
          <w:p w14:paraId="1C09F7F7"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57A7C8C" w14:textId="77777777" w:rsidR="00935BE4" w:rsidRPr="005D6EF2" w:rsidRDefault="00935BE4" w:rsidP="005D6EF2">
            <w:pPr>
              <w:spacing w:line="240" w:lineRule="auto"/>
              <w:ind w:firstLine="0"/>
              <w:jc w:val="center"/>
              <w:rPr>
                <w:lang w:val="en-US"/>
              </w:rPr>
            </w:pPr>
            <w:r w:rsidRPr="005D6EF2">
              <w:rPr>
                <w:lang w:val="en-US"/>
              </w:rPr>
              <w:t>0.003599</w:t>
            </w:r>
          </w:p>
        </w:tc>
      </w:tr>
      <w:tr w:rsidR="00935BE4" w:rsidRPr="008A1D26" w14:paraId="3F2BDE98" w14:textId="77777777" w:rsidTr="00A807C1">
        <w:trPr>
          <w:trHeight w:val="300"/>
          <w:jc w:val="center"/>
        </w:trPr>
        <w:tc>
          <w:tcPr>
            <w:tcW w:w="1404" w:type="dxa"/>
            <w:noWrap/>
            <w:hideMark/>
          </w:tcPr>
          <w:p w14:paraId="79C96E65" w14:textId="77777777" w:rsidR="00935BE4" w:rsidRPr="005D6EF2" w:rsidRDefault="00935BE4" w:rsidP="005D6EF2">
            <w:pPr>
              <w:spacing w:line="240" w:lineRule="auto"/>
              <w:ind w:firstLine="0"/>
              <w:jc w:val="center"/>
              <w:rPr>
                <w:lang w:val="en-US"/>
              </w:rPr>
            </w:pPr>
            <w:r w:rsidRPr="005D6EF2">
              <w:rPr>
                <w:lang w:val="en-US"/>
              </w:rPr>
              <w:t>7957</w:t>
            </w:r>
          </w:p>
        </w:tc>
        <w:tc>
          <w:tcPr>
            <w:tcW w:w="1214" w:type="dxa"/>
            <w:noWrap/>
            <w:hideMark/>
          </w:tcPr>
          <w:p w14:paraId="3F9D1A9E"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912F80B"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37C26CE7"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38D8A885"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AC5BE8C"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4FCA3B3F" w14:textId="77777777" w:rsidTr="00A807C1">
        <w:trPr>
          <w:trHeight w:val="300"/>
          <w:jc w:val="center"/>
        </w:trPr>
        <w:tc>
          <w:tcPr>
            <w:tcW w:w="1404" w:type="dxa"/>
            <w:noWrap/>
            <w:hideMark/>
          </w:tcPr>
          <w:p w14:paraId="1107500D" w14:textId="77777777" w:rsidR="00935BE4" w:rsidRPr="005D6EF2" w:rsidRDefault="00935BE4" w:rsidP="005D6EF2">
            <w:pPr>
              <w:spacing w:line="240" w:lineRule="auto"/>
              <w:ind w:firstLine="0"/>
              <w:jc w:val="center"/>
              <w:rPr>
                <w:lang w:val="en-US"/>
              </w:rPr>
            </w:pPr>
            <w:r w:rsidRPr="005D6EF2">
              <w:rPr>
                <w:lang w:val="en-US"/>
              </w:rPr>
              <w:t>8654</w:t>
            </w:r>
          </w:p>
        </w:tc>
        <w:tc>
          <w:tcPr>
            <w:tcW w:w="1214" w:type="dxa"/>
            <w:noWrap/>
            <w:hideMark/>
          </w:tcPr>
          <w:p w14:paraId="6096CC9A"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4340D89"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2BF7EF3A"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61A14F3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4691EAB"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0E25FA58" w14:textId="77777777" w:rsidTr="00A807C1">
        <w:trPr>
          <w:trHeight w:val="300"/>
          <w:jc w:val="center"/>
        </w:trPr>
        <w:tc>
          <w:tcPr>
            <w:tcW w:w="1404" w:type="dxa"/>
            <w:noWrap/>
            <w:hideMark/>
          </w:tcPr>
          <w:p w14:paraId="1C4FB169" w14:textId="77777777" w:rsidR="00935BE4" w:rsidRPr="005D6EF2" w:rsidRDefault="00935BE4" w:rsidP="005D6EF2">
            <w:pPr>
              <w:spacing w:line="240" w:lineRule="auto"/>
              <w:ind w:firstLine="0"/>
              <w:jc w:val="center"/>
              <w:rPr>
                <w:lang w:val="en-US"/>
              </w:rPr>
            </w:pPr>
            <w:r w:rsidRPr="005D6EF2">
              <w:rPr>
                <w:lang w:val="en-US"/>
              </w:rPr>
              <w:t>8888</w:t>
            </w:r>
          </w:p>
        </w:tc>
        <w:tc>
          <w:tcPr>
            <w:tcW w:w="1214" w:type="dxa"/>
            <w:noWrap/>
            <w:hideMark/>
          </w:tcPr>
          <w:p w14:paraId="3855D499"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FC9C80C" w14:textId="77777777" w:rsidR="00935BE4" w:rsidRPr="005D6EF2" w:rsidRDefault="00935BE4" w:rsidP="005D6EF2">
            <w:pPr>
              <w:spacing w:line="240" w:lineRule="auto"/>
              <w:ind w:firstLine="0"/>
              <w:jc w:val="center"/>
              <w:rPr>
                <w:lang w:val="en-US"/>
              </w:rPr>
            </w:pPr>
            <w:r w:rsidRPr="005D6EF2">
              <w:rPr>
                <w:lang w:val="en-US"/>
              </w:rPr>
              <w:t>419.9507</w:t>
            </w:r>
          </w:p>
        </w:tc>
        <w:tc>
          <w:tcPr>
            <w:tcW w:w="1428" w:type="dxa"/>
            <w:noWrap/>
            <w:hideMark/>
          </w:tcPr>
          <w:p w14:paraId="0B0C65BB" w14:textId="77777777" w:rsidR="00935BE4" w:rsidRPr="005D6EF2" w:rsidRDefault="00935BE4" w:rsidP="005D6EF2">
            <w:pPr>
              <w:spacing w:line="240" w:lineRule="auto"/>
              <w:ind w:firstLine="0"/>
              <w:jc w:val="center"/>
              <w:rPr>
                <w:lang w:val="en-US"/>
              </w:rPr>
            </w:pPr>
            <w:r w:rsidRPr="005D6EF2">
              <w:rPr>
                <w:lang w:val="en-US"/>
              </w:rPr>
              <w:t>5398.733</w:t>
            </w:r>
          </w:p>
        </w:tc>
        <w:tc>
          <w:tcPr>
            <w:tcW w:w="1420" w:type="dxa"/>
            <w:noWrap/>
            <w:hideMark/>
          </w:tcPr>
          <w:p w14:paraId="75A76397"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1A47B96" w14:textId="77777777" w:rsidR="00935BE4" w:rsidRPr="005D6EF2" w:rsidRDefault="00935BE4" w:rsidP="005D6EF2">
            <w:pPr>
              <w:spacing w:line="240" w:lineRule="auto"/>
              <w:ind w:firstLine="0"/>
              <w:jc w:val="center"/>
              <w:rPr>
                <w:lang w:val="en-US"/>
              </w:rPr>
            </w:pPr>
            <w:r w:rsidRPr="005D6EF2">
              <w:rPr>
                <w:lang w:val="en-US"/>
              </w:rPr>
              <w:t>0.005399</w:t>
            </w:r>
          </w:p>
        </w:tc>
      </w:tr>
      <w:tr w:rsidR="00935BE4" w:rsidRPr="008A1D26" w14:paraId="4483097F" w14:textId="77777777" w:rsidTr="00A807C1">
        <w:trPr>
          <w:trHeight w:val="300"/>
          <w:jc w:val="center"/>
        </w:trPr>
        <w:tc>
          <w:tcPr>
            <w:tcW w:w="1404" w:type="dxa"/>
            <w:noWrap/>
            <w:hideMark/>
          </w:tcPr>
          <w:p w14:paraId="6201B511" w14:textId="77777777" w:rsidR="00935BE4" w:rsidRPr="005D6EF2" w:rsidRDefault="00935BE4" w:rsidP="005D6EF2">
            <w:pPr>
              <w:spacing w:line="240" w:lineRule="auto"/>
              <w:ind w:firstLine="0"/>
              <w:jc w:val="center"/>
              <w:rPr>
                <w:lang w:val="en-US"/>
              </w:rPr>
            </w:pPr>
            <w:r w:rsidRPr="005D6EF2">
              <w:rPr>
                <w:lang w:val="en-US"/>
              </w:rPr>
              <w:t>9205</w:t>
            </w:r>
          </w:p>
        </w:tc>
        <w:tc>
          <w:tcPr>
            <w:tcW w:w="1214" w:type="dxa"/>
            <w:noWrap/>
            <w:hideMark/>
          </w:tcPr>
          <w:p w14:paraId="768C48B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ECF1BED"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6A6F45D0"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49D619FF"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5B038E2"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4EC4EB5C" w14:textId="77777777" w:rsidTr="00A807C1">
        <w:trPr>
          <w:trHeight w:val="300"/>
          <w:jc w:val="center"/>
        </w:trPr>
        <w:tc>
          <w:tcPr>
            <w:tcW w:w="1404" w:type="dxa"/>
            <w:noWrap/>
            <w:hideMark/>
          </w:tcPr>
          <w:p w14:paraId="72102D58" w14:textId="77777777" w:rsidR="00935BE4" w:rsidRPr="005D6EF2" w:rsidRDefault="00935BE4" w:rsidP="005D6EF2">
            <w:pPr>
              <w:spacing w:line="240" w:lineRule="auto"/>
              <w:ind w:firstLine="0"/>
              <w:jc w:val="center"/>
              <w:rPr>
                <w:lang w:val="en-US"/>
              </w:rPr>
            </w:pPr>
            <w:r w:rsidRPr="005D6EF2">
              <w:rPr>
                <w:lang w:val="en-US"/>
              </w:rPr>
              <w:t>9572</w:t>
            </w:r>
          </w:p>
        </w:tc>
        <w:tc>
          <w:tcPr>
            <w:tcW w:w="1214" w:type="dxa"/>
            <w:noWrap/>
            <w:hideMark/>
          </w:tcPr>
          <w:p w14:paraId="71A86B7F"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530E1F1"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1F58CFAB"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2D2382ED"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6629397"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5030C107" w14:textId="77777777" w:rsidTr="00A807C1">
        <w:trPr>
          <w:trHeight w:val="300"/>
          <w:jc w:val="center"/>
        </w:trPr>
        <w:tc>
          <w:tcPr>
            <w:tcW w:w="1404" w:type="dxa"/>
            <w:noWrap/>
            <w:hideMark/>
          </w:tcPr>
          <w:p w14:paraId="73860AA6" w14:textId="77777777" w:rsidR="00935BE4" w:rsidRPr="005D6EF2" w:rsidRDefault="00935BE4" w:rsidP="005D6EF2">
            <w:pPr>
              <w:spacing w:line="240" w:lineRule="auto"/>
              <w:ind w:firstLine="0"/>
              <w:jc w:val="center"/>
              <w:rPr>
                <w:lang w:val="en-US"/>
              </w:rPr>
            </w:pPr>
            <w:r w:rsidRPr="005D6EF2">
              <w:rPr>
                <w:lang w:val="en-US"/>
              </w:rPr>
              <w:t>9627</w:t>
            </w:r>
          </w:p>
        </w:tc>
        <w:tc>
          <w:tcPr>
            <w:tcW w:w="1214" w:type="dxa"/>
            <w:noWrap/>
            <w:hideMark/>
          </w:tcPr>
          <w:p w14:paraId="7853878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7831E62" w14:textId="77777777" w:rsidR="00935BE4" w:rsidRPr="005D6EF2" w:rsidRDefault="00935BE4" w:rsidP="005D6EF2">
            <w:pPr>
              <w:spacing w:line="240" w:lineRule="auto"/>
              <w:ind w:firstLine="0"/>
              <w:jc w:val="center"/>
              <w:rPr>
                <w:lang w:val="en-US"/>
              </w:rPr>
            </w:pPr>
            <w:r w:rsidRPr="005D6EF2">
              <w:rPr>
                <w:lang w:val="en-US"/>
              </w:rPr>
              <w:t>277.0495</w:t>
            </w:r>
          </w:p>
        </w:tc>
        <w:tc>
          <w:tcPr>
            <w:tcW w:w="1428" w:type="dxa"/>
            <w:noWrap/>
            <w:hideMark/>
          </w:tcPr>
          <w:p w14:paraId="3C31756F" w14:textId="77777777" w:rsidR="00935BE4" w:rsidRPr="005D6EF2" w:rsidRDefault="00935BE4" w:rsidP="005D6EF2">
            <w:pPr>
              <w:spacing w:line="240" w:lineRule="auto"/>
              <w:ind w:firstLine="0"/>
              <w:jc w:val="center"/>
              <w:rPr>
                <w:lang w:val="en-US"/>
              </w:rPr>
            </w:pPr>
            <w:r w:rsidRPr="005D6EF2">
              <w:rPr>
                <w:lang w:val="en-US"/>
              </w:rPr>
              <w:t>3599.155</w:t>
            </w:r>
          </w:p>
        </w:tc>
        <w:tc>
          <w:tcPr>
            <w:tcW w:w="1420" w:type="dxa"/>
            <w:noWrap/>
            <w:hideMark/>
          </w:tcPr>
          <w:p w14:paraId="50730960"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83B90D9" w14:textId="77777777" w:rsidR="00935BE4" w:rsidRPr="005D6EF2" w:rsidRDefault="00935BE4" w:rsidP="005D6EF2">
            <w:pPr>
              <w:spacing w:line="240" w:lineRule="auto"/>
              <w:ind w:firstLine="0"/>
              <w:jc w:val="center"/>
              <w:rPr>
                <w:lang w:val="en-US"/>
              </w:rPr>
            </w:pPr>
            <w:r w:rsidRPr="005D6EF2">
              <w:rPr>
                <w:lang w:val="en-US"/>
              </w:rPr>
              <w:t>0.003599</w:t>
            </w:r>
          </w:p>
        </w:tc>
      </w:tr>
      <w:tr w:rsidR="00935BE4" w:rsidRPr="008A1D26" w14:paraId="3C64129E" w14:textId="77777777" w:rsidTr="00A807C1">
        <w:trPr>
          <w:trHeight w:val="300"/>
          <w:jc w:val="center"/>
        </w:trPr>
        <w:tc>
          <w:tcPr>
            <w:tcW w:w="1404" w:type="dxa"/>
            <w:noWrap/>
            <w:hideMark/>
          </w:tcPr>
          <w:p w14:paraId="796A0E78" w14:textId="77777777" w:rsidR="00935BE4" w:rsidRPr="005D6EF2" w:rsidRDefault="00935BE4" w:rsidP="005D6EF2">
            <w:pPr>
              <w:spacing w:line="240" w:lineRule="auto"/>
              <w:ind w:firstLine="0"/>
              <w:jc w:val="center"/>
              <w:rPr>
                <w:lang w:val="en-US"/>
              </w:rPr>
            </w:pPr>
            <w:r w:rsidRPr="005D6EF2">
              <w:rPr>
                <w:lang w:val="en-US"/>
              </w:rPr>
              <w:t>9963</w:t>
            </w:r>
          </w:p>
        </w:tc>
        <w:tc>
          <w:tcPr>
            <w:tcW w:w="1214" w:type="dxa"/>
            <w:noWrap/>
            <w:hideMark/>
          </w:tcPr>
          <w:p w14:paraId="74BA0521"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F63C6CA" w14:textId="77777777" w:rsidR="00935BE4" w:rsidRPr="005D6EF2" w:rsidRDefault="00935BE4" w:rsidP="005D6EF2">
            <w:pPr>
              <w:spacing w:line="240" w:lineRule="auto"/>
              <w:ind w:firstLine="0"/>
              <w:jc w:val="center"/>
              <w:rPr>
                <w:lang w:val="en-US"/>
              </w:rPr>
            </w:pPr>
            <w:r w:rsidRPr="005D6EF2">
              <w:rPr>
                <w:lang w:val="en-US"/>
              </w:rPr>
              <w:t>200.1896</w:t>
            </w:r>
          </w:p>
        </w:tc>
        <w:tc>
          <w:tcPr>
            <w:tcW w:w="1428" w:type="dxa"/>
            <w:noWrap/>
            <w:hideMark/>
          </w:tcPr>
          <w:p w14:paraId="51CDFA57" w14:textId="77777777" w:rsidR="00935BE4" w:rsidRPr="005D6EF2" w:rsidRDefault="00935BE4" w:rsidP="005D6EF2">
            <w:pPr>
              <w:spacing w:line="240" w:lineRule="auto"/>
              <w:ind w:firstLine="0"/>
              <w:jc w:val="center"/>
              <w:rPr>
                <w:lang w:val="en-US"/>
              </w:rPr>
            </w:pPr>
            <w:r w:rsidRPr="005D6EF2">
              <w:rPr>
                <w:lang w:val="en-US"/>
              </w:rPr>
              <w:t>2365.886</w:t>
            </w:r>
          </w:p>
        </w:tc>
        <w:tc>
          <w:tcPr>
            <w:tcW w:w="1420" w:type="dxa"/>
            <w:noWrap/>
            <w:hideMark/>
          </w:tcPr>
          <w:p w14:paraId="6609B5F8"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D96C72F" w14:textId="77777777" w:rsidR="00935BE4" w:rsidRPr="005D6EF2" w:rsidRDefault="00935BE4" w:rsidP="005D6EF2">
            <w:pPr>
              <w:spacing w:line="240" w:lineRule="auto"/>
              <w:ind w:firstLine="0"/>
              <w:jc w:val="center"/>
              <w:rPr>
                <w:lang w:val="en-US"/>
              </w:rPr>
            </w:pPr>
            <w:r w:rsidRPr="005D6EF2">
              <w:rPr>
                <w:lang w:val="en-US"/>
              </w:rPr>
              <w:t>0.002366</w:t>
            </w:r>
          </w:p>
        </w:tc>
      </w:tr>
      <w:tr w:rsidR="00935BE4" w:rsidRPr="008A1D26" w14:paraId="0303148B" w14:textId="77777777" w:rsidTr="00A807C1">
        <w:trPr>
          <w:trHeight w:val="300"/>
          <w:jc w:val="center"/>
        </w:trPr>
        <w:tc>
          <w:tcPr>
            <w:tcW w:w="1404" w:type="dxa"/>
            <w:noWrap/>
            <w:hideMark/>
          </w:tcPr>
          <w:p w14:paraId="662B083E" w14:textId="77777777" w:rsidR="00935BE4" w:rsidRPr="005D6EF2" w:rsidRDefault="00935BE4" w:rsidP="005D6EF2">
            <w:pPr>
              <w:spacing w:line="240" w:lineRule="auto"/>
              <w:ind w:firstLine="0"/>
              <w:jc w:val="center"/>
              <w:rPr>
                <w:lang w:val="en-US"/>
              </w:rPr>
            </w:pPr>
            <w:r w:rsidRPr="005D6EF2">
              <w:rPr>
                <w:lang w:val="en-US"/>
              </w:rPr>
              <w:t>13648</w:t>
            </w:r>
          </w:p>
        </w:tc>
        <w:tc>
          <w:tcPr>
            <w:tcW w:w="1214" w:type="dxa"/>
            <w:noWrap/>
            <w:hideMark/>
          </w:tcPr>
          <w:p w14:paraId="1BE8325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5E07BE4"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7FFDA175"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4027F838"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86A59C7"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73DF9CF7" w14:textId="77777777" w:rsidTr="00A807C1">
        <w:trPr>
          <w:trHeight w:val="300"/>
          <w:jc w:val="center"/>
        </w:trPr>
        <w:tc>
          <w:tcPr>
            <w:tcW w:w="1404" w:type="dxa"/>
            <w:noWrap/>
            <w:hideMark/>
          </w:tcPr>
          <w:p w14:paraId="2837C588" w14:textId="77777777" w:rsidR="00935BE4" w:rsidRPr="005D6EF2" w:rsidRDefault="00935BE4" w:rsidP="005D6EF2">
            <w:pPr>
              <w:spacing w:line="240" w:lineRule="auto"/>
              <w:ind w:firstLine="0"/>
              <w:jc w:val="center"/>
              <w:rPr>
                <w:lang w:val="en-US"/>
              </w:rPr>
            </w:pPr>
            <w:r w:rsidRPr="005D6EF2">
              <w:rPr>
                <w:lang w:val="en-US"/>
              </w:rPr>
              <w:t>15402</w:t>
            </w:r>
          </w:p>
        </w:tc>
        <w:tc>
          <w:tcPr>
            <w:tcW w:w="1214" w:type="dxa"/>
            <w:noWrap/>
            <w:hideMark/>
          </w:tcPr>
          <w:p w14:paraId="7EA1AC40"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B5A0CC9"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68A94678"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4101666D"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DC32E99"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0E276ECE" w14:textId="77777777" w:rsidTr="00A807C1">
        <w:trPr>
          <w:trHeight w:val="300"/>
          <w:jc w:val="center"/>
        </w:trPr>
        <w:tc>
          <w:tcPr>
            <w:tcW w:w="1404" w:type="dxa"/>
            <w:noWrap/>
            <w:hideMark/>
          </w:tcPr>
          <w:p w14:paraId="64959375" w14:textId="77777777" w:rsidR="00935BE4" w:rsidRPr="005D6EF2" w:rsidRDefault="00935BE4" w:rsidP="005D6EF2">
            <w:pPr>
              <w:spacing w:line="240" w:lineRule="auto"/>
              <w:ind w:firstLine="0"/>
              <w:jc w:val="center"/>
              <w:rPr>
                <w:lang w:val="en-US"/>
              </w:rPr>
            </w:pPr>
            <w:r w:rsidRPr="005D6EF2">
              <w:rPr>
                <w:lang w:val="en-US"/>
              </w:rPr>
              <w:t>15473</w:t>
            </w:r>
          </w:p>
        </w:tc>
        <w:tc>
          <w:tcPr>
            <w:tcW w:w="1214" w:type="dxa"/>
            <w:noWrap/>
            <w:hideMark/>
          </w:tcPr>
          <w:p w14:paraId="5946E6B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00DD3F3"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7D88C01B"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023EB9CF"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B6AE030"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14FF6A34" w14:textId="77777777" w:rsidTr="00A807C1">
        <w:trPr>
          <w:trHeight w:val="300"/>
          <w:jc w:val="center"/>
        </w:trPr>
        <w:tc>
          <w:tcPr>
            <w:tcW w:w="1404" w:type="dxa"/>
            <w:noWrap/>
            <w:hideMark/>
          </w:tcPr>
          <w:p w14:paraId="19D28564" w14:textId="77777777" w:rsidR="00935BE4" w:rsidRPr="005D6EF2" w:rsidRDefault="00935BE4" w:rsidP="005D6EF2">
            <w:pPr>
              <w:spacing w:line="240" w:lineRule="auto"/>
              <w:ind w:firstLine="0"/>
              <w:jc w:val="center"/>
              <w:rPr>
                <w:lang w:val="en-US"/>
              </w:rPr>
            </w:pPr>
            <w:r w:rsidRPr="005D6EF2">
              <w:rPr>
                <w:lang w:val="en-US"/>
              </w:rPr>
              <w:t>15622</w:t>
            </w:r>
          </w:p>
        </w:tc>
        <w:tc>
          <w:tcPr>
            <w:tcW w:w="1214" w:type="dxa"/>
            <w:noWrap/>
            <w:hideMark/>
          </w:tcPr>
          <w:p w14:paraId="3C541BC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1BA81F4"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6B182D41"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198CF8A0"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02ACCCB"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6B0B26DD" w14:textId="77777777" w:rsidTr="00A807C1">
        <w:trPr>
          <w:trHeight w:val="300"/>
          <w:jc w:val="center"/>
        </w:trPr>
        <w:tc>
          <w:tcPr>
            <w:tcW w:w="1404" w:type="dxa"/>
            <w:noWrap/>
            <w:hideMark/>
          </w:tcPr>
          <w:p w14:paraId="259A1A4B" w14:textId="77777777" w:rsidR="00935BE4" w:rsidRPr="005D6EF2" w:rsidRDefault="00935BE4" w:rsidP="005D6EF2">
            <w:pPr>
              <w:spacing w:line="240" w:lineRule="auto"/>
              <w:ind w:firstLine="0"/>
              <w:jc w:val="center"/>
              <w:rPr>
                <w:lang w:val="en-US"/>
              </w:rPr>
            </w:pPr>
            <w:r w:rsidRPr="005D6EF2">
              <w:rPr>
                <w:lang w:val="en-US"/>
              </w:rPr>
              <w:t>16957</w:t>
            </w:r>
          </w:p>
        </w:tc>
        <w:tc>
          <w:tcPr>
            <w:tcW w:w="1214" w:type="dxa"/>
            <w:noWrap/>
            <w:hideMark/>
          </w:tcPr>
          <w:p w14:paraId="23EF7B13"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5515AD9" w14:textId="77777777" w:rsidR="00935BE4" w:rsidRPr="005D6EF2" w:rsidRDefault="00935BE4" w:rsidP="005D6EF2">
            <w:pPr>
              <w:spacing w:line="240" w:lineRule="auto"/>
              <w:ind w:firstLine="0"/>
              <w:jc w:val="center"/>
              <w:rPr>
                <w:lang w:val="en-US"/>
              </w:rPr>
            </w:pPr>
            <w:r w:rsidRPr="005D6EF2">
              <w:rPr>
                <w:lang w:val="en-US"/>
              </w:rPr>
              <w:t>359.9578</w:t>
            </w:r>
          </w:p>
        </w:tc>
        <w:tc>
          <w:tcPr>
            <w:tcW w:w="1428" w:type="dxa"/>
            <w:noWrap/>
            <w:hideMark/>
          </w:tcPr>
          <w:p w14:paraId="0D171399" w14:textId="77777777" w:rsidR="00935BE4" w:rsidRPr="005D6EF2" w:rsidRDefault="00935BE4" w:rsidP="005D6EF2">
            <w:pPr>
              <w:spacing w:line="240" w:lineRule="auto"/>
              <w:ind w:firstLine="0"/>
              <w:jc w:val="center"/>
              <w:rPr>
                <w:lang w:val="en-US"/>
              </w:rPr>
            </w:pPr>
            <w:r w:rsidRPr="005D6EF2">
              <w:rPr>
                <w:lang w:val="en-US"/>
              </w:rPr>
              <w:t>4498.944</w:t>
            </w:r>
          </w:p>
        </w:tc>
        <w:tc>
          <w:tcPr>
            <w:tcW w:w="1420" w:type="dxa"/>
            <w:noWrap/>
            <w:hideMark/>
          </w:tcPr>
          <w:p w14:paraId="4957831D"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D4DC1A8" w14:textId="77777777" w:rsidR="00935BE4" w:rsidRPr="005D6EF2" w:rsidRDefault="00935BE4" w:rsidP="005D6EF2">
            <w:pPr>
              <w:spacing w:line="240" w:lineRule="auto"/>
              <w:ind w:firstLine="0"/>
              <w:jc w:val="center"/>
              <w:rPr>
                <w:lang w:val="en-US"/>
              </w:rPr>
            </w:pPr>
            <w:r w:rsidRPr="005D6EF2">
              <w:rPr>
                <w:lang w:val="en-US"/>
              </w:rPr>
              <w:t>0.004499</w:t>
            </w:r>
          </w:p>
        </w:tc>
      </w:tr>
      <w:tr w:rsidR="00935BE4" w:rsidRPr="008A1D26" w14:paraId="0A441AEB" w14:textId="77777777" w:rsidTr="00A807C1">
        <w:trPr>
          <w:trHeight w:val="300"/>
          <w:jc w:val="center"/>
        </w:trPr>
        <w:tc>
          <w:tcPr>
            <w:tcW w:w="1404" w:type="dxa"/>
            <w:noWrap/>
            <w:hideMark/>
          </w:tcPr>
          <w:p w14:paraId="25DEEE83" w14:textId="77777777" w:rsidR="00935BE4" w:rsidRPr="005D6EF2" w:rsidRDefault="00935BE4" w:rsidP="005D6EF2">
            <w:pPr>
              <w:spacing w:line="240" w:lineRule="auto"/>
              <w:ind w:firstLine="0"/>
              <w:jc w:val="center"/>
              <w:rPr>
                <w:lang w:val="en-US"/>
              </w:rPr>
            </w:pPr>
            <w:r w:rsidRPr="005D6EF2">
              <w:rPr>
                <w:lang w:val="en-US"/>
              </w:rPr>
              <w:t>17012</w:t>
            </w:r>
          </w:p>
        </w:tc>
        <w:tc>
          <w:tcPr>
            <w:tcW w:w="1214" w:type="dxa"/>
            <w:noWrap/>
            <w:hideMark/>
          </w:tcPr>
          <w:p w14:paraId="7470E5BD"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A2A6ECF"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38E9CB73"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7C2EC2DB"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8F641B9"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05B82D73" w14:textId="77777777" w:rsidTr="00A807C1">
        <w:trPr>
          <w:trHeight w:val="300"/>
          <w:jc w:val="center"/>
        </w:trPr>
        <w:tc>
          <w:tcPr>
            <w:tcW w:w="1404" w:type="dxa"/>
            <w:noWrap/>
            <w:hideMark/>
          </w:tcPr>
          <w:p w14:paraId="71C97280" w14:textId="77777777" w:rsidR="00935BE4" w:rsidRPr="005D6EF2" w:rsidRDefault="00935BE4" w:rsidP="005D6EF2">
            <w:pPr>
              <w:spacing w:line="240" w:lineRule="auto"/>
              <w:ind w:firstLine="0"/>
              <w:jc w:val="center"/>
              <w:rPr>
                <w:lang w:val="en-US"/>
              </w:rPr>
            </w:pPr>
            <w:r w:rsidRPr="005D6EF2">
              <w:rPr>
                <w:lang w:val="en-US"/>
              </w:rPr>
              <w:t>17060</w:t>
            </w:r>
          </w:p>
        </w:tc>
        <w:tc>
          <w:tcPr>
            <w:tcW w:w="1214" w:type="dxa"/>
            <w:noWrap/>
            <w:hideMark/>
          </w:tcPr>
          <w:p w14:paraId="583A7D21"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6DF32BA"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4BA9FE4F"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538DF663"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8321E11"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36880D1C" w14:textId="77777777" w:rsidTr="00A807C1">
        <w:trPr>
          <w:trHeight w:val="300"/>
          <w:jc w:val="center"/>
        </w:trPr>
        <w:tc>
          <w:tcPr>
            <w:tcW w:w="1404" w:type="dxa"/>
            <w:noWrap/>
            <w:hideMark/>
          </w:tcPr>
          <w:p w14:paraId="05B43BE5" w14:textId="77777777" w:rsidR="00935BE4" w:rsidRPr="005D6EF2" w:rsidRDefault="00935BE4" w:rsidP="005D6EF2">
            <w:pPr>
              <w:spacing w:line="240" w:lineRule="auto"/>
              <w:ind w:firstLine="0"/>
              <w:jc w:val="center"/>
              <w:rPr>
                <w:lang w:val="en-US"/>
              </w:rPr>
            </w:pPr>
            <w:r w:rsidRPr="005D6EF2">
              <w:rPr>
                <w:lang w:val="en-US"/>
              </w:rPr>
              <w:t>18474</w:t>
            </w:r>
          </w:p>
        </w:tc>
        <w:tc>
          <w:tcPr>
            <w:tcW w:w="1214" w:type="dxa"/>
            <w:noWrap/>
            <w:hideMark/>
          </w:tcPr>
          <w:p w14:paraId="6E6A6C9F"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3D604F4"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4488BB6A"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4C8AA2E1"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D97759D" w14:textId="77777777" w:rsidR="00935BE4" w:rsidRPr="005D6EF2" w:rsidRDefault="00935BE4" w:rsidP="005D6EF2">
            <w:pPr>
              <w:spacing w:line="240" w:lineRule="auto"/>
              <w:ind w:firstLine="0"/>
              <w:jc w:val="center"/>
              <w:rPr>
                <w:lang w:val="en-US"/>
              </w:rPr>
            </w:pPr>
            <w:r w:rsidRPr="005D6EF2">
              <w:rPr>
                <w:lang w:val="en-US"/>
              </w:rPr>
              <w:t>0.000576</w:t>
            </w:r>
          </w:p>
        </w:tc>
      </w:tr>
      <w:tr w:rsidR="00161F0D" w:rsidRPr="008A1D26" w14:paraId="1F0C3A54" w14:textId="77777777" w:rsidTr="00A807C1">
        <w:trPr>
          <w:trHeight w:val="300"/>
          <w:jc w:val="center"/>
        </w:trPr>
        <w:tc>
          <w:tcPr>
            <w:tcW w:w="1404" w:type="dxa"/>
            <w:noWrap/>
          </w:tcPr>
          <w:p w14:paraId="0C26DA5D" w14:textId="33266FA0" w:rsidR="00161F0D" w:rsidRPr="005D6EF2" w:rsidRDefault="00161F0D" w:rsidP="005D6EF2">
            <w:pPr>
              <w:spacing w:line="240" w:lineRule="auto"/>
              <w:ind w:firstLine="0"/>
              <w:jc w:val="center"/>
              <w:rPr>
                <w:lang w:val="en-US"/>
              </w:rPr>
            </w:pPr>
            <w:r>
              <w:rPr>
                <w:lang w:val="en-US"/>
              </w:rPr>
              <w:lastRenderedPageBreak/>
              <w:t>1</w:t>
            </w:r>
          </w:p>
        </w:tc>
        <w:tc>
          <w:tcPr>
            <w:tcW w:w="1214" w:type="dxa"/>
            <w:noWrap/>
          </w:tcPr>
          <w:p w14:paraId="4993E6A5" w14:textId="64950F0F" w:rsidR="00161F0D" w:rsidRPr="005D6EF2" w:rsidRDefault="00161F0D" w:rsidP="005D6EF2">
            <w:pPr>
              <w:spacing w:line="240" w:lineRule="auto"/>
              <w:ind w:firstLine="0"/>
              <w:jc w:val="center"/>
              <w:rPr>
                <w:lang w:val="en-US"/>
              </w:rPr>
            </w:pPr>
            <w:r>
              <w:rPr>
                <w:lang w:val="en-US"/>
              </w:rPr>
              <w:t>2</w:t>
            </w:r>
          </w:p>
        </w:tc>
        <w:tc>
          <w:tcPr>
            <w:tcW w:w="1603" w:type="dxa"/>
            <w:noWrap/>
          </w:tcPr>
          <w:p w14:paraId="4A041F02" w14:textId="456FACA8" w:rsidR="00161F0D" w:rsidRPr="005D6EF2" w:rsidRDefault="00161F0D" w:rsidP="005D6EF2">
            <w:pPr>
              <w:spacing w:line="240" w:lineRule="auto"/>
              <w:ind w:firstLine="0"/>
              <w:jc w:val="center"/>
              <w:rPr>
                <w:lang w:val="en-US"/>
              </w:rPr>
            </w:pPr>
            <w:r>
              <w:rPr>
                <w:lang w:val="en-US"/>
              </w:rPr>
              <w:t>3</w:t>
            </w:r>
          </w:p>
        </w:tc>
        <w:tc>
          <w:tcPr>
            <w:tcW w:w="1428" w:type="dxa"/>
            <w:noWrap/>
          </w:tcPr>
          <w:p w14:paraId="1B266C1E" w14:textId="683F8CAF" w:rsidR="00161F0D" w:rsidRPr="005D6EF2" w:rsidRDefault="00161F0D" w:rsidP="005D6EF2">
            <w:pPr>
              <w:spacing w:line="240" w:lineRule="auto"/>
              <w:ind w:firstLine="0"/>
              <w:jc w:val="center"/>
              <w:rPr>
                <w:lang w:val="en-US"/>
              </w:rPr>
            </w:pPr>
            <w:r>
              <w:rPr>
                <w:lang w:val="en-US"/>
              </w:rPr>
              <w:t>4</w:t>
            </w:r>
          </w:p>
        </w:tc>
        <w:tc>
          <w:tcPr>
            <w:tcW w:w="1420" w:type="dxa"/>
            <w:noWrap/>
          </w:tcPr>
          <w:p w14:paraId="2C0E6CF4" w14:textId="690505BD" w:rsidR="00161F0D" w:rsidRPr="005D6EF2" w:rsidRDefault="00161F0D" w:rsidP="005D6EF2">
            <w:pPr>
              <w:spacing w:line="240" w:lineRule="auto"/>
              <w:ind w:firstLine="0"/>
              <w:jc w:val="center"/>
              <w:rPr>
                <w:lang w:val="en-US"/>
              </w:rPr>
            </w:pPr>
            <w:r>
              <w:rPr>
                <w:lang w:val="en-US"/>
              </w:rPr>
              <w:t>5</w:t>
            </w:r>
          </w:p>
        </w:tc>
        <w:tc>
          <w:tcPr>
            <w:tcW w:w="1253" w:type="dxa"/>
            <w:noWrap/>
          </w:tcPr>
          <w:p w14:paraId="40768D01" w14:textId="00BA20A5" w:rsidR="00161F0D" w:rsidRPr="005D6EF2" w:rsidRDefault="00161F0D" w:rsidP="005D6EF2">
            <w:pPr>
              <w:spacing w:line="240" w:lineRule="auto"/>
              <w:ind w:firstLine="0"/>
              <w:jc w:val="center"/>
              <w:rPr>
                <w:lang w:val="en-US"/>
              </w:rPr>
            </w:pPr>
            <w:r>
              <w:rPr>
                <w:lang w:val="en-US"/>
              </w:rPr>
              <w:t>6</w:t>
            </w:r>
          </w:p>
        </w:tc>
      </w:tr>
      <w:tr w:rsidR="00935BE4" w:rsidRPr="008A1D26" w14:paraId="436AE59D" w14:textId="77777777" w:rsidTr="00A807C1">
        <w:trPr>
          <w:trHeight w:val="300"/>
          <w:jc w:val="center"/>
        </w:trPr>
        <w:tc>
          <w:tcPr>
            <w:tcW w:w="1404" w:type="dxa"/>
            <w:noWrap/>
            <w:hideMark/>
          </w:tcPr>
          <w:p w14:paraId="1C6BB56E" w14:textId="77777777" w:rsidR="00935BE4" w:rsidRPr="005D6EF2" w:rsidRDefault="00935BE4" w:rsidP="005D6EF2">
            <w:pPr>
              <w:spacing w:line="240" w:lineRule="auto"/>
              <w:ind w:firstLine="0"/>
              <w:jc w:val="center"/>
              <w:rPr>
                <w:lang w:val="en-US"/>
              </w:rPr>
            </w:pPr>
            <w:r w:rsidRPr="005D6EF2">
              <w:rPr>
                <w:lang w:val="en-US"/>
              </w:rPr>
              <w:t>18640</w:t>
            </w:r>
          </w:p>
        </w:tc>
        <w:tc>
          <w:tcPr>
            <w:tcW w:w="1214" w:type="dxa"/>
            <w:noWrap/>
            <w:hideMark/>
          </w:tcPr>
          <w:p w14:paraId="6B1BF0A9"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9EC69F9"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6DAA428E"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37C83E44"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8099A23"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61C9D9F6" w14:textId="77777777" w:rsidTr="00A807C1">
        <w:trPr>
          <w:trHeight w:val="300"/>
          <w:jc w:val="center"/>
        </w:trPr>
        <w:tc>
          <w:tcPr>
            <w:tcW w:w="1404" w:type="dxa"/>
            <w:noWrap/>
            <w:hideMark/>
          </w:tcPr>
          <w:p w14:paraId="76F79B03" w14:textId="77777777" w:rsidR="00935BE4" w:rsidRPr="005D6EF2" w:rsidRDefault="00935BE4" w:rsidP="005D6EF2">
            <w:pPr>
              <w:spacing w:line="240" w:lineRule="auto"/>
              <w:ind w:firstLine="0"/>
              <w:jc w:val="center"/>
              <w:rPr>
                <w:lang w:val="en-US"/>
              </w:rPr>
            </w:pPr>
            <w:r w:rsidRPr="005D6EF2">
              <w:rPr>
                <w:lang w:val="en-US"/>
              </w:rPr>
              <w:t>22277</w:t>
            </w:r>
          </w:p>
        </w:tc>
        <w:tc>
          <w:tcPr>
            <w:tcW w:w="1214" w:type="dxa"/>
            <w:noWrap/>
            <w:hideMark/>
          </w:tcPr>
          <w:p w14:paraId="1402C04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896EC69"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60F84DB6"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30CA2997"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6AA63F7"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6F804DD8" w14:textId="77777777" w:rsidTr="00A807C1">
        <w:trPr>
          <w:trHeight w:val="300"/>
          <w:jc w:val="center"/>
        </w:trPr>
        <w:tc>
          <w:tcPr>
            <w:tcW w:w="1404" w:type="dxa"/>
            <w:noWrap/>
            <w:hideMark/>
          </w:tcPr>
          <w:p w14:paraId="17BBAD67" w14:textId="77777777" w:rsidR="00935BE4" w:rsidRPr="005D6EF2" w:rsidRDefault="00935BE4" w:rsidP="005D6EF2">
            <w:pPr>
              <w:spacing w:line="240" w:lineRule="auto"/>
              <w:ind w:firstLine="0"/>
              <w:jc w:val="center"/>
              <w:rPr>
                <w:lang w:val="en-US"/>
              </w:rPr>
            </w:pPr>
            <w:r w:rsidRPr="005D6EF2">
              <w:rPr>
                <w:lang w:val="en-US"/>
              </w:rPr>
              <w:t>22344</w:t>
            </w:r>
          </w:p>
        </w:tc>
        <w:tc>
          <w:tcPr>
            <w:tcW w:w="1214" w:type="dxa"/>
            <w:noWrap/>
            <w:hideMark/>
          </w:tcPr>
          <w:p w14:paraId="15F805A3"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6FD010D" w14:textId="77777777" w:rsidR="00935BE4" w:rsidRPr="005D6EF2" w:rsidRDefault="00935BE4" w:rsidP="005D6EF2">
            <w:pPr>
              <w:spacing w:line="240" w:lineRule="auto"/>
              <w:ind w:firstLine="0"/>
              <w:jc w:val="center"/>
              <w:rPr>
                <w:lang w:val="en-US"/>
              </w:rPr>
            </w:pPr>
            <w:r w:rsidRPr="005D6EF2">
              <w:rPr>
                <w:lang w:val="en-US"/>
              </w:rPr>
              <w:t>771.0789</w:t>
            </w:r>
          </w:p>
        </w:tc>
        <w:tc>
          <w:tcPr>
            <w:tcW w:w="1428" w:type="dxa"/>
            <w:noWrap/>
            <w:hideMark/>
          </w:tcPr>
          <w:p w14:paraId="131E2A77" w14:textId="77777777" w:rsidR="00935BE4" w:rsidRPr="005D6EF2" w:rsidRDefault="00935BE4" w:rsidP="005D6EF2">
            <w:pPr>
              <w:spacing w:line="240" w:lineRule="auto"/>
              <w:ind w:firstLine="0"/>
              <w:jc w:val="center"/>
              <w:rPr>
                <w:lang w:val="en-US"/>
              </w:rPr>
            </w:pPr>
            <w:r w:rsidRPr="005D6EF2">
              <w:rPr>
                <w:lang w:val="en-US"/>
              </w:rPr>
              <w:t>23261</w:t>
            </w:r>
          </w:p>
        </w:tc>
        <w:tc>
          <w:tcPr>
            <w:tcW w:w="1420" w:type="dxa"/>
            <w:noWrap/>
            <w:hideMark/>
          </w:tcPr>
          <w:p w14:paraId="074FC970"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AEF75A0" w14:textId="77777777" w:rsidR="00935BE4" w:rsidRPr="005D6EF2" w:rsidRDefault="00935BE4" w:rsidP="005D6EF2">
            <w:pPr>
              <w:spacing w:line="240" w:lineRule="auto"/>
              <w:ind w:firstLine="0"/>
              <w:jc w:val="center"/>
              <w:rPr>
                <w:lang w:val="en-US"/>
              </w:rPr>
            </w:pPr>
            <w:r w:rsidRPr="005D6EF2">
              <w:rPr>
                <w:lang w:val="en-US"/>
              </w:rPr>
              <w:t>0.023261</w:t>
            </w:r>
          </w:p>
        </w:tc>
      </w:tr>
      <w:tr w:rsidR="00935BE4" w:rsidRPr="008A1D26" w14:paraId="185D165D" w14:textId="77777777" w:rsidTr="00A807C1">
        <w:trPr>
          <w:trHeight w:val="300"/>
          <w:jc w:val="center"/>
        </w:trPr>
        <w:tc>
          <w:tcPr>
            <w:tcW w:w="1404" w:type="dxa"/>
            <w:noWrap/>
            <w:hideMark/>
          </w:tcPr>
          <w:p w14:paraId="283745B1" w14:textId="77777777" w:rsidR="00935BE4" w:rsidRPr="005D6EF2" w:rsidRDefault="00935BE4" w:rsidP="005D6EF2">
            <w:pPr>
              <w:spacing w:line="240" w:lineRule="auto"/>
              <w:ind w:firstLine="0"/>
              <w:jc w:val="center"/>
              <w:rPr>
                <w:lang w:val="en-US"/>
              </w:rPr>
            </w:pPr>
            <w:r w:rsidRPr="005D6EF2">
              <w:rPr>
                <w:lang w:val="en-US"/>
              </w:rPr>
              <w:t>23324</w:t>
            </w:r>
          </w:p>
        </w:tc>
        <w:tc>
          <w:tcPr>
            <w:tcW w:w="1214" w:type="dxa"/>
            <w:noWrap/>
            <w:hideMark/>
          </w:tcPr>
          <w:p w14:paraId="6B79524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855F909" w14:textId="77777777" w:rsidR="00935BE4" w:rsidRPr="005D6EF2" w:rsidRDefault="00935BE4" w:rsidP="005D6EF2">
            <w:pPr>
              <w:spacing w:line="240" w:lineRule="auto"/>
              <w:ind w:firstLine="0"/>
              <w:jc w:val="center"/>
              <w:rPr>
                <w:lang w:val="en-US"/>
              </w:rPr>
            </w:pPr>
            <w:r w:rsidRPr="005D6EF2">
              <w:rPr>
                <w:lang w:val="en-US"/>
              </w:rPr>
              <w:t>217.0566</w:t>
            </w:r>
          </w:p>
        </w:tc>
        <w:tc>
          <w:tcPr>
            <w:tcW w:w="1428" w:type="dxa"/>
            <w:noWrap/>
            <w:hideMark/>
          </w:tcPr>
          <w:p w14:paraId="053F8B57" w14:textId="77777777" w:rsidR="00935BE4" w:rsidRPr="005D6EF2" w:rsidRDefault="00935BE4" w:rsidP="005D6EF2">
            <w:pPr>
              <w:spacing w:line="240" w:lineRule="auto"/>
              <w:ind w:firstLine="0"/>
              <w:jc w:val="center"/>
              <w:rPr>
                <w:lang w:val="en-US"/>
              </w:rPr>
            </w:pPr>
            <w:r w:rsidRPr="005D6EF2">
              <w:rPr>
                <w:lang w:val="en-US"/>
              </w:rPr>
              <w:t>2699.367</w:t>
            </w:r>
          </w:p>
        </w:tc>
        <w:tc>
          <w:tcPr>
            <w:tcW w:w="1420" w:type="dxa"/>
            <w:noWrap/>
            <w:hideMark/>
          </w:tcPr>
          <w:p w14:paraId="71D13D81"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33160D9" w14:textId="77777777" w:rsidR="00935BE4" w:rsidRPr="005D6EF2" w:rsidRDefault="00935BE4" w:rsidP="005D6EF2">
            <w:pPr>
              <w:spacing w:line="240" w:lineRule="auto"/>
              <w:ind w:firstLine="0"/>
              <w:jc w:val="center"/>
              <w:rPr>
                <w:lang w:val="en-US"/>
              </w:rPr>
            </w:pPr>
            <w:r w:rsidRPr="005D6EF2">
              <w:rPr>
                <w:lang w:val="en-US"/>
              </w:rPr>
              <w:t>0.002699</w:t>
            </w:r>
          </w:p>
        </w:tc>
      </w:tr>
      <w:tr w:rsidR="00935BE4" w:rsidRPr="008A1D26" w14:paraId="159E3951" w14:textId="77777777" w:rsidTr="00A807C1">
        <w:trPr>
          <w:trHeight w:val="300"/>
          <w:jc w:val="center"/>
        </w:trPr>
        <w:tc>
          <w:tcPr>
            <w:tcW w:w="1404" w:type="dxa"/>
            <w:noWrap/>
            <w:hideMark/>
          </w:tcPr>
          <w:p w14:paraId="462FA3BC" w14:textId="77777777" w:rsidR="00935BE4" w:rsidRPr="005D6EF2" w:rsidRDefault="00935BE4" w:rsidP="005D6EF2">
            <w:pPr>
              <w:spacing w:line="240" w:lineRule="auto"/>
              <w:ind w:firstLine="0"/>
              <w:jc w:val="center"/>
              <w:rPr>
                <w:lang w:val="en-US"/>
              </w:rPr>
            </w:pPr>
            <w:r w:rsidRPr="005D6EF2">
              <w:rPr>
                <w:lang w:val="en-US"/>
              </w:rPr>
              <w:t>23327</w:t>
            </w:r>
          </w:p>
        </w:tc>
        <w:tc>
          <w:tcPr>
            <w:tcW w:w="1214" w:type="dxa"/>
            <w:noWrap/>
            <w:hideMark/>
          </w:tcPr>
          <w:p w14:paraId="2CA94BC0"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5CBC02A"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24980D09"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7838DCD2"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87C5A3A"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3133CEC9" w14:textId="77777777" w:rsidTr="00A807C1">
        <w:trPr>
          <w:trHeight w:val="300"/>
          <w:jc w:val="center"/>
        </w:trPr>
        <w:tc>
          <w:tcPr>
            <w:tcW w:w="1404" w:type="dxa"/>
            <w:noWrap/>
            <w:hideMark/>
          </w:tcPr>
          <w:p w14:paraId="72098E85" w14:textId="77777777" w:rsidR="00935BE4" w:rsidRPr="005D6EF2" w:rsidRDefault="00935BE4" w:rsidP="005D6EF2">
            <w:pPr>
              <w:spacing w:line="240" w:lineRule="auto"/>
              <w:ind w:firstLine="0"/>
              <w:jc w:val="center"/>
              <w:rPr>
                <w:lang w:val="en-US"/>
              </w:rPr>
            </w:pPr>
            <w:r w:rsidRPr="005D6EF2">
              <w:rPr>
                <w:lang w:val="en-US"/>
              </w:rPr>
              <w:t>23405</w:t>
            </w:r>
          </w:p>
        </w:tc>
        <w:tc>
          <w:tcPr>
            <w:tcW w:w="1214" w:type="dxa"/>
            <w:noWrap/>
            <w:hideMark/>
          </w:tcPr>
          <w:p w14:paraId="73AD8A10"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3966A7E"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1C804628"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001032F8"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87FFDAF"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5A3A80DB" w14:textId="77777777" w:rsidTr="00A807C1">
        <w:trPr>
          <w:trHeight w:val="300"/>
          <w:jc w:val="center"/>
        </w:trPr>
        <w:tc>
          <w:tcPr>
            <w:tcW w:w="1404" w:type="dxa"/>
            <w:noWrap/>
            <w:hideMark/>
          </w:tcPr>
          <w:p w14:paraId="2B90BC99" w14:textId="77777777" w:rsidR="00935BE4" w:rsidRPr="005D6EF2" w:rsidRDefault="00935BE4" w:rsidP="005D6EF2">
            <w:pPr>
              <w:spacing w:line="240" w:lineRule="auto"/>
              <w:ind w:firstLine="0"/>
              <w:jc w:val="center"/>
              <w:rPr>
                <w:lang w:val="en-US"/>
              </w:rPr>
            </w:pPr>
            <w:r w:rsidRPr="005D6EF2">
              <w:rPr>
                <w:lang w:val="en-US"/>
              </w:rPr>
              <w:t>23596</w:t>
            </w:r>
          </w:p>
        </w:tc>
        <w:tc>
          <w:tcPr>
            <w:tcW w:w="1214" w:type="dxa"/>
            <w:noWrap/>
            <w:hideMark/>
          </w:tcPr>
          <w:p w14:paraId="6A9FF719"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5D758CB" w14:textId="77777777" w:rsidR="00935BE4" w:rsidRPr="005D6EF2" w:rsidRDefault="00935BE4" w:rsidP="005D6EF2">
            <w:pPr>
              <w:spacing w:line="240" w:lineRule="auto"/>
              <w:ind w:firstLine="0"/>
              <w:jc w:val="center"/>
              <w:rPr>
                <w:lang w:val="en-US"/>
              </w:rPr>
            </w:pPr>
            <w:r w:rsidRPr="005D6EF2">
              <w:rPr>
                <w:lang w:val="en-US"/>
              </w:rPr>
              <w:t>473.1325</w:t>
            </w:r>
          </w:p>
        </w:tc>
        <w:tc>
          <w:tcPr>
            <w:tcW w:w="1428" w:type="dxa"/>
            <w:noWrap/>
            <w:hideMark/>
          </w:tcPr>
          <w:p w14:paraId="01762E01" w14:textId="77777777" w:rsidR="00935BE4" w:rsidRPr="005D6EF2" w:rsidRDefault="00935BE4" w:rsidP="005D6EF2">
            <w:pPr>
              <w:spacing w:line="240" w:lineRule="auto"/>
              <w:ind w:firstLine="0"/>
              <w:jc w:val="center"/>
              <w:rPr>
                <w:lang w:val="en-US"/>
              </w:rPr>
            </w:pPr>
            <w:r w:rsidRPr="005D6EF2">
              <w:rPr>
                <w:lang w:val="en-US"/>
              </w:rPr>
              <w:t>7482.027</w:t>
            </w:r>
          </w:p>
        </w:tc>
        <w:tc>
          <w:tcPr>
            <w:tcW w:w="1420" w:type="dxa"/>
            <w:noWrap/>
            <w:hideMark/>
          </w:tcPr>
          <w:p w14:paraId="2DCF9011"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ED69C65" w14:textId="77777777" w:rsidR="00935BE4" w:rsidRPr="005D6EF2" w:rsidRDefault="00935BE4" w:rsidP="005D6EF2">
            <w:pPr>
              <w:spacing w:line="240" w:lineRule="auto"/>
              <w:ind w:firstLine="0"/>
              <w:jc w:val="center"/>
              <w:rPr>
                <w:lang w:val="en-US"/>
              </w:rPr>
            </w:pPr>
            <w:r w:rsidRPr="005D6EF2">
              <w:rPr>
                <w:lang w:val="en-US"/>
              </w:rPr>
              <w:t>0.007482</w:t>
            </w:r>
          </w:p>
        </w:tc>
      </w:tr>
      <w:tr w:rsidR="00935BE4" w:rsidRPr="008A1D26" w14:paraId="0A0BCF1B" w14:textId="77777777" w:rsidTr="00A807C1">
        <w:trPr>
          <w:trHeight w:val="300"/>
          <w:jc w:val="center"/>
        </w:trPr>
        <w:tc>
          <w:tcPr>
            <w:tcW w:w="1404" w:type="dxa"/>
            <w:noWrap/>
            <w:hideMark/>
          </w:tcPr>
          <w:p w14:paraId="116E2F8F" w14:textId="77777777" w:rsidR="00935BE4" w:rsidRPr="005D6EF2" w:rsidRDefault="00935BE4" w:rsidP="005D6EF2">
            <w:pPr>
              <w:spacing w:line="240" w:lineRule="auto"/>
              <w:ind w:firstLine="0"/>
              <w:jc w:val="center"/>
              <w:rPr>
                <w:lang w:val="en-US"/>
              </w:rPr>
            </w:pPr>
            <w:r w:rsidRPr="005D6EF2">
              <w:rPr>
                <w:lang w:val="en-US"/>
              </w:rPr>
              <w:t>23652</w:t>
            </w:r>
          </w:p>
        </w:tc>
        <w:tc>
          <w:tcPr>
            <w:tcW w:w="1214" w:type="dxa"/>
            <w:noWrap/>
            <w:hideMark/>
          </w:tcPr>
          <w:p w14:paraId="4B23429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2BE52D4"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7A7C5CCA"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1000A00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308F781"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5FCF45A8" w14:textId="77777777" w:rsidTr="00A807C1">
        <w:trPr>
          <w:trHeight w:val="300"/>
          <w:jc w:val="center"/>
        </w:trPr>
        <w:tc>
          <w:tcPr>
            <w:tcW w:w="1404" w:type="dxa"/>
            <w:noWrap/>
            <w:hideMark/>
          </w:tcPr>
          <w:p w14:paraId="0214FDFB" w14:textId="77777777" w:rsidR="00935BE4" w:rsidRPr="005D6EF2" w:rsidRDefault="00935BE4" w:rsidP="005D6EF2">
            <w:pPr>
              <w:spacing w:line="240" w:lineRule="auto"/>
              <w:ind w:firstLine="0"/>
              <w:jc w:val="center"/>
              <w:rPr>
                <w:lang w:val="en-US"/>
              </w:rPr>
            </w:pPr>
            <w:r w:rsidRPr="005D6EF2">
              <w:rPr>
                <w:lang w:val="en-US"/>
              </w:rPr>
              <w:t>24042</w:t>
            </w:r>
          </w:p>
        </w:tc>
        <w:tc>
          <w:tcPr>
            <w:tcW w:w="1214" w:type="dxa"/>
            <w:noWrap/>
            <w:hideMark/>
          </w:tcPr>
          <w:p w14:paraId="7A602F02"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6F85073"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0F3324DF"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381A315D"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FE49905"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65213894" w14:textId="77777777" w:rsidTr="00A807C1">
        <w:trPr>
          <w:trHeight w:val="300"/>
          <w:jc w:val="center"/>
        </w:trPr>
        <w:tc>
          <w:tcPr>
            <w:tcW w:w="1404" w:type="dxa"/>
            <w:noWrap/>
            <w:hideMark/>
          </w:tcPr>
          <w:p w14:paraId="2DB02D00" w14:textId="77777777" w:rsidR="00935BE4" w:rsidRPr="005D6EF2" w:rsidRDefault="00935BE4" w:rsidP="005D6EF2">
            <w:pPr>
              <w:spacing w:line="240" w:lineRule="auto"/>
              <w:ind w:firstLine="0"/>
              <w:jc w:val="center"/>
              <w:rPr>
                <w:lang w:val="en-US"/>
              </w:rPr>
            </w:pPr>
            <w:r w:rsidRPr="005D6EF2">
              <w:rPr>
                <w:lang w:val="en-US"/>
              </w:rPr>
              <w:t>26487</w:t>
            </w:r>
          </w:p>
        </w:tc>
        <w:tc>
          <w:tcPr>
            <w:tcW w:w="1214" w:type="dxa"/>
            <w:noWrap/>
            <w:hideMark/>
          </w:tcPr>
          <w:p w14:paraId="5ABB333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AA89321"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10214424"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673FC2D0"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4218613"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16B5B036" w14:textId="77777777" w:rsidTr="00A807C1">
        <w:trPr>
          <w:trHeight w:val="300"/>
          <w:jc w:val="center"/>
        </w:trPr>
        <w:tc>
          <w:tcPr>
            <w:tcW w:w="1404" w:type="dxa"/>
            <w:noWrap/>
            <w:hideMark/>
          </w:tcPr>
          <w:p w14:paraId="46847004" w14:textId="77777777" w:rsidR="00935BE4" w:rsidRPr="005D6EF2" w:rsidRDefault="00935BE4" w:rsidP="005D6EF2">
            <w:pPr>
              <w:spacing w:line="240" w:lineRule="auto"/>
              <w:ind w:firstLine="0"/>
              <w:jc w:val="center"/>
              <w:rPr>
                <w:lang w:val="en-US"/>
              </w:rPr>
            </w:pPr>
            <w:r w:rsidRPr="005D6EF2">
              <w:rPr>
                <w:lang w:val="en-US"/>
              </w:rPr>
              <w:t>26641</w:t>
            </w:r>
          </w:p>
        </w:tc>
        <w:tc>
          <w:tcPr>
            <w:tcW w:w="1214" w:type="dxa"/>
            <w:noWrap/>
            <w:hideMark/>
          </w:tcPr>
          <w:p w14:paraId="61CA12A8"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03AA2A1" w14:textId="77777777" w:rsidR="00935BE4" w:rsidRPr="005D6EF2" w:rsidRDefault="00935BE4" w:rsidP="005D6EF2">
            <w:pPr>
              <w:spacing w:line="240" w:lineRule="auto"/>
              <w:ind w:firstLine="0"/>
              <w:jc w:val="center"/>
              <w:rPr>
                <w:lang w:val="en-US"/>
              </w:rPr>
            </w:pPr>
            <w:r w:rsidRPr="005D6EF2">
              <w:rPr>
                <w:lang w:val="en-US"/>
              </w:rPr>
              <w:t>170.1918</w:t>
            </w:r>
          </w:p>
        </w:tc>
        <w:tc>
          <w:tcPr>
            <w:tcW w:w="1428" w:type="dxa"/>
            <w:noWrap/>
            <w:hideMark/>
          </w:tcPr>
          <w:p w14:paraId="047DCE0A" w14:textId="77777777" w:rsidR="00935BE4" w:rsidRPr="005D6EF2" w:rsidRDefault="00935BE4" w:rsidP="005D6EF2">
            <w:pPr>
              <w:spacing w:line="240" w:lineRule="auto"/>
              <w:ind w:firstLine="0"/>
              <w:jc w:val="center"/>
              <w:rPr>
                <w:lang w:val="en-US"/>
              </w:rPr>
            </w:pPr>
            <w:r w:rsidRPr="005D6EF2">
              <w:rPr>
                <w:lang w:val="en-US"/>
              </w:rPr>
              <w:t>1214.578</w:t>
            </w:r>
          </w:p>
        </w:tc>
        <w:tc>
          <w:tcPr>
            <w:tcW w:w="1420" w:type="dxa"/>
            <w:noWrap/>
            <w:hideMark/>
          </w:tcPr>
          <w:p w14:paraId="6955F70C"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1F38803" w14:textId="77777777" w:rsidR="00935BE4" w:rsidRPr="005D6EF2" w:rsidRDefault="00935BE4" w:rsidP="005D6EF2">
            <w:pPr>
              <w:spacing w:line="240" w:lineRule="auto"/>
              <w:ind w:firstLine="0"/>
              <w:jc w:val="center"/>
              <w:rPr>
                <w:lang w:val="en-US"/>
              </w:rPr>
            </w:pPr>
            <w:r w:rsidRPr="005D6EF2">
              <w:rPr>
                <w:lang w:val="en-US"/>
              </w:rPr>
              <w:t>0.001215</w:t>
            </w:r>
          </w:p>
        </w:tc>
      </w:tr>
      <w:tr w:rsidR="00935BE4" w:rsidRPr="008A1D26" w14:paraId="65D1E8EC" w14:textId="77777777" w:rsidTr="00A807C1">
        <w:trPr>
          <w:trHeight w:val="300"/>
          <w:jc w:val="center"/>
        </w:trPr>
        <w:tc>
          <w:tcPr>
            <w:tcW w:w="1404" w:type="dxa"/>
            <w:noWrap/>
            <w:hideMark/>
          </w:tcPr>
          <w:p w14:paraId="5335C848" w14:textId="77777777" w:rsidR="00935BE4" w:rsidRPr="005D6EF2" w:rsidRDefault="00935BE4" w:rsidP="005D6EF2">
            <w:pPr>
              <w:spacing w:line="240" w:lineRule="auto"/>
              <w:ind w:firstLine="0"/>
              <w:jc w:val="center"/>
              <w:rPr>
                <w:lang w:val="en-US"/>
              </w:rPr>
            </w:pPr>
            <w:r w:rsidRPr="005D6EF2">
              <w:rPr>
                <w:lang w:val="en-US"/>
              </w:rPr>
              <w:t>26706</w:t>
            </w:r>
          </w:p>
        </w:tc>
        <w:tc>
          <w:tcPr>
            <w:tcW w:w="1214" w:type="dxa"/>
            <w:noWrap/>
            <w:hideMark/>
          </w:tcPr>
          <w:p w14:paraId="515142A1"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575F77A"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09A3C6C2"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6B0CC63C"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41DC9C1"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484550AA" w14:textId="77777777" w:rsidTr="00A807C1">
        <w:trPr>
          <w:trHeight w:val="300"/>
          <w:jc w:val="center"/>
        </w:trPr>
        <w:tc>
          <w:tcPr>
            <w:tcW w:w="1404" w:type="dxa"/>
            <w:noWrap/>
            <w:hideMark/>
          </w:tcPr>
          <w:p w14:paraId="40E19095" w14:textId="77777777" w:rsidR="00935BE4" w:rsidRPr="005D6EF2" w:rsidRDefault="00935BE4" w:rsidP="005D6EF2">
            <w:pPr>
              <w:spacing w:line="240" w:lineRule="auto"/>
              <w:ind w:firstLine="0"/>
              <w:jc w:val="center"/>
              <w:rPr>
                <w:lang w:val="en-US"/>
              </w:rPr>
            </w:pPr>
            <w:r w:rsidRPr="005D6EF2">
              <w:rPr>
                <w:lang w:val="en-US"/>
              </w:rPr>
              <w:t>26791</w:t>
            </w:r>
          </w:p>
        </w:tc>
        <w:tc>
          <w:tcPr>
            <w:tcW w:w="1214" w:type="dxa"/>
            <w:noWrap/>
            <w:hideMark/>
          </w:tcPr>
          <w:p w14:paraId="28747EB8"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82E237A"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3D13AF80"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3740937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36657DB"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5CBBF83D" w14:textId="77777777" w:rsidTr="00A807C1">
        <w:trPr>
          <w:trHeight w:val="300"/>
          <w:jc w:val="center"/>
        </w:trPr>
        <w:tc>
          <w:tcPr>
            <w:tcW w:w="1404" w:type="dxa"/>
            <w:noWrap/>
            <w:hideMark/>
          </w:tcPr>
          <w:p w14:paraId="26345703" w14:textId="77777777" w:rsidR="00935BE4" w:rsidRPr="005D6EF2" w:rsidRDefault="00935BE4" w:rsidP="005D6EF2">
            <w:pPr>
              <w:spacing w:line="240" w:lineRule="auto"/>
              <w:ind w:firstLine="0"/>
              <w:jc w:val="center"/>
              <w:rPr>
                <w:lang w:val="en-US"/>
              </w:rPr>
            </w:pPr>
            <w:r w:rsidRPr="005D6EF2">
              <w:rPr>
                <w:lang w:val="en-US"/>
              </w:rPr>
              <w:t>26872</w:t>
            </w:r>
          </w:p>
        </w:tc>
        <w:tc>
          <w:tcPr>
            <w:tcW w:w="1214" w:type="dxa"/>
            <w:noWrap/>
            <w:hideMark/>
          </w:tcPr>
          <w:p w14:paraId="40FACBF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070375E"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1C091387"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233ED79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CE29D5E"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7A5B55D1" w14:textId="77777777" w:rsidTr="00A807C1">
        <w:trPr>
          <w:trHeight w:val="300"/>
          <w:jc w:val="center"/>
        </w:trPr>
        <w:tc>
          <w:tcPr>
            <w:tcW w:w="1404" w:type="dxa"/>
            <w:noWrap/>
            <w:hideMark/>
          </w:tcPr>
          <w:p w14:paraId="322F14E0" w14:textId="77777777" w:rsidR="00935BE4" w:rsidRPr="005D6EF2" w:rsidRDefault="00935BE4" w:rsidP="005D6EF2">
            <w:pPr>
              <w:spacing w:line="240" w:lineRule="auto"/>
              <w:ind w:firstLine="0"/>
              <w:jc w:val="center"/>
              <w:rPr>
                <w:lang w:val="en-US"/>
              </w:rPr>
            </w:pPr>
            <w:r w:rsidRPr="005D6EF2">
              <w:rPr>
                <w:lang w:val="en-US"/>
              </w:rPr>
              <w:t>26889</w:t>
            </w:r>
          </w:p>
        </w:tc>
        <w:tc>
          <w:tcPr>
            <w:tcW w:w="1214" w:type="dxa"/>
            <w:noWrap/>
            <w:hideMark/>
          </w:tcPr>
          <w:p w14:paraId="5340B19C"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3EA9E83" w14:textId="77777777" w:rsidR="00935BE4" w:rsidRPr="005D6EF2" w:rsidRDefault="00935BE4" w:rsidP="005D6EF2">
            <w:pPr>
              <w:spacing w:line="240" w:lineRule="auto"/>
              <w:ind w:firstLine="0"/>
              <w:jc w:val="center"/>
              <w:rPr>
                <w:lang w:val="en-US"/>
              </w:rPr>
            </w:pPr>
            <w:r w:rsidRPr="005D6EF2">
              <w:rPr>
                <w:lang w:val="en-US"/>
              </w:rPr>
              <w:t>311.6473</w:t>
            </w:r>
          </w:p>
        </w:tc>
        <w:tc>
          <w:tcPr>
            <w:tcW w:w="1428" w:type="dxa"/>
            <w:noWrap/>
            <w:hideMark/>
          </w:tcPr>
          <w:p w14:paraId="0ACFF690" w14:textId="77777777" w:rsidR="00935BE4" w:rsidRPr="005D6EF2" w:rsidRDefault="00935BE4" w:rsidP="005D6EF2">
            <w:pPr>
              <w:spacing w:line="240" w:lineRule="auto"/>
              <w:ind w:firstLine="0"/>
              <w:jc w:val="center"/>
              <w:rPr>
                <w:lang w:val="en-US"/>
              </w:rPr>
            </w:pPr>
            <w:r w:rsidRPr="005D6EF2">
              <w:rPr>
                <w:lang w:val="en-US"/>
              </w:rPr>
              <w:t>4138.142</w:t>
            </w:r>
          </w:p>
        </w:tc>
        <w:tc>
          <w:tcPr>
            <w:tcW w:w="1420" w:type="dxa"/>
            <w:noWrap/>
            <w:hideMark/>
          </w:tcPr>
          <w:p w14:paraId="6732A63C"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D204748" w14:textId="77777777" w:rsidR="00935BE4" w:rsidRPr="005D6EF2" w:rsidRDefault="00935BE4" w:rsidP="005D6EF2">
            <w:pPr>
              <w:spacing w:line="240" w:lineRule="auto"/>
              <w:ind w:firstLine="0"/>
              <w:jc w:val="center"/>
              <w:rPr>
                <w:lang w:val="en-US"/>
              </w:rPr>
            </w:pPr>
            <w:r w:rsidRPr="005D6EF2">
              <w:rPr>
                <w:lang w:val="en-US"/>
              </w:rPr>
              <w:t>0.004138</w:t>
            </w:r>
          </w:p>
        </w:tc>
      </w:tr>
      <w:tr w:rsidR="00935BE4" w:rsidRPr="008A1D26" w14:paraId="04032975" w14:textId="77777777" w:rsidTr="00A807C1">
        <w:trPr>
          <w:trHeight w:val="300"/>
          <w:jc w:val="center"/>
        </w:trPr>
        <w:tc>
          <w:tcPr>
            <w:tcW w:w="1404" w:type="dxa"/>
            <w:noWrap/>
            <w:hideMark/>
          </w:tcPr>
          <w:p w14:paraId="1CF829C4" w14:textId="77777777" w:rsidR="00935BE4" w:rsidRPr="005D6EF2" w:rsidRDefault="00935BE4" w:rsidP="005D6EF2">
            <w:pPr>
              <w:spacing w:line="240" w:lineRule="auto"/>
              <w:ind w:firstLine="0"/>
              <w:jc w:val="center"/>
              <w:rPr>
                <w:lang w:val="en-US"/>
              </w:rPr>
            </w:pPr>
            <w:r w:rsidRPr="005D6EF2">
              <w:rPr>
                <w:lang w:val="en-US"/>
              </w:rPr>
              <w:t>26948</w:t>
            </w:r>
          </w:p>
        </w:tc>
        <w:tc>
          <w:tcPr>
            <w:tcW w:w="1214" w:type="dxa"/>
            <w:noWrap/>
            <w:hideMark/>
          </w:tcPr>
          <w:p w14:paraId="7766FAF9"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4B71A31"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3F74ADD5"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7A3D8AA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5FD5DC6"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1E860ADD" w14:textId="77777777" w:rsidTr="00A807C1">
        <w:trPr>
          <w:trHeight w:val="300"/>
          <w:jc w:val="center"/>
        </w:trPr>
        <w:tc>
          <w:tcPr>
            <w:tcW w:w="1404" w:type="dxa"/>
            <w:noWrap/>
            <w:hideMark/>
          </w:tcPr>
          <w:p w14:paraId="085A2DA5" w14:textId="77777777" w:rsidR="00935BE4" w:rsidRPr="005D6EF2" w:rsidRDefault="00935BE4" w:rsidP="005D6EF2">
            <w:pPr>
              <w:spacing w:line="240" w:lineRule="auto"/>
              <w:ind w:firstLine="0"/>
              <w:jc w:val="center"/>
              <w:rPr>
                <w:lang w:val="en-US"/>
              </w:rPr>
            </w:pPr>
            <w:r w:rsidRPr="005D6EF2">
              <w:rPr>
                <w:lang w:val="en-US"/>
              </w:rPr>
              <w:t>27136</w:t>
            </w:r>
          </w:p>
        </w:tc>
        <w:tc>
          <w:tcPr>
            <w:tcW w:w="1214" w:type="dxa"/>
            <w:noWrap/>
            <w:hideMark/>
          </w:tcPr>
          <w:p w14:paraId="0695D901"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DB2A878"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09F5EAC6"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3A3C65FA"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A20FC91"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44D4313E" w14:textId="77777777" w:rsidTr="00A807C1">
        <w:trPr>
          <w:trHeight w:val="300"/>
          <w:jc w:val="center"/>
        </w:trPr>
        <w:tc>
          <w:tcPr>
            <w:tcW w:w="1404" w:type="dxa"/>
            <w:noWrap/>
            <w:hideMark/>
          </w:tcPr>
          <w:p w14:paraId="175B7F01" w14:textId="77777777" w:rsidR="00935BE4" w:rsidRPr="005D6EF2" w:rsidRDefault="00935BE4" w:rsidP="005D6EF2">
            <w:pPr>
              <w:spacing w:line="240" w:lineRule="auto"/>
              <w:ind w:firstLine="0"/>
              <w:jc w:val="center"/>
              <w:rPr>
                <w:lang w:val="en-US"/>
              </w:rPr>
            </w:pPr>
            <w:r w:rsidRPr="005D6EF2">
              <w:rPr>
                <w:lang w:val="en-US"/>
              </w:rPr>
              <w:t>29057</w:t>
            </w:r>
          </w:p>
        </w:tc>
        <w:tc>
          <w:tcPr>
            <w:tcW w:w="1214" w:type="dxa"/>
            <w:noWrap/>
            <w:hideMark/>
          </w:tcPr>
          <w:p w14:paraId="2C23FE1D"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BD87393"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39D6D4D3"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01AF7766"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384483D"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7DB5C761" w14:textId="77777777" w:rsidTr="00A807C1">
        <w:trPr>
          <w:trHeight w:val="300"/>
          <w:jc w:val="center"/>
        </w:trPr>
        <w:tc>
          <w:tcPr>
            <w:tcW w:w="1404" w:type="dxa"/>
            <w:noWrap/>
            <w:hideMark/>
          </w:tcPr>
          <w:p w14:paraId="1B71E347" w14:textId="77777777" w:rsidR="00935BE4" w:rsidRPr="005D6EF2" w:rsidRDefault="00935BE4" w:rsidP="005D6EF2">
            <w:pPr>
              <w:spacing w:line="240" w:lineRule="auto"/>
              <w:ind w:firstLine="0"/>
              <w:jc w:val="center"/>
              <w:rPr>
                <w:lang w:val="en-US"/>
              </w:rPr>
            </w:pPr>
            <w:r w:rsidRPr="005D6EF2">
              <w:rPr>
                <w:lang w:val="en-US"/>
              </w:rPr>
              <w:t>29482</w:t>
            </w:r>
          </w:p>
        </w:tc>
        <w:tc>
          <w:tcPr>
            <w:tcW w:w="1214" w:type="dxa"/>
            <w:noWrap/>
            <w:hideMark/>
          </w:tcPr>
          <w:p w14:paraId="7B28E6C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B29F472" w14:textId="77777777" w:rsidR="00935BE4" w:rsidRPr="005D6EF2" w:rsidRDefault="00935BE4" w:rsidP="005D6EF2">
            <w:pPr>
              <w:spacing w:line="240" w:lineRule="auto"/>
              <w:ind w:firstLine="0"/>
              <w:jc w:val="center"/>
              <w:rPr>
                <w:lang w:val="en-US"/>
              </w:rPr>
            </w:pPr>
            <w:r w:rsidRPr="005D6EF2">
              <w:rPr>
                <w:lang w:val="en-US"/>
              </w:rPr>
              <w:t>304.9806</w:t>
            </w:r>
          </w:p>
        </w:tc>
        <w:tc>
          <w:tcPr>
            <w:tcW w:w="1428" w:type="dxa"/>
            <w:noWrap/>
            <w:hideMark/>
          </w:tcPr>
          <w:p w14:paraId="4393B45F" w14:textId="77777777" w:rsidR="00935BE4" w:rsidRPr="005D6EF2" w:rsidRDefault="00935BE4" w:rsidP="005D6EF2">
            <w:pPr>
              <w:spacing w:line="240" w:lineRule="auto"/>
              <w:ind w:firstLine="0"/>
              <w:jc w:val="center"/>
              <w:rPr>
                <w:lang w:val="en-US"/>
              </w:rPr>
            </w:pPr>
            <w:r w:rsidRPr="005D6EF2">
              <w:rPr>
                <w:lang w:val="en-US"/>
              </w:rPr>
              <w:t>4137.849</w:t>
            </w:r>
          </w:p>
        </w:tc>
        <w:tc>
          <w:tcPr>
            <w:tcW w:w="1420" w:type="dxa"/>
            <w:noWrap/>
            <w:hideMark/>
          </w:tcPr>
          <w:p w14:paraId="147B7D33"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07EDB73" w14:textId="77777777" w:rsidR="00935BE4" w:rsidRPr="005D6EF2" w:rsidRDefault="00935BE4" w:rsidP="005D6EF2">
            <w:pPr>
              <w:spacing w:line="240" w:lineRule="auto"/>
              <w:ind w:firstLine="0"/>
              <w:jc w:val="center"/>
              <w:rPr>
                <w:lang w:val="en-US"/>
              </w:rPr>
            </w:pPr>
            <w:r w:rsidRPr="005D6EF2">
              <w:rPr>
                <w:lang w:val="en-US"/>
              </w:rPr>
              <w:t>0.004138</w:t>
            </w:r>
          </w:p>
        </w:tc>
      </w:tr>
      <w:tr w:rsidR="00935BE4" w:rsidRPr="008A1D26" w14:paraId="787202E7" w14:textId="77777777" w:rsidTr="00A807C1">
        <w:trPr>
          <w:trHeight w:val="300"/>
          <w:jc w:val="center"/>
        </w:trPr>
        <w:tc>
          <w:tcPr>
            <w:tcW w:w="1404" w:type="dxa"/>
            <w:noWrap/>
            <w:hideMark/>
          </w:tcPr>
          <w:p w14:paraId="41AED710" w14:textId="77777777" w:rsidR="00935BE4" w:rsidRPr="005D6EF2" w:rsidRDefault="00935BE4" w:rsidP="005D6EF2">
            <w:pPr>
              <w:spacing w:line="240" w:lineRule="auto"/>
              <w:ind w:firstLine="0"/>
              <w:jc w:val="center"/>
              <w:rPr>
                <w:lang w:val="en-US"/>
              </w:rPr>
            </w:pPr>
            <w:r w:rsidRPr="005D6EF2">
              <w:rPr>
                <w:lang w:val="en-US"/>
              </w:rPr>
              <w:t>29560</w:t>
            </w:r>
          </w:p>
        </w:tc>
        <w:tc>
          <w:tcPr>
            <w:tcW w:w="1214" w:type="dxa"/>
            <w:noWrap/>
            <w:hideMark/>
          </w:tcPr>
          <w:p w14:paraId="6B7D6058"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3E60083" w14:textId="77777777" w:rsidR="00935BE4" w:rsidRPr="005D6EF2" w:rsidRDefault="00935BE4" w:rsidP="005D6EF2">
            <w:pPr>
              <w:spacing w:line="240" w:lineRule="auto"/>
              <w:ind w:firstLine="0"/>
              <w:jc w:val="center"/>
              <w:rPr>
                <w:lang w:val="en-US"/>
              </w:rPr>
            </w:pPr>
            <w:r w:rsidRPr="005D6EF2">
              <w:rPr>
                <w:lang w:val="en-US"/>
              </w:rPr>
              <w:t>113.1735</w:t>
            </w:r>
          </w:p>
        </w:tc>
        <w:tc>
          <w:tcPr>
            <w:tcW w:w="1428" w:type="dxa"/>
            <w:noWrap/>
            <w:hideMark/>
          </w:tcPr>
          <w:p w14:paraId="69AE74D5" w14:textId="77777777" w:rsidR="00935BE4" w:rsidRPr="005D6EF2" w:rsidRDefault="00935BE4" w:rsidP="005D6EF2">
            <w:pPr>
              <w:spacing w:line="240" w:lineRule="auto"/>
              <w:ind w:firstLine="0"/>
              <w:jc w:val="center"/>
              <w:rPr>
                <w:lang w:val="en-US"/>
              </w:rPr>
            </w:pPr>
            <w:r w:rsidRPr="005D6EF2">
              <w:rPr>
                <w:lang w:val="en-US"/>
              </w:rPr>
              <w:t>616.0589</w:t>
            </w:r>
          </w:p>
        </w:tc>
        <w:tc>
          <w:tcPr>
            <w:tcW w:w="1420" w:type="dxa"/>
            <w:noWrap/>
            <w:hideMark/>
          </w:tcPr>
          <w:p w14:paraId="64C50803"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5D145DC"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0E6CFF66" w14:textId="77777777" w:rsidTr="00A807C1">
        <w:trPr>
          <w:trHeight w:val="300"/>
          <w:jc w:val="center"/>
        </w:trPr>
        <w:tc>
          <w:tcPr>
            <w:tcW w:w="1404" w:type="dxa"/>
            <w:noWrap/>
            <w:hideMark/>
          </w:tcPr>
          <w:p w14:paraId="48E64D08" w14:textId="77777777" w:rsidR="00935BE4" w:rsidRPr="005D6EF2" w:rsidRDefault="00935BE4" w:rsidP="005D6EF2">
            <w:pPr>
              <w:spacing w:line="240" w:lineRule="auto"/>
              <w:ind w:firstLine="0"/>
              <w:jc w:val="center"/>
              <w:rPr>
                <w:lang w:val="en-US"/>
              </w:rPr>
            </w:pPr>
            <w:r w:rsidRPr="005D6EF2">
              <w:rPr>
                <w:lang w:val="en-US"/>
              </w:rPr>
              <w:t>29741</w:t>
            </w:r>
          </w:p>
        </w:tc>
        <w:tc>
          <w:tcPr>
            <w:tcW w:w="1214" w:type="dxa"/>
            <w:noWrap/>
            <w:hideMark/>
          </w:tcPr>
          <w:p w14:paraId="4626022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B2D4844" w14:textId="77777777" w:rsidR="00935BE4" w:rsidRPr="005D6EF2" w:rsidRDefault="00935BE4" w:rsidP="005D6EF2">
            <w:pPr>
              <w:spacing w:line="240" w:lineRule="auto"/>
              <w:ind w:firstLine="0"/>
              <w:jc w:val="center"/>
              <w:rPr>
                <w:lang w:val="en-US"/>
              </w:rPr>
            </w:pPr>
            <w:r w:rsidRPr="005D6EF2">
              <w:rPr>
                <w:lang w:val="en-US"/>
              </w:rPr>
              <w:t>113.1735</w:t>
            </w:r>
          </w:p>
        </w:tc>
        <w:tc>
          <w:tcPr>
            <w:tcW w:w="1428" w:type="dxa"/>
            <w:noWrap/>
            <w:hideMark/>
          </w:tcPr>
          <w:p w14:paraId="533A3816" w14:textId="77777777" w:rsidR="00935BE4" w:rsidRPr="005D6EF2" w:rsidRDefault="00935BE4" w:rsidP="005D6EF2">
            <w:pPr>
              <w:spacing w:line="240" w:lineRule="auto"/>
              <w:ind w:firstLine="0"/>
              <w:jc w:val="center"/>
              <w:rPr>
                <w:lang w:val="en-US"/>
              </w:rPr>
            </w:pPr>
            <w:r w:rsidRPr="005D6EF2">
              <w:rPr>
                <w:lang w:val="en-US"/>
              </w:rPr>
              <w:t>616.0589</w:t>
            </w:r>
          </w:p>
        </w:tc>
        <w:tc>
          <w:tcPr>
            <w:tcW w:w="1420" w:type="dxa"/>
            <w:noWrap/>
            <w:hideMark/>
          </w:tcPr>
          <w:p w14:paraId="7B868698"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2E676EB"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38001E62" w14:textId="77777777" w:rsidTr="00A807C1">
        <w:trPr>
          <w:trHeight w:val="300"/>
          <w:jc w:val="center"/>
        </w:trPr>
        <w:tc>
          <w:tcPr>
            <w:tcW w:w="1404" w:type="dxa"/>
            <w:noWrap/>
            <w:hideMark/>
          </w:tcPr>
          <w:p w14:paraId="068EA06F" w14:textId="77777777" w:rsidR="00935BE4" w:rsidRPr="005D6EF2" w:rsidRDefault="00935BE4" w:rsidP="005D6EF2">
            <w:pPr>
              <w:spacing w:line="240" w:lineRule="auto"/>
              <w:ind w:firstLine="0"/>
              <w:jc w:val="center"/>
              <w:rPr>
                <w:lang w:val="en-US"/>
              </w:rPr>
            </w:pPr>
            <w:r w:rsidRPr="005D6EF2">
              <w:rPr>
                <w:lang w:val="en-US"/>
              </w:rPr>
              <w:t>29814</w:t>
            </w:r>
          </w:p>
        </w:tc>
        <w:tc>
          <w:tcPr>
            <w:tcW w:w="1214" w:type="dxa"/>
            <w:noWrap/>
            <w:hideMark/>
          </w:tcPr>
          <w:p w14:paraId="28AD748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15C2D58"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68445BB0"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217E5D2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7C8A8CB"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2C416EBB" w14:textId="77777777" w:rsidTr="00A807C1">
        <w:trPr>
          <w:trHeight w:val="300"/>
          <w:jc w:val="center"/>
        </w:trPr>
        <w:tc>
          <w:tcPr>
            <w:tcW w:w="1404" w:type="dxa"/>
            <w:noWrap/>
            <w:hideMark/>
          </w:tcPr>
          <w:p w14:paraId="779A56A3" w14:textId="77777777" w:rsidR="00935BE4" w:rsidRPr="005D6EF2" w:rsidRDefault="00935BE4" w:rsidP="005D6EF2">
            <w:pPr>
              <w:spacing w:line="240" w:lineRule="auto"/>
              <w:ind w:firstLine="0"/>
              <w:jc w:val="center"/>
              <w:rPr>
                <w:lang w:val="en-US"/>
              </w:rPr>
            </w:pPr>
            <w:r w:rsidRPr="005D6EF2">
              <w:rPr>
                <w:lang w:val="en-US"/>
              </w:rPr>
              <w:t>30053</w:t>
            </w:r>
          </w:p>
        </w:tc>
        <w:tc>
          <w:tcPr>
            <w:tcW w:w="1214" w:type="dxa"/>
            <w:noWrap/>
            <w:hideMark/>
          </w:tcPr>
          <w:p w14:paraId="76FA9E8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7A08FDE"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35BBDDA3"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03329394"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65454AE"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39F45F2A" w14:textId="77777777" w:rsidTr="00A807C1">
        <w:trPr>
          <w:trHeight w:val="300"/>
          <w:jc w:val="center"/>
        </w:trPr>
        <w:tc>
          <w:tcPr>
            <w:tcW w:w="1404" w:type="dxa"/>
            <w:noWrap/>
            <w:hideMark/>
          </w:tcPr>
          <w:p w14:paraId="6541CC68" w14:textId="77777777" w:rsidR="00935BE4" w:rsidRPr="005D6EF2" w:rsidRDefault="00935BE4" w:rsidP="005D6EF2">
            <w:pPr>
              <w:spacing w:line="240" w:lineRule="auto"/>
              <w:ind w:firstLine="0"/>
              <w:jc w:val="center"/>
              <w:rPr>
                <w:lang w:val="en-US"/>
              </w:rPr>
            </w:pPr>
            <w:r w:rsidRPr="005D6EF2">
              <w:rPr>
                <w:lang w:val="en-US"/>
              </w:rPr>
              <w:t>30054</w:t>
            </w:r>
          </w:p>
        </w:tc>
        <w:tc>
          <w:tcPr>
            <w:tcW w:w="1214" w:type="dxa"/>
            <w:noWrap/>
            <w:hideMark/>
          </w:tcPr>
          <w:p w14:paraId="284B8EC5"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5B0DF00"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1D67EF20"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374D564C"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CF479E0"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5AF26D5D" w14:textId="77777777" w:rsidTr="00A807C1">
        <w:trPr>
          <w:trHeight w:val="300"/>
          <w:jc w:val="center"/>
        </w:trPr>
        <w:tc>
          <w:tcPr>
            <w:tcW w:w="1404" w:type="dxa"/>
            <w:noWrap/>
            <w:hideMark/>
          </w:tcPr>
          <w:p w14:paraId="6EF3B176" w14:textId="77777777" w:rsidR="00935BE4" w:rsidRPr="005D6EF2" w:rsidRDefault="00935BE4" w:rsidP="005D6EF2">
            <w:pPr>
              <w:spacing w:line="240" w:lineRule="auto"/>
              <w:ind w:firstLine="0"/>
              <w:jc w:val="center"/>
              <w:rPr>
                <w:lang w:val="en-US"/>
              </w:rPr>
            </w:pPr>
            <w:r w:rsidRPr="005D6EF2">
              <w:rPr>
                <w:lang w:val="en-US"/>
              </w:rPr>
              <w:t>30118</w:t>
            </w:r>
          </w:p>
        </w:tc>
        <w:tc>
          <w:tcPr>
            <w:tcW w:w="1214" w:type="dxa"/>
            <w:noWrap/>
            <w:hideMark/>
          </w:tcPr>
          <w:p w14:paraId="15EBE89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646B1EA"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3124154E"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50522D1F"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B99EBA7"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10F6A62B" w14:textId="77777777" w:rsidTr="00A807C1">
        <w:trPr>
          <w:trHeight w:val="300"/>
          <w:jc w:val="center"/>
        </w:trPr>
        <w:tc>
          <w:tcPr>
            <w:tcW w:w="1404" w:type="dxa"/>
            <w:noWrap/>
            <w:hideMark/>
          </w:tcPr>
          <w:p w14:paraId="215A60D4" w14:textId="77777777" w:rsidR="00935BE4" w:rsidRPr="005D6EF2" w:rsidRDefault="00935BE4" w:rsidP="005D6EF2">
            <w:pPr>
              <w:spacing w:line="240" w:lineRule="auto"/>
              <w:ind w:firstLine="0"/>
              <w:jc w:val="center"/>
              <w:rPr>
                <w:lang w:val="en-US"/>
              </w:rPr>
            </w:pPr>
            <w:r w:rsidRPr="005D6EF2">
              <w:rPr>
                <w:lang w:val="en-US"/>
              </w:rPr>
              <w:t>30119</w:t>
            </w:r>
          </w:p>
        </w:tc>
        <w:tc>
          <w:tcPr>
            <w:tcW w:w="1214" w:type="dxa"/>
            <w:noWrap/>
            <w:hideMark/>
          </w:tcPr>
          <w:p w14:paraId="234168E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F622F20"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14B6A3DD"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3DB90278"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DA07D5F"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43420C1C" w14:textId="77777777" w:rsidTr="00A807C1">
        <w:trPr>
          <w:trHeight w:val="300"/>
          <w:jc w:val="center"/>
        </w:trPr>
        <w:tc>
          <w:tcPr>
            <w:tcW w:w="1404" w:type="dxa"/>
            <w:noWrap/>
            <w:hideMark/>
          </w:tcPr>
          <w:p w14:paraId="61516E73" w14:textId="77777777" w:rsidR="00935BE4" w:rsidRPr="005D6EF2" w:rsidRDefault="00935BE4" w:rsidP="005D6EF2">
            <w:pPr>
              <w:spacing w:line="240" w:lineRule="auto"/>
              <w:ind w:firstLine="0"/>
              <w:jc w:val="center"/>
              <w:rPr>
                <w:lang w:val="en-US"/>
              </w:rPr>
            </w:pPr>
            <w:r w:rsidRPr="005D6EF2">
              <w:rPr>
                <w:lang w:val="en-US"/>
              </w:rPr>
              <w:t>30121</w:t>
            </w:r>
          </w:p>
        </w:tc>
        <w:tc>
          <w:tcPr>
            <w:tcW w:w="1214" w:type="dxa"/>
            <w:noWrap/>
            <w:hideMark/>
          </w:tcPr>
          <w:p w14:paraId="0C071FC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85ABB49"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1BCF9685"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05CE2C3C"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183AAF3"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1023F9B8" w14:textId="77777777" w:rsidTr="00A807C1">
        <w:trPr>
          <w:trHeight w:val="300"/>
          <w:jc w:val="center"/>
        </w:trPr>
        <w:tc>
          <w:tcPr>
            <w:tcW w:w="1404" w:type="dxa"/>
            <w:noWrap/>
            <w:hideMark/>
          </w:tcPr>
          <w:p w14:paraId="57D77439" w14:textId="77777777" w:rsidR="00935BE4" w:rsidRPr="005D6EF2" w:rsidRDefault="00935BE4" w:rsidP="005D6EF2">
            <w:pPr>
              <w:spacing w:line="240" w:lineRule="auto"/>
              <w:ind w:firstLine="0"/>
              <w:jc w:val="center"/>
              <w:rPr>
                <w:lang w:val="en-US"/>
              </w:rPr>
            </w:pPr>
            <w:r w:rsidRPr="005D6EF2">
              <w:rPr>
                <w:lang w:val="en-US"/>
              </w:rPr>
              <w:t>31261</w:t>
            </w:r>
          </w:p>
        </w:tc>
        <w:tc>
          <w:tcPr>
            <w:tcW w:w="1214" w:type="dxa"/>
            <w:noWrap/>
            <w:hideMark/>
          </w:tcPr>
          <w:p w14:paraId="7F9297AE"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5D1DA69"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4EB4ACB6"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04528F4C"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E500D88"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54CDB10E" w14:textId="77777777" w:rsidTr="00A807C1">
        <w:trPr>
          <w:trHeight w:val="300"/>
          <w:jc w:val="center"/>
        </w:trPr>
        <w:tc>
          <w:tcPr>
            <w:tcW w:w="1404" w:type="dxa"/>
            <w:noWrap/>
            <w:hideMark/>
          </w:tcPr>
          <w:p w14:paraId="4F2FBD1E" w14:textId="77777777" w:rsidR="00935BE4" w:rsidRPr="005D6EF2" w:rsidRDefault="00935BE4" w:rsidP="005D6EF2">
            <w:pPr>
              <w:spacing w:line="240" w:lineRule="auto"/>
              <w:ind w:firstLine="0"/>
              <w:jc w:val="center"/>
              <w:rPr>
                <w:lang w:val="en-US"/>
              </w:rPr>
            </w:pPr>
            <w:r w:rsidRPr="005D6EF2">
              <w:rPr>
                <w:lang w:val="en-US"/>
              </w:rPr>
              <w:t>31447</w:t>
            </w:r>
          </w:p>
        </w:tc>
        <w:tc>
          <w:tcPr>
            <w:tcW w:w="1214" w:type="dxa"/>
            <w:noWrap/>
            <w:hideMark/>
          </w:tcPr>
          <w:p w14:paraId="7577075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26217A1"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38317925"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5D014B71"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5B82770"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4F1DBB04" w14:textId="77777777" w:rsidTr="00A807C1">
        <w:trPr>
          <w:trHeight w:val="300"/>
          <w:jc w:val="center"/>
        </w:trPr>
        <w:tc>
          <w:tcPr>
            <w:tcW w:w="1404" w:type="dxa"/>
            <w:noWrap/>
            <w:hideMark/>
          </w:tcPr>
          <w:p w14:paraId="720E36DB" w14:textId="77777777" w:rsidR="00935BE4" w:rsidRPr="005D6EF2" w:rsidRDefault="00935BE4" w:rsidP="005D6EF2">
            <w:pPr>
              <w:spacing w:line="240" w:lineRule="auto"/>
              <w:ind w:firstLine="0"/>
              <w:jc w:val="center"/>
              <w:rPr>
                <w:lang w:val="en-US"/>
              </w:rPr>
            </w:pPr>
            <w:r w:rsidRPr="005D6EF2">
              <w:rPr>
                <w:lang w:val="en-US"/>
              </w:rPr>
              <w:t>31526</w:t>
            </w:r>
          </w:p>
        </w:tc>
        <w:tc>
          <w:tcPr>
            <w:tcW w:w="1214" w:type="dxa"/>
            <w:noWrap/>
            <w:hideMark/>
          </w:tcPr>
          <w:p w14:paraId="265B686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BC1AA43" w14:textId="77777777" w:rsidR="00935BE4" w:rsidRPr="005D6EF2" w:rsidRDefault="00935BE4" w:rsidP="005D6EF2">
            <w:pPr>
              <w:spacing w:line="240" w:lineRule="auto"/>
              <w:ind w:firstLine="0"/>
              <w:jc w:val="center"/>
              <w:rPr>
                <w:lang w:val="en-US"/>
              </w:rPr>
            </w:pPr>
            <w:r w:rsidRPr="005D6EF2">
              <w:rPr>
                <w:lang w:val="en-US"/>
              </w:rPr>
              <w:t>232.7884</w:t>
            </w:r>
          </w:p>
        </w:tc>
        <w:tc>
          <w:tcPr>
            <w:tcW w:w="1428" w:type="dxa"/>
            <w:noWrap/>
            <w:hideMark/>
          </w:tcPr>
          <w:p w14:paraId="6FAD9A90" w14:textId="77777777" w:rsidR="00935BE4" w:rsidRPr="005D6EF2" w:rsidRDefault="00935BE4" w:rsidP="005D6EF2">
            <w:pPr>
              <w:spacing w:line="240" w:lineRule="auto"/>
              <w:ind w:firstLine="0"/>
              <w:jc w:val="center"/>
              <w:rPr>
                <w:lang w:val="en-US"/>
              </w:rPr>
            </w:pPr>
            <w:r w:rsidRPr="005D6EF2">
              <w:rPr>
                <w:lang w:val="en-US"/>
              </w:rPr>
              <w:t>1504.032</w:t>
            </w:r>
          </w:p>
        </w:tc>
        <w:tc>
          <w:tcPr>
            <w:tcW w:w="1420" w:type="dxa"/>
            <w:noWrap/>
            <w:hideMark/>
          </w:tcPr>
          <w:p w14:paraId="720F786D"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68BE003" w14:textId="77777777" w:rsidR="00935BE4" w:rsidRPr="005D6EF2" w:rsidRDefault="00935BE4" w:rsidP="005D6EF2">
            <w:pPr>
              <w:spacing w:line="240" w:lineRule="auto"/>
              <w:ind w:firstLine="0"/>
              <w:jc w:val="center"/>
              <w:rPr>
                <w:lang w:val="en-US"/>
              </w:rPr>
            </w:pPr>
            <w:r w:rsidRPr="005D6EF2">
              <w:rPr>
                <w:lang w:val="en-US"/>
              </w:rPr>
              <w:t>0.001504</w:t>
            </w:r>
          </w:p>
        </w:tc>
      </w:tr>
      <w:tr w:rsidR="00935BE4" w:rsidRPr="008A1D26" w14:paraId="34458C37" w14:textId="77777777" w:rsidTr="00A807C1">
        <w:trPr>
          <w:trHeight w:val="300"/>
          <w:jc w:val="center"/>
        </w:trPr>
        <w:tc>
          <w:tcPr>
            <w:tcW w:w="1404" w:type="dxa"/>
            <w:noWrap/>
            <w:hideMark/>
          </w:tcPr>
          <w:p w14:paraId="429C5FD2" w14:textId="77777777" w:rsidR="00935BE4" w:rsidRPr="005D6EF2" w:rsidRDefault="00935BE4" w:rsidP="005D6EF2">
            <w:pPr>
              <w:spacing w:line="240" w:lineRule="auto"/>
              <w:ind w:firstLine="0"/>
              <w:jc w:val="center"/>
              <w:rPr>
                <w:lang w:val="en-US"/>
              </w:rPr>
            </w:pPr>
            <w:r w:rsidRPr="005D6EF2">
              <w:rPr>
                <w:lang w:val="en-US"/>
              </w:rPr>
              <w:t>31722</w:t>
            </w:r>
          </w:p>
        </w:tc>
        <w:tc>
          <w:tcPr>
            <w:tcW w:w="1214" w:type="dxa"/>
            <w:noWrap/>
            <w:hideMark/>
          </w:tcPr>
          <w:p w14:paraId="0414CD31"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D10725F"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6B00685F"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09B0F7C1"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51D68AC"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75A7E761" w14:textId="77777777" w:rsidTr="00A807C1">
        <w:trPr>
          <w:trHeight w:val="300"/>
          <w:jc w:val="center"/>
        </w:trPr>
        <w:tc>
          <w:tcPr>
            <w:tcW w:w="1404" w:type="dxa"/>
            <w:noWrap/>
            <w:hideMark/>
          </w:tcPr>
          <w:p w14:paraId="6B20EBE0" w14:textId="77777777" w:rsidR="00935BE4" w:rsidRPr="005D6EF2" w:rsidRDefault="00935BE4" w:rsidP="005D6EF2">
            <w:pPr>
              <w:spacing w:line="240" w:lineRule="auto"/>
              <w:ind w:firstLine="0"/>
              <w:jc w:val="center"/>
              <w:rPr>
                <w:lang w:val="en-US"/>
              </w:rPr>
            </w:pPr>
            <w:r w:rsidRPr="005D6EF2">
              <w:rPr>
                <w:lang w:val="en-US"/>
              </w:rPr>
              <w:t>31770</w:t>
            </w:r>
          </w:p>
        </w:tc>
        <w:tc>
          <w:tcPr>
            <w:tcW w:w="1214" w:type="dxa"/>
            <w:noWrap/>
            <w:hideMark/>
          </w:tcPr>
          <w:p w14:paraId="6905DEA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13C2E59" w14:textId="77777777" w:rsidR="00935BE4" w:rsidRPr="005D6EF2" w:rsidRDefault="00935BE4" w:rsidP="005D6EF2">
            <w:pPr>
              <w:spacing w:line="240" w:lineRule="auto"/>
              <w:ind w:firstLine="0"/>
              <w:jc w:val="center"/>
              <w:rPr>
                <w:lang w:val="en-US"/>
              </w:rPr>
            </w:pPr>
            <w:r w:rsidRPr="005D6EF2">
              <w:rPr>
                <w:lang w:val="en-US"/>
              </w:rPr>
              <w:t>113.1735</w:t>
            </w:r>
          </w:p>
        </w:tc>
        <w:tc>
          <w:tcPr>
            <w:tcW w:w="1428" w:type="dxa"/>
            <w:noWrap/>
            <w:hideMark/>
          </w:tcPr>
          <w:p w14:paraId="1CCAD936" w14:textId="77777777" w:rsidR="00935BE4" w:rsidRPr="005D6EF2" w:rsidRDefault="00935BE4" w:rsidP="005D6EF2">
            <w:pPr>
              <w:spacing w:line="240" w:lineRule="auto"/>
              <w:ind w:firstLine="0"/>
              <w:jc w:val="center"/>
              <w:rPr>
                <w:lang w:val="en-US"/>
              </w:rPr>
            </w:pPr>
            <w:r w:rsidRPr="005D6EF2">
              <w:rPr>
                <w:lang w:val="en-US"/>
              </w:rPr>
              <w:t>616.0589</w:t>
            </w:r>
          </w:p>
        </w:tc>
        <w:tc>
          <w:tcPr>
            <w:tcW w:w="1420" w:type="dxa"/>
            <w:noWrap/>
            <w:hideMark/>
          </w:tcPr>
          <w:p w14:paraId="2CFBAE08"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E503256"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7590D6A1" w14:textId="77777777" w:rsidTr="00A807C1">
        <w:trPr>
          <w:trHeight w:val="300"/>
          <w:jc w:val="center"/>
        </w:trPr>
        <w:tc>
          <w:tcPr>
            <w:tcW w:w="1404" w:type="dxa"/>
            <w:noWrap/>
            <w:hideMark/>
          </w:tcPr>
          <w:p w14:paraId="456461C9" w14:textId="77777777" w:rsidR="00935BE4" w:rsidRPr="005D6EF2" w:rsidRDefault="00935BE4" w:rsidP="005D6EF2">
            <w:pPr>
              <w:spacing w:line="240" w:lineRule="auto"/>
              <w:ind w:firstLine="0"/>
              <w:jc w:val="center"/>
              <w:rPr>
                <w:lang w:val="en-US"/>
              </w:rPr>
            </w:pPr>
            <w:r w:rsidRPr="005D6EF2">
              <w:rPr>
                <w:lang w:val="en-US"/>
              </w:rPr>
              <w:t>32128</w:t>
            </w:r>
          </w:p>
        </w:tc>
        <w:tc>
          <w:tcPr>
            <w:tcW w:w="1214" w:type="dxa"/>
            <w:noWrap/>
            <w:hideMark/>
          </w:tcPr>
          <w:p w14:paraId="37082513"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E832790" w14:textId="77777777" w:rsidR="00935BE4" w:rsidRPr="005D6EF2" w:rsidRDefault="00935BE4" w:rsidP="005D6EF2">
            <w:pPr>
              <w:spacing w:line="240" w:lineRule="auto"/>
              <w:ind w:firstLine="0"/>
              <w:jc w:val="center"/>
              <w:rPr>
                <w:lang w:val="en-US"/>
              </w:rPr>
            </w:pPr>
            <w:r w:rsidRPr="005D6EF2">
              <w:rPr>
                <w:lang w:val="en-US"/>
              </w:rPr>
              <w:t>211.8957</w:t>
            </w:r>
          </w:p>
        </w:tc>
        <w:tc>
          <w:tcPr>
            <w:tcW w:w="1428" w:type="dxa"/>
            <w:noWrap/>
            <w:hideMark/>
          </w:tcPr>
          <w:p w14:paraId="18919B1A" w14:textId="77777777" w:rsidR="00935BE4" w:rsidRPr="005D6EF2" w:rsidRDefault="00935BE4" w:rsidP="005D6EF2">
            <w:pPr>
              <w:spacing w:line="240" w:lineRule="auto"/>
              <w:ind w:firstLine="0"/>
              <w:jc w:val="center"/>
              <w:rPr>
                <w:lang w:val="en-US"/>
              </w:rPr>
            </w:pPr>
            <w:r w:rsidRPr="005D6EF2">
              <w:rPr>
                <w:lang w:val="en-US"/>
              </w:rPr>
              <w:t>2084.578</w:t>
            </w:r>
          </w:p>
        </w:tc>
        <w:tc>
          <w:tcPr>
            <w:tcW w:w="1420" w:type="dxa"/>
            <w:noWrap/>
            <w:hideMark/>
          </w:tcPr>
          <w:p w14:paraId="24F7FB7B"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87758A7" w14:textId="77777777" w:rsidR="00935BE4" w:rsidRPr="005D6EF2" w:rsidRDefault="00935BE4" w:rsidP="005D6EF2">
            <w:pPr>
              <w:spacing w:line="240" w:lineRule="auto"/>
              <w:ind w:firstLine="0"/>
              <w:jc w:val="center"/>
              <w:rPr>
                <w:lang w:val="en-US"/>
              </w:rPr>
            </w:pPr>
            <w:r w:rsidRPr="005D6EF2">
              <w:rPr>
                <w:lang w:val="en-US"/>
              </w:rPr>
              <w:t>0.002085</w:t>
            </w:r>
          </w:p>
        </w:tc>
      </w:tr>
      <w:tr w:rsidR="00935BE4" w:rsidRPr="008A1D26" w14:paraId="38806DE6" w14:textId="77777777" w:rsidTr="00A807C1">
        <w:trPr>
          <w:trHeight w:val="300"/>
          <w:jc w:val="center"/>
        </w:trPr>
        <w:tc>
          <w:tcPr>
            <w:tcW w:w="1404" w:type="dxa"/>
            <w:noWrap/>
            <w:hideMark/>
          </w:tcPr>
          <w:p w14:paraId="5086E822" w14:textId="77777777" w:rsidR="00935BE4" w:rsidRPr="005D6EF2" w:rsidRDefault="00935BE4" w:rsidP="005D6EF2">
            <w:pPr>
              <w:spacing w:line="240" w:lineRule="auto"/>
              <w:ind w:firstLine="0"/>
              <w:jc w:val="center"/>
              <w:rPr>
                <w:lang w:val="en-US"/>
              </w:rPr>
            </w:pPr>
            <w:r w:rsidRPr="005D6EF2">
              <w:rPr>
                <w:lang w:val="en-US"/>
              </w:rPr>
              <w:t>32129</w:t>
            </w:r>
          </w:p>
        </w:tc>
        <w:tc>
          <w:tcPr>
            <w:tcW w:w="1214" w:type="dxa"/>
            <w:noWrap/>
            <w:hideMark/>
          </w:tcPr>
          <w:p w14:paraId="62842DC0"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3DC10F2" w14:textId="77777777" w:rsidR="00935BE4" w:rsidRPr="005D6EF2" w:rsidRDefault="00935BE4" w:rsidP="005D6EF2">
            <w:pPr>
              <w:spacing w:line="240" w:lineRule="auto"/>
              <w:ind w:firstLine="0"/>
              <w:jc w:val="center"/>
              <w:rPr>
                <w:lang w:val="en-US"/>
              </w:rPr>
            </w:pPr>
            <w:r w:rsidRPr="005D6EF2">
              <w:rPr>
                <w:lang w:val="en-US"/>
              </w:rPr>
              <w:t>113.1735</w:t>
            </w:r>
          </w:p>
        </w:tc>
        <w:tc>
          <w:tcPr>
            <w:tcW w:w="1428" w:type="dxa"/>
            <w:noWrap/>
            <w:hideMark/>
          </w:tcPr>
          <w:p w14:paraId="2C82C07F" w14:textId="77777777" w:rsidR="00935BE4" w:rsidRPr="005D6EF2" w:rsidRDefault="00935BE4" w:rsidP="005D6EF2">
            <w:pPr>
              <w:spacing w:line="240" w:lineRule="auto"/>
              <w:ind w:firstLine="0"/>
              <w:jc w:val="center"/>
              <w:rPr>
                <w:lang w:val="en-US"/>
              </w:rPr>
            </w:pPr>
            <w:r w:rsidRPr="005D6EF2">
              <w:rPr>
                <w:lang w:val="en-US"/>
              </w:rPr>
              <w:t>616.0589</w:t>
            </w:r>
          </w:p>
        </w:tc>
        <w:tc>
          <w:tcPr>
            <w:tcW w:w="1420" w:type="dxa"/>
            <w:noWrap/>
            <w:hideMark/>
          </w:tcPr>
          <w:p w14:paraId="2F1FA4E6"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C05E072"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48E7FECC" w14:textId="77777777" w:rsidTr="00A807C1">
        <w:trPr>
          <w:trHeight w:val="300"/>
          <w:jc w:val="center"/>
        </w:trPr>
        <w:tc>
          <w:tcPr>
            <w:tcW w:w="1404" w:type="dxa"/>
            <w:noWrap/>
            <w:hideMark/>
          </w:tcPr>
          <w:p w14:paraId="3204ED64" w14:textId="77777777" w:rsidR="00935BE4" w:rsidRPr="005D6EF2" w:rsidRDefault="00935BE4" w:rsidP="005D6EF2">
            <w:pPr>
              <w:spacing w:line="240" w:lineRule="auto"/>
              <w:ind w:firstLine="0"/>
              <w:jc w:val="center"/>
              <w:rPr>
                <w:lang w:val="en-US"/>
              </w:rPr>
            </w:pPr>
            <w:r w:rsidRPr="005D6EF2">
              <w:rPr>
                <w:lang w:val="en-US"/>
              </w:rPr>
              <w:t>32288</w:t>
            </w:r>
          </w:p>
        </w:tc>
        <w:tc>
          <w:tcPr>
            <w:tcW w:w="1214" w:type="dxa"/>
            <w:noWrap/>
            <w:hideMark/>
          </w:tcPr>
          <w:p w14:paraId="0213F132"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218B2CD"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18903FB0"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70E80BEA"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11E0D11"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0ED12035" w14:textId="77777777" w:rsidTr="00A807C1">
        <w:trPr>
          <w:trHeight w:val="300"/>
          <w:jc w:val="center"/>
        </w:trPr>
        <w:tc>
          <w:tcPr>
            <w:tcW w:w="1404" w:type="dxa"/>
            <w:noWrap/>
            <w:hideMark/>
          </w:tcPr>
          <w:p w14:paraId="0726A5BD" w14:textId="77777777" w:rsidR="00935BE4" w:rsidRPr="005D6EF2" w:rsidRDefault="00935BE4" w:rsidP="005D6EF2">
            <w:pPr>
              <w:spacing w:line="240" w:lineRule="auto"/>
              <w:ind w:firstLine="0"/>
              <w:jc w:val="center"/>
              <w:rPr>
                <w:lang w:val="en-US"/>
              </w:rPr>
            </w:pPr>
            <w:r w:rsidRPr="005D6EF2">
              <w:rPr>
                <w:lang w:val="en-US"/>
              </w:rPr>
              <w:t>32344</w:t>
            </w:r>
          </w:p>
        </w:tc>
        <w:tc>
          <w:tcPr>
            <w:tcW w:w="1214" w:type="dxa"/>
            <w:noWrap/>
            <w:hideMark/>
          </w:tcPr>
          <w:p w14:paraId="70B0FE0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10E3F7D"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2AA67C72"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5000F9A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0776100"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09DD8F87" w14:textId="77777777" w:rsidTr="00A807C1">
        <w:trPr>
          <w:trHeight w:val="300"/>
          <w:jc w:val="center"/>
        </w:trPr>
        <w:tc>
          <w:tcPr>
            <w:tcW w:w="1404" w:type="dxa"/>
            <w:noWrap/>
            <w:hideMark/>
          </w:tcPr>
          <w:p w14:paraId="07CD579E" w14:textId="77777777" w:rsidR="00935BE4" w:rsidRPr="005D6EF2" w:rsidRDefault="00935BE4" w:rsidP="005D6EF2">
            <w:pPr>
              <w:spacing w:line="240" w:lineRule="auto"/>
              <w:ind w:firstLine="0"/>
              <w:jc w:val="center"/>
              <w:rPr>
                <w:lang w:val="en-US"/>
              </w:rPr>
            </w:pPr>
            <w:r w:rsidRPr="005D6EF2">
              <w:rPr>
                <w:lang w:val="en-US"/>
              </w:rPr>
              <w:t>32409</w:t>
            </w:r>
          </w:p>
        </w:tc>
        <w:tc>
          <w:tcPr>
            <w:tcW w:w="1214" w:type="dxa"/>
            <w:noWrap/>
            <w:hideMark/>
          </w:tcPr>
          <w:p w14:paraId="6BA6EB03"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D92CF24"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04219E6E"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18C7894D"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9EB1050"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0705675A" w14:textId="77777777" w:rsidTr="00A807C1">
        <w:trPr>
          <w:trHeight w:val="300"/>
          <w:jc w:val="center"/>
        </w:trPr>
        <w:tc>
          <w:tcPr>
            <w:tcW w:w="1404" w:type="dxa"/>
            <w:noWrap/>
            <w:hideMark/>
          </w:tcPr>
          <w:p w14:paraId="13D7E5F1" w14:textId="77777777" w:rsidR="00935BE4" w:rsidRPr="005D6EF2" w:rsidRDefault="00935BE4" w:rsidP="005D6EF2">
            <w:pPr>
              <w:spacing w:line="240" w:lineRule="auto"/>
              <w:ind w:firstLine="0"/>
              <w:jc w:val="center"/>
              <w:rPr>
                <w:lang w:val="en-US"/>
              </w:rPr>
            </w:pPr>
            <w:r w:rsidRPr="005D6EF2">
              <w:rPr>
                <w:lang w:val="en-US"/>
              </w:rPr>
              <w:t>32508</w:t>
            </w:r>
          </w:p>
        </w:tc>
        <w:tc>
          <w:tcPr>
            <w:tcW w:w="1214" w:type="dxa"/>
            <w:noWrap/>
            <w:hideMark/>
          </w:tcPr>
          <w:p w14:paraId="5C9D155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14936DA"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40CA0729"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2181920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2CCD49E"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2241D8C4" w14:textId="77777777" w:rsidTr="00A807C1">
        <w:trPr>
          <w:trHeight w:val="300"/>
          <w:jc w:val="center"/>
        </w:trPr>
        <w:tc>
          <w:tcPr>
            <w:tcW w:w="1404" w:type="dxa"/>
            <w:noWrap/>
            <w:hideMark/>
          </w:tcPr>
          <w:p w14:paraId="755A92C7" w14:textId="77777777" w:rsidR="00935BE4" w:rsidRPr="005D6EF2" w:rsidRDefault="00935BE4" w:rsidP="005D6EF2">
            <w:pPr>
              <w:spacing w:line="240" w:lineRule="auto"/>
              <w:ind w:firstLine="0"/>
              <w:jc w:val="center"/>
              <w:rPr>
                <w:lang w:val="en-US"/>
              </w:rPr>
            </w:pPr>
            <w:r w:rsidRPr="005D6EF2">
              <w:rPr>
                <w:lang w:val="en-US"/>
              </w:rPr>
              <w:t>32514</w:t>
            </w:r>
          </w:p>
        </w:tc>
        <w:tc>
          <w:tcPr>
            <w:tcW w:w="1214" w:type="dxa"/>
            <w:noWrap/>
            <w:hideMark/>
          </w:tcPr>
          <w:p w14:paraId="2EBDDE23"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4FFA707" w14:textId="77777777" w:rsidR="00935BE4" w:rsidRPr="005D6EF2" w:rsidRDefault="00935BE4" w:rsidP="005D6EF2">
            <w:pPr>
              <w:spacing w:line="240" w:lineRule="auto"/>
              <w:ind w:firstLine="0"/>
              <w:jc w:val="center"/>
              <w:rPr>
                <w:lang w:val="en-US"/>
              </w:rPr>
            </w:pPr>
            <w:r w:rsidRPr="005D6EF2">
              <w:rPr>
                <w:lang w:val="en-US"/>
              </w:rPr>
              <w:t>169.7458</w:t>
            </w:r>
          </w:p>
        </w:tc>
        <w:tc>
          <w:tcPr>
            <w:tcW w:w="1428" w:type="dxa"/>
            <w:noWrap/>
            <w:hideMark/>
          </w:tcPr>
          <w:p w14:paraId="1EB787DE" w14:textId="77777777" w:rsidR="00935BE4" w:rsidRPr="005D6EF2" w:rsidRDefault="00935BE4" w:rsidP="005D6EF2">
            <w:pPr>
              <w:spacing w:line="240" w:lineRule="auto"/>
              <w:ind w:firstLine="0"/>
              <w:jc w:val="center"/>
              <w:rPr>
                <w:lang w:val="en-US"/>
              </w:rPr>
            </w:pPr>
            <w:r w:rsidRPr="005D6EF2">
              <w:rPr>
                <w:lang w:val="en-US"/>
              </w:rPr>
              <w:t>1228.577</w:t>
            </w:r>
          </w:p>
        </w:tc>
        <w:tc>
          <w:tcPr>
            <w:tcW w:w="1420" w:type="dxa"/>
            <w:noWrap/>
            <w:hideMark/>
          </w:tcPr>
          <w:p w14:paraId="01E41EB4"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77A84B5" w14:textId="77777777" w:rsidR="00935BE4" w:rsidRPr="005D6EF2" w:rsidRDefault="00935BE4" w:rsidP="005D6EF2">
            <w:pPr>
              <w:spacing w:line="240" w:lineRule="auto"/>
              <w:ind w:firstLine="0"/>
              <w:jc w:val="center"/>
              <w:rPr>
                <w:lang w:val="en-US"/>
              </w:rPr>
            </w:pPr>
            <w:r w:rsidRPr="005D6EF2">
              <w:rPr>
                <w:lang w:val="en-US"/>
              </w:rPr>
              <w:t>0.001229</w:t>
            </w:r>
          </w:p>
        </w:tc>
      </w:tr>
      <w:tr w:rsidR="00935BE4" w:rsidRPr="008A1D26" w14:paraId="3C8739AC" w14:textId="77777777" w:rsidTr="00A807C1">
        <w:trPr>
          <w:trHeight w:val="300"/>
          <w:jc w:val="center"/>
        </w:trPr>
        <w:tc>
          <w:tcPr>
            <w:tcW w:w="1404" w:type="dxa"/>
            <w:noWrap/>
            <w:hideMark/>
          </w:tcPr>
          <w:p w14:paraId="5325ACD8" w14:textId="77777777" w:rsidR="00935BE4" w:rsidRPr="005D6EF2" w:rsidRDefault="00935BE4" w:rsidP="005D6EF2">
            <w:pPr>
              <w:spacing w:line="240" w:lineRule="auto"/>
              <w:ind w:firstLine="0"/>
              <w:jc w:val="center"/>
              <w:rPr>
                <w:lang w:val="en-US"/>
              </w:rPr>
            </w:pPr>
            <w:r w:rsidRPr="005D6EF2">
              <w:rPr>
                <w:lang w:val="en-US"/>
              </w:rPr>
              <w:t>32605</w:t>
            </w:r>
          </w:p>
        </w:tc>
        <w:tc>
          <w:tcPr>
            <w:tcW w:w="1214" w:type="dxa"/>
            <w:noWrap/>
            <w:hideMark/>
          </w:tcPr>
          <w:p w14:paraId="6764CBE8"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0EF83A3"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1F99BD76"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68062903"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F604D6D"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1E966AE9" w14:textId="77777777" w:rsidTr="00A807C1">
        <w:trPr>
          <w:trHeight w:val="300"/>
          <w:jc w:val="center"/>
        </w:trPr>
        <w:tc>
          <w:tcPr>
            <w:tcW w:w="1404" w:type="dxa"/>
            <w:noWrap/>
            <w:hideMark/>
          </w:tcPr>
          <w:p w14:paraId="2ABC449E" w14:textId="77777777" w:rsidR="00935BE4" w:rsidRPr="005D6EF2" w:rsidRDefault="00935BE4" w:rsidP="005D6EF2">
            <w:pPr>
              <w:spacing w:line="240" w:lineRule="auto"/>
              <w:ind w:firstLine="0"/>
              <w:jc w:val="center"/>
              <w:rPr>
                <w:lang w:val="en-US"/>
              </w:rPr>
            </w:pPr>
            <w:r w:rsidRPr="005D6EF2">
              <w:rPr>
                <w:lang w:val="en-US"/>
              </w:rPr>
              <w:t>32816</w:t>
            </w:r>
          </w:p>
        </w:tc>
        <w:tc>
          <w:tcPr>
            <w:tcW w:w="1214" w:type="dxa"/>
            <w:noWrap/>
            <w:hideMark/>
          </w:tcPr>
          <w:p w14:paraId="13A11FA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748946D"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2672E102"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202EC12D"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CB59EB5"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2E04F7BB" w14:textId="77777777" w:rsidTr="00A807C1">
        <w:trPr>
          <w:trHeight w:val="300"/>
          <w:jc w:val="center"/>
        </w:trPr>
        <w:tc>
          <w:tcPr>
            <w:tcW w:w="1404" w:type="dxa"/>
            <w:noWrap/>
            <w:hideMark/>
          </w:tcPr>
          <w:p w14:paraId="0B90285E" w14:textId="77777777" w:rsidR="00935BE4" w:rsidRPr="005D6EF2" w:rsidRDefault="00935BE4" w:rsidP="005D6EF2">
            <w:pPr>
              <w:spacing w:line="240" w:lineRule="auto"/>
              <w:ind w:firstLine="0"/>
              <w:jc w:val="center"/>
              <w:rPr>
                <w:lang w:val="en-US"/>
              </w:rPr>
            </w:pPr>
            <w:r w:rsidRPr="005D6EF2">
              <w:rPr>
                <w:lang w:val="en-US"/>
              </w:rPr>
              <w:t>32950</w:t>
            </w:r>
          </w:p>
        </w:tc>
        <w:tc>
          <w:tcPr>
            <w:tcW w:w="1214" w:type="dxa"/>
            <w:noWrap/>
            <w:hideMark/>
          </w:tcPr>
          <w:p w14:paraId="346948B5"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6172830"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016D8A84"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62678B98"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963356A"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1A72A359" w14:textId="77777777" w:rsidTr="00A807C1">
        <w:trPr>
          <w:trHeight w:val="300"/>
          <w:jc w:val="center"/>
        </w:trPr>
        <w:tc>
          <w:tcPr>
            <w:tcW w:w="1404" w:type="dxa"/>
            <w:noWrap/>
            <w:hideMark/>
          </w:tcPr>
          <w:p w14:paraId="0FA07AB5" w14:textId="77777777" w:rsidR="00935BE4" w:rsidRPr="005D6EF2" w:rsidRDefault="00935BE4" w:rsidP="005D6EF2">
            <w:pPr>
              <w:spacing w:line="240" w:lineRule="auto"/>
              <w:ind w:firstLine="0"/>
              <w:jc w:val="center"/>
              <w:rPr>
                <w:lang w:val="en-US"/>
              </w:rPr>
            </w:pPr>
            <w:r w:rsidRPr="005D6EF2">
              <w:rPr>
                <w:lang w:val="en-US"/>
              </w:rPr>
              <w:t>33047</w:t>
            </w:r>
          </w:p>
        </w:tc>
        <w:tc>
          <w:tcPr>
            <w:tcW w:w="1214" w:type="dxa"/>
            <w:noWrap/>
            <w:hideMark/>
          </w:tcPr>
          <w:p w14:paraId="1A9026F5"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7333722"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72D6DAAE"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3790426B"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450CA6E"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1BDA1C38" w14:textId="77777777" w:rsidTr="00A807C1">
        <w:trPr>
          <w:trHeight w:val="300"/>
          <w:jc w:val="center"/>
        </w:trPr>
        <w:tc>
          <w:tcPr>
            <w:tcW w:w="1404" w:type="dxa"/>
            <w:noWrap/>
            <w:hideMark/>
          </w:tcPr>
          <w:p w14:paraId="3AF14873" w14:textId="77777777" w:rsidR="00935BE4" w:rsidRPr="005D6EF2" w:rsidRDefault="00935BE4" w:rsidP="005D6EF2">
            <w:pPr>
              <w:spacing w:line="240" w:lineRule="auto"/>
              <w:ind w:firstLine="0"/>
              <w:jc w:val="center"/>
              <w:rPr>
                <w:lang w:val="en-US"/>
              </w:rPr>
            </w:pPr>
            <w:r w:rsidRPr="005D6EF2">
              <w:rPr>
                <w:lang w:val="en-US"/>
              </w:rPr>
              <w:t>33199</w:t>
            </w:r>
          </w:p>
        </w:tc>
        <w:tc>
          <w:tcPr>
            <w:tcW w:w="1214" w:type="dxa"/>
            <w:noWrap/>
            <w:hideMark/>
          </w:tcPr>
          <w:p w14:paraId="557549AE"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F987341"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668A2C53"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5DD35054"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EBDA11A"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4102F532" w14:textId="77777777" w:rsidTr="00A807C1">
        <w:trPr>
          <w:trHeight w:val="300"/>
          <w:jc w:val="center"/>
        </w:trPr>
        <w:tc>
          <w:tcPr>
            <w:tcW w:w="1404" w:type="dxa"/>
            <w:noWrap/>
            <w:hideMark/>
          </w:tcPr>
          <w:p w14:paraId="1979458C" w14:textId="77777777" w:rsidR="00935BE4" w:rsidRPr="005D6EF2" w:rsidRDefault="00935BE4" w:rsidP="005D6EF2">
            <w:pPr>
              <w:spacing w:line="240" w:lineRule="auto"/>
              <w:ind w:firstLine="0"/>
              <w:jc w:val="center"/>
              <w:rPr>
                <w:lang w:val="en-US"/>
              </w:rPr>
            </w:pPr>
            <w:r w:rsidRPr="005D6EF2">
              <w:rPr>
                <w:lang w:val="en-US"/>
              </w:rPr>
              <w:t>33201</w:t>
            </w:r>
          </w:p>
        </w:tc>
        <w:tc>
          <w:tcPr>
            <w:tcW w:w="1214" w:type="dxa"/>
            <w:noWrap/>
            <w:hideMark/>
          </w:tcPr>
          <w:p w14:paraId="5C6DBDFC"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91E5A3D"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1C78D35E"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625184B4"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C5CD923"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021C7292" w14:textId="77777777" w:rsidTr="00A807C1">
        <w:trPr>
          <w:trHeight w:val="300"/>
          <w:jc w:val="center"/>
        </w:trPr>
        <w:tc>
          <w:tcPr>
            <w:tcW w:w="1404" w:type="dxa"/>
            <w:noWrap/>
            <w:hideMark/>
          </w:tcPr>
          <w:p w14:paraId="29856525" w14:textId="77777777" w:rsidR="00935BE4" w:rsidRPr="005D6EF2" w:rsidRDefault="00935BE4" w:rsidP="005D6EF2">
            <w:pPr>
              <w:spacing w:line="240" w:lineRule="auto"/>
              <w:ind w:firstLine="0"/>
              <w:jc w:val="center"/>
              <w:rPr>
                <w:lang w:val="en-US"/>
              </w:rPr>
            </w:pPr>
            <w:r w:rsidRPr="005D6EF2">
              <w:rPr>
                <w:lang w:val="en-US"/>
              </w:rPr>
              <w:lastRenderedPageBreak/>
              <w:t>33805</w:t>
            </w:r>
          </w:p>
        </w:tc>
        <w:tc>
          <w:tcPr>
            <w:tcW w:w="1214" w:type="dxa"/>
            <w:noWrap/>
            <w:hideMark/>
          </w:tcPr>
          <w:p w14:paraId="7D85F815"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78B2DF3"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516E818B"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176C892A"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9D6D7AA"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17078A3E" w14:textId="77777777" w:rsidTr="00A807C1">
        <w:trPr>
          <w:trHeight w:val="300"/>
          <w:jc w:val="center"/>
        </w:trPr>
        <w:tc>
          <w:tcPr>
            <w:tcW w:w="1404" w:type="dxa"/>
            <w:noWrap/>
            <w:hideMark/>
          </w:tcPr>
          <w:p w14:paraId="18640E67" w14:textId="77777777" w:rsidR="00935BE4" w:rsidRPr="005D6EF2" w:rsidRDefault="00935BE4" w:rsidP="005D6EF2">
            <w:pPr>
              <w:spacing w:line="240" w:lineRule="auto"/>
              <w:ind w:firstLine="0"/>
              <w:jc w:val="center"/>
              <w:rPr>
                <w:lang w:val="en-US"/>
              </w:rPr>
            </w:pPr>
            <w:r w:rsidRPr="005D6EF2">
              <w:rPr>
                <w:lang w:val="en-US"/>
              </w:rPr>
              <w:t>34325</w:t>
            </w:r>
          </w:p>
        </w:tc>
        <w:tc>
          <w:tcPr>
            <w:tcW w:w="1214" w:type="dxa"/>
            <w:noWrap/>
            <w:hideMark/>
          </w:tcPr>
          <w:p w14:paraId="5189443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A0A9E57" w14:textId="77777777" w:rsidR="00935BE4" w:rsidRPr="005D6EF2" w:rsidRDefault="00935BE4" w:rsidP="005D6EF2">
            <w:pPr>
              <w:spacing w:line="240" w:lineRule="auto"/>
              <w:ind w:firstLine="0"/>
              <w:jc w:val="center"/>
              <w:rPr>
                <w:lang w:val="en-US"/>
              </w:rPr>
            </w:pPr>
            <w:r w:rsidRPr="005D6EF2">
              <w:rPr>
                <w:lang w:val="en-US"/>
              </w:rPr>
              <w:t>239.9718</w:t>
            </w:r>
          </w:p>
        </w:tc>
        <w:tc>
          <w:tcPr>
            <w:tcW w:w="1428" w:type="dxa"/>
            <w:noWrap/>
            <w:hideMark/>
          </w:tcPr>
          <w:p w14:paraId="24693777" w14:textId="77777777" w:rsidR="00935BE4" w:rsidRPr="005D6EF2" w:rsidRDefault="00935BE4" w:rsidP="005D6EF2">
            <w:pPr>
              <w:spacing w:line="240" w:lineRule="auto"/>
              <w:ind w:firstLine="0"/>
              <w:jc w:val="center"/>
              <w:rPr>
                <w:lang w:val="en-US"/>
              </w:rPr>
            </w:pPr>
            <w:r w:rsidRPr="005D6EF2">
              <w:rPr>
                <w:lang w:val="en-US"/>
              </w:rPr>
              <w:t>2699.367</w:t>
            </w:r>
          </w:p>
        </w:tc>
        <w:tc>
          <w:tcPr>
            <w:tcW w:w="1420" w:type="dxa"/>
            <w:noWrap/>
            <w:hideMark/>
          </w:tcPr>
          <w:p w14:paraId="73818B1F"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BC31B9F" w14:textId="77777777" w:rsidR="00935BE4" w:rsidRPr="005D6EF2" w:rsidRDefault="00935BE4" w:rsidP="005D6EF2">
            <w:pPr>
              <w:spacing w:line="240" w:lineRule="auto"/>
              <w:ind w:firstLine="0"/>
              <w:jc w:val="center"/>
              <w:rPr>
                <w:lang w:val="en-US"/>
              </w:rPr>
            </w:pPr>
            <w:r w:rsidRPr="005D6EF2">
              <w:rPr>
                <w:lang w:val="en-US"/>
              </w:rPr>
              <w:t>0.002699</w:t>
            </w:r>
          </w:p>
        </w:tc>
      </w:tr>
      <w:tr w:rsidR="00935BE4" w:rsidRPr="008A1D26" w14:paraId="6125DC1E" w14:textId="77777777" w:rsidTr="00A807C1">
        <w:trPr>
          <w:trHeight w:val="300"/>
          <w:jc w:val="center"/>
        </w:trPr>
        <w:tc>
          <w:tcPr>
            <w:tcW w:w="1404" w:type="dxa"/>
            <w:noWrap/>
            <w:hideMark/>
          </w:tcPr>
          <w:p w14:paraId="174F1A15" w14:textId="77777777" w:rsidR="00935BE4" w:rsidRPr="005D6EF2" w:rsidRDefault="00935BE4" w:rsidP="005D6EF2">
            <w:pPr>
              <w:spacing w:line="240" w:lineRule="auto"/>
              <w:ind w:firstLine="0"/>
              <w:jc w:val="center"/>
              <w:rPr>
                <w:lang w:val="en-US"/>
              </w:rPr>
            </w:pPr>
            <w:r w:rsidRPr="005D6EF2">
              <w:rPr>
                <w:lang w:val="en-US"/>
              </w:rPr>
              <w:t>34326</w:t>
            </w:r>
          </w:p>
        </w:tc>
        <w:tc>
          <w:tcPr>
            <w:tcW w:w="1214" w:type="dxa"/>
            <w:noWrap/>
            <w:hideMark/>
          </w:tcPr>
          <w:p w14:paraId="50A85BE3"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5D9FF82"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772C1B94"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722AF88B"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58DEF65"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467646AB" w14:textId="77777777" w:rsidTr="00A807C1">
        <w:trPr>
          <w:trHeight w:val="300"/>
          <w:jc w:val="center"/>
        </w:trPr>
        <w:tc>
          <w:tcPr>
            <w:tcW w:w="1404" w:type="dxa"/>
            <w:noWrap/>
            <w:hideMark/>
          </w:tcPr>
          <w:p w14:paraId="047A506E" w14:textId="77777777" w:rsidR="00935BE4" w:rsidRPr="005D6EF2" w:rsidRDefault="00935BE4" w:rsidP="005D6EF2">
            <w:pPr>
              <w:spacing w:line="240" w:lineRule="auto"/>
              <w:ind w:firstLine="0"/>
              <w:jc w:val="center"/>
              <w:rPr>
                <w:lang w:val="en-US"/>
              </w:rPr>
            </w:pPr>
            <w:r w:rsidRPr="005D6EF2">
              <w:rPr>
                <w:lang w:val="en-US"/>
              </w:rPr>
              <w:t>36644</w:t>
            </w:r>
          </w:p>
        </w:tc>
        <w:tc>
          <w:tcPr>
            <w:tcW w:w="1214" w:type="dxa"/>
            <w:noWrap/>
            <w:hideMark/>
          </w:tcPr>
          <w:p w14:paraId="636C4428"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B7F9536"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788C1AEC"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31F1B590"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0CF2976"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1EA7EF1A" w14:textId="77777777" w:rsidTr="00A807C1">
        <w:trPr>
          <w:trHeight w:val="300"/>
          <w:jc w:val="center"/>
        </w:trPr>
        <w:tc>
          <w:tcPr>
            <w:tcW w:w="1404" w:type="dxa"/>
            <w:noWrap/>
            <w:hideMark/>
          </w:tcPr>
          <w:p w14:paraId="4281EDCE" w14:textId="77777777" w:rsidR="00935BE4" w:rsidRPr="005D6EF2" w:rsidRDefault="00935BE4" w:rsidP="005D6EF2">
            <w:pPr>
              <w:spacing w:line="240" w:lineRule="auto"/>
              <w:ind w:firstLine="0"/>
              <w:jc w:val="center"/>
              <w:rPr>
                <w:lang w:val="en-US"/>
              </w:rPr>
            </w:pPr>
            <w:r w:rsidRPr="005D6EF2">
              <w:rPr>
                <w:lang w:val="en-US"/>
              </w:rPr>
              <w:t>37419</w:t>
            </w:r>
          </w:p>
        </w:tc>
        <w:tc>
          <w:tcPr>
            <w:tcW w:w="1214" w:type="dxa"/>
            <w:noWrap/>
            <w:hideMark/>
          </w:tcPr>
          <w:p w14:paraId="0D8CCFF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E128E7E"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58F16338"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3F784777"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45A7E32"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4A716263" w14:textId="77777777" w:rsidTr="00A807C1">
        <w:trPr>
          <w:trHeight w:val="300"/>
          <w:jc w:val="center"/>
        </w:trPr>
        <w:tc>
          <w:tcPr>
            <w:tcW w:w="1404" w:type="dxa"/>
            <w:noWrap/>
            <w:hideMark/>
          </w:tcPr>
          <w:p w14:paraId="2B8C6EFF" w14:textId="77777777" w:rsidR="00935BE4" w:rsidRPr="005D6EF2" w:rsidRDefault="00935BE4" w:rsidP="005D6EF2">
            <w:pPr>
              <w:spacing w:line="240" w:lineRule="auto"/>
              <w:ind w:firstLine="0"/>
              <w:jc w:val="center"/>
              <w:rPr>
                <w:lang w:val="en-US"/>
              </w:rPr>
            </w:pPr>
            <w:r w:rsidRPr="005D6EF2">
              <w:rPr>
                <w:lang w:val="en-US"/>
              </w:rPr>
              <w:t>37517</w:t>
            </w:r>
          </w:p>
        </w:tc>
        <w:tc>
          <w:tcPr>
            <w:tcW w:w="1214" w:type="dxa"/>
            <w:noWrap/>
            <w:hideMark/>
          </w:tcPr>
          <w:p w14:paraId="458AE91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D1D7AAF"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6EF88F85"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50A6DC93"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C68C59A"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5A791B8E" w14:textId="77777777" w:rsidTr="00A807C1">
        <w:trPr>
          <w:trHeight w:val="300"/>
          <w:jc w:val="center"/>
        </w:trPr>
        <w:tc>
          <w:tcPr>
            <w:tcW w:w="1404" w:type="dxa"/>
            <w:noWrap/>
            <w:hideMark/>
          </w:tcPr>
          <w:p w14:paraId="7AD847B4" w14:textId="77777777" w:rsidR="00935BE4" w:rsidRPr="005D6EF2" w:rsidRDefault="00935BE4" w:rsidP="005D6EF2">
            <w:pPr>
              <w:spacing w:line="240" w:lineRule="auto"/>
              <w:ind w:firstLine="0"/>
              <w:jc w:val="center"/>
              <w:rPr>
                <w:lang w:val="en-US"/>
              </w:rPr>
            </w:pPr>
            <w:r w:rsidRPr="005D6EF2">
              <w:rPr>
                <w:lang w:val="en-US"/>
              </w:rPr>
              <w:t>38127</w:t>
            </w:r>
          </w:p>
        </w:tc>
        <w:tc>
          <w:tcPr>
            <w:tcW w:w="1214" w:type="dxa"/>
            <w:noWrap/>
            <w:hideMark/>
          </w:tcPr>
          <w:p w14:paraId="5643B921"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F2200D3" w14:textId="77777777" w:rsidR="00935BE4" w:rsidRPr="005D6EF2" w:rsidRDefault="00935BE4" w:rsidP="005D6EF2">
            <w:pPr>
              <w:spacing w:line="240" w:lineRule="auto"/>
              <w:ind w:firstLine="0"/>
              <w:jc w:val="center"/>
              <w:rPr>
                <w:lang w:val="en-US"/>
              </w:rPr>
            </w:pPr>
            <w:r w:rsidRPr="005D6EF2">
              <w:rPr>
                <w:lang w:val="en-US"/>
              </w:rPr>
              <w:t>113.1743</w:t>
            </w:r>
          </w:p>
        </w:tc>
        <w:tc>
          <w:tcPr>
            <w:tcW w:w="1428" w:type="dxa"/>
            <w:noWrap/>
            <w:hideMark/>
          </w:tcPr>
          <w:p w14:paraId="568696B0" w14:textId="77777777" w:rsidR="00935BE4" w:rsidRPr="005D6EF2" w:rsidRDefault="00935BE4" w:rsidP="005D6EF2">
            <w:pPr>
              <w:spacing w:line="240" w:lineRule="auto"/>
              <w:ind w:firstLine="0"/>
              <w:jc w:val="center"/>
              <w:rPr>
                <w:lang w:val="en-US"/>
              </w:rPr>
            </w:pPr>
            <w:r w:rsidRPr="005D6EF2">
              <w:rPr>
                <w:lang w:val="en-US"/>
              </w:rPr>
              <w:t>616.0683</w:t>
            </w:r>
          </w:p>
        </w:tc>
        <w:tc>
          <w:tcPr>
            <w:tcW w:w="1420" w:type="dxa"/>
            <w:noWrap/>
            <w:hideMark/>
          </w:tcPr>
          <w:p w14:paraId="044FB77B"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13E9F7C"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5DA503A0" w14:textId="77777777" w:rsidTr="00A807C1">
        <w:trPr>
          <w:trHeight w:val="300"/>
          <w:jc w:val="center"/>
        </w:trPr>
        <w:tc>
          <w:tcPr>
            <w:tcW w:w="1404" w:type="dxa"/>
            <w:noWrap/>
            <w:hideMark/>
          </w:tcPr>
          <w:p w14:paraId="732309AD" w14:textId="77777777" w:rsidR="00935BE4" w:rsidRPr="005D6EF2" w:rsidRDefault="00935BE4" w:rsidP="005D6EF2">
            <w:pPr>
              <w:spacing w:line="240" w:lineRule="auto"/>
              <w:ind w:firstLine="0"/>
              <w:jc w:val="center"/>
              <w:rPr>
                <w:lang w:val="en-US"/>
              </w:rPr>
            </w:pPr>
            <w:r w:rsidRPr="005D6EF2">
              <w:rPr>
                <w:lang w:val="en-US"/>
              </w:rPr>
              <w:t>44180</w:t>
            </w:r>
          </w:p>
        </w:tc>
        <w:tc>
          <w:tcPr>
            <w:tcW w:w="1214" w:type="dxa"/>
            <w:noWrap/>
            <w:hideMark/>
          </w:tcPr>
          <w:p w14:paraId="2237172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67FFCD3" w14:textId="77777777" w:rsidR="00935BE4" w:rsidRPr="005D6EF2" w:rsidRDefault="00935BE4" w:rsidP="005D6EF2">
            <w:pPr>
              <w:spacing w:line="240" w:lineRule="auto"/>
              <w:ind w:firstLine="0"/>
              <w:jc w:val="center"/>
              <w:rPr>
                <w:lang w:val="en-US"/>
              </w:rPr>
            </w:pPr>
            <w:r w:rsidRPr="005D6EF2">
              <w:rPr>
                <w:lang w:val="en-US"/>
              </w:rPr>
              <w:t>330.3337</w:t>
            </w:r>
          </w:p>
        </w:tc>
        <w:tc>
          <w:tcPr>
            <w:tcW w:w="1428" w:type="dxa"/>
            <w:noWrap/>
            <w:hideMark/>
          </w:tcPr>
          <w:p w14:paraId="6712F355" w14:textId="77777777" w:rsidR="00935BE4" w:rsidRPr="005D6EF2" w:rsidRDefault="00935BE4" w:rsidP="005D6EF2">
            <w:pPr>
              <w:spacing w:line="240" w:lineRule="auto"/>
              <w:ind w:firstLine="0"/>
              <w:jc w:val="center"/>
              <w:rPr>
                <w:lang w:val="en-US"/>
              </w:rPr>
            </w:pPr>
            <w:r w:rsidRPr="005D6EF2">
              <w:rPr>
                <w:lang w:val="en-US"/>
              </w:rPr>
              <w:t>5207.424</w:t>
            </w:r>
          </w:p>
        </w:tc>
        <w:tc>
          <w:tcPr>
            <w:tcW w:w="1420" w:type="dxa"/>
            <w:noWrap/>
            <w:hideMark/>
          </w:tcPr>
          <w:p w14:paraId="5D0DE50F"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91960D7" w14:textId="77777777" w:rsidR="00935BE4" w:rsidRPr="005D6EF2" w:rsidRDefault="00935BE4" w:rsidP="005D6EF2">
            <w:pPr>
              <w:spacing w:line="240" w:lineRule="auto"/>
              <w:ind w:firstLine="0"/>
              <w:jc w:val="center"/>
              <w:rPr>
                <w:lang w:val="en-US"/>
              </w:rPr>
            </w:pPr>
            <w:r w:rsidRPr="005D6EF2">
              <w:rPr>
                <w:lang w:val="en-US"/>
              </w:rPr>
              <w:t>0.005207</w:t>
            </w:r>
          </w:p>
        </w:tc>
      </w:tr>
      <w:tr w:rsidR="00935BE4" w:rsidRPr="008A1D26" w14:paraId="57ACBE22" w14:textId="77777777" w:rsidTr="00A807C1">
        <w:trPr>
          <w:trHeight w:val="300"/>
          <w:jc w:val="center"/>
        </w:trPr>
        <w:tc>
          <w:tcPr>
            <w:tcW w:w="1404" w:type="dxa"/>
            <w:noWrap/>
            <w:hideMark/>
          </w:tcPr>
          <w:p w14:paraId="1E890424" w14:textId="77777777" w:rsidR="00935BE4" w:rsidRPr="005D6EF2" w:rsidRDefault="00935BE4" w:rsidP="005D6EF2">
            <w:pPr>
              <w:spacing w:line="240" w:lineRule="auto"/>
              <w:ind w:firstLine="0"/>
              <w:jc w:val="center"/>
              <w:rPr>
                <w:lang w:val="en-US"/>
              </w:rPr>
            </w:pPr>
            <w:r w:rsidRPr="005D6EF2">
              <w:rPr>
                <w:lang w:val="en-US"/>
              </w:rPr>
              <w:t>44264</w:t>
            </w:r>
          </w:p>
        </w:tc>
        <w:tc>
          <w:tcPr>
            <w:tcW w:w="1214" w:type="dxa"/>
            <w:noWrap/>
            <w:hideMark/>
          </w:tcPr>
          <w:p w14:paraId="0970ABF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2815F12" w14:textId="77777777" w:rsidR="00935BE4" w:rsidRPr="005D6EF2" w:rsidRDefault="00935BE4" w:rsidP="005D6EF2">
            <w:pPr>
              <w:spacing w:line="240" w:lineRule="auto"/>
              <w:ind w:firstLine="0"/>
              <w:jc w:val="center"/>
              <w:rPr>
                <w:lang w:val="en-US"/>
              </w:rPr>
            </w:pPr>
            <w:r w:rsidRPr="005D6EF2">
              <w:rPr>
                <w:lang w:val="en-US"/>
              </w:rPr>
              <w:t>359.9578</w:t>
            </w:r>
          </w:p>
        </w:tc>
        <w:tc>
          <w:tcPr>
            <w:tcW w:w="1428" w:type="dxa"/>
            <w:noWrap/>
            <w:hideMark/>
          </w:tcPr>
          <w:p w14:paraId="78290E8D" w14:textId="77777777" w:rsidR="00935BE4" w:rsidRPr="005D6EF2" w:rsidRDefault="00935BE4" w:rsidP="005D6EF2">
            <w:pPr>
              <w:spacing w:line="240" w:lineRule="auto"/>
              <w:ind w:firstLine="0"/>
              <w:jc w:val="center"/>
              <w:rPr>
                <w:lang w:val="en-US"/>
              </w:rPr>
            </w:pPr>
            <w:r w:rsidRPr="005D6EF2">
              <w:rPr>
                <w:lang w:val="en-US"/>
              </w:rPr>
              <w:t>4498.944</w:t>
            </w:r>
          </w:p>
        </w:tc>
        <w:tc>
          <w:tcPr>
            <w:tcW w:w="1420" w:type="dxa"/>
            <w:noWrap/>
            <w:hideMark/>
          </w:tcPr>
          <w:p w14:paraId="5A202F55"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FC4B050" w14:textId="77777777" w:rsidR="00935BE4" w:rsidRPr="005D6EF2" w:rsidRDefault="00935BE4" w:rsidP="005D6EF2">
            <w:pPr>
              <w:spacing w:line="240" w:lineRule="auto"/>
              <w:ind w:firstLine="0"/>
              <w:jc w:val="center"/>
              <w:rPr>
                <w:lang w:val="en-US"/>
              </w:rPr>
            </w:pPr>
            <w:r w:rsidRPr="005D6EF2">
              <w:rPr>
                <w:lang w:val="en-US"/>
              </w:rPr>
              <w:t>0.004499</w:t>
            </w:r>
          </w:p>
        </w:tc>
      </w:tr>
      <w:tr w:rsidR="00935BE4" w:rsidRPr="008A1D26" w14:paraId="00D3BF5B" w14:textId="77777777" w:rsidTr="00A807C1">
        <w:trPr>
          <w:trHeight w:val="300"/>
          <w:jc w:val="center"/>
        </w:trPr>
        <w:tc>
          <w:tcPr>
            <w:tcW w:w="1404" w:type="dxa"/>
            <w:noWrap/>
            <w:hideMark/>
          </w:tcPr>
          <w:p w14:paraId="19070CB9" w14:textId="77777777" w:rsidR="00935BE4" w:rsidRPr="005D6EF2" w:rsidRDefault="00935BE4" w:rsidP="005D6EF2">
            <w:pPr>
              <w:spacing w:line="240" w:lineRule="auto"/>
              <w:ind w:firstLine="0"/>
              <w:jc w:val="center"/>
              <w:rPr>
                <w:lang w:val="en-US"/>
              </w:rPr>
            </w:pPr>
            <w:r w:rsidRPr="005D6EF2">
              <w:rPr>
                <w:lang w:val="en-US"/>
              </w:rPr>
              <w:t>44266</w:t>
            </w:r>
          </w:p>
        </w:tc>
        <w:tc>
          <w:tcPr>
            <w:tcW w:w="1214" w:type="dxa"/>
            <w:noWrap/>
            <w:hideMark/>
          </w:tcPr>
          <w:p w14:paraId="3E7FDE0A"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A75EE63"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2947341E"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2BA728CF"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6D552BC"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3D7475F5" w14:textId="77777777" w:rsidTr="00A807C1">
        <w:trPr>
          <w:trHeight w:val="300"/>
          <w:jc w:val="center"/>
        </w:trPr>
        <w:tc>
          <w:tcPr>
            <w:tcW w:w="1404" w:type="dxa"/>
            <w:noWrap/>
            <w:hideMark/>
          </w:tcPr>
          <w:p w14:paraId="5660BD5B" w14:textId="77777777" w:rsidR="00935BE4" w:rsidRPr="005D6EF2" w:rsidRDefault="00935BE4" w:rsidP="005D6EF2">
            <w:pPr>
              <w:spacing w:line="240" w:lineRule="auto"/>
              <w:ind w:firstLine="0"/>
              <w:jc w:val="center"/>
              <w:rPr>
                <w:lang w:val="en-US"/>
              </w:rPr>
            </w:pPr>
            <w:r w:rsidRPr="005D6EF2">
              <w:rPr>
                <w:lang w:val="en-US"/>
              </w:rPr>
              <w:t>44347</w:t>
            </w:r>
          </w:p>
        </w:tc>
        <w:tc>
          <w:tcPr>
            <w:tcW w:w="1214" w:type="dxa"/>
            <w:noWrap/>
            <w:hideMark/>
          </w:tcPr>
          <w:p w14:paraId="584D27D9"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2FE8255"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18DAA9D5"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17B217A3"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6419817"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2CEE8603" w14:textId="77777777" w:rsidTr="00A807C1">
        <w:trPr>
          <w:trHeight w:val="300"/>
          <w:jc w:val="center"/>
        </w:trPr>
        <w:tc>
          <w:tcPr>
            <w:tcW w:w="1404" w:type="dxa"/>
            <w:noWrap/>
            <w:hideMark/>
          </w:tcPr>
          <w:p w14:paraId="37DE1C69" w14:textId="77777777" w:rsidR="00935BE4" w:rsidRPr="005D6EF2" w:rsidRDefault="00935BE4" w:rsidP="005D6EF2">
            <w:pPr>
              <w:spacing w:line="240" w:lineRule="auto"/>
              <w:ind w:firstLine="0"/>
              <w:jc w:val="center"/>
              <w:rPr>
                <w:lang w:val="en-US"/>
              </w:rPr>
            </w:pPr>
            <w:r w:rsidRPr="005D6EF2">
              <w:rPr>
                <w:lang w:val="en-US"/>
              </w:rPr>
              <w:t>44514</w:t>
            </w:r>
          </w:p>
        </w:tc>
        <w:tc>
          <w:tcPr>
            <w:tcW w:w="1214" w:type="dxa"/>
            <w:noWrap/>
            <w:hideMark/>
          </w:tcPr>
          <w:p w14:paraId="5EF4AAE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B4D5A0C"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1184816A"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23656726"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432D3A8"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5B18E69B" w14:textId="77777777" w:rsidTr="00A807C1">
        <w:trPr>
          <w:trHeight w:val="300"/>
          <w:jc w:val="center"/>
        </w:trPr>
        <w:tc>
          <w:tcPr>
            <w:tcW w:w="1404" w:type="dxa"/>
            <w:noWrap/>
            <w:hideMark/>
          </w:tcPr>
          <w:p w14:paraId="5597DA7C" w14:textId="77777777" w:rsidR="00935BE4" w:rsidRPr="005D6EF2" w:rsidRDefault="00935BE4" w:rsidP="005D6EF2">
            <w:pPr>
              <w:spacing w:line="240" w:lineRule="auto"/>
              <w:ind w:firstLine="0"/>
              <w:jc w:val="center"/>
              <w:rPr>
                <w:lang w:val="en-US"/>
              </w:rPr>
            </w:pPr>
            <w:r w:rsidRPr="005D6EF2">
              <w:rPr>
                <w:lang w:val="en-US"/>
              </w:rPr>
              <w:t>44602</w:t>
            </w:r>
          </w:p>
        </w:tc>
        <w:tc>
          <w:tcPr>
            <w:tcW w:w="1214" w:type="dxa"/>
            <w:noWrap/>
            <w:hideMark/>
          </w:tcPr>
          <w:p w14:paraId="3DA5A622"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6E32D16"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24456A74"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1611A63B"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E22E0DA"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1F71ED88" w14:textId="77777777" w:rsidTr="00A807C1">
        <w:trPr>
          <w:trHeight w:val="300"/>
          <w:jc w:val="center"/>
        </w:trPr>
        <w:tc>
          <w:tcPr>
            <w:tcW w:w="1404" w:type="dxa"/>
            <w:noWrap/>
            <w:hideMark/>
          </w:tcPr>
          <w:p w14:paraId="6553B939" w14:textId="77777777" w:rsidR="00935BE4" w:rsidRPr="005D6EF2" w:rsidRDefault="00935BE4" w:rsidP="005D6EF2">
            <w:pPr>
              <w:spacing w:line="240" w:lineRule="auto"/>
              <w:ind w:firstLine="0"/>
              <w:jc w:val="center"/>
              <w:rPr>
                <w:lang w:val="en-US"/>
              </w:rPr>
            </w:pPr>
            <w:r w:rsidRPr="005D6EF2">
              <w:rPr>
                <w:lang w:val="en-US"/>
              </w:rPr>
              <w:t>46646</w:t>
            </w:r>
          </w:p>
        </w:tc>
        <w:tc>
          <w:tcPr>
            <w:tcW w:w="1214" w:type="dxa"/>
            <w:noWrap/>
            <w:hideMark/>
          </w:tcPr>
          <w:p w14:paraId="57F5B5A5"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846510A" w14:textId="77777777" w:rsidR="00935BE4" w:rsidRPr="005D6EF2" w:rsidRDefault="00935BE4" w:rsidP="005D6EF2">
            <w:pPr>
              <w:spacing w:line="240" w:lineRule="auto"/>
              <w:ind w:firstLine="0"/>
              <w:jc w:val="center"/>
              <w:rPr>
                <w:lang w:val="en-US"/>
              </w:rPr>
            </w:pPr>
            <w:r w:rsidRPr="005D6EF2">
              <w:rPr>
                <w:lang w:val="en-US"/>
              </w:rPr>
              <w:t>162.9747</w:t>
            </w:r>
          </w:p>
        </w:tc>
        <w:tc>
          <w:tcPr>
            <w:tcW w:w="1428" w:type="dxa"/>
            <w:noWrap/>
            <w:hideMark/>
          </w:tcPr>
          <w:p w14:paraId="0C9F94CC" w14:textId="77777777" w:rsidR="00935BE4" w:rsidRPr="005D6EF2" w:rsidRDefault="00935BE4" w:rsidP="005D6EF2">
            <w:pPr>
              <w:spacing w:line="240" w:lineRule="auto"/>
              <w:ind w:firstLine="0"/>
              <w:jc w:val="center"/>
              <w:rPr>
                <w:lang w:val="en-US"/>
              </w:rPr>
            </w:pPr>
            <w:r w:rsidRPr="005D6EF2">
              <w:rPr>
                <w:lang w:val="en-US"/>
              </w:rPr>
              <w:t>1255.388</w:t>
            </w:r>
          </w:p>
        </w:tc>
        <w:tc>
          <w:tcPr>
            <w:tcW w:w="1420" w:type="dxa"/>
            <w:noWrap/>
            <w:hideMark/>
          </w:tcPr>
          <w:p w14:paraId="611C175F"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DB9795F" w14:textId="77777777" w:rsidR="00935BE4" w:rsidRPr="005D6EF2" w:rsidRDefault="00935BE4" w:rsidP="005D6EF2">
            <w:pPr>
              <w:spacing w:line="240" w:lineRule="auto"/>
              <w:ind w:firstLine="0"/>
              <w:jc w:val="center"/>
              <w:rPr>
                <w:lang w:val="en-US"/>
              </w:rPr>
            </w:pPr>
            <w:r w:rsidRPr="005D6EF2">
              <w:rPr>
                <w:lang w:val="en-US"/>
              </w:rPr>
              <w:t>0.001255</w:t>
            </w:r>
          </w:p>
        </w:tc>
      </w:tr>
      <w:tr w:rsidR="00935BE4" w:rsidRPr="008A1D26" w14:paraId="616994EC" w14:textId="77777777" w:rsidTr="00A807C1">
        <w:trPr>
          <w:trHeight w:val="300"/>
          <w:jc w:val="center"/>
        </w:trPr>
        <w:tc>
          <w:tcPr>
            <w:tcW w:w="1404" w:type="dxa"/>
            <w:noWrap/>
            <w:hideMark/>
          </w:tcPr>
          <w:p w14:paraId="70B240D6" w14:textId="77777777" w:rsidR="00935BE4" w:rsidRPr="005D6EF2" w:rsidRDefault="00935BE4" w:rsidP="005D6EF2">
            <w:pPr>
              <w:spacing w:line="240" w:lineRule="auto"/>
              <w:ind w:firstLine="0"/>
              <w:jc w:val="center"/>
              <w:rPr>
                <w:lang w:val="en-US"/>
              </w:rPr>
            </w:pPr>
            <w:r w:rsidRPr="005D6EF2">
              <w:rPr>
                <w:lang w:val="en-US"/>
              </w:rPr>
              <w:t>48229</w:t>
            </w:r>
          </w:p>
        </w:tc>
        <w:tc>
          <w:tcPr>
            <w:tcW w:w="1214" w:type="dxa"/>
            <w:noWrap/>
            <w:hideMark/>
          </w:tcPr>
          <w:p w14:paraId="016E480F"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ECF13BA"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6934D42F"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2ABCFFF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FB582D9"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6517FDCB" w14:textId="77777777" w:rsidTr="00A807C1">
        <w:trPr>
          <w:trHeight w:val="300"/>
          <w:jc w:val="center"/>
        </w:trPr>
        <w:tc>
          <w:tcPr>
            <w:tcW w:w="1404" w:type="dxa"/>
            <w:noWrap/>
            <w:hideMark/>
          </w:tcPr>
          <w:p w14:paraId="2A8316A0" w14:textId="77777777" w:rsidR="00935BE4" w:rsidRPr="005D6EF2" w:rsidRDefault="00935BE4" w:rsidP="005D6EF2">
            <w:pPr>
              <w:spacing w:line="240" w:lineRule="auto"/>
              <w:ind w:firstLine="0"/>
              <w:jc w:val="center"/>
              <w:rPr>
                <w:lang w:val="en-US"/>
              </w:rPr>
            </w:pPr>
            <w:r w:rsidRPr="005D6EF2">
              <w:rPr>
                <w:lang w:val="en-US"/>
              </w:rPr>
              <w:t>48330</w:t>
            </w:r>
          </w:p>
        </w:tc>
        <w:tc>
          <w:tcPr>
            <w:tcW w:w="1214" w:type="dxa"/>
            <w:noWrap/>
            <w:hideMark/>
          </w:tcPr>
          <w:p w14:paraId="0207B96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D5FECD1"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640D16AC"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652BA1EB"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5EFA19E"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3A734206" w14:textId="77777777" w:rsidTr="00A807C1">
        <w:trPr>
          <w:trHeight w:val="300"/>
          <w:jc w:val="center"/>
        </w:trPr>
        <w:tc>
          <w:tcPr>
            <w:tcW w:w="1404" w:type="dxa"/>
            <w:noWrap/>
            <w:hideMark/>
          </w:tcPr>
          <w:p w14:paraId="647034F4" w14:textId="77777777" w:rsidR="00935BE4" w:rsidRPr="005D6EF2" w:rsidRDefault="00935BE4" w:rsidP="005D6EF2">
            <w:pPr>
              <w:spacing w:line="240" w:lineRule="auto"/>
              <w:ind w:firstLine="0"/>
              <w:jc w:val="center"/>
              <w:rPr>
                <w:lang w:val="en-US"/>
              </w:rPr>
            </w:pPr>
            <w:r w:rsidRPr="005D6EF2">
              <w:rPr>
                <w:lang w:val="en-US"/>
              </w:rPr>
              <w:t>48427</w:t>
            </w:r>
          </w:p>
        </w:tc>
        <w:tc>
          <w:tcPr>
            <w:tcW w:w="1214" w:type="dxa"/>
            <w:noWrap/>
            <w:hideMark/>
          </w:tcPr>
          <w:p w14:paraId="3FAC572C"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199075A"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76BBF5C3"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23D03387"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55574EC"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174A968F" w14:textId="77777777" w:rsidTr="00A807C1">
        <w:trPr>
          <w:trHeight w:val="300"/>
          <w:jc w:val="center"/>
        </w:trPr>
        <w:tc>
          <w:tcPr>
            <w:tcW w:w="1404" w:type="dxa"/>
            <w:noWrap/>
            <w:hideMark/>
          </w:tcPr>
          <w:p w14:paraId="72B8B42C" w14:textId="77777777" w:rsidR="00935BE4" w:rsidRPr="005D6EF2" w:rsidRDefault="00935BE4" w:rsidP="005D6EF2">
            <w:pPr>
              <w:spacing w:line="240" w:lineRule="auto"/>
              <w:ind w:firstLine="0"/>
              <w:jc w:val="center"/>
              <w:rPr>
                <w:lang w:val="en-US"/>
              </w:rPr>
            </w:pPr>
            <w:r w:rsidRPr="005D6EF2">
              <w:rPr>
                <w:lang w:val="en-US"/>
              </w:rPr>
              <w:t>50397</w:t>
            </w:r>
          </w:p>
        </w:tc>
        <w:tc>
          <w:tcPr>
            <w:tcW w:w="1214" w:type="dxa"/>
            <w:noWrap/>
            <w:hideMark/>
          </w:tcPr>
          <w:p w14:paraId="32E4ED9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37B0855"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71FB55E1"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521A90FF"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0397501"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3F5F55C2" w14:textId="77777777" w:rsidTr="00A807C1">
        <w:trPr>
          <w:trHeight w:val="300"/>
          <w:jc w:val="center"/>
        </w:trPr>
        <w:tc>
          <w:tcPr>
            <w:tcW w:w="1404" w:type="dxa"/>
            <w:noWrap/>
            <w:hideMark/>
          </w:tcPr>
          <w:p w14:paraId="237EB4B5" w14:textId="77777777" w:rsidR="00935BE4" w:rsidRPr="005D6EF2" w:rsidRDefault="00935BE4" w:rsidP="005D6EF2">
            <w:pPr>
              <w:spacing w:line="240" w:lineRule="auto"/>
              <w:ind w:firstLine="0"/>
              <w:jc w:val="center"/>
              <w:rPr>
                <w:lang w:val="en-US"/>
              </w:rPr>
            </w:pPr>
            <w:r w:rsidRPr="005D6EF2">
              <w:rPr>
                <w:lang w:val="en-US"/>
              </w:rPr>
              <w:t>50797</w:t>
            </w:r>
          </w:p>
        </w:tc>
        <w:tc>
          <w:tcPr>
            <w:tcW w:w="1214" w:type="dxa"/>
            <w:noWrap/>
            <w:hideMark/>
          </w:tcPr>
          <w:p w14:paraId="4EE7458A"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963AB68" w14:textId="77777777" w:rsidR="00935BE4" w:rsidRPr="005D6EF2" w:rsidRDefault="00935BE4" w:rsidP="005D6EF2">
            <w:pPr>
              <w:spacing w:line="240" w:lineRule="auto"/>
              <w:ind w:firstLine="0"/>
              <w:jc w:val="center"/>
              <w:rPr>
                <w:lang w:val="en-US"/>
              </w:rPr>
            </w:pPr>
            <w:r w:rsidRPr="005D6EF2">
              <w:rPr>
                <w:lang w:val="en-US"/>
              </w:rPr>
              <w:t>304.7119</w:t>
            </w:r>
          </w:p>
        </w:tc>
        <w:tc>
          <w:tcPr>
            <w:tcW w:w="1428" w:type="dxa"/>
            <w:noWrap/>
            <w:hideMark/>
          </w:tcPr>
          <w:p w14:paraId="1FB37A51" w14:textId="77777777" w:rsidR="00935BE4" w:rsidRPr="005D6EF2" w:rsidRDefault="00935BE4" w:rsidP="005D6EF2">
            <w:pPr>
              <w:spacing w:line="240" w:lineRule="auto"/>
              <w:ind w:firstLine="0"/>
              <w:jc w:val="center"/>
              <w:rPr>
                <w:lang w:val="en-US"/>
              </w:rPr>
            </w:pPr>
            <w:r w:rsidRPr="005D6EF2">
              <w:rPr>
                <w:lang w:val="en-US"/>
              </w:rPr>
              <w:t>4020.492</w:t>
            </w:r>
          </w:p>
        </w:tc>
        <w:tc>
          <w:tcPr>
            <w:tcW w:w="1420" w:type="dxa"/>
            <w:noWrap/>
            <w:hideMark/>
          </w:tcPr>
          <w:p w14:paraId="43683E7B"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131D259" w14:textId="77777777" w:rsidR="00935BE4" w:rsidRPr="005D6EF2" w:rsidRDefault="00935BE4" w:rsidP="005D6EF2">
            <w:pPr>
              <w:spacing w:line="240" w:lineRule="auto"/>
              <w:ind w:firstLine="0"/>
              <w:jc w:val="center"/>
              <w:rPr>
                <w:lang w:val="en-US"/>
              </w:rPr>
            </w:pPr>
            <w:r w:rsidRPr="005D6EF2">
              <w:rPr>
                <w:lang w:val="en-US"/>
              </w:rPr>
              <w:t>0.004021</w:t>
            </w:r>
          </w:p>
        </w:tc>
      </w:tr>
      <w:tr w:rsidR="00935BE4" w:rsidRPr="008A1D26" w14:paraId="25B67E64" w14:textId="77777777" w:rsidTr="00A807C1">
        <w:trPr>
          <w:trHeight w:val="300"/>
          <w:jc w:val="center"/>
        </w:trPr>
        <w:tc>
          <w:tcPr>
            <w:tcW w:w="1404" w:type="dxa"/>
            <w:noWrap/>
            <w:hideMark/>
          </w:tcPr>
          <w:p w14:paraId="4769BA82" w14:textId="77777777" w:rsidR="00935BE4" w:rsidRPr="005D6EF2" w:rsidRDefault="00935BE4" w:rsidP="005D6EF2">
            <w:pPr>
              <w:spacing w:line="240" w:lineRule="auto"/>
              <w:ind w:firstLine="0"/>
              <w:jc w:val="center"/>
              <w:rPr>
                <w:lang w:val="en-US"/>
              </w:rPr>
            </w:pPr>
            <w:r w:rsidRPr="005D6EF2">
              <w:rPr>
                <w:lang w:val="en-US"/>
              </w:rPr>
              <w:t>51027</w:t>
            </w:r>
          </w:p>
        </w:tc>
        <w:tc>
          <w:tcPr>
            <w:tcW w:w="1214" w:type="dxa"/>
            <w:noWrap/>
            <w:hideMark/>
          </w:tcPr>
          <w:p w14:paraId="3E24EE8F"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9E0BBEB" w14:textId="77777777" w:rsidR="00935BE4" w:rsidRPr="005D6EF2" w:rsidRDefault="00935BE4" w:rsidP="005D6EF2">
            <w:pPr>
              <w:spacing w:line="240" w:lineRule="auto"/>
              <w:ind w:firstLine="0"/>
              <w:jc w:val="center"/>
              <w:rPr>
                <w:lang w:val="en-US"/>
              </w:rPr>
            </w:pPr>
            <w:r w:rsidRPr="005D6EF2">
              <w:rPr>
                <w:lang w:val="en-US"/>
              </w:rPr>
              <w:t>112.4817</w:t>
            </w:r>
          </w:p>
        </w:tc>
        <w:tc>
          <w:tcPr>
            <w:tcW w:w="1428" w:type="dxa"/>
            <w:noWrap/>
            <w:hideMark/>
          </w:tcPr>
          <w:p w14:paraId="2D95E34A" w14:textId="77777777" w:rsidR="00935BE4" w:rsidRPr="005D6EF2" w:rsidRDefault="00935BE4" w:rsidP="005D6EF2">
            <w:pPr>
              <w:spacing w:line="240" w:lineRule="auto"/>
              <w:ind w:firstLine="0"/>
              <w:jc w:val="center"/>
              <w:rPr>
                <w:lang w:val="en-US"/>
              </w:rPr>
            </w:pPr>
            <w:r w:rsidRPr="005D6EF2">
              <w:rPr>
                <w:lang w:val="en-US"/>
              </w:rPr>
              <w:t>576.2144</w:t>
            </w:r>
          </w:p>
        </w:tc>
        <w:tc>
          <w:tcPr>
            <w:tcW w:w="1420" w:type="dxa"/>
            <w:noWrap/>
            <w:hideMark/>
          </w:tcPr>
          <w:p w14:paraId="6A3D5B35"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EE0EB7A"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10034E7D" w14:textId="77777777" w:rsidTr="00A807C1">
        <w:trPr>
          <w:trHeight w:val="300"/>
          <w:jc w:val="center"/>
        </w:trPr>
        <w:tc>
          <w:tcPr>
            <w:tcW w:w="1404" w:type="dxa"/>
            <w:noWrap/>
            <w:hideMark/>
          </w:tcPr>
          <w:p w14:paraId="651B7859" w14:textId="77777777" w:rsidR="00935BE4" w:rsidRPr="005D6EF2" w:rsidRDefault="00935BE4" w:rsidP="005D6EF2">
            <w:pPr>
              <w:spacing w:line="240" w:lineRule="auto"/>
              <w:ind w:firstLine="0"/>
              <w:jc w:val="center"/>
              <w:rPr>
                <w:lang w:val="en-US"/>
              </w:rPr>
            </w:pPr>
            <w:r w:rsidRPr="005D6EF2">
              <w:rPr>
                <w:lang w:val="en-US"/>
              </w:rPr>
              <w:t>52570</w:t>
            </w:r>
          </w:p>
        </w:tc>
        <w:tc>
          <w:tcPr>
            <w:tcW w:w="1214" w:type="dxa"/>
            <w:noWrap/>
            <w:hideMark/>
          </w:tcPr>
          <w:p w14:paraId="69E4ED1C"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E6931E7" w14:textId="77777777" w:rsidR="00935BE4" w:rsidRPr="005D6EF2" w:rsidRDefault="00935BE4" w:rsidP="005D6EF2">
            <w:pPr>
              <w:spacing w:line="240" w:lineRule="auto"/>
              <w:ind w:firstLine="0"/>
              <w:jc w:val="center"/>
              <w:rPr>
                <w:lang w:val="en-US"/>
              </w:rPr>
            </w:pPr>
            <w:r w:rsidRPr="005D6EF2">
              <w:rPr>
                <w:lang w:val="en-US"/>
              </w:rPr>
              <w:t>113.1729</w:t>
            </w:r>
          </w:p>
        </w:tc>
        <w:tc>
          <w:tcPr>
            <w:tcW w:w="1428" w:type="dxa"/>
            <w:noWrap/>
            <w:hideMark/>
          </w:tcPr>
          <w:p w14:paraId="74AC1F84" w14:textId="77777777" w:rsidR="00935BE4" w:rsidRPr="005D6EF2" w:rsidRDefault="00935BE4" w:rsidP="005D6EF2">
            <w:pPr>
              <w:spacing w:line="240" w:lineRule="auto"/>
              <w:ind w:firstLine="0"/>
              <w:jc w:val="center"/>
              <w:rPr>
                <w:lang w:val="en-US"/>
              </w:rPr>
            </w:pPr>
            <w:r w:rsidRPr="005D6EF2">
              <w:rPr>
                <w:lang w:val="en-US"/>
              </w:rPr>
              <w:t>616.0529</w:t>
            </w:r>
          </w:p>
        </w:tc>
        <w:tc>
          <w:tcPr>
            <w:tcW w:w="1420" w:type="dxa"/>
            <w:noWrap/>
            <w:hideMark/>
          </w:tcPr>
          <w:p w14:paraId="0A41F86D"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FE42F9D"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3B6CBE27" w14:textId="77777777" w:rsidTr="00A807C1">
        <w:trPr>
          <w:trHeight w:val="300"/>
          <w:jc w:val="center"/>
        </w:trPr>
        <w:tc>
          <w:tcPr>
            <w:tcW w:w="1404" w:type="dxa"/>
            <w:noWrap/>
            <w:hideMark/>
          </w:tcPr>
          <w:p w14:paraId="69E6CA94" w14:textId="77777777" w:rsidR="00935BE4" w:rsidRPr="005D6EF2" w:rsidRDefault="00935BE4" w:rsidP="005D6EF2">
            <w:pPr>
              <w:spacing w:line="240" w:lineRule="auto"/>
              <w:ind w:firstLine="0"/>
              <w:jc w:val="center"/>
              <w:rPr>
                <w:lang w:val="en-US"/>
              </w:rPr>
            </w:pPr>
            <w:r w:rsidRPr="005D6EF2">
              <w:rPr>
                <w:lang w:val="en-US"/>
              </w:rPr>
              <w:t>52788</w:t>
            </w:r>
          </w:p>
        </w:tc>
        <w:tc>
          <w:tcPr>
            <w:tcW w:w="1214" w:type="dxa"/>
            <w:noWrap/>
            <w:hideMark/>
          </w:tcPr>
          <w:p w14:paraId="55F6804F"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CA529CB" w14:textId="77777777" w:rsidR="00935BE4" w:rsidRPr="005D6EF2" w:rsidRDefault="00935BE4" w:rsidP="005D6EF2">
            <w:pPr>
              <w:spacing w:line="240" w:lineRule="auto"/>
              <w:ind w:firstLine="0"/>
              <w:jc w:val="center"/>
              <w:rPr>
                <w:lang w:val="en-US"/>
              </w:rPr>
            </w:pPr>
            <w:r w:rsidRPr="005D6EF2">
              <w:rPr>
                <w:lang w:val="en-US"/>
              </w:rPr>
              <w:t>284.4991</w:t>
            </w:r>
          </w:p>
        </w:tc>
        <w:tc>
          <w:tcPr>
            <w:tcW w:w="1428" w:type="dxa"/>
            <w:noWrap/>
            <w:hideMark/>
          </w:tcPr>
          <w:p w14:paraId="17413B72" w14:textId="77777777" w:rsidR="00935BE4" w:rsidRPr="005D6EF2" w:rsidRDefault="00935BE4" w:rsidP="005D6EF2">
            <w:pPr>
              <w:spacing w:line="240" w:lineRule="auto"/>
              <w:ind w:firstLine="0"/>
              <w:jc w:val="center"/>
              <w:rPr>
                <w:lang w:val="en-US"/>
              </w:rPr>
            </w:pPr>
            <w:r w:rsidRPr="005D6EF2">
              <w:rPr>
                <w:lang w:val="en-US"/>
              </w:rPr>
              <w:t>2510.171</w:t>
            </w:r>
          </w:p>
        </w:tc>
        <w:tc>
          <w:tcPr>
            <w:tcW w:w="1420" w:type="dxa"/>
            <w:noWrap/>
            <w:hideMark/>
          </w:tcPr>
          <w:p w14:paraId="3C925111"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43CCC0C" w14:textId="77777777" w:rsidR="00935BE4" w:rsidRPr="005D6EF2" w:rsidRDefault="00935BE4" w:rsidP="005D6EF2">
            <w:pPr>
              <w:spacing w:line="240" w:lineRule="auto"/>
              <w:ind w:firstLine="0"/>
              <w:jc w:val="center"/>
              <w:rPr>
                <w:lang w:val="en-US"/>
              </w:rPr>
            </w:pPr>
            <w:r w:rsidRPr="005D6EF2">
              <w:rPr>
                <w:lang w:val="en-US"/>
              </w:rPr>
              <w:t>0.00251</w:t>
            </w:r>
          </w:p>
        </w:tc>
      </w:tr>
      <w:tr w:rsidR="00935BE4" w:rsidRPr="008A1D26" w14:paraId="38FB5ED1" w14:textId="77777777" w:rsidTr="00A807C1">
        <w:trPr>
          <w:trHeight w:val="300"/>
          <w:jc w:val="center"/>
        </w:trPr>
        <w:tc>
          <w:tcPr>
            <w:tcW w:w="1404" w:type="dxa"/>
            <w:noWrap/>
            <w:hideMark/>
          </w:tcPr>
          <w:p w14:paraId="55C7B72F" w14:textId="77777777" w:rsidR="00935BE4" w:rsidRPr="005D6EF2" w:rsidRDefault="00935BE4" w:rsidP="005D6EF2">
            <w:pPr>
              <w:spacing w:line="240" w:lineRule="auto"/>
              <w:ind w:firstLine="0"/>
              <w:jc w:val="center"/>
              <w:rPr>
                <w:lang w:val="en-US"/>
              </w:rPr>
            </w:pPr>
            <w:r w:rsidRPr="005D6EF2">
              <w:rPr>
                <w:lang w:val="en-US"/>
              </w:rPr>
              <w:t>52900</w:t>
            </w:r>
          </w:p>
        </w:tc>
        <w:tc>
          <w:tcPr>
            <w:tcW w:w="1214" w:type="dxa"/>
            <w:noWrap/>
            <w:hideMark/>
          </w:tcPr>
          <w:p w14:paraId="69CB57D2"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8F4F3A6" w14:textId="77777777" w:rsidR="00935BE4" w:rsidRPr="005D6EF2" w:rsidRDefault="00935BE4" w:rsidP="005D6EF2">
            <w:pPr>
              <w:spacing w:line="240" w:lineRule="auto"/>
              <w:ind w:firstLine="0"/>
              <w:jc w:val="center"/>
              <w:rPr>
                <w:lang w:val="en-US"/>
              </w:rPr>
            </w:pPr>
            <w:r w:rsidRPr="005D6EF2">
              <w:rPr>
                <w:lang w:val="en-US"/>
              </w:rPr>
              <w:t>986.6578</w:t>
            </w:r>
          </w:p>
        </w:tc>
        <w:tc>
          <w:tcPr>
            <w:tcW w:w="1428" w:type="dxa"/>
            <w:noWrap/>
            <w:hideMark/>
          </w:tcPr>
          <w:p w14:paraId="2833F169" w14:textId="77777777" w:rsidR="00935BE4" w:rsidRPr="005D6EF2" w:rsidRDefault="00935BE4" w:rsidP="005D6EF2">
            <w:pPr>
              <w:spacing w:line="240" w:lineRule="auto"/>
              <w:ind w:firstLine="0"/>
              <w:jc w:val="center"/>
              <w:rPr>
                <w:lang w:val="en-US"/>
              </w:rPr>
            </w:pPr>
            <w:r w:rsidRPr="005D6EF2">
              <w:rPr>
                <w:lang w:val="en-US"/>
              </w:rPr>
              <w:t>20668.53</w:t>
            </w:r>
          </w:p>
        </w:tc>
        <w:tc>
          <w:tcPr>
            <w:tcW w:w="1420" w:type="dxa"/>
            <w:noWrap/>
            <w:hideMark/>
          </w:tcPr>
          <w:p w14:paraId="6BC11545"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959E6E2" w14:textId="77777777" w:rsidR="00935BE4" w:rsidRPr="005D6EF2" w:rsidRDefault="00935BE4" w:rsidP="005D6EF2">
            <w:pPr>
              <w:spacing w:line="240" w:lineRule="auto"/>
              <w:ind w:firstLine="0"/>
              <w:jc w:val="center"/>
              <w:rPr>
                <w:lang w:val="en-US"/>
              </w:rPr>
            </w:pPr>
            <w:r w:rsidRPr="005D6EF2">
              <w:rPr>
                <w:lang w:val="en-US"/>
              </w:rPr>
              <w:t>0.020669</w:t>
            </w:r>
          </w:p>
        </w:tc>
      </w:tr>
      <w:tr w:rsidR="00935BE4" w:rsidRPr="008A1D26" w14:paraId="693CF589" w14:textId="77777777" w:rsidTr="00A807C1">
        <w:trPr>
          <w:trHeight w:val="300"/>
          <w:jc w:val="center"/>
        </w:trPr>
        <w:tc>
          <w:tcPr>
            <w:tcW w:w="1404" w:type="dxa"/>
            <w:noWrap/>
            <w:hideMark/>
          </w:tcPr>
          <w:p w14:paraId="1E71554A" w14:textId="77777777" w:rsidR="00935BE4" w:rsidRPr="005D6EF2" w:rsidRDefault="00935BE4" w:rsidP="005D6EF2">
            <w:pPr>
              <w:spacing w:line="240" w:lineRule="auto"/>
              <w:ind w:firstLine="0"/>
              <w:jc w:val="center"/>
              <w:rPr>
                <w:lang w:val="en-US"/>
              </w:rPr>
            </w:pPr>
            <w:r w:rsidRPr="005D6EF2">
              <w:rPr>
                <w:lang w:val="en-US"/>
              </w:rPr>
              <w:t>53288</w:t>
            </w:r>
          </w:p>
        </w:tc>
        <w:tc>
          <w:tcPr>
            <w:tcW w:w="1214" w:type="dxa"/>
            <w:noWrap/>
            <w:hideMark/>
          </w:tcPr>
          <w:p w14:paraId="7CE1B7C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A54E49F"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25D3ADF6"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44C57622"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651BFEE"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7872411C" w14:textId="77777777" w:rsidTr="00A807C1">
        <w:trPr>
          <w:trHeight w:val="300"/>
          <w:jc w:val="center"/>
        </w:trPr>
        <w:tc>
          <w:tcPr>
            <w:tcW w:w="1404" w:type="dxa"/>
            <w:noWrap/>
            <w:hideMark/>
          </w:tcPr>
          <w:p w14:paraId="62A46E12" w14:textId="77777777" w:rsidR="00935BE4" w:rsidRPr="005D6EF2" w:rsidRDefault="00935BE4" w:rsidP="005D6EF2">
            <w:pPr>
              <w:spacing w:line="240" w:lineRule="auto"/>
              <w:ind w:firstLine="0"/>
              <w:jc w:val="center"/>
              <w:rPr>
                <w:lang w:val="en-US"/>
              </w:rPr>
            </w:pPr>
            <w:r w:rsidRPr="005D6EF2">
              <w:rPr>
                <w:lang w:val="en-US"/>
              </w:rPr>
              <w:t>53383</w:t>
            </w:r>
          </w:p>
        </w:tc>
        <w:tc>
          <w:tcPr>
            <w:tcW w:w="1214" w:type="dxa"/>
            <w:noWrap/>
            <w:hideMark/>
          </w:tcPr>
          <w:p w14:paraId="591F988E"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C2C6EA2"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3F9CF7AC"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03D64B84"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F1BCC1D"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740FEECC" w14:textId="77777777" w:rsidTr="00A807C1">
        <w:trPr>
          <w:trHeight w:val="300"/>
          <w:jc w:val="center"/>
        </w:trPr>
        <w:tc>
          <w:tcPr>
            <w:tcW w:w="1404" w:type="dxa"/>
            <w:noWrap/>
            <w:hideMark/>
          </w:tcPr>
          <w:p w14:paraId="5238C170" w14:textId="77777777" w:rsidR="00935BE4" w:rsidRPr="005D6EF2" w:rsidRDefault="00935BE4" w:rsidP="005D6EF2">
            <w:pPr>
              <w:spacing w:line="240" w:lineRule="auto"/>
              <w:ind w:firstLine="0"/>
              <w:jc w:val="center"/>
              <w:rPr>
                <w:lang w:val="en-US"/>
              </w:rPr>
            </w:pPr>
            <w:r w:rsidRPr="005D6EF2">
              <w:rPr>
                <w:lang w:val="en-US"/>
              </w:rPr>
              <w:t>53384</w:t>
            </w:r>
          </w:p>
        </w:tc>
        <w:tc>
          <w:tcPr>
            <w:tcW w:w="1214" w:type="dxa"/>
            <w:noWrap/>
            <w:hideMark/>
          </w:tcPr>
          <w:p w14:paraId="6661BFAD"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F032F75"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48406CA7"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6A9511A4"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3D2ABA6"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361E4C04" w14:textId="77777777" w:rsidTr="00A807C1">
        <w:trPr>
          <w:trHeight w:val="300"/>
          <w:jc w:val="center"/>
        </w:trPr>
        <w:tc>
          <w:tcPr>
            <w:tcW w:w="1404" w:type="dxa"/>
            <w:noWrap/>
            <w:hideMark/>
          </w:tcPr>
          <w:p w14:paraId="2248ECBD" w14:textId="77777777" w:rsidR="00935BE4" w:rsidRPr="005D6EF2" w:rsidRDefault="00935BE4" w:rsidP="005D6EF2">
            <w:pPr>
              <w:spacing w:line="240" w:lineRule="auto"/>
              <w:ind w:firstLine="0"/>
              <w:jc w:val="center"/>
              <w:rPr>
                <w:lang w:val="en-US"/>
              </w:rPr>
            </w:pPr>
            <w:r w:rsidRPr="005D6EF2">
              <w:rPr>
                <w:lang w:val="en-US"/>
              </w:rPr>
              <w:t>53583</w:t>
            </w:r>
          </w:p>
        </w:tc>
        <w:tc>
          <w:tcPr>
            <w:tcW w:w="1214" w:type="dxa"/>
            <w:noWrap/>
            <w:hideMark/>
          </w:tcPr>
          <w:p w14:paraId="62AEE66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AC9CBCA"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5A9C046F"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2E630080"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716F0BD"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6780A8D2" w14:textId="77777777" w:rsidTr="00A807C1">
        <w:trPr>
          <w:trHeight w:val="300"/>
          <w:jc w:val="center"/>
        </w:trPr>
        <w:tc>
          <w:tcPr>
            <w:tcW w:w="1404" w:type="dxa"/>
            <w:noWrap/>
            <w:hideMark/>
          </w:tcPr>
          <w:p w14:paraId="435708A0" w14:textId="77777777" w:rsidR="00935BE4" w:rsidRPr="005D6EF2" w:rsidRDefault="00935BE4" w:rsidP="005D6EF2">
            <w:pPr>
              <w:spacing w:line="240" w:lineRule="auto"/>
              <w:ind w:firstLine="0"/>
              <w:jc w:val="center"/>
              <w:rPr>
                <w:lang w:val="en-US"/>
              </w:rPr>
            </w:pPr>
            <w:r w:rsidRPr="005D6EF2">
              <w:rPr>
                <w:lang w:val="en-US"/>
              </w:rPr>
              <w:t>53587</w:t>
            </w:r>
          </w:p>
        </w:tc>
        <w:tc>
          <w:tcPr>
            <w:tcW w:w="1214" w:type="dxa"/>
            <w:noWrap/>
            <w:hideMark/>
          </w:tcPr>
          <w:p w14:paraId="7CF2AD6D"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4F41D7F" w14:textId="77777777" w:rsidR="00935BE4" w:rsidRPr="005D6EF2" w:rsidRDefault="00935BE4" w:rsidP="005D6EF2">
            <w:pPr>
              <w:spacing w:line="240" w:lineRule="auto"/>
              <w:ind w:firstLine="0"/>
              <w:jc w:val="center"/>
              <w:rPr>
                <w:lang w:val="en-US"/>
              </w:rPr>
            </w:pPr>
            <w:r w:rsidRPr="005D6EF2">
              <w:rPr>
                <w:lang w:val="en-US"/>
              </w:rPr>
              <w:t>113.1735</w:t>
            </w:r>
          </w:p>
        </w:tc>
        <w:tc>
          <w:tcPr>
            <w:tcW w:w="1428" w:type="dxa"/>
            <w:noWrap/>
            <w:hideMark/>
          </w:tcPr>
          <w:p w14:paraId="241C3E05" w14:textId="77777777" w:rsidR="00935BE4" w:rsidRPr="005D6EF2" w:rsidRDefault="00935BE4" w:rsidP="005D6EF2">
            <w:pPr>
              <w:spacing w:line="240" w:lineRule="auto"/>
              <w:ind w:firstLine="0"/>
              <w:jc w:val="center"/>
              <w:rPr>
                <w:lang w:val="en-US"/>
              </w:rPr>
            </w:pPr>
            <w:r w:rsidRPr="005D6EF2">
              <w:rPr>
                <w:lang w:val="en-US"/>
              </w:rPr>
              <w:t>616.0589</w:t>
            </w:r>
          </w:p>
        </w:tc>
        <w:tc>
          <w:tcPr>
            <w:tcW w:w="1420" w:type="dxa"/>
            <w:noWrap/>
            <w:hideMark/>
          </w:tcPr>
          <w:p w14:paraId="6A841816"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89CEEC3"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7FEDDDD6" w14:textId="77777777" w:rsidTr="00A807C1">
        <w:trPr>
          <w:trHeight w:val="300"/>
          <w:jc w:val="center"/>
        </w:trPr>
        <w:tc>
          <w:tcPr>
            <w:tcW w:w="1404" w:type="dxa"/>
            <w:noWrap/>
            <w:hideMark/>
          </w:tcPr>
          <w:p w14:paraId="4DD97567" w14:textId="77777777" w:rsidR="00935BE4" w:rsidRPr="005D6EF2" w:rsidRDefault="00935BE4" w:rsidP="005D6EF2">
            <w:pPr>
              <w:spacing w:line="240" w:lineRule="auto"/>
              <w:ind w:firstLine="0"/>
              <w:jc w:val="center"/>
              <w:rPr>
                <w:lang w:val="en-US"/>
              </w:rPr>
            </w:pPr>
            <w:r w:rsidRPr="005D6EF2">
              <w:rPr>
                <w:lang w:val="en-US"/>
              </w:rPr>
              <w:t>54064</w:t>
            </w:r>
          </w:p>
        </w:tc>
        <w:tc>
          <w:tcPr>
            <w:tcW w:w="1214" w:type="dxa"/>
            <w:noWrap/>
            <w:hideMark/>
          </w:tcPr>
          <w:p w14:paraId="2A79C69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CC43DFD" w14:textId="77777777" w:rsidR="00935BE4" w:rsidRPr="005D6EF2" w:rsidRDefault="00935BE4" w:rsidP="005D6EF2">
            <w:pPr>
              <w:spacing w:line="240" w:lineRule="auto"/>
              <w:ind w:firstLine="0"/>
              <w:jc w:val="center"/>
              <w:rPr>
                <w:lang w:val="en-US"/>
              </w:rPr>
            </w:pPr>
            <w:r w:rsidRPr="005D6EF2">
              <w:rPr>
                <w:lang w:val="en-US"/>
              </w:rPr>
              <w:t>112.4817</w:t>
            </w:r>
          </w:p>
        </w:tc>
        <w:tc>
          <w:tcPr>
            <w:tcW w:w="1428" w:type="dxa"/>
            <w:noWrap/>
            <w:hideMark/>
          </w:tcPr>
          <w:p w14:paraId="2F8AD00E" w14:textId="77777777" w:rsidR="00935BE4" w:rsidRPr="005D6EF2" w:rsidRDefault="00935BE4" w:rsidP="005D6EF2">
            <w:pPr>
              <w:spacing w:line="240" w:lineRule="auto"/>
              <w:ind w:firstLine="0"/>
              <w:jc w:val="center"/>
              <w:rPr>
                <w:lang w:val="en-US"/>
              </w:rPr>
            </w:pPr>
            <w:r w:rsidRPr="005D6EF2">
              <w:rPr>
                <w:lang w:val="en-US"/>
              </w:rPr>
              <w:t>576.2144</w:t>
            </w:r>
          </w:p>
        </w:tc>
        <w:tc>
          <w:tcPr>
            <w:tcW w:w="1420" w:type="dxa"/>
            <w:noWrap/>
            <w:hideMark/>
          </w:tcPr>
          <w:p w14:paraId="7B5C64F3"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299C381"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0E725BE6" w14:textId="77777777" w:rsidTr="00A807C1">
        <w:trPr>
          <w:trHeight w:val="300"/>
          <w:jc w:val="center"/>
        </w:trPr>
        <w:tc>
          <w:tcPr>
            <w:tcW w:w="1404" w:type="dxa"/>
            <w:noWrap/>
            <w:hideMark/>
          </w:tcPr>
          <w:p w14:paraId="636460DD" w14:textId="77777777" w:rsidR="00935BE4" w:rsidRPr="005D6EF2" w:rsidRDefault="00935BE4" w:rsidP="005D6EF2">
            <w:pPr>
              <w:spacing w:line="240" w:lineRule="auto"/>
              <w:ind w:firstLine="0"/>
              <w:jc w:val="center"/>
              <w:rPr>
                <w:lang w:val="en-US"/>
              </w:rPr>
            </w:pPr>
            <w:r w:rsidRPr="005D6EF2">
              <w:rPr>
                <w:lang w:val="en-US"/>
              </w:rPr>
              <w:t>54399</w:t>
            </w:r>
          </w:p>
        </w:tc>
        <w:tc>
          <w:tcPr>
            <w:tcW w:w="1214" w:type="dxa"/>
            <w:noWrap/>
            <w:hideMark/>
          </w:tcPr>
          <w:p w14:paraId="1CE4DD85"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3130BFD"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5CBFA620"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3F5502D3"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B5A3364"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50879B3D" w14:textId="77777777" w:rsidTr="00A807C1">
        <w:trPr>
          <w:trHeight w:val="300"/>
          <w:jc w:val="center"/>
        </w:trPr>
        <w:tc>
          <w:tcPr>
            <w:tcW w:w="1404" w:type="dxa"/>
            <w:noWrap/>
            <w:hideMark/>
          </w:tcPr>
          <w:p w14:paraId="543C2E7E" w14:textId="77777777" w:rsidR="00935BE4" w:rsidRPr="005D6EF2" w:rsidRDefault="00935BE4" w:rsidP="005D6EF2">
            <w:pPr>
              <w:spacing w:line="240" w:lineRule="auto"/>
              <w:ind w:firstLine="0"/>
              <w:jc w:val="center"/>
              <w:rPr>
                <w:lang w:val="en-US"/>
              </w:rPr>
            </w:pPr>
            <w:r w:rsidRPr="005D6EF2">
              <w:rPr>
                <w:lang w:val="en-US"/>
              </w:rPr>
              <w:t>54914</w:t>
            </w:r>
          </w:p>
        </w:tc>
        <w:tc>
          <w:tcPr>
            <w:tcW w:w="1214" w:type="dxa"/>
            <w:noWrap/>
            <w:hideMark/>
          </w:tcPr>
          <w:p w14:paraId="23D06A7F"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D9251FF"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41605E88"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29175868"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FA74ED1"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4541673B" w14:textId="77777777" w:rsidTr="00A807C1">
        <w:trPr>
          <w:trHeight w:val="300"/>
          <w:jc w:val="center"/>
        </w:trPr>
        <w:tc>
          <w:tcPr>
            <w:tcW w:w="1404" w:type="dxa"/>
            <w:noWrap/>
            <w:hideMark/>
          </w:tcPr>
          <w:p w14:paraId="7D5B61FA" w14:textId="77777777" w:rsidR="00935BE4" w:rsidRPr="005D6EF2" w:rsidRDefault="00935BE4" w:rsidP="005D6EF2">
            <w:pPr>
              <w:spacing w:line="240" w:lineRule="auto"/>
              <w:ind w:firstLine="0"/>
              <w:jc w:val="center"/>
              <w:rPr>
                <w:lang w:val="en-US"/>
              </w:rPr>
            </w:pPr>
            <w:r w:rsidRPr="005D6EF2">
              <w:rPr>
                <w:lang w:val="en-US"/>
              </w:rPr>
              <w:t>55011</w:t>
            </w:r>
          </w:p>
        </w:tc>
        <w:tc>
          <w:tcPr>
            <w:tcW w:w="1214" w:type="dxa"/>
            <w:noWrap/>
            <w:hideMark/>
          </w:tcPr>
          <w:p w14:paraId="35CAA67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A60D369" w14:textId="77777777" w:rsidR="00935BE4" w:rsidRPr="005D6EF2" w:rsidRDefault="00935BE4" w:rsidP="005D6EF2">
            <w:pPr>
              <w:spacing w:line="240" w:lineRule="auto"/>
              <w:ind w:firstLine="0"/>
              <w:jc w:val="center"/>
              <w:rPr>
                <w:lang w:val="en-US"/>
              </w:rPr>
            </w:pPr>
            <w:r w:rsidRPr="005D6EF2">
              <w:rPr>
                <w:lang w:val="en-US"/>
              </w:rPr>
              <w:t>381.747</w:t>
            </w:r>
          </w:p>
        </w:tc>
        <w:tc>
          <w:tcPr>
            <w:tcW w:w="1428" w:type="dxa"/>
            <w:noWrap/>
            <w:hideMark/>
          </w:tcPr>
          <w:p w14:paraId="2F9B351E" w14:textId="77777777" w:rsidR="00935BE4" w:rsidRPr="005D6EF2" w:rsidRDefault="00935BE4" w:rsidP="005D6EF2">
            <w:pPr>
              <w:spacing w:line="240" w:lineRule="auto"/>
              <w:ind w:firstLine="0"/>
              <w:jc w:val="center"/>
              <w:rPr>
                <w:lang w:val="en-US"/>
              </w:rPr>
            </w:pPr>
            <w:r w:rsidRPr="005D6EF2">
              <w:rPr>
                <w:lang w:val="en-US"/>
              </w:rPr>
              <w:t>6710.255</w:t>
            </w:r>
          </w:p>
        </w:tc>
        <w:tc>
          <w:tcPr>
            <w:tcW w:w="1420" w:type="dxa"/>
            <w:noWrap/>
            <w:hideMark/>
          </w:tcPr>
          <w:p w14:paraId="70518ECC"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3E00C38" w14:textId="77777777" w:rsidR="00935BE4" w:rsidRPr="005D6EF2" w:rsidRDefault="00935BE4" w:rsidP="005D6EF2">
            <w:pPr>
              <w:spacing w:line="240" w:lineRule="auto"/>
              <w:ind w:firstLine="0"/>
              <w:jc w:val="center"/>
              <w:rPr>
                <w:lang w:val="en-US"/>
              </w:rPr>
            </w:pPr>
            <w:r w:rsidRPr="005D6EF2">
              <w:rPr>
                <w:lang w:val="en-US"/>
              </w:rPr>
              <w:t>0.00671</w:t>
            </w:r>
          </w:p>
        </w:tc>
      </w:tr>
      <w:tr w:rsidR="00935BE4" w:rsidRPr="008A1D26" w14:paraId="0A63D7ED" w14:textId="77777777" w:rsidTr="00A807C1">
        <w:trPr>
          <w:trHeight w:val="300"/>
          <w:jc w:val="center"/>
        </w:trPr>
        <w:tc>
          <w:tcPr>
            <w:tcW w:w="1404" w:type="dxa"/>
            <w:noWrap/>
            <w:hideMark/>
          </w:tcPr>
          <w:p w14:paraId="792226AF" w14:textId="77777777" w:rsidR="00935BE4" w:rsidRPr="005D6EF2" w:rsidRDefault="00935BE4" w:rsidP="005D6EF2">
            <w:pPr>
              <w:spacing w:line="240" w:lineRule="auto"/>
              <w:ind w:firstLine="0"/>
              <w:jc w:val="center"/>
              <w:rPr>
                <w:lang w:val="en-US"/>
              </w:rPr>
            </w:pPr>
            <w:r w:rsidRPr="005D6EF2">
              <w:rPr>
                <w:lang w:val="en-US"/>
              </w:rPr>
              <w:t>55121</w:t>
            </w:r>
          </w:p>
        </w:tc>
        <w:tc>
          <w:tcPr>
            <w:tcW w:w="1214" w:type="dxa"/>
            <w:noWrap/>
            <w:hideMark/>
          </w:tcPr>
          <w:p w14:paraId="2E330920"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6F1ECB5" w14:textId="77777777" w:rsidR="00935BE4" w:rsidRPr="005D6EF2" w:rsidRDefault="00935BE4" w:rsidP="005D6EF2">
            <w:pPr>
              <w:spacing w:line="240" w:lineRule="auto"/>
              <w:ind w:firstLine="0"/>
              <w:jc w:val="center"/>
              <w:rPr>
                <w:lang w:val="en-US"/>
              </w:rPr>
            </w:pPr>
            <w:r w:rsidRPr="005D6EF2">
              <w:rPr>
                <w:lang w:val="en-US"/>
              </w:rPr>
              <w:t>359.9578</w:t>
            </w:r>
          </w:p>
        </w:tc>
        <w:tc>
          <w:tcPr>
            <w:tcW w:w="1428" w:type="dxa"/>
            <w:noWrap/>
            <w:hideMark/>
          </w:tcPr>
          <w:p w14:paraId="3A12E506" w14:textId="77777777" w:rsidR="00935BE4" w:rsidRPr="005D6EF2" w:rsidRDefault="00935BE4" w:rsidP="005D6EF2">
            <w:pPr>
              <w:spacing w:line="240" w:lineRule="auto"/>
              <w:ind w:firstLine="0"/>
              <w:jc w:val="center"/>
              <w:rPr>
                <w:lang w:val="en-US"/>
              </w:rPr>
            </w:pPr>
            <w:r w:rsidRPr="005D6EF2">
              <w:rPr>
                <w:lang w:val="en-US"/>
              </w:rPr>
              <w:t>4498.944</w:t>
            </w:r>
          </w:p>
        </w:tc>
        <w:tc>
          <w:tcPr>
            <w:tcW w:w="1420" w:type="dxa"/>
            <w:noWrap/>
            <w:hideMark/>
          </w:tcPr>
          <w:p w14:paraId="01E8E808"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F1A2E01" w14:textId="77777777" w:rsidR="00935BE4" w:rsidRPr="005D6EF2" w:rsidRDefault="00935BE4" w:rsidP="005D6EF2">
            <w:pPr>
              <w:spacing w:line="240" w:lineRule="auto"/>
              <w:ind w:firstLine="0"/>
              <w:jc w:val="center"/>
              <w:rPr>
                <w:lang w:val="en-US"/>
              </w:rPr>
            </w:pPr>
            <w:r w:rsidRPr="005D6EF2">
              <w:rPr>
                <w:lang w:val="en-US"/>
              </w:rPr>
              <w:t>0.004499</w:t>
            </w:r>
          </w:p>
        </w:tc>
      </w:tr>
      <w:tr w:rsidR="00935BE4" w:rsidRPr="008A1D26" w14:paraId="7614E2C3" w14:textId="77777777" w:rsidTr="00A807C1">
        <w:trPr>
          <w:trHeight w:val="300"/>
          <w:jc w:val="center"/>
        </w:trPr>
        <w:tc>
          <w:tcPr>
            <w:tcW w:w="1404" w:type="dxa"/>
            <w:noWrap/>
            <w:hideMark/>
          </w:tcPr>
          <w:p w14:paraId="335F575F" w14:textId="77777777" w:rsidR="00935BE4" w:rsidRPr="005D6EF2" w:rsidRDefault="00935BE4" w:rsidP="005D6EF2">
            <w:pPr>
              <w:spacing w:line="240" w:lineRule="auto"/>
              <w:ind w:firstLine="0"/>
              <w:jc w:val="center"/>
              <w:rPr>
                <w:lang w:val="en-US"/>
              </w:rPr>
            </w:pPr>
            <w:r w:rsidRPr="005D6EF2">
              <w:rPr>
                <w:lang w:val="en-US"/>
              </w:rPr>
              <w:t>55123</w:t>
            </w:r>
          </w:p>
        </w:tc>
        <w:tc>
          <w:tcPr>
            <w:tcW w:w="1214" w:type="dxa"/>
            <w:noWrap/>
            <w:hideMark/>
          </w:tcPr>
          <w:p w14:paraId="6BA79ACC"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7EA624C"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15C9BD87"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77789531"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8007EFF"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6C456485" w14:textId="77777777" w:rsidTr="00A807C1">
        <w:trPr>
          <w:trHeight w:val="300"/>
          <w:jc w:val="center"/>
        </w:trPr>
        <w:tc>
          <w:tcPr>
            <w:tcW w:w="1404" w:type="dxa"/>
            <w:noWrap/>
            <w:hideMark/>
          </w:tcPr>
          <w:p w14:paraId="1A4C42C9" w14:textId="77777777" w:rsidR="00935BE4" w:rsidRPr="005D6EF2" w:rsidRDefault="00935BE4" w:rsidP="005D6EF2">
            <w:pPr>
              <w:spacing w:line="240" w:lineRule="auto"/>
              <w:ind w:firstLine="0"/>
              <w:jc w:val="center"/>
              <w:rPr>
                <w:lang w:val="en-US"/>
              </w:rPr>
            </w:pPr>
            <w:r w:rsidRPr="005D6EF2">
              <w:rPr>
                <w:lang w:val="en-US"/>
              </w:rPr>
              <w:t>55125</w:t>
            </w:r>
          </w:p>
        </w:tc>
        <w:tc>
          <w:tcPr>
            <w:tcW w:w="1214" w:type="dxa"/>
            <w:noWrap/>
            <w:hideMark/>
          </w:tcPr>
          <w:p w14:paraId="7AAADAE1"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79BDCFB" w14:textId="77777777" w:rsidR="00935BE4" w:rsidRPr="005D6EF2" w:rsidRDefault="00935BE4" w:rsidP="005D6EF2">
            <w:pPr>
              <w:spacing w:line="240" w:lineRule="auto"/>
              <w:ind w:firstLine="0"/>
              <w:jc w:val="center"/>
              <w:rPr>
                <w:lang w:val="en-US"/>
              </w:rPr>
            </w:pPr>
            <w:r w:rsidRPr="005D6EF2">
              <w:rPr>
                <w:lang w:val="en-US"/>
              </w:rPr>
              <w:t>384.8694</w:t>
            </w:r>
          </w:p>
        </w:tc>
        <w:tc>
          <w:tcPr>
            <w:tcW w:w="1428" w:type="dxa"/>
            <w:noWrap/>
            <w:hideMark/>
          </w:tcPr>
          <w:p w14:paraId="01794AC0" w14:textId="77777777" w:rsidR="00935BE4" w:rsidRPr="005D6EF2" w:rsidRDefault="00935BE4" w:rsidP="005D6EF2">
            <w:pPr>
              <w:spacing w:line="240" w:lineRule="auto"/>
              <w:ind w:firstLine="0"/>
              <w:jc w:val="center"/>
              <w:rPr>
                <w:lang w:val="en-US"/>
              </w:rPr>
            </w:pPr>
            <w:r w:rsidRPr="005D6EF2">
              <w:rPr>
                <w:lang w:val="en-US"/>
              </w:rPr>
              <w:t>5837.042</w:t>
            </w:r>
          </w:p>
        </w:tc>
        <w:tc>
          <w:tcPr>
            <w:tcW w:w="1420" w:type="dxa"/>
            <w:noWrap/>
            <w:hideMark/>
          </w:tcPr>
          <w:p w14:paraId="253558C1"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0A9AB604" w14:textId="77777777" w:rsidR="00935BE4" w:rsidRPr="005D6EF2" w:rsidRDefault="00935BE4" w:rsidP="005D6EF2">
            <w:pPr>
              <w:spacing w:line="240" w:lineRule="auto"/>
              <w:ind w:firstLine="0"/>
              <w:jc w:val="center"/>
              <w:rPr>
                <w:lang w:val="en-US"/>
              </w:rPr>
            </w:pPr>
            <w:r w:rsidRPr="005D6EF2">
              <w:rPr>
                <w:lang w:val="en-US"/>
              </w:rPr>
              <w:t>0.005837</w:t>
            </w:r>
          </w:p>
        </w:tc>
      </w:tr>
      <w:tr w:rsidR="00935BE4" w:rsidRPr="008A1D26" w14:paraId="577E885D" w14:textId="77777777" w:rsidTr="00A807C1">
        <w:trPr>
          <w:trHeight w:val="300"/>
          <w:jc w:val="center"/>
        </w:trPr>
        <w:tc>
          <w:tcPr>
            <w:tcW w:w="1404" w:type="dxa"/>
            <w:noWrap/>
            <w:hideMark/>
          </w:tcPr>
          <w:p w14:paraId="3D2E3931" w14:textId="77777777" w:rsidR="00935BE4" w:rsidRPr="005D6EF2" w:rsidRDefault="00935BE4" w:rsidP="005D6EF2">
            <w:pPr>
              <w:spacing w:line="240" w:lineRule="auto"/>
              <w:ind w:firstLine="0"/>
              <w:jc w:val="center"/>
              <w:rPr>
                <w:lang w:val="en-US"/>
              </w:rPr>
            </w:pPr>
            <w:r w:rsidRPr="005D6EF2">
              <w:rPr>
                <w:lang w:val="en-US"/>
              </w:rPr>
              <w:t>55214</w:t>
            </w:r>
          </w:p>
        </w:tc>
        <w:tc>
          <w:tcPr>
            <w:tcW w:w="1214" w:type="dxa"/>
            <w:noWrap/>
            <w:hideMark/>
          </w:tcPr>
          <w:p w14:paraId="3154DA3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F43C8B8" w14:textId="77777777" w:rsidR="00935BE4" w:rsidRPr="005D6EF2" w:rsidRDefault="00935BE4" w:rsidP="005D6EF2">
            <w:pPr>
              <w:spacing w:line="240" w:lineRule="auto"/>
              <w:ind w:firstLine="0"/>
              <w:jc w:val="center"/>
              <w:rPr>
                <w:lang w:val="en-US"/>
              </w:rPr>
            </w:pPr>
            <w:r w:rsidRPr="005D6EF2">
              <w:rPr>
                <w:lang w:val="en-US"/>
              </w:rPr>
              <w:t>239.9718</w:t>
            </w:r>
          </w:p>
        </w:tc>
        <w:tc>
          <w:tcPr>
            <w:tcW w:w="1428" w:type="dxa"/>
            <w:noWrap/>
            <w:hideMark/>
          </w:tcPr>
          <w:p w14:paraId="06780DCB" w14:textId="77777777" w:rsidR="00935BE4" w:rsidRPr="005D6EF2" w:rsidRDefault="00935BE4" w:rsidP="005D6EF2">
            <w:pPr>
              <w:spacing w:line="240" w:lineRule="auto"/>
              <w:ind w:firstLine="0"/>
              <w:jc w:val="center"/>
              <w:rPr>
                <w:lang w:val="en-US"/>
              </w:rPr>
            </w:pPr>
            <w:r w:rsidRPr="005D6EF2">
              <w:rPr>
                <w:lang w:val="en-US"/>
              </w:rPr>
              <w:t>3599.155</w:t>
            </w:r>
          </w:p>
        </w:tc>
        <w:tc>
          <w:tcPr>
            <w:tcW w:w="1420" w:type="dxa"/>
            <w:noWrap/>
            <w:hideMark/>
          </w:tcPr>
          <w:p w14:paraId="46B5DB25"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9A4EF56" w14:textId="77777777" w:rsidR="00935BE4" w:rsidRPr="005D6EF2" w:rsidRDefault="00935BE4" w:rsidP="005D6EF2">
            <w:pPr>
              <w:spacing w:line="240" w:lineRule="auto"/>
              <w:ind w:firstLine="0"/>
              <w:jc w:val="center"/>
              <w:rPr>
                <w:lang w:val="en-US"/>
              </w:rPr>
            </w:pPr>
            <w:r w:rsidRPr="005D6EF2">
              <w:rPr>
                <w:lang w:val="en-US"/>
              </w:rPr>
              <w:t>0.003599</w:t>
            </w:r>
          </w:p>
        </w:tc>
      </w:tr>
      <w:tr w:rsidR="00935BE4" w:rsidRPr="008A1D26" w14:paraId="086AE390" w14:textId="77777777" w:rsidTr="00A807C1">
        <w:trPr>
          <w:trHeight w:val="300"/>
          <w:jc w:val="center"/>
        </w:trPr>
        <w:tc>
          <w:tcPr>
            <w:tcW w:w="1404" w:type="dxa"/>
            <w:noWrap/>
            <w:hideMark/>
          </w:tcPr>
          <w:p w14:paraId="2C42349F" w14:textId="77777777" w:rsidR="00935BE4" w:rsidRPr="005D6EF2" w:rsidRDefault="00935BE4" w:rsidP="005D6EF2">
            <w:pPr>
              <w:spacing w:line="240" w:lineRule="auto"/>
              <w:ind w:firstLine="0"/>
              <w:jc w:val="center"/>
              <w:rPr>
                <w:lang w:val="en-US"/>
              </w:rPr>
            </w:pPr>
            <w:r w:rsidRPr="005D6EF2">
              <w:rPr>
                <w:lang w:val="en-US"/>
              </w:rPr>
              <w:t>55551</w:t>
            </w:r>
          </w:p>
        </w:tc>
        <w:tc>
          <w:tcPr>
            <w:tcW w:w="1214" w:type="dxa"/>
            <w:noWrap/>
            <w:hideMark/>
          </w:tcPr>
          <w:p w14:paraId="02E993A1"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5D12F20" w14:textId="77777777" w:rsidR="00935BE4" w:rsidRPr="005D6EF2" w:rsidRDefault="00935BE4" w:rsidP="005D6EF2">
            <w:pPr>
              <w:spacing w:line="240" w:lineRule="auto"/>
              <w:ind w:firstLine="0"/>
              <w:jc w:val="center"/>
              <w:rPr>
                <w:lang w:val="en-US"/>
              </w:rPr>
            </w:pPr>
            <w:r w:rsidRPr="005D6EF2">
              <w:rPr>
                <w:lang w:val="en-US"/>
              </w:rPr>
              <w:t>479.9437</w:t>
            </w:r>
          </w:p>
        </w:tc>
        <w:tc>
          <w:tcPr>
            <w:tcW w:w="1428" w:type="dxa"/>
            <w:noWrap/>
            <w:hideMark/>
          </w:tcPr>
          <w:p w14:paraId="5509BBD6" w14:textId="77777777" w:rsidR="00935BE4" w:rsidRPr="005D6EF2" w:rsidRDefault="00935BE4" w:rsidP="005D6EF2">
            <w:pPr>
              <w:spacing w:line="240" w:lineRule="auto"/>
              <w:ind w:firstLine="0"/>
              <w:jc w:val="center"/>
              <w:rPr>
                <w:lang w:val="en-US"/>
              </w:rPr>
            </w:pPr>
            <w:r w:rsidRPr="005D6EF2">
              <w:rPr>
                <w:lang w:val="en-US"/>
              </w:rPr>
              <w:t>8098.1</w:t>
            </w:r>
          </w:p>
        </w:tc>
        <w:tc>
          <w:tcPr>
            <w:tcW w:w="1420" w:type="dxa"/>
            <w:noWrap/>
            <w:hideMark/>
          </w:tcPr>
          <w:p w14:paraId="7177F015"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14252B0" w14:textId="77777777" w:rsidR="00935BE4" w:rsidRPr="005D6EF2" w:rsidRDefault="00935BE4" w:rsidP="005D6EF2">
            <w:pPr>
              <w:spacing w:line="240" w:lineRule="auto"/>
              <w:ind w:firstLine="0"/>
              <w:jc w:val="center"/>
              <w:rPr>
                <w:lang w:val="en-US"/>
              </w:rPr>
            </w:pPr>
            <w:r w:rsidRPr="005D6EF2">
              <w:rPr>
                <w:lang w:val="en-US"/>
              </w:rPr>
              <w:t>0.008098</w:t>
            </w:r>
          </w:p>
        </w:tc>
      </w:tr>
      <w:tr w:rsidR="00935BE4" w:rsidRPr="008A1D26" w14:paraId="491B695E" w14:textId="77777777" w:rsidTr="00A807C1">
        <w:trPr>
          <w:trHeight w:val="300"/>
          <w:jc w:val="center"/>
        </w:trPr>
        <w:tc>
          <w:tcPr>
            <w:tcW w:w="1404" w:type="dxa"/>
            <w:noWrap/>
            <w:hideMark/>
          </w:tcPr>
          <w:p w14:paraId="07A8B294" w14:textId="77777777" w:rsidR="00935BE4" w:rsidRPr="005D6EF2" w:rsidRDefault="00935BE4" w:rsidP="005D6EF2">
            <w:pPr>
              <w:spacing w:line="240" w:lineRule="auto"/>
              <w:ind w:firstLine="0"/>
              <w:jc w:val="center"/>
              <w:rPr>
                <w:lang w:val="en-US"/>
              </w:rPr>
            </w:pPr>
            <w:r w:rsidRPr="005D6EF2">
              <w:rPr>
                <w:lang w:val="en-US"/>
              </w:rPr>
              <w:t>55642</w:t>
            </w:r>
          </w:p>
        </w:tc>
        <w:tc>
          <w:tcPr>
            <w:tcW w:w="1214" w:type="dxa"/>
            <w:noWrap/>
            <w:hideMark/>
          </w:tcPr>
          <w:p w14:paraId="6DD79222"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20E0F4D"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706DB4A4"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3BB7F636"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B6D3F20"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65F87F2C" w14:textId="77777777" w:rsidTr="00A807C1">
        <w:trPr>
          <w:trHeight w:val="300"/>
          <w:jc w:val="center"/>
        </w:trPr>
        <w:tc>
          <w:tcPr>
            <w:tcW w:w="1404" w:type="dxa"/>
            <w:noWrap/>
            <w:hideMark/>
          </w:tcPr>
          <w:p w14:paraId="3BA62493" w14:textId="77777777" w:rsidR="00935BE4" w:rsidRPr="005D6EF2" w:rsidRDefault="00935BE4" w:rsidP="005D6EF2">
            <w:pPr>
              <w:spacing w:line="240" w:lineRule="auto"/>
              <w:ind w:firstLine="0"/>
              <w:jc w:val="center"/>
              <w:rPr>
                <w:lang w:val="en-US"/>
              </w:rPr>
            </w:pPr>
            <w:r w:rsidRPr="005D6EF2">
              <w:rPr>
                <w:lang w:val="en-US"/>
              </w:rPr>
              <w:t>55653</w:t>
            </w:r>
          </w:p>
        </w:tc>
        <w:tc>
          <w:tcPr>
            <w:tcW w:w="1214" w:type="dxa"/>
            <w:noWrap/>
            <w:hideMark/>
          </w:tcPr>
          <w:p w14:paraId="6FD5E4AE"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BB2D9C6" w14:textId="77777777" w:rsidR="00935BE4" w:rsidRPr="005D6EF2" w:rsidRDefault="00935BE4" w:rsidP="005D6EF2">
            <w:pPr>
              <w:spacing w:line="240" w:lineRule="auto"/>
              <w:ind w:firstLine="0"/>
              <w:jc w:val="center"/>
              <w:rPr>
                <w:lang w:val="en-US"/>
              </w:rPr>
            </w:pPr>
            <w:r w:rsidRPr="005D6EF2">
              <w:rPr>
                <w:lang w:val="en-US"/>
              </w:rPr>
              <w:t>169.7455</w:t>
            </w:r>
          </w:p>
        </w:tc>
        <w:tc>
          <w:tcPr>
            <w:tcW w:w="1428" w:type="dxa"/>
            <w:noWrap/>
            <w:hideMark/>
          </w:tcPr>
          <w:p w14:paraId="175976CB" w14:textId="77777777" w:rsidR="00935BE4" w:rsidRPr="005D6EF2" w:rsidRDefault="00935BE4" w:rsidP="005D6EF2">
            <w:pPr>
              <w:spacing w:line="240" w:lineRule="auto"/>
              <w:ind w:firstLine="0"/>
              <w:jc w:val="center"/>
              <w:rPr>
                <w:lang w:val="en-US"/>
              </w:rPr>
            </w:pPr>
            <w:r w:rsidRPr="005D6EF2">
              <w:rPr>
                <w:lang w:val="en-US"/>
              </w:rPr>
              <w:t>1228.569</w:t>
            </w:r>
          </w:p>
        </w:tc>
        <w:tc>
          <w:tcPr>
            <w:tcW w:w="1420" w:type="dxa"/>
            <w:noWrap/>
            <w:hideMark/>
          </w:tcPr>
          <w:p w14:paraId="5E2F18F2"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FDCD587" w14:textId="77777777" w:rsidR="00935BE4" w:rsidRPr="005D6EF2" w:rsidRDefault="00935BE4" w:rsidP="005D6EF2">
            <w:pPr>
              <w:spacing w:line="240" w:lineRule="auto"/>
              <w:ind w:firstLine="0"/>
              <w:jc w:val="center"/>
              <w:rPr>
                <w:lang w:val="en-US"/>
              </w:rPr>
            </w:pPr>
            <w:r w:rsidRPr="005D6EF2">
              <w:rPr>
                <w:lang w:val="en-US"/>
              </w:rPr>
              <w:t>0.001229</w:t>
            </w:r>
          </w:p>
        </w:tc>
      </w:tr>
      <w:tr w:rsidR="00935BE4" w:rsidRPr="008A1D26" w14:paraId="624A5968" w14:textId="77777777" w:rsidTr="00A807C1">
        <w:trPr>
          <w:trHeight w:val="300"/>
          <w:jc w:val="center"/>
        </w:trPr>
        <w:tc>
          <w:tcPr>
            <w:tcW w:w="1404" w:type="dxa"/>
            <w:noWrap/>
            <w:hideMark/>
          </w:tcPr>
          <w:p w14:paraId="0933A0BE" w14:textId="77777777" w:rsidR="00935BE4" w:rsidRPr="005D6EF2" w:rsidRDefault="00935BE4" w:rsidP="005D6EF2">
            <w:pPr>
              <w:spacing w:line="240" w:lineRule="auto"/>
              <w:ind w:firstLine="0"/>
              <w:jc w:val="center"/>
              <w:rPr>
                <w:lang w:val="en-US"/>
              </w:rPr>
            </w:pPr>
            <w:r w:rsidRPr="005D6EF2">
              <w:rPr>
                <w:lang w:val="en-US"/>
              </w:rPr>
              <w:t>55655</w:t>
            </w:r>
          </w:p>
        </w:tc>
        <w:tc>
          <w:tcPr>
            <w:tcW w:w="1214" w:type="dxa"/>
            <w:noWrap/>
            <w:hideMark/>
          </w:tcPr>
          <w:p w14:paraId="1CAA3FC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A5CF228" w14:textId="77777777" w:rsidR="00935BE4" w:rsidRPr="005D6EF2" w:rsidRDefault="00935BE4" w:rsidP="005D6EF2">
            <w:pPr>
              <w:spacing w:line="240" w:lineRule="auto"/>
              <w:ind w:firstLine="0"/>
              <w:jc w:val="center"/>
              <w:rPr>
                <w:lang w:val="en-US"/>
              </w:rPr>
            </w:pPr>
            <w:r w:rsidRPr="005D6EF2">
              <w:rPr>
                <w:lang w:val="en-US"/>
              </w:rPr>
              <w:t>299.9648</w:t>
            </w:r>
          </w:p>
        </w:tc>
        <w:tc>
          <w:tcPr>
            <w:tcW w:w="1428" w:type="dxa"/>
            <w:noWrap/>
            <w:hideMark/>
          </w:tcPr>
          <w:p w14:paraId="6AC2CBF5" w14:textId="77777777" w:rsidR="00935BE4" w:rsidRPr="005D6EF2" w:rsidRDefault="00935BE4" w:rsidP="005D6EF2">
            <w:pPr>
              <w:spacing w:line="240" w:lineRule="auto"/>
              <w:ind w:firstLine="0"/>
              <w:jc w:val="center"/>
              <w:rPr>
                <w:lang w:val="en-US"/>
              </w:rPr>
            </w:pPr>
            <w:r w:rsidRPr="005D6EF2">
              <w:rPr>
                <w:lang w:val="en-US"/>
              </w:rPr>
              <w:t>3599.155</w:t>
            </w:r>
          </w:p>
        </w:tc>
        <w:tc>
          <w:tcPr>
            <w:tcW w:w="1420" w:type="dxa"/>
            <w:noWrap/>
            <w:hideMark/>
          </w:tcPr>
          <w:p w14:paraId="4E1777A1"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5553E77" w14:textId="77777777" w:rsidR="00935BE4" w:rsidRPr="005D6EF2" w:rsidRDefault="00935BE4" w:rsidP="005D6EF2">
            <w:pPr>
              <w:spacing w:line="240" w:lineRule="auto"/>
              <w:ind w:firstLine="0"/>
              <w:jc w:val="center"/>
              <w:rPr>
                <w:lang w:val="en-US"/>
              </w:rPr>
            </w:pPr>
            <w:r w:rsidRPr="005D6EF2">
              <w:rPr>
                <w:lang w:val="en-US"/>
              </w:rPr>
              <w:t>0.003599</w:t>
            </w:r>
          </w:p>
        </w:tc>
      </w:tr>
      <w:tr w:rsidR="00935BE4" w:rsidRPr="008A1D26" w14:paraId="7019B196" w14:textId="77777777" w:rsidTr="00A807C1">
        <w:trPr>
          <w:trHeight w:val="300"/>
          <w:jc w:val="center"/>
        </w:trPr>
        <w:tc>
          <w:tcPr>
            <w:tcW w:w="1404" w:type="dxa"/>
            <w:noWrap/>
            <w:hideMark/>
          </w:tcPr>
          <w:p w14:paraId="5954E67D" w14:textId="77777777" w:rsidR="00935BE4" w:rsidRPr="005D6EF2" w:rsidRDefault="00935BE4" w:rsidP="005D6EF2">
            <w:pPr>
              <w:spacing w:line="240" w:lineRule="auto"/>
              <w:ind w:firstLine="0"/>
              <w:jc w:val="center"/>
              <w:rPr>
                <w:lang w:val="en-US"/>
              </w:rPr>
            </w:pPr>
            <w:r w:rsidRPr="005D6EF2">
              <w:rPr>
                <w:lang w:val="en-US"/>
              </w:rPr>
              <w:t>55761</w:t>
            </w:r>
          </w:p>
        </w:tc>
        <w:tc>
          <w:tcPr>
            <w:tcW w:w="1214" w:type="dxa"/>
            <w:noWrap/>
            <w:hideMark/>
          </w:tcPr>
          <w:p w14:paraId="291B1EF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080474C"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243BE65C"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2901104B"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8DAE1EB"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424CB949" w14:textId="77777777" w:rsidTr="00A807C1">
        <w:trPr>
          <w:trHeight w:val="300"/>
          <w:jc w:val="center"/>
        </w:trPr>
        <w:tc>
          <w:tcPr>
            <w:tcW w:w="1404" w:type="dxa"/>
            <w:noWrap/>
            <w:hideMark/>
          </w:tcPr>
          <w:p w14:paraId="24BEB0B2" w14:textId="77777777" w:rsidR="00935BE4" w:rsidRPr="005D6EF2" w:rsidRDefault="00935BE4" w:rsidP="005D6EF2">
            <w:pPr>
              <w:spacing w:line="240" w:lineRule="auto"/>
              <w:ind w:firstLine="0"/>
              <w:jc w:val="center"/>
              <w:rPr>
                <w:lang w:val="en-US"/>
              </w:rPr>
            </w:pPr>
            <w:r w:rsidRPr="005D6EF2">
              <w:rPr>
                <w:lang w:val="en-US"/>
              </w:rPr>
              <w:t>55776</w:t>
            </w:r>
          </w:p>
        </w:tc>
        <w:tc>
          <w:tcPr>
            <w:tcW w:w="1214" w:type="dxa"/>
            <w:noWrap/>
            <w:hideMark/>
          </w:tcPr>
          <w:p w14:paraId="428D510A"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26AC533" w14:textId="77777777" w:rsidR="00935BE4" w:rsidRPr="005D6EF2" w:rsidRDefault="00935BE4" w:rsidP="005D6EF2">
            <w:pPr>
              <w:spacing w:line="240" w:lineRule="auto"/>
              <w:ind w:firstLine="0"/>
              <w:jc w:val="center"/>
              <w:rPr>
                <w:lang w:val="en-US"/>
              </w:rPr>
            </w:pPr>
            <w:r w:rsidRPr="005D6EF2">
              <w:rPr>
                <w:lang w:val="en-US"/>
              </w:rPr>
              <w:t>503.1617</w:t>
            </w:r>
          </w:p>
        </w:tc>
        <w:tc>
          <w:tcPr>
            <w:tcW w:w="1428" w:type="dxa"/>
            <w:noWrap/>
            <w:hideMark/>
          </w:tcPr>
          <w:p w14:paraId="151C03D5" w14:textId="77777777" w:rsidR="00935BE4" w:rsidRPr="005D6EF2" w:rsidRDefault="00935BE4" w:rsidP="005D6EF2">
            <w:pPr>
              <w:spacing w:line="240" w:lineRule="auto"/>
              <w:ind w:firstLine="0"/>
              <w:jc w:val="center"/>
              <w:rPr>
                <w:lang w:val="en-US"/>
              </w:rPr>
            </w:pPr>
            <w:r w:rsidRPr="005D6EF2">
              <w:rPr>
                <w:lang w:val="en-US"/>
              </w:rPr>
              <w:t>11197.92</w:t>
            </w:r>
          </w:p>
        </w:tc>
        <w:tc>
          <w:tcPr>
            <w:tcW w:w="1420" w:type="dxa"/>
            <w:noWrap/>
            <w:hideMark/>
          </w:tcPr>
          <w:p w14:paraId="6ECBAEBC"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6FB5085" w14:textId="77777777" w:rsidR="00935BE4" w:rsidRPr="005D6EF2" w:rsidRDefault="00935BE4" w:rsidP="005D6EF2">
            <w:pPr>
              <w:spacing w:line="240" w:lineRule="auto"/>
              <w:ind w:firstLine="0"/>
              <w:jc w:val="center"/>
              <w:rPr>
                <w:lang w:val="en-US"/>
              </w:rPr>
            </w:pPr>
            <w:r w:rsidRPr="005D6EF2">
              <w:rPr>
                <w:lang w:val="en-US"/>
              </w:rPr>
              <w:t>0.011198</w:t>
            </w:r>
          </w:p>
        </w:tc>
      </w:tr>
      <w:tr w:rsidR="00935BE4" w:rsidRPr="008A1D26" w14:paraId="2FB7F45F" w14:textId="77777777" w:rsidTr="00A807C1">
        <w:trPr>
          <w:trHeight w:val="300"/>
          <w:jc w:val="center"/>
        </w:trPr>
        <w:tc>
          <w:tcPr>
            <w:tcW w:w="1404" w:type="dxa"/>
            <w:noWrap/>
            <w:hideMark/>
          </w:tcPr>
          <w:p w14:paraId="146CFD7D" w14:textId="77777777" w:rsidR="00935BE4" w:rsidRPr="005D6EF2" w:rsidRDefault="00935BE4" w:rsidP="005D6EF2">
            <w:pPr>
              <w:spacing w:line="240" w:lineRule="auto"/>
              <w:ind w:firstLine="0"/>
              <w:jc w:val="center"/>
              <w:rPr>
                <w:lang w:val="en-US"/>
              </w:rPr>
            </w:pPr>
            <w:r w:rsidRPr="005D6EF2">
              <w:rPr>
                <w:lang w:val="en-US"/>
              </w:rPr>
              <w:t>55891</w:t>
            </w:r>
          </w:p>
        </w:tc>
        <w:tc>
          <w:tcPr>
            <w:tcW w:w="1214" w:type="dxa"/>
            <w:noWrap/>
            <w:hideMark/>
          </w:tcPr>
          <w:p w14:paraId="3445615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4B3A0D7" w14:textId="77777777" w:rsidR="00935BE4" w:rsidRPr="005D6EF2" w:rsidRDefault="00935BE4" w:rsidP="005D6EF2">
            <w:pPr>
              <w:spacing w:line="240" w:lineRule="auto"/>
              <w:ind w:firstLine="0"/>
              <w:jc w:val="center"/>
              <w:rPr>
                <w:lang w:val="en-US"/>
              </w:rPr>
            </w:pPr>
            <w:r w:rsidRPr="005D6EF2">
              <w:rPr>
                <w:lang w:val="en-US"/>
              </w:rPr>
              <w:t>172.7787</w:t>
            </w:r>
          </w:p>
        </w:tc>
        <w:tc>
          <w:tcPr>
            <w:tcW w:w="1428" w:type="dxa"/>
            <w:noWrap/>
            <w:hideMark/>
          </w:tcPr>
          <w:p w14:paraId="5A2E4354" w14:textId="77777777" w:rsidR="00935BE4" w:rsidRPr="005D6EF2" w:rsidRDefault="00935BE4" w:rsidP="005D6EF2">
            <w:pPr>
              <w:spacing w:line="240" w:lineRule="auto"/>
              <w:ind w:firstLine="0"/>
              <w:jc w:val="center"/>
              <w:rPr>
                <w:lang w:val="en-US"/>
              </w:rPr>
            </w:pPr>
            <w:r w:rsidRPr="005D6EF2">
              <w:rPr>
                <w:lang w:val="en-US"/>
              </w:rPr>
              <w:t>1295.424</w:t>
            </w:r>
          </w:p>
        </w:tc>
        <w:tc>
          <w:tcPr>
            <w:tcW w:w="1420" w:type="dxa"/>
            <w:noWrap/>
            <w:hideMark/>
          </w:tcPr>
          <w:p w14:paraId="3BD9C495"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C576484" w14:textId="77777777" w:rsidR="00935BE4" w:rsidRPr="005D6EF2" w:rsidRDefault="00935BE4" w:rsidP="005D6EF2">
            <w:pPr>
              <w:spacing w:line="240" w:lineRule="auto"/>
              <w:ind w:firstLine="0"/>
              <w:jc w:val="center"/>
              <w:rPr>
                <w:lang w:val="en-US"/>
              </w:rPr>
            </w:pPr>
            <w:r w:rsidRPr="005D6EF2">
              <w:rPr>
                <w:lang w:val="en-US"/>
              </w:rPr>
              <w:t>0.001295</w:t>
            </w:r>
          </w:p>
        </w:tc>
      </w:tr>
      <w:tr w:rsidR="00935BE4" w:rsidRPr="008A1D26" w14:paraId="5F372685" w14:textId="77777777" w:rsidTr="00A807C1">
        <w:trPr>
          <w:trHeight w:val="300"/>
          <w:jc w:val="center"/>
        </w:trPr>
        <w:tc>
          <w:tcPr>
            <w:tcW w:w="1404" w:type="dxa"/>
            <w:noWrap/>
            <w:hideMark/>
          </w:tcPr>
          <w:p w14:paraId="3F26A0E0" w14:textId="77777777" w:rsidR="00935BE4" w:rsidRPr="005D6EF2" w:rsidRDefault="00935BE4" w:rsidP="005D6EF2">
            <w:pPr>
              <w:spacing w:line="240" w:lineRule="auto"/>
              <w:ind w:firstLine="0"/>
              <w:jc w:val="center"/>
              <w:rPr>
                <w:lang w:val="en-US"/>
              </w:rPr>
            </w:pPr>
            <w:r w:rsidRPr="005D6EF2">
              <w:rPr>
                <w:lang w:val="en-US"/>
              </w:rPr>
              <w:t>56106</w:t>
            </w:r>
          </w:p>
        </w:tc>
        <w:tc>
          <w:tcPr>
            <w:tcW w:w="1214" w:type="dxa"/>
            <w:noWrap/>
            <w:hideMark/>
          </w:tcPr>
          <w:p w14:paraId="47F68C5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872ACB6" w14:textId="77777777" w:rsidR="00935BE4" w:rsidRPr="005D6EF2" w:rsidRDefault="00935BE4" w:rsidP="005D6EF2">
            <w:pPr>
              <w:spacing w:line="240" w:lineRule="auto"/>
              <w:ind w:firstLine="0"/>
              <w:jc w:val="center"/>
              <w:rPr>
                <w:lang w:val="en-US"/>
              </w:rPr>
            </w:pPr>
            <w:r w:rsidRPr="005D6EF2">
              <w:rPr>
                <w:lang w:val="en-US"/>
              </w:rPr>
              <w:t>397.0355</w:t>
            </w:r>
          </w:p>
        </w:tc>
        <w:tc>
          <w:tcPr>
            <w:tcW w:w="1428" w:type="dxa"/>
            <w:noWrap/>
            <w:hideMark/>
          </w:tcPr>
          <w:p w14:paraId="4258AA6B" w14:textId="77777777" w:rsidR="00935BE4" w:rsidRPr="005D6EF2" w:rsidRDefault="00935BE4" w:rsidP="005D6EF2">
            <w:pPr>
              <w:spacing w:line="240" w:lineRule="auto"/>
              <w:ind w:firstLine="0"/>
              <w:jc w:val="center"/>
              <w:rPr>
                <w:lang w:val="en-US"/>
              </w:rPr>
            </w:pPr>
            <w:r w:rsidRPr="005D6EF2">
              <w:rPr>
                <w:lang w:val="en-US"/>
              </w:rPr>
              <w:t>5398.733</w:t>
            </w:r>
          </w:p>
        </w:tc>
        <w:tc>
          <w:tcPr>
            <w:tcW w:w="1420" w:type="dxa"/>
            <w:noWrap/>
            <w:hideMark/>
          </w:tcPr>
          <w:p w14:paraId="5E8E9EB7"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06BB623" w14:textId="77777777" w:rsidR="00935BE4" w:rsidRPr="005D6EF2" w:rsidRDefault="00935BE4" w:rsidP="005D6EF2">
            <w:pPr>
              <w:spacing w:line="240" w:lineRule="auto"/>
              <w:ind w:firstLine="0"/>
              <w:jc w:val="center"/>
              <w:rPr>
                <w:lang w:val="en-US"/>
              </w:rPr>
            </w:pPr>
            <w:r w:rsidRPr="005D6EF2">
              <w:rPr>
                <w:lang w:val="en-US"/>
              </w:rPr>
              <w:t>0.005399</w:t>
            </w:r>
          </w:p>
        </w:tc>
      </w:tr>
      <w:tr w:rsidR="00935BE4" w:rsidRPr="008A1D26" w14:paraId="7932EB82" w14:textId="77777777" w:rsidTr="00A807C1">
        <w:trPr>
          <w:trHeight w:val="300"/>
          <w:jc w:val="center"/>
        </w:trPr>
        <w:tc>
          <w:tcPr>
            <w:tcW w:w="1404" w:type="dxa"/>
            <w:noWrap/>
            <w:hideMark/>
          </w:tcPr>
          <w:p w14:paraId="61CD92EF" w14:textId="77777777" w:rsidR="00935BE4" w:rsidRPr="005D6EF2" w:rsidRDefault="00935BE4" w:rsidP="005D6EF2">
            <w:pPr>
              <w:spacing w:line="240" w:lineRule="auto"/>
              <w:ind w:firstLine="0"/>
              <w:jc w:val="center"/>
              <w:rPr>
                <w:lang w:val="en-US"/>
              </w:rPr>
            </w:pPr>
            <w:r w:rsidRPr="005D6EF2">
              <w:rPr>
                <w:lang w:val="en-US"/>
              </w:rPr>
              <w:t>56205</w:t>
            </w:r>
          </w:p>
        </w:tc>
        <w:tc>
          <w:tcPr>
            <w:tcW w:w="1214" w:type="dxa"/>
            <w:noWrap/>
            <w:hideMark/>
          </w:tcPr>
          <w:p w14:paraId="268AB3C4"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21F30FC" w14:textId="77777777" w:rsidR="00935BE4" w:rsidRPr="005D6EF2" w:rsidRDefault="00935BE4" w:rsidP="005D6EF2">
            <w:pPr>
              <w:spacing w:line="240" w:lineRule="auto"/>
              <w:ind w:firstLine="0"/>
              <w:jc w:val="center"/>
              <w:rPr>
                <w:lang w:val="en-US"/>
              </w:rPr>
            </w:pPr>
            <w:r w:rsidRPr="005D6EF2">
              <w:rPr>
                <w:lang w:val="en-US"/>
              </w:rPr>
              <w:t>394.439</w:t>
            </w:r>
          </w:p>
        </w:tc>
        <w:tc>
          <w:tcPr>
            <w:tcW w:w="1428" w:type="dxa"/>
            <w:noWrap/>
            <w:hideMark/>
          </w:tcPr>
          <w:p w14:paraId="71A6F1A9" w14:textId="77777777" w:rsidR="00935BE4" w:rsidRPr="005D6EF2" w:rsidRDefault="00935BE4" w:rsidP="005D6EF2">
            <w:pPr>
              <w:spacing w:line="240" w:lineRule="auto"/>
              <w:ind w:firstLine="0"/>
              <w:jc w:val="center"/>
              <w:rPr>
                <w:lang w:val="en-US"/>
              </w:rPr>
            </w:pPr>
            <w:r w:rsidRPr="005D6EF2">
              <w:rPr>
                <w:lang w:val="en-US"/>
              </w:rPr>
              <w:t>6899.168</w:t>
            </w:r>
          </w:p>
        </w:tc>
        <w:tc>
          <w:tcPr>
            <w:tcW w:w="1420" w:type="dxa"/>
            <w:noWrap/>
            <w:hideMark/>
          </w:tcPr>
          <w:p w14:paraId="2C91D07D"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0F81B0E" w14:textId="77777777" w:rsidR="00935BE4" w:rsidRPr="005D6EF2" w:rsidRDefault="00935BE4" w:rsidP="005D6EF2">
            <w:pPr>
              <w:spacing w:line="240" w:lineRule="auto"/>
              <w:ind w:firstLine="0"/>
              <w:jc w:val="center"/>
              <w:rPr>
                <w:lang w:val="en-US"/>
              </w:rPr>
            </w:pPr>
            <w:r w:rsidRPr="005D6EF2">
              <w:rPr>
                <w:lang w:val="en-US"/>
              </w:rPr>
              <w:t>0.006899</w:t>
            </w:r>
          </w:p>
        </w:tc>
      </w:tr>
      <w:tr w:rsidR="00935BE4" w:rsidRPr="008A1D26" w14:paraId="59FDE062" w14:textId="77777777" w:rsidTr="00A807C1">
        <w:trPr>
          <w:trHeight w:val="300"/>
          <w:jc w:val="center"/>
        </w:trPr>
        <w:tc>
          <w:tcPr>
            <w:tcW w:w="1404" w:type="dxa"/>
            <w:noWrap/>
            <w:hideMark/>
          </w:tcPr>
          <w:p w14:paraId="3181CB25" w14:textId="77777777" w:rsidR="00935BE4" w:rsidRPr="005D6EF2" w:rsidRDefault="00935BE4" w:rsidP="005D6EF2">
            <w:pPr>
              <w:spacing w:line="240" w:lineRule="auto"/>
              <w:ind w:firstLine="0"/>
              <w:jc w:val="center"/>
              <w:rPr>
                <w:lang w:val="en-US"/>
              </w:rPr>
            </w:pPr>
            <w:r w:rsidRPr="005D6EF2">
              <w:rPr>
                <w:lang w:val="en-US"/>
              </w:rPr>
              <w:t>56314</w:t>
            </w:r>
          </w:p>
        </w:tc>
        <w:tc>
          <w:tcPr>
            <w:tcW w:w="1214" w:type="dxa"/>
            <w:noWrap/>
            <w:hideMark/>
          </w:tcPr>
          <w:p w14:paraId="5B5B1A1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104C16A" w14:textId="77777777" w:rsidR="00935BE4" w:rsidRPr="005D6EF2" w:rsidRDefault="00935BE4" w:rsidP="005D6EF2">
            <w:pPr>
              <w:spacing w:line="240" w:lineRule="auto"/>
              <w:ind w:firstLine="0"/>
              <w:jc w:val="center"/>
              <w:rPr>
                <w:lang w:val="en-US"/>
              </w:rPr>
            </w:pPr>
            <w:r w:rsidRPr="005D6EF2">
              <w:rPr>
                <w:lang w:val="en-US"/>
              </w:rPr>
              <w:t>320.1749</w:t>
            </w:r>
          </w:p>
        </w:tc>
        <w:tc>
          <w:tcPr>
            <w:tcW w:w="1428" w:type="dxa"/>
            <w:noWrap/>
            <w:hideMark/>
          </w:tcPr>
          <w:p w14:paraId="3E7CF046" w14:textId="77777777" w:rsidR="00935BE4" w:rsidRPr="005D6EF2" w:rsidRDefault="00935BE4" w:rsidP="005D6EF2">
            <w:pPr>
              <w:spacing w:line="240" w:lineRule="auto"/>
              <w:ind w:firstLine="0"/>
              <w:jc w:val="center"/>
              <w:rPr>
                <w:lang w:val="en-US"/>
              </w:rPr>
            </w:pPr>
            <w:r w:rsidRPr="005D6EF2">
              <w:rPr>
                <w:lang w:val="en-US"/>
              </w:rPr>
              <w:t>4165.45</w:t>
            </w:r>
          </w:p>
        </w:tc>
        <w:tc>
          <w:tcPr>
            <w:tcW w:w="1420" w:type="dxa"/>
            <w:noWrap/>
            <w:hideMark/>
          </w:tcPr>
          <w:p w14:paraId="5A1A956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8E37B4C" w14:textId="77777777" w:rsidR="00935BE4" w:rsidRPr="005D6EF2" w:rsidRDefault="00935BE4" w:rsidP="005D6EF2">
            <w:pPr>
              <w:spacing w:line="240" w:lineRule="auto"/>
              <w:ind w:firstLine="0"/>
              <w:jc w:val="center"/>
              <w:rPr>
                <w:lang w:val="en-US"/>
              </w:rPr>
            </w:pPr>
            <w:r w:rsidRPr="005D6EF2">
              <w:rPr>
                <w:lang w:val="en-US"/>
              </w:rPr>
              <w:t>0.004166</w:t>
            </w:r>
          </w:p>
        </w:tc>
      </w:tr>
      <w:tr w:rsidR="00935BE4" w:rsidRPr="008A1D26" w14:paraId="07604F39" w14:textId="77777777" w:rsidTr="00A807C1">
        <w:trPr>
          <w:trHeight w:val="300"/>
          <w:jc w:val="center"/>
        </w:trPr>
        <w:tc>
          <w:tcPr>
            <w:tcW w:w="1404" w:type="dxa"/>
            <w:noWrap/>
            <w:hideMark/>
          </w:tcPr>
          <w:p w14:paraId="7B95FE44" w14:textId="77777777" w:rsidR="00935BE4" w:rsidRPr="005D6EF2" w:rsidRDefault="00935BE4" w:rsidP="005D6EF2">
            <w:pPr>
              <w:spacing w:line="240" w:lineRule="auto"/>
              <w:ind w:firstLine="0"/>
              <w:jc w:val="center"/>
              <w:rPr>
                <w:lang w:val="en-US"/>
              </w:rPr>
            </w:pPr>
            <w:r w:rsidRPr="005D6EF2">
              <w:rPr>
                <w:lang w:val="en-US"/>
              </w:rPr>
              <w:lastRenderedPageBreak/>
              <w:t>56498</w:t>
            </w:r>
          </w:p>
        </w:tc>
        <w:tc>
          <w:tcPr>
            <w:tcW w:w="1214" w:type="dxa"/>
            <w:noWrap/>
            <w:hideMark/>
          </w:tcPr>
          <w:p w14:paraId="444881C5"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CA74134"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277D2B2E"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07EE3B8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96EB69B"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11101AB1" w14:textId="77777777" w:rsidTr="00A807C1">
        <w:trPr>
          <w:trHeight w:val="300"/>
          <w:jc w:val="center"/>
        </w:trPr>
        <w:tc>
          <w:tcPr>
            <w:tcW w:w="1404" w:type="dxa"/>
            <w:noWrap/>
            <w:hideMark/>
          </w:tcPr>
          <w:p w14:paraId="14CBFB4D" w14:textId="77777777" w:rsidR="00935BE4" w:rsidRPr="005D6EF2" w:rsidRDefault="00935BE4" w:rsidP="005D6EF2">
            <w:pPr>
              <w:spacing w:line="240" w:lineRule="auto"/>
              <w:ind w:firstLine="0"/>
              <w:jc w:val="center"/>
              <w:rPr>
                <w:lang w:val="en-US"/>
              </w:rPr>
            </w:pPr>
            <w:r w:rsidRPr="005D6EF2">
              <w:rPr>
                <w:lang w:val="en-US"/>
              </w:rPr>
              <w:t>56599</w:t>
            </w:r>
          </w:p>
        </w:tc>
        <w:tc>
          <w:tcPr>
            <w:tcW w:w="1214" w:type="dxa"/>
            <w:noWrap/>
            <w:hideMark/>
          </w:tcPr>
          <w:p w14:paraId="70747849"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F377504"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4D90F4E4"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4D0FB1E2"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E2809E2"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2B69C6DA" w14:textId="77777777" w:rsidTr="00A807C1">
        <w:trPr>
          <w:trHeight w:val="300"/>
          <w:jc w:val="center"/>
        </w:trPr>
        <w:tc>
          <w:tcPr>
            <w:tcW w:w="1404" w:type="dxa"/>
            <w:noWrap/>
            <w:hideMark/>
          </w:tcPr>
          <w:p w14:paraId="31DCA7E2" w14:textId="77777777" w:rsidR="00935BE4" w:rsidRPr="005D6EF2" w:rsidRDefault="00935BE4" w:rsidP="005D6EF2">
            <w:pPr>
              <w:spacing w:line="240" w:lineRule="auto"/>
              <w:ind w:firstLine="0"/>
              <w:jc w:val="center"/>
              <w:rPr>
                <w:lang w:val="en-US"/>
              </w:rPr>
            </w:pPr>
            <w:r w:rsidRPr="005D6EF2">
              <w:rPr>
                <w:lang w:val="en-US"/>
              </w:rPr>
              <w:t>56600</w:t>
            </w:r>
          </w:p>
        </w:tc>
        <w:tc>
          <w:tcPr>
            <w:tcW w:w="1214" w:type="dxa"/>
            <w:noWrap/>
            <w:hideMark/>
          </w:tcPr>
          <w:p w14:paraId="792149B0"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D14D4CF" w14:textId="77777777" w:rsidR="00935BE4" w:rsidRPr="005D6EF2" w:rsidRDefault="00935BE4" w:rsidP="005D6EF2">
            <w:pPr>
              <w:spacing w:line="240" w:lineRule="auto"/>
              <w:ind w:firstLine="0"/>
              <w:jc w:val="center"/>
              <w:rPr>
                <w:lang w:val="en-US"/>
              </w:rPr>
            </w:pPr>
            <w:r w:rsidRPr="005D6EF2">
              <w:rPr>
                <w:lang w:val="en-US"/>
              </w:rPr>
              <w:t>212.9883</w:t>
            </w:r>
          </w:p>
        </w:tc>
        <w:tc>
          <w:tcPr>
            <w:tcW w:w="1428" w:type="dxa"/>
            <w:noWrap/>
            <w:hideMark/>
          </w:tcPr>
          <w:p w14:paraId="7334C404" w14:textId="77777777" w:rsidR="00935BE4" w:rsidRPr="005D6EF2" w:rsidRDefault="00935BE4" w:rsidP="005D6EF2">
            <w:pPr>
              <w:spacing w:line="240" w:lineRule="auto"/>
              <w:ind w:firstLine="0"/>
              <w:jc w:val="center"/>
              <w:rPr>
                <w:lang w:val="en-US"/>
              </w:rPr>
            </w:pPr>
            <w:r w:rsidRPr="005D6EF2">
              <w:rPr>
                <w:lang w:val="en-US"/>
              </w:rPr>
              <w:t>2131.723</w:t>
            </w:r>
          </w:p>
        </w:tc>
        <w:tc>
          <w:tcPr>
            <w:tcW w:w="1420" w:type="dxa"/>
            <w:noWrap/>
            <w:hideMark/>
          </w:tcPr>
          <w:p w14:paraId="4A50BDD8"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68FF2FE" w14:textId="77777777" w:rsidR="00935BE4" w:rsidRPr="005D6EF2" w:rsidRDefault="00935BE4" w:rsidP="005D6EF2">
            <w:pPr>
              <w:spacing w:line="240" w:lineRule="auto"/>
              <w:ind w:firstLine="0"/>
              <w:jc w:val="center"/>
              <w:rPr>
                <w:lang w:val="en-US"/>
              </w:rPr>
            </w:pPr>
            <w:r w:rsidRPr="005D6EF2">
              <w:rPr>
                <w:lang w:val="en-US"/>
              </w:rPr>
              <w:t>0.002132</w:t>
            </w:r>
          </w:p>
        </w:tc>
      </w:tr>
      <w:tr w:rsidR="00935BE4" w:rsidRPr="008A1D26" w14:paraId="5FBCF765" w14:textId="77777777" w:rsidTr="00A807C1">
        <w:trPr>
          <w:trHeight w:val="300"/>
          <w:jc w:val="center"/>
        </w:trPr>
        <w:tc>
          <w:tcPr>
            <w:tcW w:w="1404" w:type="dxa"/>
            <w:noWrap/>
            <w:hideMark/>
          </w:tcPr>
          <w:p w14:paraId="13FE651A" w14:textId="77777777" w:rsidR="00935BE4" w:rsidRPr="005D6EF2" w:rsidRDefault="00935BE4" w:rsidP="005D6EF2">
            <w:pPr>
              <w:spacing w:line="240" w:lineRule="auto"/>
              <w:ind w:firstLine="0"/>
              <w:jc w:val="center"/>
              <w:rPr>
                <w:lang w:val="en-US"/>
              </w:rPr>
            </w:pPr>
            <w:r w:rsidRPr="005D6EF2">
              <w:rPr>
                <w:lang w:val="en-US"/>
              </w:rPr>
              <w:t>57437</w:t>
            </w:r>
          </w:p>
        </w:tc>
        <w:tc>
          <w:tcPr>
            <w:tcW w:w="1214" w:type="dxa"/>
            <w:noWrap/>
            <w:hideMark/>
          </w:tcPr>
          <w:p w14:paraId="21794A00"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5189447"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5AFD3D0F"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401C5D6A"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B3873BE"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09649E48" w14:textId="77777777" w:rsidTr="00A807C1">
        <w:trPr>
          <w:trHeight w:val="300"/>
          <w:jc w:val="center"/>
        </w:trPr>
        <w:tc>
          <w:tcPr>
            <w:tcW w:w="1404" w:type="dxa"/>
            <w:noWrap/>
            <w:hideMark/>
          </w:tcPr>
          <w:p w14:paraId="6F6BC072" w14:textId="77777777" w:rsidR="00935BE4" w:rsidRPr="005D6EF2" w:rsidRDefault="00935BE4" w:rsidP="005D6EF2">
            <w:pPr>
              <w:spacing w:line="240" w:lineRule="auto"/>
              <w:ind w:firstLine="0"/>
              <w:jc w:val="center"/>
              <w:rPr>
                <w:lang w:val="en-US"/>
              </w:rPr>
            </w:pPr>
            <w:r w:rsidRPr="005D6EF2">
              <w:rPr>
                <w:lang w:val="en-US"/>
              </w:rPr>
              <w:t>57631</w:t>
            </w:r>
          </w:p>
        </w:tc>
        <w:tc>
          <w:tcPr>
            <w:tcW w:w="1214" w:type="dxa"/>
            <w:noWrap/>
            <w:hideMark/>
          </w:tcPr>
          <w:p w14:paraId="13C2BEB1"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11A47B8"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583E3941"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66276387"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02227FC"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070EB352" w14:textId="77777777" w:rsidTr="00A807C1">
        <w:trPr>
          <w:trHeight w:val="300"/>
          <w:jc w:val="center"/>
        </w:trPr>
        <w:tc>
          <w:tcPr>
            <w:tcW w:w="1404" w:type="dxa"/>
            <w:noWrap/>
            <w:hideMark/>
          </w:tcPr>
          <w:p w14:paraId="7418D851" w14:textId="77777777" w:rsidR="00935BE4" w:rsidRPr="005D6EF2" w:rsidRDefault="00935BE4" w:rsidP="005D6EF2">
            <w:pPr>
              <w:spacing w:line="240" w:lineRule="auto"/>
              <w:ind w:firstLine="0"/>
              <w:jc w:val="center"/>
              <w:rPr>
                <w:lang w:val="en-US"/>
              </w:rPr>
            </w:pPr>
            <w:r w:rsidRPr="005D6EF2">
              <w:rPr>
                <w:lang w:val="en-US"/>
              </w:rPr>
              <w:t>57891</w:t>
            </w:r>
          </w:p>
        </w:tc>
        <w:tc>
          <w:tcPr>
            <w:tcW w:w="1214" w:type="dxa"/>
            <w:noWrap/>
            <w:hideMark/>
          </w:tcPr>
          <w:p w14:paraId="782F830C"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1C36BA7"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5105CF17"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66E694FF"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6EEED34"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09AF8E70" w14:textId="77777777" w:rsidTr="00A807C1">
        <w:trPr>
          <w:trHeight w:val="300"/>
          <w:jc w:val="center"/>
        </w:trPr>
        <w:tc>
          <w:tcPr>
            <w:tcW w:w="1404" w:type="dxa"/>
            <w:noWrap/>
            <w:hideMark/>
          </w:tcPr>
          <w:p w14:paraId="5A01F295" w14:textId="77777777" w:rsidR="00935BE4" w:rsidRPr="005D6EF2" w:rsidRDefault="00935BE4" w:rsidP="005D6EF2">
            <w:pPr>
              <w:spacing w:line="240" w:lineRule="auto"/>
              <w:ind w:firstLine="0"/>
              <w:jc w:val="center"/>
              <w:rPr>
                <w:lang w:val="en-US"/>
              </w:rPr>
            </w:pPr>
            <w:r w:rsidRPr="005D6EF2">
              <w:rPr>
                <w:lang w:val="en-US"/>
              </w:rPr>
              <w:t>57898</w:t>
            </w:r>
          </w:p>
        </w:tc>
        <w:tc>
          <w:tcPr>
            <w:tcW w:w="1214" w:type="dxa"/>
            <w:noWrap/>
            <w:hideMark/>
          </w:tcPr>
          <w:p w14:paraId="17C414E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8627C11" w14:textId="77777777" w:rsidR="00935BE4" w:rsidRPr="005D6EF2" w:rsidRDefault="00935BE4" w:rsidP="005D6EF2">
            <w:pPr>
              <w:spacing w:line="240" w:lineRule="auto"/>
              <w:ind w:firstLine="0"/>
              <w:jc w:val="center"/>
              <w:rPr>
                <w:lang w:val="en-US"/>
              </w:rPr>
            </w:pPr>
            <w:r w:rsidRPr="005D6EF2">
              <w:rPr>
                <w:lang w:val="en-US"/>
              </w:rPr>
              <w:t>291.0274</w:t>
            </w:r>
          </w:p>
        </w:tc>
        <w:tc>
          <w:tcPr>
            <w:tcW w:w="1428" w:type="dxa"/>
            <w:noWrap/>
            <w:hideMark/>
          </w:tcPr>
          <w:p w14:paraId="553E8113" w14:textId="77777777" w:rsidR="00935BE4" w:rsidRPr="005D6EF2" w:rsidRDefault="00935BE4" w:rsidP="005D6EF2">
            <w:pPr>
              <w:spacing w:line="240" w:lineRule="auto"/>
              <w:ind w:firstLine="0"/>
              <w:jc w:val="center"/>
              <w:rPr>
                <w:lang w:val="en-US"/>
              </w:rPr>
            </w:pPr>
            <w:r w:rsidRPr="005D6EF2">
              <w:rPr>
                <w:lang w:val="en-US"/>
              </w:rPr>
              <w:t>3029.777</w:t>
            </w:r>
          </w:p>
        </w:tc>
        <w:tc>
          <w:tcPr>
            <w:tcW w:w="1420" w:type="dxa"/>
            <w:noWrap/>
            <w:hideMark/>
          </w:tcPr>
          <w:p w14:paraId="59EA9B21"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84E2A0A" w14:textId="77777777" w:rsidR="00935BE4" w:rsidRPr="005D6EF2" w:rsidRDefault="00935BE4" w:rsidP="005D6EF2">
            <w:pPr>
              <w:spacing w:line="240" w:lineRule="auto"/>
              <w:ind w:firstLine="0"/>
              <w:jc w:val="center"/>
              <w:rPr>
                <w:lang w:val="en-US"/>
              </w:rPr>
            </w:pPr>
            <w:r w:rsidRPr="005D6EF2">
              <w:rPr>
                <w:lang w:val="en-US"/>
              </w:rPr>
              <w:t>0.00303</w:t>
            </w:r>
          </w:p>
        </w:tc>
      </w:tr>
      <w:tr w:rsidR="00935BE4" w:rsidRPr="008A1D26" w14:paraId="75C35D30" w14:textId="77777777" w:rsidTr="00A807C1">
        <w:trPr>
          <w:trHeight w:val="300"/>
          <w:jc w:val="center"/>
        </w:trPr>
        <w:tc>
          <w:tcPr>
            <w:tcW w:w="1404" w:type="dxa"/>
            <w:noWrap/>
            <w:hideMark/>
          </w:tcPr>
          <w:p w14:paraId="2EF81922" w14:textId="77777777" w:rsidR="00935BE4" w:rsidRPr="005D6EF2" w:rsidRDefault="00935BE4" w:rsidP="005D6EF2">
            <w:pPr>
              <w:spacing w:line="240" w:lineRule="auto"/>
              <w:ind w:firstLine="0"/>
              <w:jc w:val="center"/>
              <w:rPr>
                <w:lang w:val="en-US"/>
              </w:rPr>
            </w:pPr>
            <w:r w:rsidRPr="005D6EF2">
              <w:rPr>
                <w:lang w:val="en-US"/>
              </w:rPr>
              <w:t>57902</w:t>
            </w:r>
          </w:p>
        </w:tc>
        <w:tc>
          <w:tcPr>
            <w:tcW w:w="1214" w:type="dxa"/>
            <w:noWrap/>
            <w:hideMark/>
          </w:tcPr>
          <w:p w14:paraId="7EE8FAE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AEE49AF" w14:textId="77777777" w:rsidR="00935BE4" w:rsidRPr="005D6EF2" w:rsidRDefault="00935BE4" w:rsidP="005D6EF2">
            <w:pPr>
              <w:spacing w:line="240" w:lineRule="auto"/>
              <w:ind w:firstLine="0"/>
              <w:jc w:val="center"/>
              <w:rPr>
                <w:lang w:val="en-US"/>
              </w:rPr>
            </w:pPr>
            <w:r w:rsidRPr="005D6EF2">
              <w:rPr>
                <w:lang w:val="en-US"/>
              </w:rPr>
              <w:t>239.9718</w:t>
            </w:r>
          </w:p>
        </w:tc>
        <w:tc>
          <w:tcPr>
            <w:tcW w:w="1428" w:type="dxa"/>
            <w:noWrap/>
            <w:hideMark/>
          </w:tcPr>
          <w:p w14:paraId="328D896E" w14:textId="77777777" w:rsidR="00935BE4" w:rsidRPr="005D6EF2" w:rsidRDefault="00935BE4" w:rsidP="005D6EF2">
            <w:pPr>
              <w:spacing w:line="240" w:lineRule="auto"/>
              <w:ind w:firstLine="0"/>
              <w:jc w:val="center"/>
              <w:rPr>
                <w:lang w:val="en-US"/>
              </w:rPr>
            </w:pPr>
            <w:r w:rsidRPr="005D6EF2">
              <w:rPr>
                <w:lang w:val="en-US"/>
              </w:rPr>
              <w:t>2699.367</w:t>
            </w:r>
          </w:p>
        </w:tc>
        <w:tc>
          <w:tcPr>
            <w:tcW w:w="1420" w:type="dxa"/>
            <w:noWrap/>
            <w:hideMark/>
          </w:tcPr>
          <w:p w14:paraId="7ADE060B"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29ABFF8" w14:textId="77777777" w:rsidR="00935BE4" w:rsidRPr="005D6EF2" w:rsidRDefault="00935BE4" w:rsidP="005D6EF2">
            <w:pPr>
              <w:spacing w:line="240" w:lineRule="auto"/>
              <w:ind w:firstLine="0"/>
              <w:jc w:val="center"/>
              <w:rPr>
                <w:lang w:val="en-US"/>
              </w:rPr>
            </w:pPr>
            <w:r w:rsidRPr="005D6EF2">
              <w:rPr>
                <w:lang w:val="en-US"/>
              </w:rPr>
              <w:t>0.002699</w:t>
            </w:r>
          </w:p>
        </w:tc>
      </w:tr>
      <w:tr w:rsidR="00935BE4" w:rsidRPr="008A1D26" w14:paraId="70459001" w14:textId="77777777" w:rsidTr="00A807C1">
        <w:trPr>
          <w:trHeight w:val="300"/>
          <w:jc w:val="center"/>
        </w:trPr>
        <w:tc>
          <w:tcPr>
            <w:tcW w:w="1404" w:type="dxa"/>
            <w:noWrap/>
            <w:hideMark/>
          </w:tcPr>
          <w:p w14:paraId="62DB014E" w14:textId="77777777" w:rsidR="00935BE4" w:rsidRPr="005D6EF2" w:rsidRDefault="00935BE4" w:rsidP="005D6EF2">
            <w:pPr>
              <w:spacing w:line="240" w:lineRule="auto"/>
              <w:ind w:firstLine="0"/>
              <w:jc w:val="center"/>
              <w:rPr>
                <w:lang w:val="en-US"/>
              </w:rPr>
            </w:pPr>
            <w:r w:rsidRPr="005D6EF2">
              <w:rPr>
                <w:lang w:val="en-US"/>
              </w:rPr>
              <w:t>58274</w:t>
            </w:r>
          </w:p>
        </w:tc>
        <w:tc>
          <w:tcPr>
            <w:tcW w:w="1214" w:type="dxa"/>
            <w:noWrap/>
            <w:hideMark/>
          </w:tcPr>
          <w:p w14:paraId="06CE0BBE"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9A53BE9"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42F822DA"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445DCA6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D2BB181"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6CCE303D" w14:textId="77777777" w:rsidTr="00A807C1">
        <w:trPr>
          <w:trHeight w:val="300"/>
          <w:jc w:val="center"/>
        </w:trPr>
        <w:tc>
          <w:tcPr>
            <w:tcW w:w="1404" w:type="dxa"/>
            <w:noWrap/>
            <w:hideMark/>
          </w:tcPr>
          <w:p w14:paraId="37B27704" w14:textId="77777777" w:rsidR="00935BE4" w:rsidRPr="005D6EF2" w:rsidRDefault="00935BE4" w:rsidP="005D6EF2">
            <w:pPr>
              <w:spacing w:line="240" w:lineRule="auto"/>
              <w:ind w:firstLine="0"/>
              <w:jc w:val="center"/>
              <w:rPr>
                <w:lang w:val="en-US"/>
              </w:rPr>
            </w:pPr>
            <w:r w:rsidRPr="005D6EF2">
              <w:rPr>
                <w:lang w:val="en-US"/>
              </w:rPr>
              <w:t>58456</w:t>
            </w:r>
          </w:p>
        </w:tc>
        <w:tc>
          <w:tcPr>
            <w:tcW w:w="1214" w:type="dxa"/>
            <w:noWrap/>
            <w:hideMark/>
          </w:tcPr>
          <w:p w14:paraId="548CA9A5"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3550CF0" w14:textId="77777777" w:rsidR="00935BE4" w:rsidRPr="005D6EF2" w:rsidRDefault="00935BE4" w:rsidP="005D6EF2">
            <w:pPr>
              <w:spacing w:line="240" w:lineRule="auto"/>
              <w:ind w:firstLine="0"/>
              <w:jc w:val="center"/>
              <w:rPr>
                <w:lang w:val="en-US"/>
              </w:rPr>
            </w:pPr>
            <w:r w:rsidRPr="005D6EF2">
              <w:rPr>
                <w:lang w:val="en-US"/>
              </w:rPr>
              <w:t>200.2636</w:t>
            </w:r>
          </w:p>
        </w:tc>
        <w:tc>
          <w:tcPr>
            <w:tcW w:w="1428" w:type="dxa"/>
            <w:noWrap/>
            <w:hideMark/>
          </w:tcPr>
          <w:p w14:paraId="60DE1F8A" w14:textId="77777777" w:rsidR="00935BE4" w:rsidRPr="005D6EF2" w:rsidRDefault="00935BE4" w:rsidP="005D6EF2">
            <w:pPr>
              <w:spacing w:line="240" w:lineRule="auto"/>
              <w:ind w:firstLine="0"/>
              <w:jc w:val="center"/>
              <w:rPr>
                <w:lang w:val="en-US"/>
              </w:rPr>
            </w:pPr>
            <w:r w:rsidRPr="005D6EF2">
              <w:rPr>
                <w:lang w:val="en-US"/>
              </w:rPr>
              <w:t>2261.292</w:t>
            </w:r>
          </w:p>
        </w:tc>
        <w:tc>
          <w:tcPr>
            <w:tcW w:w="1420" w:type="dxa"/>
            <w:noWrap/>
            <w:hideMark/>
          </w:tcPr>
          <w:p w14:paraId="446CCE7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D3A9E0E" w14:textId="77777777" w:rsidR="00935BE4" w:rsidRPr="005D6EF2" w:rsidRDefault="00935BE4" w:rsidP="005D6EF2">
            <w:pPr>
              <w:spacing w:line="240" w:lineRule="auto"/>
              <w:ind w:firstLine="0"/>
              <w:jc w:val="center"/>
              <w:rPr>
                <w:lang w:val="en-US"/>
              </w:rPr>
            </w:pPr>
            <w:r w:rsidRPr="005D6EF2">
              <w:rPr>
                <w:lang w:val="en-US"/>
              </w:rPr>
              <w:t>0.002261</w:t>
            </w:r>
          </w:p>
        </w:tc>
      </w:tr>
      <w:tr w:rsidR="00935BE4" w:rsidRPr="008A1D26" w14:paraId="71F51582" w14:textId="77777777" w:rsidTr="00A807C1">
        <w:trPr>
          <w:trHeight w:val="300"/>
          <w:jc w:val="center"/>
        </w:trPr>
        <w:tc>
          <w:tcPr>
            <w:tcW w:w="1404" w:type="dxa"/>
            <w:noWrap/>
            <w:hideMark/>
          </w:tcPr>
          <w:p w14:paraId="3D1D73FE" w14:textId="77777777" w:rsidR="00935BE4" w:rsidRPr="005D6EF2" w:rsidRDefault="00935BE4" w:rsidP="005D6EF2">
            <w:pPr>
              <w:spacing w:line="240" w:lineRule="auto"/>
              <w:ind w:firstLine="0"/>
              <w:jc w:val="center"/>
              <w:rPr>
                <w:lang w:val="en-US"/>
              </w:rPr>
            </w:pPr>
            <w:r w:rsidRPr="005D6EF2">
              <w:rPr>
                <w:lang w:val="en-US"/>
              </w:rPr>
              <w:t>58556</w:t>
            </w:r>
          </w:p>
        </w:tc>
        <w:tc>
          <w:tcPr>
            <w:tcW w:w="1214" w:type="dxa"/>
            <w:noWrap/>
            <w:hideMark/>
          </w:tcPr>
          <w:p w14:paraId="2DF7BD6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429E200"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25CFDBB7"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322CBA6C"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8F88AE3"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2C053242" w14:textId="77777777" w:rsidTr="00A807C1">
        <w:trPr>
          <w:trHeight w:val="300"/>
          <w:jc w:val="center"/>
        </w:trPr>
        <w:tc>
          <w:tcPr>
            <w:tcW w:w="1404" w:type="dxa"/>
            <w:noWrap/>
            <w:hideMark/>
          </w:tcPr>
          <w:p w14:paraId="6246FD8F" w14:textId="77777777" w:rsidR="00935BE4" w:rsidRPr="005D6EF2" w:rsidRDefault="00935BE4" w:rsidP="005D6EF2">
            <w:pPr>
              <w:spacing w:line="240" w:lineRule="auto"/>
              <w:ind w:firstLine="0"/>
              <w:jc w:val="center"/>
              <w:rPr>
                <w:lang w:val="en-US"/>
              </w:rPr>
            </w:pPr>
            <w:r w:rsidRPr="005D6EF2">
              <w:rPr>
                <w:lang w:val="en-US"/>
              </w:rPr>
              <w:t>58763</w:t>
            </w:r>
          </w:p>
        </w:tc>
        <w:tc>
          <w:tcPr>
            <w:tcW w:w="1214" w:type="dxa"/>
            <w:noWrap/>
            <w:hideMark/>
          </w:tcPr>
          <w:p w14:paraId="587A2EFD"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2698A28"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05E6101A"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66047AAD"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4E338C1"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0E31FC96" w14:textId="77777777" w:rsidTr="00A807C1">
        <w:trPr>
          <w:trHeight w:val="300"/>
          <w:jc w:val="center"/>
        </w:trPr>
        <w:tc>
          <w:tcPr>
            <w:tcW w:w="1404" w:type="dxa"/>
            <w:noWrap/>
            <w:hideMark/>
          </w:tcPr>
          <w:p w14:paraId="5E65E843" w14:textId="77777777" w:rsidR="00935BE4" w:rsidRPr="005D6EF2" w:rsidRDefault="00935BE4" w:rsidP="005D6EF2">
            <w:pPr>
              <w:spacing w:line="240" w:lineRule="auto"/>
              <w:ind w:firstLine="0"/>
              <w:jc w:val="center"/>
              <w:rPr>
                <w:lang w:val="en-US"/>
              </w:rPr>
            </w:pPr>
            <w:r w:rsidRPr="005D6EF2">
              <w:rPr>
                <w:lang w:val="en-US"/>
              </w:rPr>
              <w:t>58765</w:t>
            </w:r>
          </w:p>
        </w:tc>
        <w:tc>
          <w:tcPr>
            <w:tcW w:w="1214" w:type="dxa"/>
            <w:noWrap/>
            <w:hideMark/>
          </w:tcPr>
          <w:p w14:paraId="068C4DD3"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F925851" w14:textId="77777777" w:rsidR="00935BE4" w:rsidRPr="005D6EF2" w:rsidRDefault="00935BE4" w:rsidP="005D6EF2">
            <w:pPr>
              <w:spacing w:line="240" w:lineRule="auto"/>
              <w:ind w:firstLine="0"/>
              <w:jc w:val="center"/>
              <w:rPr>
                <w:lang w:val="en-US"/>
              </w:rPr>
            </w:pPr>
            <w:r w:rsidRPr="005D6EF2">
              <w:rPr>
                <w:lang w:val="en-US"/>
              </w:rPr>
              <w:t>113.1735</w:t>
            </w:r>
          </w:p>
        </w:tc>
        <w:tc>
          <w:tcPr>
            <w:tcW w:w="1428" w:type="dxa"/>
            <w:noWrap/>
            <w:hideMark/>
          </w:tcPr>
          <w:p w14:paraId="3C52EBE6" w14:textId="77777777" w:rsidR="00935BE4" w:rsidRPr="005D6EF2" w:rsidRDefault="00935BE4" w:rsidP="005D6EF2">
            <w:pPr>
              <w:spacing w:line="240" w:lineRule="auto"/>
              <w:ind w:firstLine="0"/>
              <w:jc w:val="center"/>
              <w:rPr>
                <w:lang w:val="en-US"/>
              </w:rPr>
            </w:pPr>
            <w:r w:rsidRPr="005D6EF2">
              <w:rPr>
                <w:lang w:val="en-US"/>
              </w:rPr>
              <w:t>616.0589</w:t>
            </w:r>
          </w:p>
        </w:tc>
        <w:tc>
          <w:tcPr>
            <w:tcW w:w="1420" w:type="dxa"/>
            <w:noWrap/>
            <w:hideMark/>
          </w:tcPr>
          <w:p w14:paraId="5430B38A"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B649EEE"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6CDBBA43" w14:textId="77777777" w:rsidTr="00A807C1">
        <w:trPr>
          <w:trHeight w:val="300"/>
          <w:jc w:val="center"/>
        </w:trPr>
        <w:tc>
          <w:tcPr>
            <w:tcW w:w="1404" w:type="dxa"/>
            <w:noWrap/>
            <w:hideMark/>
          </w:tcPr>
          <w:p w14:paraId="2EB3BE2A" w14:textId="77777777" w:rsidR="00935BE4" w:rsidRPr="005D6EF2" w:rsidRDefault="00935BE4" w:rsidP="005D6EF2">
            <w:pPr>
              <w:spacing w:line="240" w:lineRule="auto"/>
              <w:ind w:firstLine="0"/>
              <w:jc w:val="center"/>
              <w:rPr>
                <w:lang w:val="en-US"/>
              </w:rPr>
            </w:pPr>
            <w:r w:rsidRPr="005D6EF2">
              <w:rPr>
                <w:lang w:val="en-US"/>
              </w:rPr>
              <w:t>58861</w:t>
            </w:r>
          </w:p>
        </w:tc>
        <w:tc>
          <w:tcPr>
            <w:tcW w:w="1214" w:type="dxa"/>
            <w:noWrap/>
            <w:hideMark/>
          </w:tcPr>
          <w:p w14:paraId="4093298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8ACD278"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491328CC"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7F1106D4"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B3FE25C"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4A37E1CA" w14:textId="77777777" w:rsidTr="00A807C1">
        <w:trPr>
          <w:trHeight w:val="300"/>
          <w:jc w:val="center"/>
        </w:trPr>
        <w:tc>
          <w:tcPr>
            <w:tcW w:w="1404" w:type="dxa"/>
            <w:noWrap/>
            <w:hideMark/>
          </w:tcPr>
          <w:p w14:paraId="44858A2F" w14:textId="77777777" w:rsidR="00935BE4" w:rsidRPr="005D6EF2" w:rsidRDefault="00935BE4" w:rsidP="005D6EF2">
            <w:pPr>
              <w:spacing w:line="240" w:lineRule="auto"/>
              <w:ind w:firstLine="0"/>
              <w:jc w:val="center"/>
              <w:rPr>
                <w:lang w:val="en-US"/>
              </w:rPr>
            </w:pPr>
            <w:r w:rsidRPr="005D6EF2">
              <w:rPr>
                <w:lang w:val="en-US"/>
              </w:rPr>
              <w:t>58870</w:t>
            </w:r>
          </w:p>
        </w:tc>
        <w:tc>
          <w:tcPr>
            <w:tcW w:w="1214" w:type="dxa"/>
            <w:noWrap/>
            <w:hideMark/>
          </w:tcPr>
          <w:p w14:paraId="52131200"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0A67D8A" w14:textId="77777777" w:rsidR="00935BE4" w:rsidRPr="005D6EF2" w:rsidRDefault="00935BE4" w:rsidP="005D6EF2">
            <w:pPr>
              <w:spacing w:line="240" w:lineRule="auto"/>
              <w:ind w:firstLine="0"/>
              <w:jc w:val="center"/>
              <w:rPr>
                <w:lang w:val="en-US"/>
              </w:rPr>
            </w:pPr>
            <w:r w:rsidRPr="005D6EF2">
              <w:rPr>
                <w:lang w:val="en-US"/>
              </w:rPr>
              <w:t>113.1735</w:t>
            </w:r>
          </w:p>
        </w:tc>
        <w:tc>
          <w:tcPr>
            <w:tcW w:w="1428" w:type="dxa"/>
            <w:noWrap/>
            <w:hideMark/>
          </w:tcPr>
          <w:p w14:paraId="4E2AF46B" w14:textId="77777777" w:rsidR="00935BE4" w:rsidRPr="005D6EF2" w:rsidRDefault="00935BE4" w:rsidP="005D6EF2">
            <w:pPr>
              <w:spacing w:line="240" w:lineRule="auto"/>
              <w:ind w:firstLine="0"/>
              <w:jc w:val="center"/>
              <w:rPr>
                <w:lang w:val="en-US"/>
              </w:rPr>
            </w:pPr>
            <w:r w:rsidRPr="005D6EF2">
              <w:rPr>
                <w:lang w:val="en-US"/>
              </w:rPr>
              <w:t>616.0589</w:t>
            </w:r>
          </w:p>
        </w:tc>
        <w:tc>
          <w:tcPr>
            <w:tcW w:w="1420" w:type="dxa"/>
            <w:noWrap/>
            <w:hideMark/>
          </w:tcPr>
          <w:p w14:paraId="60EF8C2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0E19C59"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299B4E08" w14:textId="77777777" w:rsidTr="00A807C1">
        <w:trPr>
          <w:trHeight w:val="300"/>
          <w:jc w:val="center"/>
        </w:trPr>
        <w:tc>
          <w:tcPr>
            <w:tcW w:w="1404" w:type="dxa"/>
            <w:noWrap/>
            <w:hideMark/>
          </w:tcPr>
          <w:p w14:paraId="5CDDEBF5" w14:textId="77777777" w:rsidR="00935BE4" w:rsidRPr="005D6EF2" w:rsidRDefault="00935BE4" w:rsidP="005D6EF2">
            <w:pPr>
              <w:spacing w:line="240" w:lineRule="auto"/>
              <w:ind w:firstLine="0"/>
              <w:jc w:val="center"/>
              <w:rPr>
                <w:lang w:val="en-US"/>
              </w:rPr>
            </w:pPr>
            <w:r w:rsidRPr="005D6EF2">
              <w:rPr>
                <w:lang w:val="en-US"/>
              </w:rPr>
              <w:t>58956</w:t>
            </w:r>
          </w:p>
        </w:tc>
        <w:tc>
          <w:tcPr>
            <w:tcW w:w="1214" w:type="dxa"/>
            <w:noWrap/>
            <w:hideMark/>
          </w:tcPr>
          <w:p w14:paraId="48B1ED38"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CE667AA"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5E23DB4B"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20A0B3E0"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02153DE"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5E9974E4" w14:textId="77777777" w:rsidTr="00A807C1">
        <w:trPr>
          <w:trHeight w:val="300"/>
          <w:jc w:val="center"/>
        </w:trPr>
        <w:tc>
          <w:tcPr>
            <w:tcW w:w="1404" w:type="dxa"/>
            <w:noWrap/>
            <w:hideMark/>
          </w:tcPr>
          <w:p w14:paraId="460D4F57" w14:textId="77777777" w:rsidR="00935BE4" w:rsidRPr="005D6EF2" w:rsidRDefault="00935BE4" w:rsidP="005D6EF2">
            <w:pPr>
              <w:spacing w:line="240" w:lineRule="auto"/>
              <w:ind w:firstLine="0"/>
              <w:jc w:val="center"/>
              <w:rPr>
                <w:lang w:val="en-US"/>
              </w:rPr>
            </w:pPr>
            <w:r w:rsidRPr="005D6EF2">
              <w:rPr>
                <w:lang w:val="en-US"/>
              </w:rPr>
              <w:t>58957</w:t>
            </w:r>
          </w:p>
        </w:tc>
        <w:tc>
          <w:tcPr>
            <w:tcW w:w="1214" w:type="dxa"/>
            <w:noWrap/>
            <w:hideMark/>
          </w:tcPr>
          <w:p w14:paraId="07A98C8F"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E81F629"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2ACD3CD1"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1EA2E110"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9A0F30F"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1212AB55" w14:textId="77777777" w:rsidTr="00A807C1">
        <w:trPr>
          <w:trHeight w:val="300"/>
          <w:jc w:val="center"/>
        </w:trPr>
        <w:tc>
          <w:tcPr>
            <w:tcW w:w="1404" w:type="dxa"/>
            <w:noWrap/>
            <w:hideMark/>
          </w:tcPr>
          <w:p w14:paraId="402644FE" w14:textId="77777777" w:rsidR="00935BE4" w:rsidRPr="005D6EF2" w:rsidRDefault="00935BE4" w:rsidP="005D6EF2">
            <w:pPr>
              <w:spacing w:line="240" w:lineRule="auto"/>
              <w:ind w:firstLine="0"/>
              <w:jc w:val="center"/>
              <w:rPr>
                <w:lang w:val="en-US"/>
              </w:rPr>
            </w:pPr>
            <w:r w:rsidRPr="005D6EF2">
              <w:rPr>
                <w:lang w:val="en-US"/>
              </w:rPr>
              <w:t>58965</w:t>
            </w:r>
          </w:p>
        </w:tc>
        <w:tc>
          <w:tcPr>
            <w:tcW w:w="1214" w:type="dxa"/>
            <w:noWrap/>
            <w:hideMark/>
          </w:tcPr>
          <w:p w14:paraId="173188E9"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25E14CE"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4E510B96"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163650C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CC5F9F3"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0CF62C63" w14:textId="77777777" w:rsidTr="00A807C1">
        <w:trPr>
          <w:trHeight w:val="300"/>
          <w:jc w:val="center"/>
        </w:trPr>
        <w:tc>
          <w:tcPr>
            <w:tcW w:w="1404" w:type="dxa"/>
            <w:noWrap/>
            <w:hideMark/>
          </w:tcPr>
          <w:p w14:paraId="71439D5D" w14:textId="77777777" w:rsidR="00935BE4" w:rsidRPr="005D6EF2" w:rsidRDefault="00935BE4" w:rsidP="005D6EF2">
            <w:pPr>
              <w:spacing w:line="240" w:lineRule="auto"/>
              <w:ind w:firstLine="0"/>
              <w:jc w:val="center"/>
              <w:rPr>
                <w:lang w:val="en-US"/>
              </w:rPr>
            </w:pPr>
            <w:r w:rsidRPr="005D6EF2">
              <w:rPr>
                <w:lang w:val="en-US"/>
              </w:rPr>
              <w:t>59077</w:t>
            </w:r>
          </w:p>
        </w:tc>
        <w:tc>
          <w:tcPr>
            <w:tcW w:w="1214" w:type="dxa"/>
            <w:noWrap/>
            <w:hideMark/>
          </w:tcPr>
          <w:p w14:paraId="49F8EF8C"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6E0AA3F3" w14:textId="77777777" w:rsidR="00935BE4" w:rsidRPr="005D6EF2" w:rsidRDefault="00935BE4" w:rsidP="005D6EF2">
            <w:pPr>
              <w:spacing w:line="240" w:lineRule="auto"/>
              <w:ind w:firstLine="0"/>
              <w:jc w:val="center"/>
              <w:rPr>
                <w:lang w:val="en-US"/>
              </w:rPr>
            </w:pPr>
            <w:r w:rsidRPr="005D6EF2">
              <w:rPr>
                <w:lang w:val="en-US"/>
              </w:rPr>
              <w:t>179.9789</w:t>
            </w:r>
          </w:p>
        </w:tc>
        <w:tc>
          <w:tcPr>
            <w:tcW w:w="1428" w:type="dxa"/>
            <w:noWrap/>
            <w:hideMark/>
          </w:tcPr>
          <w:p w14:paraId="2940962B" w14:textId="77777777" w:rsidR="00935BE4" w:rsidRPr="005D6EF2" w:rsidRDefault="00935BE4" w:rsidP="005D6EF2">
            <w:pPr>
              <w:spacing w:line="240" w:lineRule="auto"/>
              <w:ind w:firstLine="0"/>
              <w:jc w:val="center"/>
              <w:rPr>
                <w:lang w:val="en-US"/>
              </w:rPr>
            </w:pPr>
            <w:r w:rsidRPr="005D6EF2">
              <w:rPr>
                <w:lang w:val="en-US"/>
              </w:rPr>
              <w:t>1799.578</w:t>
            </w:r>
          </w:p>
        </w:tc>
        <w:tc>
          <w:tcPr>
            <w:tcW w:w="1420" w:type="dxa"/>
            <w:noWrap/>
            <w:hideMark/>
          </w:tcPr>
          <w:p w14:paraId="2DCDB0E3"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707AFF5" w14:textId="77777777" w:rsidR="00935BE4" w:rsidRPr="005D6EF2" w:rsidRDefault="00935BE4" w:rsidP="005D6EF2">
            <w:pPr>
              <w:spacing w:line="240" w:lineRule="auto"/>
              <w:ind w:firstLine="0"/>
              <w:jc w:val="center"/>
              <w:rPr>
                <w:lang w:val="en-US"/>
              </w:rPr>
            </w:pPr>
            <w:r w:rsidRPr="005D6EF2">
              <w:rPr>
                <w:lang w:val="en-US"/>
              </w:rPr>
              <w:t>0.0018</w:t>
            </w:r>
          </w:p>
        </w:tc>
      </w:tr>
      <w:tr w:rsidR="00935BE4" w:rsidRPr="008A1D26" w14:paraId="502BC75C" w14:textId="77777777" w:rsidTr="00A807C1">
        <w:trPr>
          <w:trHeight w:val="300"/>
          <w:jc w:val="center"/>
        </w:trPr>
        <w:tc>
          <w:tcPr>
            <w:tcW w:w="1404" w:type="dxa"/>
            <w:noWrap/>
            <w:hideMark/>
          </w:tcPr>
          <w:p w14:paraId="5B119865" w14:textId="77777777" w:rsidR="00935BE4" w:rsidRPr="005D6EF2" w:rsidRDefault="00935BE4" w:rsidP="005D6EF2">
            <w:pPr>
              <w:spacing w:line="240" w:lineRule="auto"/>
              <w:ind w:firstLine="0"/>
              <w:jc w:val="center"/>
              <w:rPr>
                <w:lang w:val="en-US"/>
              </w:rPr>
            </w:pPr>
            <w:r w:rsidRPr="005D6EF2">
              <w:rPr>
                <w:lang w:val="en-US"/>
              </w:rPr>
              <w:t>59292</w:t>
            </w:r>
          </w:p>
        </w:tc>
        <w:tc>
          <w:tcPr>
            <w:tcW w:w="1214" w:type="dxa"/>
            <w:noWrap/>
            <w:hideMark/>
          </w:tcPr>
          <w:p w14:paraId="4D105101"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60065F0"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5853621B"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11E78F50"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B7199F2"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4B2FA867" w14:textId="77777777" w:rsidTr="00A807C1">
        <w:trPr>
          <w:trHeight w:val="300"/>
          <w:jc w:val="center"/>
        </w:trPr>
        <w:tc>
          <w:tcPr>
            <w:tcW w:w="1404" w:type="dxa"/>
            <w:noWrap/>
            <w:hideMark/>
          </w:tcPr>
          <w:p w14:paraId="3A8BE45F" w14:textId="77777777" w:rsidR="00935BE4" w:rsidRPr="005D6EF2" w:rsidRDefault="00935BE4" w:rsidP="005D6EF2">
            <w:pPr>
              <w:spacing w:line="240" w:lineRule="auto"/>
              <w:ind w:firstLine="0"/>
              <w:jc w:val="center"/>
              <w:rPr>
                <w:lang w:val="en-US"/>
              </w:rPr>
            </w:pPr>
            <w:r w:rsidRPr="005D6EF2">
              <w:rPr>
                <w:lang w:val="en-US"/>
              </w:rPr>
              <w:t>59735</w:t>
            </w:r>
          </w:p>
        </w:tc>
        <w:tc>
          <w:tcPr>
            <w:tcW w:w="1214" w:type="dxa"/>
            <w:noWrap/>
            <w:hideMark/>
          </w:tcPr>
          <w:p w14:paraId="23C4E316"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3487CE9" w14:textId="77777777" w:rsidR="00935BE4" w:rsidRPr="005D6EF2" w:rsidRDefault="00935BE4" w:rsidP="005D6EF2">
            <w:pPr>
              <w:spacing w:line="240" w:lineRule="auto"/>
              <w:ind w:firstLine="0"/>
              <w:jc w:val="center"/>
              <w:rPr>
                <w:lang w:val="en-US"/>
              </w:rPr>
            </w:pPr>
            <w:r w:rsidRPr="005D6EF2">
              <w:rPr>
                <w:lang w:val="en-US"/>
              </w:rPr>
              <w:t>113.1739</w:t>
            </w:r>
          </w:p>
        </w:tc>
        <w:tc>
          <w:tcPr>
            <w:tcW w:w="1428" w:type="dxa"/>
            <w:noWrap/>
            <w:hideMark/>
          </w:tcPr>
          <w:p w14:paraId="1EECE025" w14:textId="77777777" w:rsidR="00935BE4" w:rsidRPr="005D6EF2" w:rsidRDefault="00935BE4" w:rsidP="005D6EF2">
            <w:pPr>
              <w:spacing w:line="240" w:lineRule="auto"/>
              <w:ind w:firstLine="0"/>
              <w:jc w:val="center"/>
              <w:rPr>
                <w:lang w:val="en-US"/>
              </w:rPr>
            </w:pPr>
            <w:r w:rsidRPr="005D6EF2">
              <w:rPr>
                <w:lang w:val="en-US"/>
              </w:rPr>
              <w:t>616.0636</w:t>
            </w:r>
          </w:p>
        </w:tc>
        <w:tc>
          <w:tcPr>
            <w:tcW w:w="1420" w:type="dxa"/>
            <w:noWrap/>
            <w:hideMark/>
          </w:tcPr>
          <w:p w14:paraId="005FBBB2"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3B03D61"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0EDB09CB" w14:textId="77777777" w:rsidTr="00A807C1">
        <w:trPr>
          <w:trHeight w:val="300"/>
          <w:jc w:val="center"/>
        </w:trPr>
        <w:tc>
          <w:tcPr>
            <w:tcW w:w="1404" w:type="dxa"/>
            <w:noWrap/>
            <w:hideMark/>
          </w:tcPr>
          <w:p w14:paraId="7E5C4A83" w14:textId="77777777" w:rsidR="00935BE4" w:rsidRPr="005D6EF2" w:rsidRDefault="00935BE4" w:rsidP="005D6EF2">
            <w:pPr>
              <w:spacing w:line="240" w:lineRule="auto"/>
              <w:ind w:firstLine="0"/>
              <w:jc w:val="center"/>
              <w:rPr>
                <w:lang w:val="en-US"/>
              </w:rPr>
            </w:pPr>
            <w:r w:rsidRPr="005D6EF2">
              <w:rPr>
                <w:lang w:val="en-US"/>
              </w:rPr>
              <w:t>59831</w:t>
            </w:r>
          </w:p>
        </w:tc>
        <w:tc>
          <w:tcPr>
            <w:tcW w:w="1214" w:type="dxa"/>
            <w:noWrap/>
            <w:hideMark/>
          </w:tcPr>
          <w:p w14:paraId="35A36E4A"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9CAD989" w14:textId="77777777" w:rsidR="00935BE4" w:rsidRPr="005D6EF2" w:rsidRDefault="00935BE4" w:rsidP="005D6EF2">
            <w:pPr>
              <w:spacing w:line="240" w:lineRule="auto"/>
              <w:ind w:firstLine="0"/>
              <w:jc w:val="center"/>
              <w:rPr>
                <w:lang w:val="en-US"/>
              </w:rPr>
            </w:pPr>
            <w:r w:rsidRPr="005D6EF2">
              <w:rPr>
                <w:lang w:val="en-US"/>
              </w:rPr>
              <w:t>169.7448</w:t>
            </w:r>
          </w:p>
        </w:tc>
        <w:tc>
          <w:tcPr>
            <w:tcW w:w="1428" w:type="dxa"/>
            <w:noWrap/>
            <w:hideMark/>
          </w:tcPr>
          <w:p w14:paraId="56082FA4" w14:textId="77777777" w:rsidR="00935BE4" w:rsidRPr="005D6EF2" w:rsidRDefault="00935BE4" w:rsidP="005D6EF2">
            <w:pPr>
              <w:spacing w:line="240" w:lineRule="auto"/>
              <w:ind w:firstLine="0"/>
              <w:jc w:val="center"/>
              <w:rPr>
                <w:lang w:val="en-US"/>
              </w:rPr>
            </w:pPr>
            <w:r w:rsidRPr="005D6EF2">
              <w:rPr>
                <w:lang w:val="en-US"/>
              </w:rPr>
              <w:t>1228.556</w:t>
            </w:r>
          </w:p>
        </w:tc>
        <w:tc>
          <w:tcPr>
            <w:tcW w:w="1420" w:type="dxa"/>
            <w:noWrap/>
            <w:hideMark/>
          </w:tcPr>
          <w:p w14:paraId="13187C60"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D682187" w14:textId="77777777" w:rsidR="00935BE4" w:rsidRPr="005D6EF2" w:rsidRDefault="00935BE4" w:rsidP="005D6EF2">
            <w:pPr>
              <w:spacing w:line="240" w:lineRule="auto"/>
              <w:ind w:firstLine="0"/>
              <w:jc w:val="center"/>
              <w:rPr>
                <w:lang w:val="en-US"/>
              </w:rPr>
            </w:pPr>
            <w:r w:rsidRPr="005D6EF2">
              <w:rPr>
                <w:lang w:val="en-US"/>
              </w:rPr>
              <w:t>0.001229</w:t>
            </w:r>
          </w:p>
        </w:tc>
      </w:tr>
      <w:tr w:rsidR="00935BE4" w:rsidRPr="008A1D26" w14:paraId="24D62F11" w14:textId="77777777" w:rsidTr="00A807C1">
        <w:trPr>
          <w:trHeight w:val="300"/>
          <w:jc w:val="center"/>
        </w:trPr>
        <w:tc>
          <w:tcPr>
            <w:tcW w:w="1404" w:type="dxa"/>
            <w:noWrap/>
            <w:hideMark/>
          </w:tcPr>
          <w:p w14:paraId="04136ABF" w14:textId="77777777" w:rsidR="00935BE4" w:rsidRPr="005D6EF2" w:rsidRDefault="00935BE4" w:rsidP="005D6EF2">
            <w:pPr>
              <w:spacing w:line="240" w:lineRule="auto"/>
              <w:ind w:firstLine="0"/>
              <w:jc w:val="center"/>
              <w:rPr>
                <w:lang w:val="en-US"/>
              </w:rPr>
            </w:pPr>
            <w:r w:rsidRPr="005D6EF2">
              <w:rPr>
                <w:lang w:val="en-US"/>
              </w:rPr>
              <w:t>60004</w:t>
            </w:r>
          </w:p>
        </w:tc>
        <w:tc>
          <w:tcPr>
            <w:tcW w:w="1214" w:type="dxa"/>
            <w:noWrap/>
            <w:hideMark/>
          </w:tcPr>
          <w:p w14:paraId="77F2C520"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7814F1E" w14:textId="77777777" w:rsidR="00935BE4" w:rsidRPr="005D6EF2" w:rsidRDefault="00935BE4" w:rsidP="005D6EF2">
            <w:pPr>
              <w:spacing w:line="240" w:lineRule="auto"/>
              <w:ind w:firstLine="0"/>
              <w:jc w:val="center"/>
              <w:rPr>
                <w:lang w:val="en-US"/>
              </w:rPr>
            </w:pPr>
            <w:r w:rsidRPr="005D6EF2">
              <w:rPr>
                <w:lang w:val="en-US"/>
              </w:rPr>
              <w:t>349.6957</w:t>
            </w:r>
          </w:p>
        </w:tc>
        <w:tc>
          <w:tcPr>
            <w:tcW w:w="1428" w:type="dxa"/>
            <w:noWrap/>
            <w:hideMark/>
          </w:tcPr>
          <w:p w14:paraId="76C4FA5A" w14:textId="77777777" w:rsidR="00935BE4" w:rsidRPr="005D6EF2" w:rsidRDefault="00935BE4" w:rsidP="005D6EF2">
            <w:pPr>
              <w:spacing w:line="240" w:lineRule="auto"/>
              <w:ind w:firstLine="0"/>
              <w:jc w:val="center"/>
              <w:rPr>
                <w:lang w:val="en-US"/>
              </w:rPr>
            </w:pPr>
            <w:r w:rsidRPr="005D6EF2">
              <w:rPr>
                <w:lang w:val="en-US"/>
              </w:rPr>
              <w:t>5689.796</w:t>
            </w:r>
          </w:p>
        </w:tc>
        <w:tc>
          <w:tcPr>
            <w:tcW w:w="1420" w:type="dxa"/>
            <w:noWrap/>
            <w:hideMark/>
          </w:tcPr>
          <w:p w14:paraId="7DC54155"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36856CA" w14:textId="77777777" w:rsidR="00935BE4" w:rsidRPr="005D6EF2" w:rsidRDefault="00935BE4" w:rsidP="005D6EF2">
            <w:pPr>
              <w:spacing w:line="240" w:lineRule="auto"/>
              <w:ind w:firstLine="0"/>
              <w:jc w:val="center"/>
              <w:rPr>
                <w:lang w:val="en-US"/>
              </w:rPr>
            </w:pPr>
            <w:r w:rsidRPr="005D6EF2">
              <w:rPr>
                <w:lang w:val="en-US"/>
              </w:rPr>
              <w:t>0.00569</w:t>
            </w:r>
          </w:p>
        </w:tc>
      </w:tr>
      <w:tr w:rsidR="00935BE4" w:rsidRPr="008A1D26" w14:paraId="26125174" w14:textId="77777777" w:rsidTr="00A807C1">
        <w:trPr>
          <w:trHeight w:val="300"/>
          <w:jc w:val="center"/>
        </w:trPr>
        <w:tc>
          <w:tcPr>
            <w:tcW w:w="1404" w:type="dxa"/>
            <w:noWrap/>
            <w:hideMark/>
          </w:tcPr>
          <w:p w14:paraId="47D8750B" w14:textId="77777777" w:rsidR="00935BE4" w:rsidRPr="005D6EF2" w:rsidRDefault="00935BE4" w:rsidP="005D6EF2">
            <w:pPr>
              <w:spacing w:line="240" w:lineRule="auto"/>
              <w:ind w:firstLine="0"/>
              <w:jc w:val="center"/>
              <w:rPr>
                <w:lang w:val="en-US"/>
              </w:rPr>
            </w:pPr>
            <w:r w:rsidRPr="005D6EF2">
              <w:rPr>
                <w:lang w:val="en-US"/>
              </w:rPr>
              <w:t>60006</w:t>
            </w:r>
          </w:p>
        </w:tc>
        <w:tc>
          <w:tcPr>
            <w:tcW w:w="1214" w:type="dxa"/>
            <w:noWrap/>
            <w:hideMark/>
          </w:tcPr>
          <w:p w14:paraId="560F06FA"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98B98D0"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1B721DEF"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03F3206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12F13AB"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54B138A7" w14:textId="77777777" w:rsidTr="00A807C1">
        <w:trPr>
          <w:trHeight w:val="300"/>
          <w:jc w:val="center"/>
        </w:trPr>
        <w:tc>
          <w:tcPr>
            <w:tcW w:w="1404" w:type="dxa"/>
            <w:noWrap/>
            <w:hideMark/>
          </w:tcPr>
          <w:p w14:paraId="27CB89D0" w14:textId="77777777" w:rsidR="00935BE4" w:rsidRPr="005D6EF2" w:rsidRDefault="00935BE4" w:rsidP="005D6EF2">
            <w:pPr>
              <w:spacing w:line="240" w:lineRule="auto"/>
              <w:ind w:firstLine="0"/>
              <w:jc w:val="center"/>
              <w:rPr>
                <w:lang w:val="en-US"/>
              </w:rPr>
            </w:pPr>
            <w:r w:rsidRPr="005D6EF2">
              <w:rPr>
                <w:lang w:val="en-US"/>
              </w:rPr>
              <w:t>60224</w:t>
            </w:r>
          </w:p>
        </w:tc>
        <w:tc>
          <w:tcPr>
            <w:tcW w:w="1214" w:type="dxa"/>
            <w:noWrap/>
            <w:hideMark/>
          </w:tcPr>
          <w:p w14:paraId="4672ACA8"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856766F" w14:textId="77777777" w:rsidR="00935BE4" w:rsidRPr="005D6EF2" w:rsidRDefault="00935BE4" w:rsidP="005D6EF2">
            <w:pPr>
              <w:spacing w:line="240" w:lineRule="auto"/>
              <w:ind w:firstLine="0"/>
              <w:jc w:val="center"/>
              <w:rPr>
                <w:lang w:val="en-US"/>
              </w:rPr>
            </w:pPr>
            <w:r w:rsidRPr="005D6EF2">
              <w:rPr>
                <w:lang w:val="en-US"/>
              </w:rPr>
              <w:t>289.6068</w:t>
            </w:r>
          </w:p>
        </w:tc>
        <w:tc>
          <w:tcPr>
            <w:tcW w:w="1428" w:type="dxa"/>
            <w:noWrap/>
            <w:hideMark/>
          </w:tcPr>
          <w:p w14:paraId="680A4C26" w14:textId="77777777" w:rsidR="00935BE4" w:rsidRPr="005D6EF2" w:rsidRDefault="00935BE4" w:rsidP="005D6EF2">
            <w:pPr>
              <w:spacing w:line="240" w:lineRule="auto"/>
              <w:ind w:firstLine="0"/>
              <w:jc w:val="center"/>
              <w:rPr>
                <w:lang w:val="en-US"/>
              </w:rPr>
            </w:pPr>
            <w:r w:rsidRPr="005D6EF2">
              <w:rPr>
                <w:lang w:val="en-US"/>
              </w:rPr>
              <w:t>4632.507</w:t>
            </w:r>
          </w:p>
        </w:tc>
        <w:tc>
          <w:tcPr>
            <w:tcW w:w="1420" w:type="dxa"/>
            <w:noWrap/>
            <w:hideMark/>
          </w:tcPr>
          <w:p w14:paraId="6E18471C"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46D004C" w14:textId="77777777" w:rsidR="00935BE4" w:rsidRPr="005D6EF2" w:rsidRDefault="00935BE4" w:rsidP="005D6EF2">
            <w:pPr>
              <w:spacing w:line="240" w:lineRule="auto"/>
              <w:ind w:firstLine="0"/>
              <w:jc w:val="center"/>
              <w:rPr>
                <w:lang w:val="en-US"/>
              </w:rPr>
            </w:pPr>
            <w:r w:rsidRPr="005D6EF2">
              <w:rPr>
                <w:lang w:val="en-US"/>
              </w:rPr>
              <w:t>0.004633</w:t>
            </w:r>
          </w:p>
        </w:tc>
      </w:tr>
      <w:tr w:rsidR="00935BE4" w:rsidRPr="008A1D26" w14:paraId="5F0579C2" w14:textId="77777777" w:rsidTr="00A807C1">
        <w:trPr>
          <w:trHeight w:val="300"/>
          <w:jc w:val="center"/>
        </w:trPr>
        <w:tc>
          <w:tcPr>
            <w:tcW w:w="1404" w:type="dxa"/>
            <w:noWrap/>
            <w:hideMark/>
          </w:tcPr>
          <w:p w14:paraId="2DD73EBA" w14:textId="77777777" w:rsidR="00935BE4" w:rsidRPr="005D6EF2" w:rsidRDefault="00935BE4" w:rsidP="005D6EF2">
            <w:pPr>
              <w:spacing w:line="240" w:lineRule="auto"/>
              <w:ind w:firstLine="0"/>
              <w:jc w:val="center"/>
              <w:rPr>
                <w:lang w:val="en-US"/>
              </w:rPr>
            </w:pPr>
            <w:r w:rsidRPr="005D6EF2">
              <w:rPr>
                <w:lang w:val="en-US"/>
              </w:rPr>
              <w:t>64426</w:t>
            </w:r>
          </w:p>
        </w:tc>
        <w:tc>
          <w:tcPr>
            <w:tcW w:w="1214" w:type="dxa"/>
            <w:noWrap/>
            <w:hideMark/>
          </w:tcPr>
          <w:p w14:paraId="358E3A2A"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C5A39DF" w14:textId="77777777" w:rsidR="00935BE4" w:rsidRPr="005D6EF2" w:rsidRDefault="00935BE4" w:rsidP="005D6EF2">
            <w:pPr>
              <w:spacing w:line="240" w:lineRule="auto"/>
              <w:ind w:firstLine="0"/>
              <w:jc w:val="center"/>
              <w:rPr>
                <w:lang w:val="en-US"/>
              </w:rPr>
            </w:pPr>
            <w:r w:rsidRPr="005D6EF2">
              <w:rPr>
                <w:lang w:val="en-US"/>
              </w:rPr>
              <w:t>5962.25</w:t>
            </w:r>
          </w:p>
        </w:tc>
        <w:tc>
          <w:tcPr>
            <w:tcW w:w="1428" w:type="dxa"/>
            <w:noWrap/>
            <w:hideMark/>
          </w:tcPr>
          <w:p w14:paraId="1C6AE6F9" w14:textId="77777777" w:rsidR="00935BE4" w:rsidRPr="005D6EF2" w:rsidRDefault="00935BE4" w:rsidP="005D6EF2">
            <w:pPr>
              <w:spacing w:line="240" w:lineRule="auto"/>
              <w:ind w:firstLine="0"/>
              <w:jc w:val="center"/>
              <w:rPr>
                <w:lang w:val="en-US"/>
              </w:rPr>
            </w:pPr>
            <w:r w:rsidRPr="005D6EF2">
              <w:rPr>
                <w:lang w:val="en-US"/>
              </w:rPr>
              <w:t>674231</w:t>
            </w:r>
          </w:p>
        </w:tc>
        <w:tc>
          <w:tcPr>
            <w:tcW w:w="1420" w:type="dxa"/>
            <w:noWrap/>
            <w:hideMark/>
          </w:tcPr>
          <w:p w14:paraId="4C2B9275"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E9E6E97" w14:textId="77777777" w:rsidR="00935BE4" w:rsidRPr="005D6EF2" w:rsidRDefault="00935BE4" w:rsidP="005D6EF2">
            <w:pPr>
              <w:spacing w:line="240" w:lineRule="auto"/>
              <w:ind w:firstLine="0"/>
              <w:jc w:val="center"/>
              <w:rPr>
                <w:lang w:val="en-US"/>
              </w:rPr>
            </w:pPr>
            <w:r w:rsidRPr="005D6EF2">
              <w:rPr>
                <w:lang w:val="en-US"/>
              </w:rPr>
              <w:t>0.674231</w:t>
            </w:r>
          </w:p>
        </w:tc>
      </w:tr>
      <w:tr w:rsidR="00935BE4" w:rsidRPr="008A1D26" w14:paraId="35D3C471" w14:textId="77777777" w:rsidTr="00A807C1">
        <w:trPr>
          <w:trHeight w:val="300"/>
          <w:jc w:val="center"/>
        </w:trPr>
        <w:tc>
          <w:tcPr>
            <w:tcW w:w="1404" w:type="dxa"/>
            <w:noWrap/>
            <w:hideMark/>
          </w:tcPr>
          <w:p w14:paraId="701CFEAF" w14:textId="77777777" w:rsidR="00935BE4" w:rsidRPr="005D6EF2" w:rsidRDefault="00935BE4" w:rsidP="005D6EF2">
            <w:pPr>
              <w:spacing w:line="240" w:lineRule="auto"/>
              <w:ind w:firstLine="0"/>
              <w:jc w:val="center"/>
              <w:rPr>
                <w:lang w:val="en-US"/>
              </w:rPr>
            </w:pPr>
            <w:r w:rsidRPr="005D6EF2">
              <w:rPr>
                <w:lang w:val="en-US"/>
              </w:rPr>
              <w:t>67830</w:t>
            </w:r>
          </w:p>
        </w:tc>
        <w:tc>
          <w:tcPr>
            <w:tcW w:w="1214" w:type="dxa"/>
            <w:noWrap/>
            <w:hideMark/>
          </w:tcPr>
          <w:p w14:paraId="23637F6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B1B67C3" w14:textId="77777777" w:rsidR="00935BE4" w:rsidRPr="005D6EF2" w:rsidRDefault="00935BE4" w:rsidP="005D6EF2">
            <w:pPr>
              <w:spacing w:line="240" w:lineRule="auto"/>
              <w:ind w:firstLine="0"/>
              <w:jc w:val="center"/>
              <w:rPr>
                <w:lang w:val="en-US"/>
              </w:rPr>
            </w:pPr>
            <w:r w:rsidRPr="005D6EF2">
              <w:rPr>
                <w:lang w:val="en-US"/>
              </w:rPr>
              <w:t>299.9648</w:t>
            </w:r>
          </w:p>
        </w:tc>
        <w:tc>
          <w:tcPr>
            <w:tcW w:w="1428" w:type="dxa"/>
            <w:noWrap/>
            <w:hideMark/>
          </w:tcPr>
          <w:p w14:paraId="25687969" w14:textId="77777777" w:rsidR="00935BE4" w:rsidRPr="005D6EF2" w:rsidRDefault="00935BE4" w:rsidP="005D6EF2">
            <w:pPr>
              <w:spacing w:line="240" w:lineRule="auto"/>
              <w:ind w:firstLine="0"/>
              <w:jc w:val="center"/>
              <w:rPr>
                <w:lang w:val="en-US"/>
              </w:rPr>
            </w:pPr>
            <w:r w:rsidRPr="005D6EF2">
              <w:rPr>
                <w:lang w:val="en-US"/>
              </w:rPr>
              <w:t>3599.155</w:t>
            </w:r>
          </w:p>
        </w:tc>
        <w:tc>
          <w:tcPr>
            <w:tcW w:w="1420" w:type="dxa"/>
            <w:noWrap/>
            <w:hideMark/>
          </w:tcPr>
          <w:p w14:paraId="34067541"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6CD1CB8" w14:textId="77777777" w:rsidR="00935BE4" w:rsidRPr="005D6EF2" w:rsidRDefault="00935BE4" w:rsidP="005D6EF2">
            <w:pPr>
              <w:spacing w:line="240" w:lineRule="auto"/>
              <w:ind w:firstLine="0"/>
              <w:jc w:val="center"/>
              <w:rPr>
                <w:lang w:val="en-US"/>
              </w:rPr>
            </w:pPr>
            <w:r w:rsidRPr="005D6EF2">
              <w:rPr>
                <w:lang w:val="en-US"/>
              </w:rPr>
              <w:t>0.003599</w:t>
            </w:r>
          </w:p>
        </w:tc>
      </w:tr>
      <w:tr w:rsidR="00935BE4" w:rsidRPr="008A1D26" w14:paraId="25C0F029" w14:textId="77777777" w:rsidTr="00A807C1">
        <w:trPr>
          <w:trHeight w:val="300"/>
          <w:jc w:val="center"/>
        </w:trPr>
        <w:tc>
          <w:tcPr>
            <w:tcW w:w="1404" w:type="dxa"/>
            <w:noWrap/>
            <w:hideMark/>
          </w:tcPr>
          <w:p w14:paraId="1823F7CC" w14:textId="77777777" w:rsidR="00935BE4" w:rsidRPr="005D6EF2" w:rsidRDefault="00935BE4" w:rsidP="005D6EF2">
            <w:pPr>
              <w:spacing w:line="240" w:lineRule="auto"/>
              <w:ind w:firstLine="0"/>
              <w:jc w:val="center"/>
              <w:rPr>
                <w:lang w:val="en-US"/>
              </w:rPr>
            </w:pPr>
            <w:r w:rsidRPr="005D6EF2">
              <w:rPr>
                <w:lang w:val="en-US"/>
              </w:rPr>
              <w:t>69447</w:t>
            </w:r>
          </w:p>
        </w:tc>
        <w:tc>
          <w:tcPr>
            <w:tcW w:w="1214" w:type="dxa"/>
            <w:noWrap/>
            <w:hideMark/>
          </w:tcPr>
          <w:p w14:paraId="36E6114C"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3324F53"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2C19FE44"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7C3C4BB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032BE72"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1E6A437D" w14:textId="77777777" w:rsidTr="00A807C1">
        <w:trPr>
          <w:trHeight w:val="300"/>
          <w:jc w:val="center"/>
        </w:trPr>
        <w:tc>
          <w:tcPr>
            <w:tcW w:w="1404" w:type="dxa"/>
            <w:noWrap/>
            <w:hideMark/>
          </w:tcPr>
          <w:p w14:paraId="75CA1914" w14:textId="77777777" w:rsidR="00935BE4" w:rsidRPr="005D6EF2" w:rsidRDefault="00935BE4" w:rsidP="005D6EF2">
            <w:pPr>
              <w:spacing w:line="240" w:lineRule="auto"/>
              <w:ind w:firstLine="0"/>
              <w:jc w:val="center"/>
              <w:rPr>
                <w:lang w:val="en-US"/>
              </w:rPr>
            </w:pPr>
            <w:r w:rsidRPr="005D6EF2">
              <w:rPr>
                <w:lang w:val="en-US"/>
              </w:rPr>
              <w:t>70709</w:t>
            </w:r>
          </w:p>
        </w:tc>
        <w:tc>
          <w:tcPr>
            <w:tcW w:w="1214" w:type="dxa"/>
            <w:noWrap/>
            <w:hideMark/>
          </w:tcPr>
          <w:p w14:paraId="6530F958"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2DA8029" w14:textId="77777777" w:rsidR="00935BE4" w:rsidRPr="005D6EF2" w:rsidRDefault="00935BE4" w:rsidP="005D6EF2">
            <w:pPr>
              <w:spacing w:line="240" w:lineRule="auto"/>
              <w:ind w:firstLine="0"/>
              <w:jc w:val="center"/>
              <w:rPr>
                <w:lang w:val="en-US"/>
              </w:rPr>
            </w:pPr>
            <w:r w:rsidRPr="005D6EF2">
              <w:rPr>
                <w:lang w:val="en-US"/>
              </w:rPr>
              <w:t>200.224</w:t>
            </w:r>
          </w:p>
        </w:tc>
        <w:tc>
          <w:tcPr>
            <w:tcW w:w="1428" w:type="dxa"/>
            <w:noWrap/>
            <w:hideMark/>
          </w:tcPr>
          <w:p w14:paraId="33735A8B" w14:textId="77777777" w:rsidR="00935BE4" w:rsidRPr="005D6EF2" w:rsidRDefault="00935BE4" w:rsidP="005D6EF2">
            <w:pPr>
              <w:spacing w:line="240" w:lineRule="auto"/>
              <w:ind w:firstLine="0"/>
              <w:jc w:val="center"/>
              <w:rPr>
                <w:lang w:val="en-US"/>
              </w:rPr>
            </w:pPr>
            <w:r w:rsidRPr="005D6EF2">
              <w:rPr>
                <w:lang w:val="en-US"/>
              </w:rPr>
              <w:t>2514.345</w:t>
            </w:r>
          </w:p>
        </w:tc>
        <w:tc>
          <w:tcPr>
            <w:tcW w:w="1420" w:type="dxa"/>
            <w:noWrap/>
            <w:hideMark/>
          </w:tcPr>
          <w:p w14:paraId="6B65626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B7E114B" w14:textId="77777777" w:rsidR="00935BE4" w:rsidRPr="005D6EF2" w:rsidRDefault="00935BE4" w:rsidP="005D6EF2">
            <w:pPr>
              <w:spacing w:line="240" w:lineRule="auto"/>
              <w:ind w:firstLine="0"/>
              <w:jc w:val="center"/>
              <w:rPr>
                <w:lang w:val="en-US"/>
              </w:rPr>
            </w:pPr>
            <w:r w:rsidRPr="005D6EF2">
              <w:rPr>
                <w:lang w:val="en-US"/>
              </w:rPr>
              <w:t>0.002514</w:t>
            </w:r>
          </w:p>
        </w:tc>
      </w:tr>
      <w:tr w:rsidR="00935BE4" w:rsidRPr="008A1D26" w14:paraId="5460B74A" w14:textId="77777777" w:rsidTr="00A807C1">
        <w:trPr>
          <w:trHeight w:val="300"/>
          <w:jc w:val="center"/>
        </w:trPr>
        <w:tc>
          <w:tcPr>
            <w:tcW w:w="1404" w:type="dxa"/>
            <w:noWrap/>
            <w:hideMark/>
          </w:tcPr>
          <w:p w14:paraId="6DABD2B2" w14:textId="77777777" w:rsidR="00935BE4" w:rsidRPr="005D6EF2" w:rsidRDefault="00935BE4" w:rsidP="005D6EF2">
            <w:pPr>
              <w:spacing w:line="240" w:lineRule="auto"/>
              <w:ind w:firstLine="0"/>
              <w:jc w:val="center"/>
              <w:rPr>
                <w:lang w:val="en-US"/>
              </w:rPr>
            </w:pPr>
            <w:r w:rsidRPr="005D6EF2">
              <w:rPr>
                <w:lang w:val="en-US"/>
              </w:rPr>
              <w:t>70822</w:t>
            </w:r>
          </w:p>
        </w:tc>
        <w:tc>
          <w:tcPr>
            <w:tcW w:w="1214" w:type="dxa"/>
            <w:noWrap/>
            <w:hideMark/>
          </w:tcPr>
          <w:p w14:paraId="73BEF105"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F313E7B" w14:textId="77777777" w:rsidR="00935BE4" w:rsidRPr="005D6EF2" w:rsidRDefault="00935BE4" w:rsidP="005D6EF2">
            <w:pPr>
              <w:spacing w:line="240" w:lineRule="auto"/>
              <w:ind w:firstLine="0"/>
              <w:jc w:val="center"/>
              <w:rPr>
                <w:lang w:val="en-US"/>
              </w:rPr>
            </w:pPr>
            <w:r w:rsidRPr="005D6EF2">
              <w:rPr>
                <w:lang w:val="en-US"/>
              </w:rPr>
              <w:t>169.7453</w:t>
            </w:r>
          </w:p>
        </w:tc>
        <w:tc>
          <w:tcPr>
            <w:tcW w:w="1428" w:type="dxa"/>
            <w:noWrap/>
            <w:hideMark/>
          </w:tcPr>
          <w:p w14:paraId="1F36E3A8" w14:textId="77777777" w:rsidR="00935BE4" w:rsidRPr="005D6EF2" w:rsidRDefault="00935BE4" w:rsidP="005D6EF2">
            <w:pPr>
              <w:spacing w:line="240" w:lineRule="auto"/>
              <w:ind w:firstLine="0"/>
              <w:jc w:val="center"/>
              <w:rPr>
                <w:lang w:val="en-US"/>
              </w:rPr>
            </w:pPr>
            <w:r w:rsidRPr="005D6EF2">
              <w:rPr>
                <w:lang w:val="en-US"/>
              </w:rPr>
              <w:t>1228.562</w:t>
            </w:r>
          </w:p>
        </w:tc>
        <w:tc>
          <w:tcPr>
            <w:tcW w:w="1420" w:type="dxa"/>
            <w:noWrap/>
            <w:hideMark/>
          </w:tcPr>
          <w:p w14:paraId="17C857F6"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BE3271E" w14:textId="77777777" w:rsidR="00935BE4" w:rsidRPr="005D6EF2" w:rsidRDefault="00935BE4" w:rsidP="005D6EF2">
            <w:pPr>
              <w:spacing w:line="240" w:lineRule="auto"/>
              <w:ind w:firstLine="0"/>
              <w:jc w:val="center"/>
              <w:rPr>
                <w:lang w:val="en-US"/>
              </w:rPr>
            </w:pPr>
            <w:r w:rsidRPr="005D6EF2">
              <w:rPr>
                <w:lang w:val="en-US"/>
              </w:rPr>
              <w:t>0.001229</w:t>
            </w:r>
          </w:p>
        </w:tc>
      </w:tr>
      <w:tr w:rsidR="00935BE4" w:rsidRPr="008A1D26" w14:paraId="6737CA4F" w14:textId="77777777" w:rsidTr="00A807C1">
        <w:trPr>
          <w:trHeight w:val="300"/>
          <w:jc w:val="center"/>
        </w:trPr>
        <w:tc>
          <w:tcPr>
            <w:tcW w:w="1404" w:type="dxa"/>
            <w:noWrap/>
            <w:hideMark/>
          </w:tcPr>
          <w:p w14:paraId="1D64626F" w14:textId="77777777" w:rsidR="00935BE4" w:rsidRPr="005D6EF2" w:rsidRDefault="00935BE4" w:rsidP="005D6EF2">
            <w:pPr>
              <w:spacing w:line="240" w:lineRule="auto"/>
              <w:ind w:firstLine="0"/>
              <w:jc w:val="center"/>
              <w:rPr>
                <w:lang w:val="en-US"/>
              </w:rPr>
            </w:pPr>
            <w:r w:rsidRPr="005D6EF2">
              <w:rPr>
                <w:lang w:val="en-US"/>
              </w:rPr>
              <w:t>73699</w:t>
            </w:r>
          </w:p>
        </w:tc>
        <w:tc>
          <w:tcPr>
            <w:tcW w:w="1214" w:type="dxa"/>
            <w:noWrap/>
            <w:hideMark/>
          </w:tcPr>
          <w:p w14:paraId="2F20F9E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F206BB0"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39D00512"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7C5F5DF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71A522DF"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5D1E02D7" w14:textId="77777777" w:rsidTr="00A807C1">
        <w:trPr>
          <w:trHeight w:val="300"/>
          <w:jc w:val="center"/>
        </w:trPr>
        <w:tc>
          <w:tcPr>
            <w:tcW w:w="1404" w:type="dxa"/>
            <w:noWrap/>
            <w:hideMark/>
          </w:tcPr>
          <w:p w14:paraId="625917EE" w14:textId="77777777" w:rsidR="00935BE4" w:rsidRPr="005D6EF2" w:rsidRDefault="00935BE4" w:rsidP="005D6EF2">
            <w:pPr>
              <w:spacing w:line="240" w:lineRule="auto"/>
              <w:ind w:firstLine="0"/>
              <w:jc w:val="center"/>
              <w:rPr>
                <w:lang w:val="en-US"/>
              </w:rPr>
            </w:pPr>
            <w:r w:rsidRPr="005D6EF2">
              <w:rPr>
                <w:lang w:val="en-US"/>
              </w:rPr>
              <w:t>73792</w:t>
            </w:r>
          </w:p>
        </w:tc>
        <w:tc>
          <w:tcPr>
            <w:tcW w:w="1214" w:type="dxa"/>
            <w:noWrap/>
            <w:hideMark/>
          </w:tcPr>
          <w:p w14:paraId="0EF8007F"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B37C55A"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059AF6E6"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24FE89E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3FE4806"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0607F370" w14:textId="77777777" w:rsidTr="00A807C1">
        <w:trPr>
          <w:trHeight w:val="300"/>
          <w:jc w:val="center"/>
        </w:trPr>
        <w:tc>
          <w:tcPr>
            <w:tcW w:w="1404" w:type="dxa"/>
            <w:noWrap/>
            <w:hideMark/>
          </w:tcPr>
          <w:p w14:paraId="635FEB30" w14:textId="77777777" w:rsidR="00935BE4" w:rsidRPr="005D6EF2" w:rsidRDefault="00935BE4" w:rsidP="005D6EF2">
            <w:pPr>
              <w:spacing w:line="240" w:lineRule="auto"/>
              <w:ind w:firstLine="0"/>
              <w:jc w:val="center"/>
              <w:rPr>
                <w:lang w:val="en-US"/>
              </w:rPr>
            </w:pPr>
            <w:r w:rsidRPr="005D6EF2">
              <w:rPr>
                <w:lang w:val="en-US"/>
              </w:rPr>
              <w:t>75040</w:t>
            </w:r>
          </w:p>
        </w:tc>
        <w:tc>
          <w:tcPr>
            <w:tcW w:w="1214" w:type="dxa"/>
            <w:noWrap/>
            <w:hideMark/>
          </w:tcPr>
          <w:p w14:paraId="71CE7EA8"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9DDD44A"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6E25EC07"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3FDCBDE2"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26D4BF7"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0BCDBC9A" w14:textId="77777777" w:rsidTr="00A807C1">
        <w:trPr>
          <w:trHeight w:val="300"/>
          <w:jc w:val="center"/>
        </w:trPr>
        <w:tc>
          <w:tcPr>
            <w:tcW w:w="1404" w:type="dxa"/>
            <w:noWrap/>
            <w:hideMark/>
          </w:tcPr>
          <w:p w14:paraId="7A12C5B5" w14:textId="77777777" w:rsidR="00935BE4" w:rsidRPr="005D6EF2" w:rsidRDefault="00935BE4" w:rsidP="005D6EF2">
            <w:pPr>
              <w:spacing w:line="240" w:lineRule="auto"/>
              <w:ind w:firstLine="0"/>
              <w:jc w:val="center"/>
              <w:rPr>
                <w:lang w:val="en-US"/>
              </w:rPr>
            </w:pPr>
            <w:r w:rsidRPr="005D6EF2">
              <w:rPr>
                <w:lang w:val="en-US"/>
              </w:rPr>
              <w:t>78784</w:t>
            </w:r>
          </w:p>
        </w:tc>
        <w:tc>
          <w:tcPr>
            <w:tcW w:w="1214" w:type="dxa"/>
            <w:noWrap/>
            <w:hideMark/>
          </w:tcPr>
          <w:p w14:paraId="3D37AF88"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C55DB23" w14:textId="77777777" w:rsidR="00935BE4" w:rsidRPr="005D6EF2" w:rsidRDefault="00935BE4" w:rsidP="005D6EF2">
            <w:pPr>
              <w:spacing w:line="240" w:lineRule="auto"/>
              <w:ind w:firstLine="0"/>
              <w:jc w:val="center"/>
              <w:rPr>
                <w:lang w:val="en-US"/>
              </w:rPr>
            </w:pPr>
            <w:r w:rsidRPr="005D6EF2">
              <w:rPr>
                <w:lang w:val="en-US"/>
              </w:rPr>
              <w:t>239.9718</w:t>
            </w:r>
          </w:p>
        </w:tc>
        <w:tc>
          <w:tcPr>
            <w:tcW w:w="1428" w:type="dxa"/>
            <w:noWrap/>
            <w:hideMark/>
          </w:tcPr>
          <w:p w14:paraId="24C48251" w14:textId="77777777" w:rsidR="00935BE4" w:rsidRPr="005D6EF2" w:rsidRDefault="00935BE4" w:rsidP="005D6EF2">
            <w:pPr>
              <w:spacing w:line="240" w:lineRule="auto"/>
              <w:ind w:firstLine="0"/>
              <w:jc w:val="center"/>
              <w:rPr>
                <w:lang w:val="en-US"/>
              </w:rPr>
            </w:pPr>
            <w:r w:rsidRPr="005D6EF2">
              <w:rPr>
                <w:lang w:val="en-US"/>
              </w:rPr>
              <w:t>2699.367</w:t>
            </w:r>
          </w:p>
        </w:tc>
        <w:tc>
          <w:tcPr>
            <w:tcW w:w="1420" w:type="dxa"/>
            <w:noWrap/>
            <w:hideMark/>
          </w:tcPr>
          <w:p w14:paraId="21C8248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162E5DB6" w14:textId="77777777" w:rsidR="00935BE4" w:rsidRPr="005D6EF2" w:rsidRDefault="00935BE4" w:rsidP="005D6EF2">
            <w:pPr>
              <w:spacing w:line="240" w:lineRule="auto"/>
              <w:ind w:firstLine="0"/>
              <w:jc w:val="center"/>
              <w:rPr>
                <w:lang w:val="en-US"/>
              </w:rPr>
            </w:pPr>
            <w:r w:rsidRPr="005D6EF2">
              <w:rPr>
                <w:lang w:val="en-US"/>
              </w:rPr>
              <w:t>0.002699</w:t>
            </w:r>
          </w:p>
        </w:tc>
      </w:tr>
      <w:tr w:rsidR="00935BE4" w:rsidRPr="008A1D26" w14:paraId="0698D966" w14:textId="77777777" w:rsidTr="00A807C1">
        <w:trPr>
          <w:trHeight w:val="300"/>
          <w:jc w:val="center"/>
        </w:trPr>
        <w:tc>
          <w:tcPr>
            <w:tcW w:w="1404" w:type="dxa"/>
            <w:noWrap/>
            <w:hideMark/>
          </w:tcPr>
          <w:p w14:paraId="6EC91D3C" w14:textId="77777777" w:rsidR="00935BE4" w:rsidRPr="005D6EF2" w:rsidRDefault="00935BE4" w:rsidP="005D6EF2">
            <w:pPr>
              <w:spacing w:line="240" w:lineRule="auto"/>
              <w:ind w:firstLine="0"/>
              <w:jc w:val="center"/>
              <w:rPr>
                <w:lang w:val="en-US"/>
              </w:rPr>
            </w:pPr>
            <w:r w:rsidRPr="005D6EF2">
              <w:rPr>
                <w:lang w:val="en-US"/>
              </w:rPr>
              <w:t>79176</w:t>
            </w:r>
          </w:p>
        </w:tc>
        <w:tc>
          <w:tcPr>
            <w:tcW w:w="1214" w:type="dxa"/>
            <w:noWrap/>
            <w:hideMark/>
          </w:tcPr>
          <w:p w14:paraId="347376F7"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CA7B86C" w14:textId="77777777" w:rsidR="00935BE4" w:rsidRPr="005D6EF2" w:rsidRDefault="00935BE4" w:rsidP="005D6EF2">
            <w:pPr>
              <w:spacing w:line="240" w:lineRule="auto"/>
              <w:ind w:firstLine="0"/>
              <w:jc w:val="center"/>
              <w:rPr>
                <w:lang w:val="en-US"/>
              </w:rPr>
            </w:pPr>
            <w:r w:rsidRPr="005D6EF2">
              <w:rPr>
                <w:lang w:val="en-US"/>
              </w:rPr>
              <w:t>239.9718</w:t>
            </w:r>
          </w:p>
        </w:tc>
        <w:tc>
          <w:tcPr>
            <w:tcW w:w="1428" w:type="dxa"/>
            <w:noWrap/>
            <w:hideMark/>
          </w:tcPr>
          <w:p w14:paraId="595AE724" w14:textId="77777777" w:rsidR="00935BE4" w:rsidRPr="005D6EF2" w:rsidRDefault="00935BE4" w:rsidP="005D6EF2">
            <w:pPr>
              <w:spacing w:line="240" w:lineRule="auto"/>
              <w:ind w:firstLine="0"/>
              <w:jc w:val="center"/>
              <w:rPr>
                <w:lang w:val="en-US"/>
              </w:rPr>
            </w:pPr>
            <w:r w:rsidRPr="005D6EF2">
              <w:rPr>
                <w:lang w:val="en-US"/>
              </w:rPr>
              <w:t>2699.367</w:t>
            </w:r>
          </w:p>
        </w:tc>
        <w:tc>
          <w:tcPr>
            <w:tcW w:w="1420" w:type="dxa"/>
            <w:noWrap/>
            <w:hideMark/>
          </w:tcPr>
          <w:p w14:paraId="0F623D1A"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46CECCEF" w14:textId="77777777" w:rsidR="00935BE4" w:rsidRPr="005D6EF2" w:rsidRDefault="00935BE4" w:rsidP="005D6EF2">
            <w:pPr>
              <w:spacing w:line="240" w:lineRule="auto"/>
              <w:ind w:firstLine="0"/>
              <w:jc w:val="center"/>
              <w:rPr>
                <w:lang w:val="en-US"/>
              </w:rPr>
            </w:pPr>
            <w:r w:rsidRPr="005D6EF2">
              <w:rPr>
                <w:lang w:val="en-US"/>
              </w:rPr>
              <w:t>0.002699</w:t>
            </w:r>
          </w:p>
        </w:tc>
      </w:tr>
      <w:tr w:rsidR="00935BE4" w:rsidRPr="008A1D26" w14:paraId="6615CE20" w14:textId="77777777" w:rsidTr="00A807C1">
        <w:trPr>
          <w:trHeight w:val="300"/>
          <w:jc w:val="center"/>
        </w:trPr>
        <w:tc>
          <w:tcPr>
            <w:tcW w:w="1404" w:type="dxa"/>
            <w:noWrap/>
            <w:hideMark/>
          </w:tcPr>
          <w:p w14:paraId="30D8D919" w14:textId="77777777" w:rsidR="00935BE4" w:rsidRPr="005D6EF2" w:rsidRDefault="00935BE4" w:rsidP="005D6EF2">
            <w:pPr>
              <w:spacing w:line="240" w:lineRule="auto"/>
              <w:ind w:firstLine="0"/>
              <w:jc w:val="center"/>
              <w:rPr>
                <w:lang w:val="en-US"/>
              </w:rPr>
            </w:pPr>
            <w:r w:rsidRPr="005D6EF2">
              <w:rPr>
                <w:lang w:val="en-US"/>
              </w:rPr>
              <w:t>82302</w:t>
            </w:r>
          </w:p>
        </w:tc>
        <w:tc>
          <w:tcPr>
            <w:tcW w:w="1214" w:type="dxa"/>
            <w:noWrap/>
            <w:hideMark/>
          </w:tcPr>
          <w:p w14:paraId="0A0D7305"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1023F9D" w14:textId="77777777" w:rsidR="00935BE4" w:rsidRPr="005D6EF2" w:rsidRDefault="00935BE4" w:rsidP="005D6EF2">
            <w:pPr>
              <w:spacing w:line="240" w:lineRule="auto"/>
              <w:ind w:firstLine="0"/>
              <w:jc w:val="center"/>
              <w:rPr>
                <w:lang w:val="en-US"/>
              </w:rPr>
            </w:pPr>
            <w:r w:rsidRPr="005D6EF2">
              <w:rPr>
                <w:lang w:val="en-US"/>
              </w:rPr>
              <w:t>113.1747</w:t>
            </w:r>
          </w:p>
        </w:tc>
        <w:tc>
          <w:tcPr>
            <w:tcW w:w="1428" w:type="dxa"/>
            <w:noWrap/>
            <w:hideMark/>
          </w:tcPr>
          <w:p w14:paraId="0E4F37BD" w14:textId="77777777" w:rsidR="00935BE4" w:rsidRPr="005D6EF2" w:rsidRDefault="00935BE4" w:rsidP="005D6EF2">
            <w:pPr>
              <w:spacing w:line="240" w:lineRule="auto"/>
              <w:ind w:firstLine="0"/>
              <w:jc w:val="center"/>
              <w:rPr>
                <w:lang w:val="en-US"/>
              </w:rPr>
            </w:pPr>
            <w:r w:rsidRPr="005D6EF2">
              <w:rPr>
                <w:lang w:val="en-US"/>
              </w:rPr>
              <w:t>616.073</w:t>
            </w:r>
          </w:p>
        </w:tc>
        <w:tc>
          <w:tcPr>
            <w:tcW w:w="1420" w:type="dxa"/>
            <w:noWrap/>
            <w:hideMark/>
          </w:tcPr>
          <w:p w14:paraId="101A0F00"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2BE3576"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17156EB8" w14:textId="77777777" w:rsidTr="00A807C1">
        <w:trPr>
          <w:trHeight w:val="300"/>
          <w:jc w:val="center"/>
        </w:trPr>
        <w:tc>
          <w:tcPr>
            <w:tcW w:w="1404" w:type="dxa"/>
            <w:noWrap/>
            <w:hideMark/>
          </w:tcPr>
          <w:p w14:paraId="6D918ECB" w14:textId="77777777" w:rsidR="00935BE4" w:rsidRPr="005D6EF2" w:rsidRDefault="00935BE4" w:rsidP="005D6EF2">
            <w:pPr>
              <w:spacing w:line="240" w:lineRule="auto"/>
              <w:ind w:firstLine="0"/>
              <w:jc w:val="center"/>
              <w:rPr>
                <w:lang w:val="en-US"/>
              </w:rPr>
            </w:pPr>
            <w:r w:rsidRPr="005D6EF2">
              <w:rPr>
                <w:lang w:val="en-US"/>
              </w:rPr>
              <w:t>82406</w:t>
            </w:r>
          </w:p>
        </w:tc>
        <w:tc>
          <w:tcPr>
            <w:tcW w:w="1214" w:type="dxa"/>
            <w:noWrap/>
            <w:hideMark/>
          </w:tcPr>
          <w:p w14:paraId="041FF48A"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8F51019" w14:textId="77777777" w:rsidR="00935BE4" w:rsidRPr="005D6EF2" w:rsidRDefault="00935BE4" w:rsidP="005D6EF2">
            <w:pPr>
              <w:spacing w:line="240" w:lineRule="auto"/>
              <w:ind w:firstLine="0"/>
              <w:jc w:val="center"/>
              <w:rPr>
                <w:lang w:val="en-US"/>
              </w:rPr>
            </w:pPr>
            <w:r w:rsidRPr="005D6EF2">
              <w:rPr>
                <w:lang w:val="en-US"/>
              </w:rPr>
              <w:t>119.9859</w:t>
            </w:r>
          </w:p>
        </w:tc>
        <w:tc>
          <w:tcPr>
            <w:tcW w:w="1428" w:type="dxa"/>
            <w:noWrap/>
            <w:hideMark/>
          </w:tcPr>
          <w:p w14:paraId="4C77713D" w14:textId="77777777" w:rsidR="00935BE4" w:rsidRPr="005D6EF2" w:rsidRDefault="00935BE4" w:rsidP="005D6EF2">
            <w:pPr>
              <w:spacing w:line="240" w:lineRule="auto"/>
              <w:ind w:firstLine="0"/>
              <w:jc w:val="center"/>
              <w:rPr>
                <w:lang w:val="en-US"/>
              </w:rPr>
            </w:pPr>
            <w:r w:rsidRPr="005D6EF2">
              <w:rPr>
                <w:lang w:val="en-US"/>
              </w:rPr>
              <w:t>899.7889</w:t>
            </w:r>
          </w:p>
        </w:tc>
        <w:tc>
          <w:tcPr>
            <w:tcW w:w="1420" w:type="dxa"/>
            <w:noWrap/>
            <w:hideMark/>
          </w:tcPr>
          <w:p w14:paraId="1D40090E"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CA81409" w14:textId="77777777" w:rsidR="00935BE4" w:rsidRPr="005D6EF2" w:rsidRDefault="00935BE4" w:rsidP="005D6EF2">
            <w:pPr>
              <w:spacing w:line="240" w:lineRule="auto"/>
              <w:ind w:firstLine="0"/>
              <w:jc w:val="center"/>
              <w:rPr>
                <w:lang w:val="en-US"/>
              </w:rPr>
            </w:pPr>
            <w:r w:rsidRPr="005D6EF2">
              <w:rPr>
                <w:lang w:val="en-US"/>
              </w:rPr>
              <w:t>0.0009</w:t>
            </w:r>
          </w:p>
        </w:tc>
      </w:tr>
      <w:tr w:rsidR="00935BE4" w:rsidRPr="008A1D26" w14:paraId="1198EF51" w14:textId="77777777" w:rsidTr="00A807C1">
        <w:trPr>
          <w:trHeight w:val="300"/>
          <w:jc w:val="center"/>
        </w:trPr>
        <w:tc>
          <w:tcPr>
            <w:tcW w:w="1404" w:type="dxa"/>
            <w:noWrap/>
            <w:hideMark/>
          </w:tcPr>
          <w:p w14:paraId="2C454D54" w14:textId="77777777" w:rsidR="00935BE4" w:rsidRPr="005D6EF2" w:rsidRDefault="00935BE4" w:rsidP="005D6EF2">
            <w:pPr>
              <w:spacing w:line="240" w:lineRule="auto"/>
              <w:ind w:firstLine="0"/>
              <w:jc w:val="center"/>
              <w:rPr>
                <w:lang w:val="en-US"/>
              </w:rPr>
            </w:pPr>
            <w:r w:rsidRPr="005D6EF2">
              <w:rPr>
                <w:lang w:val="en-US"/>
              </w:rPr>
              <w:t>82596</w:t>
            </w:r>
          </w:p>
        </w:tc>
        <w:tc>
          <w:tcPr>
            <w:tcW w:w="1214" w:type="dxa"/>
            <w:noWrap/>
            <w:hideMark/>
          </w:tcPr>
          <w:p w14:paraId="79B46A1A"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19575871" w14:textId="77777777" w:rsidR="00935BE4" w:rsidRPr="005D6EF2" w:rsidRDefault="00935BE4" w:rsidP="005D6EF2">
            <w:pPr>
              <w:spacing w:line="240" w:lineRule="auto"/>
              <w:ind w:firstLine="0"/>
              <w:jc w:val="center"/>
              <w:rPr>
                <w:lang w:val="en-US"/>
              </w:rPr>
            </w:pPr>
            <w:r w:rsidRPr="005D6EF2">
              <w:rPr>
                <w:lang w:val="en-US"/>
              </w:rPr>
              <w:t>113.1747</w:t>
            </w:r>
          </w:p>
        </w:tc>
        <w:tc>
          <w:tcPr>
            <w:tcW w:w="1428" w:type="dxa"/>
            <w:noWrap/>
            <w:hideMark/>
          </w:tcPr>
          <w:p w14:paraId="46E8973B" w14:textId="77777777" w:rsidR="00935BE4" w:rsidRPr="005D6EF2" w:rsidRDefault="00935BE4" w:rsidP="005D6EF2">
            <w:pPr>
              <w:spacing w:line="240" w:lineRule="auto"/>
              <w:ind w:firstLine="0"/>
              <w:jc w:val="center"/>
              <w:rPr>
                <w:lang w:val="en-US"/>
              </w:rPr>
            </w:pPr>
            <w:r w:rsidRPr="005D6EF2">
              <w:rPr>
                <w:lang w:val="en-US"/>
              </w:rPr>
              <w:t>616.073</w:t>
            </w:r>
          </w:p>
        </w:tc>
        <w:tc>
          <w:tcPr>
            <w:tcW w:w="1420" w:type="dxa"/>
            <w:noWrap/>
            <w:hideMark/>
          </w:tcPr>
          <w:p w14:paraId="63FE8467"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62A58AF"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411064CF" w14:textId="77777777" w:rsidTr="00A807C1">
        <w:trPr>
          <w:trHeight w:val="300"/>
          <w:jc w:val="center"/>
        </w:trPr>
        <w:tc>
          <w:tcPr>
            <w:tcW w:w="1404" w:type="dxa"/>
            <w:noWrap/>
            <w:hideMark/>
          </w:tcPr>
          <w:p w14:paraId="3321C3AE" w14:textId="77777777" w:rsidR="00935BE4" w:rsidRPr="005D6EF2" w:rsidRDefault="00935BE4" w:rsidP="005D6EF2">
            <w:pPr>
              <w:spacing w:line="240" w:lineRule="auto"/>
              <w:ind w:firstLine="0"/>
              <w:jc w:val="center"/>
              <w:rPr>
                <w:lang w:val="en-US"/>
              </w:rPr>
            </w:pPr>
            <w:r w:rsidRPr="005D6EF2">
              <w:rPr>
                <w:lang w:val="en-US"/>
              </w:rPr>
              <w:t>82644</w:t>
            </w:r>
          </w:p>
        </w:tc>
        <w:tc>
          <w:tcPr>
            <w:tcW w:w="1214" w:type="dxa"/>
            <w:noWrap/>
            <w:hideMark/>
          </w:tcPr>
          <w:p w14:paraId="315CA81A"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4AA9C8A2" w14:textId="77777777" w:rsidR="00935BE4" w:rsidRPr="005D6EF2" w:rsidRDefault="00935BE4" w:rsidP="005D6EF2">
            <w:pPr>
              <w:spacing w:line="240" w:lineRule="auto"/>
              <w:ind w:firstLine="0"/>
              <w:jc w:val="center"/>
              <w:rPr>
                <w:lang w:val="en-US"/>
              </w:rPr>
            </w:pPr>
            <w:r w:rsidRPr="005D6EF2">
              <w:rPr>
                <w:lang w:val="en-US"/>
              </w:rPr>
              <w:t>169.749</w:t>
            </w:r>
          </w:p>
        </w:tc>
        <w:tc>
          <w:tcPr>
            <w:tcW w:w="1428" w:type="dxa"/>
            <w:noWrap/>
            <w:hideMark/>
          </w:tcPr>
          <w:p w14:paraId="6E82CADC" w14:textId="77777777" w:rsidR="00935BE4" w:rsidRPr="005D6EF2" w:rsidRDefault="00935BE4" w:rsidP="005D6EF2">
            <w:pPr>
              <w:spacing w:line="240" w:lineRule="auto"/>
              <w:ind w:firstLine="0"/>
              <w:jc w:val="center"/>
              <w:rPr>
                <w:lang w:val="en-US"/>
              </w:rPr>
            </w:pPr>
            <w:r w:rsidRPr="005D6EF2">
              <w:rPr>
                <w:lang w:val="en-US"/>
              </w:rPr>
              <w:t>1228.605</w:t>
            </w:r>
          </w:p>
        </w:tc>
        <w:tc>
          <w:tcPr>
            <w:tcW w:w="1420" w:type="dxa"/>
            <w:noWrap/>
            <w:hideMark/>
          </w:tcPr>
          <w:p w14:paraId="2AAD5C3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7B7CBC0" w14:textId="77777777" w:rsidR="00935BE4" w:rsidRPr="005D6EF2" w:rsidRDefault="00935BE4" w:rsidP="005D6EF2">
            <w:pPr>
              <w:spacing w:line="240" w:lineRule="auto"/>
              <w:ind w:firstLine="0"/>
              <w:jc w:val="center"/>
              <w:rPr>
                <w:lang w:val="en-US"/>
              </w:rPr>
            </w:pPr>
            <w:r w:rsidRPr="005D6EF2">
              <w:rPr>
                <w:lang w:val="en-US"/>
              </w:rPr>
              <w:t>0.001229</w:t>
            </w:r>
          </w:p>
        </w:tc>
      </w:tr>
      <w:tr w:rsidR="00935BE4" w:rsidRPr="008A1D26" w14:paraId="0FC565A0" w14:textId="77777777" w:rsidTr="00A807C1">
        <w:trPr>
          <w:trHeight w:val="300"/>
          <w:jc w:val="center"/>
        </w:trPr>
        <w:tc>
          <w:tcPr>
            <w:tcW w:w="1404" w:type="dxa"/>
            <w:noWrap/>
            <w:hideMark/>
          </w:tcPr>
          <w:p w14:paraId="2CF82DCB" w14:textId="77777777" w:rsidR="00935BE4" w:rsidRPr="005D6EF2" w:rsidRDefault="00935BE4" w:rsidP="005D6EF2">
            <w:pPr>
              <w:spacing w:line="240" w:lineRule="auto"/>
              <w:ind w:firstLine="0"/>
              <w:jc w:val="center"/>
              <w:rPr>
                <w:lang w:val="en-US"/>
              </w:rPr>
            </w:pPr>
            <w:r w:rsidRPr="005D6EF2">
              <w:rPr>
                <w:lang w:val="en-US"/>
              </w:rPr>
              <w:t>90038</w:t>
            </w:r>
          </w:p>
        </w:tc>
        <w:tc>
          <w:tcPr>
            <w:tcW w:w="1214" w:type="dxa"/>
            <w:noWrap/>
            <w:hideMark/>
          </w:tcPr>
          <w:p w14:paraId="4801A15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01980D62" w14:textId="77777777" w:rsidR="00935BE4" w:rsidRPr="005D6EF2" w:rsidRDefault="00935BE4" w:rsidP="005D6EF2">
            <w:pPr>
              <w:spacing w:line="240" w:lineRule="auto"/>
              <w:ind w:firstLine="0"/>
              <w:jc w:val="center"/>
              <w:rPr>
                <w:lang w:val="en-US"/>
              </w:rPr>
            </w:pPr>
            <w:r w:rsidRPr="005D6EF2">
              <w:rPr>
                <w:lang w:val="en-US"/>
              </w:rPr>
              <w:t>113.1747</w:t>
            </w:r>
          </w:p>
        </w:tc>
        <w:tc>
          <w:tcPr>
            <w:tcW w:w="1428" w:type="dxa"/>
            <w:noWrap/>
            <w:hideMark/>
          </w:tcPr>
          <w:p w14:paraId="41461C9A" w14:textId="77777777" w:rsidR="00935BE4" w:rsidRPr="005D6EF2" w:rsidRDefault="00935BE4" w:rsidP="005D6EF2">
            <w:pPr>
              <w:spacing w:line="240" w:lineRule="auto"/>
              <w:ind w:firstLine="0"/>
              <w:jc w:val="center"/>
              <w:rPr>
                <w:lang w:val="en-US"/>
              </w:rPr>
            </w:pPr>
            <w:r w:rsidRPr="005D6EF2">
              <w:rPr>
                <w:lang w:val="en-US"/>
              </w:rPr>
              <w:t>616.073</w:t>
            </w:r>
          </w:p>
        </w:tc>
        <w:tc>
          <w:tcPr>
            <w:tcW w:w="1420" w:type="dxa"/>
            <w:noWrap/>
            <w:hideMark/>
          </w:tcPr>
          <w:p w14:paraId="39C41C0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3744D47"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48D89126" w14:textId="77777777" w:rsidTr="00A807C1">
        <w:trPr>
          <w:trHeight w:val="300"/>
          <w:jc w:val="center"/>
        </w:trPr>
        <w:tc>
          <w:tcPr>
            <w:tcW w:w="1404" w:type="dxa"/>
            <w:noWrap/>
            <w:hideMark/>
          </w:tcPr>
          <w:p w14:paraId="22D873E2" w14:textId="77777777" w:rsidR="00935BE4" w:rsidRPr="005D6EF2" w:rsidRDefault="00935BE4" w:rsidP="005D6EF2">
            <w:pPr>
              <w:spacing w:line="240" w:lineRule="auto"/>
              <w:ind w:firstLine="0"/>
              <w:jc w:val="center"/>
              <w:rPr>
                <w:lang w:val="en-US"/>
              </w:rPr>
            </w:pPr>
            <w:r w:rsidRPr="005D6EF2">
              <w:rPr>
                <w:lang w:val="en-US"/>
              </w:rPr>
              <w:t>90431</w:t>
            </w:r>
          </w:p>
        </w:tc>
        <w:tc>
          <w:tcPr>
            <w:tcW w:w="1214" w:type="dxa"/>
            <w:noWrap/>
            <w:hideMark/>
          </w:tcPr>
          <w:p w14:paraId="64E266E3"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5C91FEBC" w14:textId="77777777" w:rsidR="00935BE4" w:rsidRPr="005D6EF2" w:rsidRDefault="00935BE4" w:rsidP="005D6EF2">
            <w:pPr>
              <w:spacing w:line="240" w:lineRule="auto"/>
              <w:ind w:firstLine="0"/>
              <w:jc w:val="center"/>
              <w:rPr>
                <w:lang w:val="en-US"/>
              </w:rPr>
            </w:pPr>
            <w:r w:rsidRPr="005D6EF2">
              <w:rPr>
                <w:lang w:val="en-US"/>
              </w:rPr>
              <w:t>113.1747</w:t>
            </w:r>
          </w:p>
        </w:tc>
        <w:tc>
          <w:tcPr>
            <w:tcW w:w="1428" w:type="dxa"/>
            <w:noWrap/>
            <w:hideMark/>
          </w:tcPr>
          <w:p w14:paraId="67E65E31" w14:textId="77777777" w:rsidR="00935BE4" w:rsidRPr="005D6EF2" w:rsidRDefault="00935BE4" w:rsidP="005D6EF2">
            <w:pPr>
              <w:spacing w:line="240" w:lineRule="auto"/>
              <w:ind w:firstLine="0"/>
              <w:jc w:val="center"/>
              <w:rPr>
                <w:lang w:val="en-US"/>
              </w:rPr>
            </w:pPr>
            <w:r w:rsidRPr="005D6EF2">
              <w:rPr>
                <w:lang w:val="en-US"/>
              </w:rPr>
              <w:t>616.073</w:t>
            </w:r>
          </w:p>
        </w:tc>
        <w:tc>
          <w:tcPr>
            <w:tcW w:w="1420" w:type="dxa"/>
            <w:noWrap/>
            <w:hideMark/>
          </w:tcPr>
          <w:p w14:paraId="0BB86D39"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3D42DB01" w14:textId="77777777" w:rsidR="00935BE4" w:rsidRPr="005D6EF2" w:rsidRDefault="00935BE4" w:rsidP="005D6EF2">
            <w:pPr>
              <w:spacing w:line="240" w:lineRule="auto"/>
              <w:ind w:firstLine="0"/>
              <w:jc w:val="center"/>
              <w:rPr>
                <w:lang w:val="en-US"/>
              </w:rPr>
            </w:pPr>
            <w:r w:rsidRPr="005D6EF2">
              <w:rPr>
                <w:lang w:val="en-US"/>
              </w:rPr>
              <w:t>0.000616</w:t>
            </w:r>
          </w:p>
        </w:tc>
      </w:tr>
      <w:tr w:rsidR="00935BE4" w:rsidRPr="008A1D26" w14:paraId="3C152914" w14:textId="77777777" w:rsidTr="00A807C1">
        <w:trPr>
          <w:trHeight w:val="300"/>
          <w:jc w:val="center"/>
        </w:trPr>
        <w:tc>
          <w:tcPr>
            <w:tcW w:w="1404" w:type="dxa"/>
            <w:noWrap/>
            <w:hideMark/>
          </w:tcPr>
          <w:p w14:paraId="37454C33" w14:textId="77777777" w:rsidR="00935BE4" w:rsidRPr="005D6EF2" w:rsidRDefault="00935BE4" w:rsidP="005D6EF2">
            <w:pPr>
              <w:spacing w:line="240" w:lineRule="auto"/>
              <w:ind w:firstLine="0"/>
              <w:jc w:val="center"/>
              <w:rPr>
                <w:lang w:val="en-US"/>
              </w:rPr>
            </w:pPr>
            <w:r w:rsidRPr="005D6EF2">
              <w:rPr>
                <w:lang w:val="en-US"/>
              </w:rPr>
              <w:t>90657</w:t>
            </w:r>
          </w:p>
        </w:tc>
        <w:tc>
          <w:tcPr>
            <w:tcW w:w="1214" w:type="dxa"/>
            <w:noWrap/>
            <w:hideMark/>
          </w:tcPr>
          <w:p w14:paraId="788921DB"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3FE4CCE3"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479503E5"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3AC34374"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6FFF9C1E"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1C527F9E" w14:textId="77777777" w:rsidTr="00A807C1">
        <w:trPr>
          <w:trHeight w:val="300"/>
          <w:jc w:val="center"/>
        </w:trPr>
        <w:tc>
          <w:tcPr>
            <w:tcW w:w="1404" w:type="dxa"/>
            <w:noWrap/>
            <w:hideMark/>
          </w:tcPr>
          <w:p w14:paraId="12D5B99D" w14:textId="77777777" w:rsidR="00935BE4" w:rsidRPr="005D6EF2" w:rsidRDefault="00935BE4" w:rsidP="005D6EF2">
            <w:pPr>
              <w:spacing w:line="240" w:lineRule="auto"/>
              <w:ind w:firstLine="0"/>
              <w:jc w:val="center"/>
              <w:rPr>
                <w:lang w:val="en-US"/>
              </w:rPr>
            </w:pPr>
            <w:r w:rsidRPr="005D6EF2">
              <w:rPr>
                <w:lang w:val="en-US"/>
              </w:rPr>
              <w:t>90689</w:t>
            </w:r>
          </w:p>
        </w:tc>
        <w:tc>
          <w:tcPr>
            <w:tcW w:w="1214" w:type="dxa"/>
            <w:noWrap/>
            <w:hideMark/>
          </w:tcPr>
          <w:p w14:paraId="2C3E6B3E"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71A4EDA1" w14:textId="77777777" w:rsidR="00935BE4" w:rsidRPr="005D6EF2" w:rsidRDefault="00935BE4" w:rsidP="005D6EF2">
            <w:pPr>
              <w:spacing w:line="240" w:lineRule="auto"/>
              <w:ind w:firstLine="0"/>
              <w:jc w:val="center"/>
              <w:rPr>
                <w:lang w:val="en-US"/>
              </w:rPr>
            </w:pPr>
            <w:r w:rsidRPr="005D6EF2">
              <w:rPr>
                <w:lang w:val="en-US"/>
              </w:rPr>
              <w:t>112.4808</w:t>
            </w:r>
          </w:p>
        </w:tc>
        <w:tc>
          <w:tcPr>
            <w:tcW w:w="1428" w:type="dxa"/>
            <w:noWrap/>
            <w:hideMark/>
          </w:tcPr>
          <w:p w14:paraId="5F3D3DF6" w14:textId="77777777" w:rsidR="00935BE4" w:rsidRPr="005D6EF2" w:rsidRDefault="00935BE4" w:rsidP="005D6EF2">
            <w:pPr>
              <w:spacing w:line="240" w:lineRule="auto"/>
              <w:ind w:firstLine="0"/>
              <w:jc w:val="center"/>
              <w:rPr>
                <w:lang w:val="en-US"/>
              </w:rPr>
            </w:pPr>
            <w:r w:rsidRPr="005D6EF2">
              <w:rPr>
                <w:lang w:val="en-US"/>
              </w:rPr>
              <w:t>576.2076</w:t>
            </w:r>
          </w:p>
        </w:tc>
        <w:tc>
          <w:tcPr>
            <w:tcW w:w="1420" w:type="dxa"/>
            <w:noWrap/>
            <w:hideMark/>
          </w:tcPr>
          <w:p w14:paraId="4B7EE59A"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5E3B199D" w14:textId="77777777" w:rsidR="00935BE4" w:rsidRPr="005D6EF2" w:rsidRDefault="00935BE4" w:rsidP="005D6EF2">
            <w:pPr>
              <w:spacing w:line="240" w:lineRule="auto"/>
              <w:ind w:firstLine="0"/>
              <w:jc w:val="center"/>
              <w:rPr>
                <w:lang w:val="en-US"/>
              </w:rPr>
            </w:pPr>
            <w:r w:rsidRPr="005D6EF2">
              <w:rPr>
                <w:lang w:val="en-US"/>
              </w:rPr>
              <w:t>0.000576</w:t>
            </w:r>
          </w:p>
        </w:tc>
      </w:tr>
      <w:tr w:rsidR="00935BE4" w:rsidRPr="008A1D26" w14:paraId="0D09C8CA" w14:textId="77777777" w:rsidTr="00A807C1">
        <w:trPr>
          <w:trHeight w:val="300"/>
          <w:jc w:val="center"/>
        </w:trPr>
        <w:tc>
          <w:tcPr>
            <w:tcW w:w="1404" w:type="dxa"/>
            <w:noWrap/>
            <w:hideMark/>
          </w:tcPr>
          <w:p w14:paraId="23F6933D" w14:textId="77777777" w:rsidR="00935BE4" w:rsidRPr="005D6EF2" w:rsidRDefault="00935BE4" w:rsidP="005D6EF2">
            <w:pPr>
              <w:spacing w:line="240" w:lineRule="auto"/>
              <w:ind w:firstLine="0"/>
              <w:jc w:val="center"/>
              <w:rPr>
                <w:lang w:val="en-US"/>
              </w:rPr>
            </w:pPr>
            <w:r w:rsidRPr="005D6EF2">
              <w:rPr>
                <w:lang w:val="en-US"/>
              </w:rPr>
              <w:t>90745</w:t>
            </w:r>
          </w:p>
        </w:tc>
        <w:tc>
          <w:tcPr>
            <w:tcW w:w="1214" w:type="dxa"/>
            <w:noWrap/>
            <w:hideMark/>
          </w:tcPr>
          <w:p w14:paraId="457B3F89" w14:textId="77777777" w:rsidR="00935BE4" w:rsidRPr="005D6EF2" w:rsidRDefault="00935BE4" w:rsidP="005D6EF2">
            <w:pPr>
              <w:spacing w:line="240" w:lineRule="auto"/>
              <w:ind w:firstLine="0"/>
              <w:jc w:val="center"/>
              <w:rPr>
                <w:lang w:val="en-US"/>
              </w:rPr>
            </w:pPr>
            <w:r w:rsidRPr="005D6EF2">
              <w:rPr>
                <w:lang w:val="en-US"/>
              </w:rPr>
              <w:t>3</w:t>
            </w:r>
          </w:p>
        </w:tc>
        <w:tc>
          <w:tcPr>
            <w:tcW w:w="1603" w:type="dxa"/>
            <w:noWrap/>
            <w:hideMark/>
          </w:tcPr>
          <w:p w14:paraId="24414356" w14:textId="77777777" w:rsidR="00935BE4" w:rsidRPr="005D6EF2" w:rsidRDefault="00935BE4" w:rsidP="005D6EF2">
            <w:pPr>
              <w:spacing w:line="240" w:lineRule="auto"/>
              <w:ind w:firstLine="0"/>
              <w:jc w:val="center"/>
              <w:rPr>
                <w:lang w:val="en-US"/>
              </w:rPr>
            </w:pPr>
            <w:r w:rsidRPr="005D6EF2">
              <w:rPr>
                <w:lang w:val="en-US"/>
              </w:rPr>
              <w:t>169.7454</w:t>
            </w:r>
          </w:p>
        </w:tc>
        <w:tc>
          <w:tcPr>
            <w:tcW w:w="1428" w:type="dxa"/>
            <w:noWrap/>
            <w:hideMark/>
          </w:tcPr>
          <w:p w14:paraId="76C1088A" w14:textId="77777777" w:rsidR="00935BE4" w:rsidRPr="005D6EF2" w:rsidRDefault="00935BE4" w:rsidP="005D6EF2">
            <w:pPr>
              <w:spacing w:line="240" w:lineRule="auto"/>
              <w:ind w:firstLine="0"/>
              <w:jc w:val="center"/>
              <w:rPr>
                <w:lang w:val="en-US"/>
              </w:rPr>
            </w:pPr>
            <w:r w:rsidRPr="005D6EF2">
              <w:rPr>
                <w:lang w:val="en-US"/>
              </w:rPr>
              <w:t>1228.571</w:t>
            </w:r>
          </w:p>
        </w:tc>
        <w:tc>
          <w:tcPr>
            <w:tcW w:w="1420" w:type="dxa"/>
            <w:noWrap/>
            <w:hideMark/>
          </w:tcPr>
          <w:p w14:paraId="66718F37" w14:textId="77777777" w:rsidR="00935BE4" w:rsidRPr="005D6EF2" w:rsidRDefault="00935BE4" w:rsidP="005D6EF2">
            <w:pPr>
              <w:spacing w:line="240" w:lineRule="auto"/>
              <w:ind w:firstLine="0"/>
              <w:jc w:val="center"/>
              <w:rPr>
                <w:lang w:val="en-US"/>
              </w:rPr>
            </w:pPr>
            <w:r w:rsidRPr="005D6EF2">
              <w:rPr>
                <w:lang w:val="en-US"/>
              </w:rPr>
              <w:t>Water</w:t>
            </w:r>
          </w:p>
        </w:tc>
        <w:tc>
          <w:tcPr>
            <w:tcW w:w="1253" w:type="dxa"/>
            <w:noWrap/>
            <w:hideMark/>
          </w:tcPr>
          <w:p w14:paraId="2D901F34" w14:textId="77777777" w:rsidR="00935BE4" w:rsidRPr="005D6EF2" w:rsidRDefault="00935BE4" w:rsidP="005D6EF2">
            <w:pPr>
              <w:spacing w:line="240" w:lineRule="auto"/>
              <w:ind w:firstLine="0"/>
              <w:jc w:val="center"/>
              <w:rPr>
                <w:lang w:val="en-US"/>
              </w:rPr>
            </w:pPr>
            <w:r w:rsidRPr="005D6EF2">
              <w:rPr>
                <w:lang w:val="en-US"/>
              </w:rPr>
              <w:t>0.001229</w:t>
            </w:r>
          </w:p>
        </w:tc>
      </w:tr>
    </w:tbl>
    <w:p w14:paraId="3B82B38A" w14:textId="77777777" w:rsidR="00A807C1" w:rsidRDefault="00A807C1" w:rsidP="00A807C1">
      <w:pPr>
        <w:spacing w:after="240"/>
        <w:rPr>
          <w:rFonts w:eastAsiaTheme="majorEastAsia" w:cstheme="majorBidi"/>
          <w:b/>
          <w:szCs w:val="32"/>
          <w:lang w:val="en-US"/>
        </w:rPr>
      </w:pPr>
    </w:p>
    <w:p w14:paraId="5A88F015" w14:textId="639CEED4" w:rsidR="006747B4" w:rsidRPr="00A807C1" w:rsidRDefault="00A807C1" w:rsidP="00A807C1">
      <w:pPr>
        <w:pStyle w:val="1"/>
        <w:numPr>
          <w:ilvl w:val="0"/>
          <w:numId w:val="0"/>
        </w:numPr>
        <w:jc w:val="center"/>
        <w:rPr>
          <w:lang w:val="en-US"/>
        </w:rPr>
      </w:pPr>
      <w:bookmarkStart w:id="1803" w:name="_Toc104985382"/>
      <w:r w:rsidRPr="00A807C1">
        <w:rPr>
          <w:lang w:val="en-US"/>
        </w:rPr>
        <w:lastRenderedPageBreak/>
        <w:t>Appendix C – Pore-water pressures from 1 m per day drawdown</w:t>
      </w:r>
      <w:bookmarkEnd w:id="1803"/>
    </w:p>
    <w:tbl>
      <w:tblPr>
        <w:tblStyle w:val="a8"/>
        <w:tblW w:w="0" w:type="auto"/>
        <w:jc w:val="center"/>
        <w:tblLook w:val="04A0" w:firstRow="1" w:lastRow="0" w:firstColumn="1" w:lastColumn="0" w:noHBand="0" w:noVBand="1"/>
      </w:tblPr>
      <w:tblGrid>
        <w:gridCol w:w="2263"/>
        <w:gridCol w:w="4395"/>
      </w:tblGrid>
      <w:tr w:rsidR="00A807C1" w:rsidRPr="00A807C1" w14:paraId="39B26FE8" w14:textId="77777777" w:rsidTr="00A807C1">
        <w:trPr>
          <w:trHeight w:val="300"/>
          <w:jc w:val="center"/>
        </w:trPr>
        <w:tc>
          <w:tcPr>
            <w:tcW w:w="2263" w:type="dxa"/>
            <w:noWrap/>
            <w:hideMark/>
          </w:tcPr>
          <w:p w14:paraId="690A1487" w14:textId="77777777" w:rsidR="00A807C1" w:rsidRPr="00A807C1" w:rsidRDefault="00A807C1" w:rsidP="00A807C1">
            <w:pPr>
              <w:spacing w:line="240" w:lineRule="auto"/>
              <w:ind w:firstLine="0"/>
              <w:jc w:val="center"/>
              <w:rPr>
                <w:lang w:val="en-US"/>
              </w:rPr>
            </w:pPr>
          </w:p>
        </w:tc>
        <w:tc>
          <w:tcPr>
            <w:tcW w:w="4395" w:type="dxa"/>
            <w:noWrap/>
            <w:hideMark/>
          </w:tcPr>
          <w:p w14:paraId="42C27940" w14:textId="77777777" w:rsidR="00A807C1" w:rsidRPr="00A807C1" w:rsidRDefault="00A807C1" w:rsidP="00A807C1">
            <w:pPr>
              <w:spacing w:line="240" w:lineRule="auto"/>
              <w:ind w:firstLine="0"/>
              <w:jc w:val="center"/>
              <w:rPr>
                <w:lang w:val="en-US"/>
              </w:rPr>
            </w:pPr>
            <w:r w:rsidRPr="00A807C1">
              <w:rPr>
                <w:lang w:val="en-US"/>
              </w:rPr>
              <w:t>Node 2854 (92.125285, 44.573326)</w:t>
            </w:r>
          </w:p>
        </w:tc>
      </w:tr>
      <w:tr w:rsidR="00A807C1" w:rsidRPr="00A807C1" w14:paraId="3F6D3C9D" w14:textId="77777777" w:rsidTr="00A807C1">
        <w:trPr>
          <w:trHeight w:val="300"/>
          <w:jc w:val="center"/>
        </w:trPr>
        <w:tc>
          <w:tcPr>
            <w:tcW w:w="2263" w:type="dxa"/>
            <w:noWrap/>
            <w:hideMark/>
          </w:tcPr>
          <w:p w14:paraId="0D7BE117" w14:textId="77777777" w:rsidR="00A807C1" w:rsidRPr="00A807C1" w:rsidRDefault="00A807C1" w:rsidP="00A807C1">
            <w:pPr>
              <w:spacing w:line="240" w:lineRule="auto"/>
              <w:ind w:firstLine="0"/>
              <w:jc w:val="center"/>
              <w:rPr>
                <w:lang w:val="en-US"/>
              </w:rPr>
            </w:pPr>
            <w:r w:rsidRPr="00A807C1">
              <w:rPr>
                <w:lang w:val="en-US"/>
              </w:rPr>
              <w:t>Time (d)</w:t>
            </w:r>
          </w:p>
        </w:tc>
        <w:tc>
          <w:tcPr>
            <w:tcW w:w="4395" w:type="dxa"/>
            <w:noWrap/>
            <w:hideMark/>
          </w:tcPr>
          <w:p w14:paraId="6476DF9B" w14:textId="77777777" w:rsidR="00A807C1" w:rsidRPr="00A807C1" w:rsidRDefault="00A807C1" w:rsidP="00A807C1">
            <w:pPr>
              <w:spacing w:line="240" w:lineRule="auto"/>
              <w:ind w:firstLine="0"/>
              <w:jc w:val="center"/>
              <w:rPr>
                <w:lang w:val="en-US"/>
              </w:rPr>
            </w:pPr>
            <w:r w:rsidRPr="00A807C1">
              <w:rPr>
                <w:lang w:val="en-US"/>
              </w:rPr>
              <w:t>Water Pressure (kPa)</w:t>
            </w:r>
          </w:p>
        </w:tc>
      </w:tr>
      <w:tr w:rsidR="00A807C1" w:rsidRPr="00A807C1" w14:paraId="1AC304BA" w14:textId="77777777" w:rsidTr="00A807C1">
        <w:trPr>
          <w:trHeight w:val="300"/>
          <w:jc w:val="center"/>
        </w:trPr>
        <w:tc>
          <w:tcPr>
            <w:tcW w:w="2263" w:type="dxa"/>
            <w:noWrap/>
            <w:hideMark/>
          </w:tcPr>
          <w:p w14:paraId="5CBB1DD0" w14:textId="77777777" w:rsidR="00A807C1" w:rsidRPr="00A807C1" w:rsidRDefault="00A807C1" w:rsidP="00A807C1">
            <w:pPr>
              <w:spacing w:line="240" w:lineRule="auto"/>
              <w:ind w:firstLine="0"/>
              <w:jc w:val="center"/>
              <w:rPr>
                <w:lang w:val="en-US"/>
              </w:rPr>
            </w:pPr>
            <w:r w:rsidRPr="00A807C1">
              <w:rPr>
                <w:lang w:val="en-US"/>
              </w:rPr>
              <w:t>0</w:t>
            </w:r>
          </w:p>
        </w:tc>
        <w:tc>
          <w:tcPr>
            <w:tcW w:w="4395" w:type="dxa"/>
            <w:noWrap/>
            <w:hideMark/>
          </w:tcPr>
          <w:p w14:paraId="1173990B" w14:textId="77777777" w:rsidR="00A807C1" w:rsidRPr="00A807C1" w:rsidRDefault="00A807C1" w:rsidP="00A807C1">
            <w:pPr>
              <w:spacing w:line="240" w:lineRule="auto"/>
              <w:ind w:firstLine="0"/>
              <w:jc w:val="center"/>
              <w:rPr>
                <w:lang w:val="en-US"/>
              </w:rPr>
            </w:pPr>
            <w:r w:rsidRPr="00A807C1">
              <w:rPr>
                <w:lang w:val="en-US"/>
              </w:rPr>
              <w:t>118.3085</w:t>
            </w:r>
          </w:p>
        </w:tc>
      </w:tr>
      <w:tr w:rsidR="00A807C1" w:rsidRPr="00A807C1" w14:paraId="338E7830" w14:textId="77777777" w:rsidTr="00A807C1">
        <w:trPr>
          <w:trHeight w:val="300"/>
          <w:jc w:val="center"/>
        </w:trPr>
        <w:tc>
          <w:tcPr>
            <w:tcW w:w="2263" w:type="dxa"/>
            <w:noWrap/>
            <w:hideMark/>
          </w:tcPr>
          <w:p w14:paraId="46992338" w14:textId="77777777" w:rsidR="00A807C1" w:rsidRPr="00A807C1" w:rsidRDefault="00A807C1" w:rsidP="00A807C1">
            <w:pPr>
              <w:spacing w:line="240" w:lineRule="auto"/>
              <w:ind w:firstLine="0"/>
              <w:jc w:val="center"/>
              <w:rPr>
                <w:lang w:val="en-US"/>
              </w:rPr>
            </w:pPr>
            <w:r w:rsidRPr="00A807C1">
              <w:rPr>
                <w:lang w:val="en-US"/>
              </w:rPr>
              <w:t>1</w:t>
            </w:r>
          </w:p>
        </w:tc>
        <w:tc>
          <w:tcPr>
            <w:tcW w:w="4395" w:type="dxa"/>
            <w:noWrap/>
            <w:hideMark/>
          </w:tcPr>
          <w:p w14:paraId="7BE8F867" w14:textId="77777777" w:rsidR="00A807C1" w:rsidRPr="00A807C1" w:rsidRDefault="00A807C1" w:rsidP="00A807C1">
            <w:pPr>
              <w:spacing w:line="240" w:lineRule="auto"/>
              <w:ind w:firstLine="0"/>
              <w:jc w:val="center"/>
              <w:rPr>
                <w:lang w:val="en-US"/>
              </w:rPr>
            </w:pPr>
            <w:r w:rsidRPr="00A807C1">
              <w:rPr>
                <w:lang w:val="en-US"/>
              </w:rPr>
              <w:t>22.76251</w:t>
            </w:r>
          </w:p>
        </w:tc>
      </w:tr>
      <w:tr w:rsidR="00A807C1" w:rsidRPr="00A807C1" w14:paraId="34D4F9D4" w14:textId="77777777" w:rsidTr="00A807C1">
        <w:trPr>
          <w:trHeight w:val="300"/>
          <w:jc w:val="center"/>
        </w:trPr>
        <w:tc>
          <w:tcPr>
            <w:tcW w:w="2263" w:type="dxa"/>
            <w:noWrap/>
            <w:hideMark/>
          </w:tcPr>
          <w:p w14:paraId="7BA58B25" w14:textId="77777777" w:rsidR="00A807C1" w:rsidRPr="00A807C1" w:rsidRDefault="00A807C1" w:rsidP="00A807C1">
            <w:pPr>
              <w:spacing w:line="240" w:lineRule="auto"/>
              <w:ind w:firstLine="0"/>
              <w:jc w:val="center"/>
              <w:rPr>
                <w:lang w:val="en-US"/>
              </w:rPr>
            </w:pPr>
            <w:r w:rsidRPr="00A807C1">
              <w:rPr>
                <w:lang w:val="en-US"/>
              </w:rPr>
              <w:t>2</w:t>
            </w:r>
          </w:p>
        </w:tc>
        <w:tc>
          <w:tcPr>
            <w:tcW w:w="4395" w:type="dxa"/>
            <w:noWrap/>
            <w:hideMark/>
          </w:tcPr>
          <w:p w14:paraId="18D8161C" w14:textId="77777777" w:rsidR="00A807C1" w:rsidRPr="00A807C1" w:rsidRDefault="00A807C1" w:rsidP="00A807C1">
            <w:pPr>
              <w:spacing w:line="240" w:lineRule="auto"/>
              <w:ind w:firstLine="0"/>
              <w:jc w:val="center"/>
              <w:rPr>
                <w:lang w:val="en-US"/>
              </w:rPr>
            </w:pPr>
            <w:r w:rsidRPr="00A807C1">
              <w:rPr>
                <w:lang w:val="en-US"/>
              </w:rPr>
              <w:t>7.059753</w:t>
            </w:r>
          </w:p>
        </w:tc>
      </w:tr>
      <w:tr w:rsidR="00A807C1" w:rsidRPr="00A807C1" w14:paraId="6A3E19DC" w14:textId="77777777" w:rsidTr="00A807C1">
        <w:trPr>
          <w:trHeight w:val="300"/>
          <w:jc w:val="center"/>
        </w:trPr>
        <w:tc>
          <w:tcPr>
            <w:tcW w:w="2263" w:type="dxa"/>
            <w:noWrap/>
            <w:hideMark/>
          </w:tcPr>
          <w:p w14:paraId="698102B2" w14:textId="77777777" w:rsidR="00A807C1" w:rsidRPr="00A807C1" w:rsidRDefault="00A807C1" w:rsidP="00A807C1">
            <w:pPr>
              <w:spacing w:line="240" w:lineRule="auto"/>
              <w:ind w:firstLine="0"/>
              <w:jc w:val="center"/>
              <w:rPr>
                <w:lang w:val="en-US"/>
              </w:rPr>
            </w:pPr>
            <w:r w:rsidRPr="00A807C1">
              <w:rPr>
                <w:lang w:val="en-US"/>
              </w:rPr>
              <w:t>3</w:t>
            </w:r>
          </w:p>
        </w:tc>
        <w:tc>
          <w:tcPr>
            <w:tcW w:w="4395" w:type="dxa"/>
            <w:noWrap/>
            <w:hideMark/>
          </w:tcPr>
          <w:p w14:paraId="155147D9" w14:textId="77777777" w:rsidR="00A807C1" w:rsidRPr="00A807C1" w:rsidRDefault="00A807C1" w:rsidP="00A807C1">
            <w:pPr>
              <w:spacing w:line="240" w:lineRule="auto"/>
              <w:ind w:firstLine="0"/>
              <w:jc w:val="center"/>
              <w:rPr>
                <w:lang w:val="en-US"/>
              </w:rPr>
            </w:pPr>
            <w:r w:rsidRPr="00A807C1">
              <w:rPr>
                <w:lang w:val="en-US"/>
              </w:rPr>
              <w:t>0.094214</w:t>
            </w:r>
          </w:p>
        </w:tc>
      </w:tr>
      <w:tr w:rsidR="00A807C1" w:rsidRPr="00A807C1" w14:paraId="2AD05154" w14:textId="77777777" w:rsidTr="00A807C1">
        <w:trPr>
          <w:trHeight w:val="300"/>
          <w:jc w:val="center"/>
        </w:trPr>
        <w:tc>
          <w:tcPr>
            <w:tcW w:w="2263" w:type="dxa"/>
            <w:noWrap/>
            <w:hideMark/>
          </w:tcPr>
          <w:p w14:paraId="6B72F871" w14:textId="77777777" w:rsidR="00A807C1" w:rsidRPr="00A807C1" w:rsidRDefault="00A807C1" w:rsidP="00A807C1">
            <w:pPr>
              <w:spacing w:line="240" w:lineRule="auto"/>
              <w:ind w:firstLine="0"/>
              <w:jc w:val="center"/>
              <w:rPr>
                <w:lang w:val="en-US"/>
              </w:rPr>
            </w:pPr>
            <w:r w:rsidRPr="00A807C1">
              <w:rPr>
                <w:lang w:val="en-US"/>
              </w:rPr>
              <w:t>4</w:t>
            </w:r>
          </w:p>
        </w:tc>
        <w:tc>
          <w:tcPr>
            <w:tcW w:w="4395" w:type="dxa"/>
            <w:noWrap/>
            <w:hideMark/>
          </w:tcPr>
          <w:p w14:paraId="34B1F9FE" w14:textId="77777777" w:rsidR="00A807C1" w:rsidRPr="00A807C1" w:rsidRDefault="00A807C1" w:rsidP="00A807C1">
            <w:pPr>
              <w:spacing w:line="240" w:lineRule="auto"/>
              <w:ind w:firstLine="0"/>
              <w:jc w:val="center"/>
              <w:rPr>
                <w:lang w:val="en-US"/>
              </w:rPr>
            </w:pPr>
            <w:r w:rsidRPr="00A807C1">
              <w:rPr>
                <w:lang w:val="en-US"/>
              </w:rPr>
              <w:t>-0.78334</w:t>
            </w:r>
          </w:p>
        </w:tc>
      </w:tr>
      <w:tr w:rsidR="00A807C1" w:rsidRPr="00A807C1" w14:paraId="589B19DB" w14:textId="77777777" w:rsidTr="00A807C1">
        <w:trPr>
          <w:trHeight w:val="300"/>
          <w:jc w:val="center"/>
        </w:trPr>
        <w:tc>
          <w:tcPr>
            <w:tcW w:w="2263" w:type="dxa"/>
            <w:noWrap/>
            <w:hideMark/>
          </w:tcPr>
          <w:p w14:paraId="14CCC502" w14:textId="77777777" w:rsidR="00A807C1" w:rsidRPr="00A807C1" w:rsidRDefault="00A807C1" w:rsidP="00A807C1">
            <w:pPr>
              <w:spacing w:line="240" w:lineRule="auto"/>
              <w:ind w:firstLine="0"/>
              <w:jc w:val="center"/>
              <w:rPr>
                <w:lang w:val="en-US"/>
              </w:rPr>
            </w:pPr>
            <w:r w:rsidRPr="00A807C1">
              <w:rPr>
                <w:lang w:val="en-US"/>
              </w:rPr>
              <w:t>5</w:t>
            </w:r>
          </w:p>
        </w:tc>
        <w:tc>
          <w:tcPr>
            <w:tcW w:w="4395" w:type="dxa"/>
            <w:noWrap/>
            <w:hideMark/>
          </w:tcPr>
          <w:p w14:paraId="0EAE87C4" w14:textId="77777777" w:rsidR="00A807C1" w:rsidRPr="00A807C1" w:rsidRDefault="00A807C1" w:rsidP="00A807C1">
            <w:pPr>
              <w:spacing w:line="240" w:lineRule="auto"/>
              <w:ind w:firstLine="0"/>
              <w:jc w:val="center"/>
              <w:rPr>
                <w:lang w:val="en-US"/>
              </w:rPr>
            </w:pPr>
            <w:r w:rsidRPr="00A807C1">
              <w:rPr>
                <w:lang w:val="en-US"/>
              </w:rPr>
              <w:t>-1.03243</w:t>
            </w:r>
          </w:p>
        </w:tc>
      </w:tr>
      <w:tr w:rsidR="00A807C1" w:rsidRPr="00A807C1" w14:paraId="369AC5A9" w14:textId="77777777" w:rsidTr="00A807C1">
        <w:trPr>
          <w:trHeight w:val="300"/>
          <w:jc w:val="center"/>
        </w:trPr>
        <w:tc>
          <w:tcPr>
            <w:tcW w:w="2263" w:type="dxa"/>
            <w:noWrap/>
            <w:hideMark/>
          </w:tcPr>
          <w:p w14:paraId="513BD47A" w14:textId="77777777" w:rsidR="00A807C1" w:rsidRPr="00A807C1" w:rsidRDefault="00A807C1" w:rsidP="00A807C1">
            <w:pPr>
              <w:spacing w:line="240" w:lineRule="auto"/>
              <w:ind w:firstLine="0"/>
              <w:jc w:val="center"/>
              <w:rPr>
                <w:lang w:val="en-US"/>
              </w:rPr>
            </w:pPr>
            <w:r w:rsidRPr="00A807C1">
              <w:rPr>
                <w:lang w:val="en-US"/>
              </w:rPr>
              <w:t>6</w:t>
            </w:r>
          </w:p>
        </w:tc>
        <w:tc>
          <w:tcPr>
            <w:tcW w:w="4395" w:type="dxa"/>
            <w:noWrap/>
            <w:hideMark/>
          </w:tcPr>
          <w:p w14:paraId="7F533810" w14:textId="77777777" w:rsidR="00A807C1" w:rsidRPr="00A807C1" w:rsidRDefault="00A807C1" w:rsidP="00A807C1">
            <w:pPr>
              <w:spacing w:line="240" w:lineRule="auto"/>
              <w:ind w:firstLine="0"/>
              <w:jc w:val="center"/>
              <w:rPr>
                <w:lang w:val="en-US"/>
              </w:rPr>
            </w:pPr>
            <w:r w:rsidRPr="00A807C1">
              <w:rPr>
                <w:lang w:val="en-US"/>
              </w:rPr>
              <w:t>-1.23217</w:t>
            </w:r>
          </w:p>
        </w:tc>
      </w:tr>
      <w:tr w:rsidR="00A807C1" w:rsidRPr="00A807C1" w14:paraId="57A07040" w14:textId="77777777" w:rsidTr="00A807C1">
        <w:trPr>
          <w:trHeight w:val="300"/>
          <w:jc w:val="center"/>
        </w:trPr>
        <w:tc>
          <w:tcPr>
            <w:tcW w:w="2263" w:type="dxa"/>
            <w:noWrap/>
            <w:hideMark/>
          </w:tcPr>
          <w:p w14:paraId="6A9DA402" w14:textId="77777777" w:rsidR="00A807C1" w:rsidRPr="00A807C1" w:rsidRDefault="00A807C1" w:rsidP="00A807C1">
            <w:pPr>
              <w:spacing w:line="240" w:lineRule="auto"/>
              <w:ind w:firstLine="0"/>
              <w:jc w:val="center"/>
              <w:rPr>
                <w:lang w:val="en-US"/>
              </w:rPr>
            </w:pPr>
            <w:r w:rsidRPr="00A807C1">
              <w:rPr>
                <w:lang w:val="en-US"/>
              </w:rPr>
              <w:t>7</w:t>
            </w:r>
          </w:p>
        </w:tc>
        <w:tc>
          <w:tcPr>
            <w:tcW w:w="4395" w:type="dxa"/>
            <w:noWrap/>
            <w:hideMark/>
          </w:tcPr>
          <w:p w14:paraId="3CA9C2BC" w14:textId="77777777" w:rsidR="00A807C1" w:rsidRPr="00A807C1" w:rsidRDefault="00A807C1" w:rsidP="00A807C1">
            <w:pPr>
              <w:spacing w:line="240" w:lineRule="auto"/>
              <w:ind w:firstLine="0"/>
              <w:jc w:val="center"/>
              <w:rPr>
                <w:lang w:val="en-US"/>
              </w:rPr>
            </w:pPr>
            <w:r w:rsidRPr="00A807C1">
              <w:rPr>
                <w:lang w:val="en-US"/>
              </w:rPr>
              <w:t>-1.35448</w:t>
            </w:r>
          </w:p>
        </w:tc>
      </w:tr>
      <w:tr w:rsidR="00A807C1" w:rsidRPr="00A807C1" w14:paraId="7611A94B" w14:textId="77777777" w:rsidTr="00A807C1">
        <w:trPr>
          <w:trHeight w:val="300"/>
          <w:jc w:val="center"/>
        </w:trPr>
        <w:tc>
          <w:tcPr>
            <w:tcW w:w="2263" w:type="dxa"/>
            <w:noWrap/>
            <w:hideMark/>
          </w:tcPr>
          <w:p w14:paraId="40FF2BCE" w14:textId="77777777" w:rsidR="00A807C1" w:rsidRPr="00A807C1" w:rsidRDefault="00A807C1" w:rsidP="00A807C1">
            <w:pPr>
              <w:spacing w:line="240" w:lineRule="auto"/>
              <w:ind w:firstLine="0"/>
              <w:jc w:val="center"/>
              <w:rPr>
                <w:lang w:val="en-US"/>
              </w:rPr>
            </w:pPr>
            <w:r w:rsidRPr="00A807C1">
              <w:rPr>
                <w:lang w:val="en-US"/>
              </w:rPr>
              <w:t>8</w:t>
            </w:r>
          </w:p>
        </w:tc>
        <w:tc>
          <w:tcPr>
            <w:tcW w:w="4395" w:type="dxa"/>
            <w:noWrap/>
            <w:hideMark/>
          </w:tcPr>
          <w:p w14:paraId="18404E89" w14:textId="77777777" w:rsidR="00A807C1" w:rsidRPr="00A807C1" w:rsidRDefault="00A807C1" w:rsidP="00A807C1">
            <w:pPr>
              <w:spacing w:line="240" w:lineRule="auto"/>
              <w:ind w:firstLine="0"/>
              <w:jc w:val="center"/>
              <w:rPr>
                <w:lang w:val="en-US"/>
              </w:rPr>
            </w:pPr>
            <w:r w:rsidRPr="00A807C1">
              <w:rPr>
                <w:lang w:val="en-US"/>
              </w:rPr>
              <w:t>-1.46683</w:t>
            </w:r>
          </w:p>
        </w:tc>
      </w:tr>
      <w:tr w:rsidR="00A807C1" w:rsidRPr="00A807C1" w14:paraId="2B9EBACA" w14:textId="77777777" w:rsidTr="00A807C1">
        <w:trPr>
          <w:trHeight w:val="300"/>
          <w:jc w:val="center"/>
        </w:trPr>
        <w:tc>
          <w:tcPr>
            <w:tcW w:w="2263" w:type="dxa"/>
            <w:noWrap/>
            <w:hideMark/>
          </w:tcPr>
          <w:p w14:paraId="1E98A60C" w14:textId="77777777" w:rsidR="00A807C1" w:rsidRPr="00A807C1" w:rsidRDefault="00A807C1" w:rsidP="00A807C1">
            <w:pPr>
              <w:spacing w:line="240" w:lineRule="auto"/>
              <w:ind w:firstLine="0"/>
              <w:jc w:val="center"/>
              <w:rPr>
                <w:lang w:val="en-US"/>
              </w:rPr>
            </w:pPr>
            <w:r w:rsidRPr="00A807C1">
              <w:rPr>
                <w:lang w:val="en-US"/>
              </w:rPr>
              <w:t>9</w:t>
            </w:r>
          </w:p>
        </w:tc>
        <w:tc>
          <w:tcPr>
            <w:tcW w:w="4395" w:type="dxa"/>
            <w:noWrap/>
            <w:hideMark/>
          </w:tcPr>
          <w:p w14:paraId="6126E151" w14:textId="77777777" w:rsidR="00A807C1" w:rsidRPr="00A807C1" w:rsidRDefault="00A807C1" w:rsidP="00A807C1">
            <w:pPr>
              <w:spacing w:line="240" w:lineRule="auto"/>
              <w:ind w:firstLine="0"/>
              <w:jc w:val="center"/>
              <w:rPr>
                <w:lang w:val="en-US"/>
              </w:rPr>
            </w:pPr>
            <w:r w:rsidRPr="00A807C1">
              <w:rPr>
                <w:lang w:val="en-US"/>
              </w:rPr>
              <w:t>-1.57624</w:t>
            </w:r>
          </w:p>
        </w:tc>
      </w:tr>
      <w:tr w:rsidR="00A807C1" w:rsidRPr="00A807C1" w14:paraId="7EEE3058" w14:textId="77777777" w:rsidTr="00A807C1">
        <w:trPr>
          <w:trHeight w:val="300"/>
          <w:jc w:val="center"/>
        </w:trPr>
        <w:tc>
          <w:tcPr>
            <w:tcW w:w="2263" w:type="dxa"/>
            <w:noWrap/>
            <w:hideMark/>
          </w:tcPr>
          <w:p w14:paraId="0370B379" w14:textId="77777777" w:rsidR="00A807C1" w:rsidRPr="00A807C1" w:rsidRDefault="00A807C1" w:rsidP="00A807C1">
            <w:pPr>
              <w:spacing w:line="240" w:lineRule="auto"/>
              <w:ind w:firstLine="0"/>
              <w:jc w:val="center"/>
              <w:rPr>
                <w:lang w:val="en-US"/>
              </w:rPr>
            </w:pPr>
            <w:r w:rsidRPr="00A807C1">
              <w:rPr>
                <w:lang w:val="en-US"/>
              </w:rPr>
              <w:t>10</w:t>
            </w:r>
          </w:p>
        </w:tc>
        <w:tc>
          <w:tcPr>
            <w:tcW w:w="4395" w:type="dxa"/>
            <w:noWrap/>
            <w:hideMark/>
          </w:tcPr>
          <w:p w14:paraId="15A1E581" w14:textId="77777777" w:rsidR="00A807C1" w:rsidRPr="00A807C1" w:rsidRDefault="00A807C1" w:rsidP="00A807C1">
            <w:pPr>
              <w:spacing w:line="240" w:lineRule="auto"/>
              <w:ind w:firstLine="0"/>
              <w:jc w:val="center"/>
              <w:rPr>
                <w:lang w:val="en-US"/>
              </w:rPr>
            </w:pPr>
            <w:r w:rsidRPr="00A807C1">
              <w:rPr>
                <w:lang w:val="en-US"/>
              </w:rPr>
              <w:t>-1.6856</w:t>
            </w:r>
          </w:p>
        </w:tc>
      </w:tr>
      <w:tr w:rsidR="00A807C1" w:rsidRPr="00A807C1" w14:paraId="389579B6" w14:textId="77777777" w:rsidTr="00A807C1">
        <w:trPr>
          <w:trHeight w:val="300"/>
          <w:jc w:val="center"/>
        </w:trPr>
        <w:tc>
          <w:tcPr>
            <w:tcW w:w="2263" w:type="dxa"/>
            <w:noWrap/>
            <w:hideMark/>
          </w:tcPr>
          <w:p w14:paraId="12C19FCD" w14:textId="77777777" w:rsidR="00A807C1" w:rsidRPr="00A807C1" w:rsidRDefault="00A807C1" w:rsidP="00A807C1">
            <w:pPr>
              <w:spacing w:line="240" w:lineRule="auto"/>
              <w:ind w:firstLine="0"/>
              <w:jc w:val="center"/>
              <w:rPr>
                <w:lang w:val="en-US"/>
              </w:rPr>
            </w:pPr>
            <w:r w:rsidRPr="00A807C1">
              <w:rPr>
                <w:lang w:val="en-US"/>
              </w:rPr>
              <w:t>11</w:t>
            </w:r>
          </w:p>
        </w:tc>
        <w:tc>
          <w:tcPr>
            <w:tcW w:w="4395" w:type="dxa"/>
            <w:noWrap/>
            <w:hideMark/>
          </w:tcPr>
          <w:p w14:paraId="291C2A74" w14:textId="77777777" w:rsidR="00A807C1" w:rsidRPr="00A807C1" w:rsidRDefault="00A807C1" w:rsidP="00A807C1">
            <w:pPr>
              <w:spacing w:line="240" w:lineRule="auto"/>
              <w:ind w:firstLine="0"/>
              <w:jc w:val="center"/>
              <w:rPr>
                <w:lang w:val="en-US"/>
              </w:rPr>
            </w:pPr>
            <w:r w:rsidRPr="00A807C1">
              <w:rPr>
                <w:lang w:val="en-US"/>
              </w:rPr>
              <w:t>-1.79657</w:t>
            </w:r>
          </w:p>
        </w:tc>
      </w:tr>
      <w:tr w:rsidR="00A807C1" w:rsidRPr="00A807C1" w14:paraId="1967EDF3" w14:textId="77777777" w:rsidTr="00A807C1">
        <w:trPr>
          <w:trHeight w:val="300"/>
          <w:jc w:val="center"/>
        </w:trPr>
        <w:tc>
          <w:tcPr>
            <w:tcW w:w="2263" w:type="dxa"/>
            <w:noWrap/>
            <w:hideMark/>
          </w:tcPr>
          <w:p w14:paraId="596AFF3A" w14:textId="77777777" w:rsidR="00A807C1" w:rsidRPr="00A807C1" w:rsidRDefault="00A807C1" w:rsidP="00A807C1">
            <w:pPr>
              <w:spacing w:line="240" w:lineRule="auto"/>
              <w:ind w:firstLine="0"/>
              <w:jc w:val="center"/>
              <w:rPr>
                <w:lang w:val="en-US"/>
              </w:rPr>
            </w:pPr>
            <w:r w:rsidRPr="00A807C1">
              <w:rPr>
                <w:lang w:val="en-US"/>
              </w:rPr>
              <w:t>12</w:t>
            </w:r>
          </w:p>
        </w:tc>
        <w:tc>
          <w:tcPr>
            <w:tcW w:w="4395" w:type="dxa"/>
            <w:noWrap/>
            <w:hideMark/>
          </w:tcPr>
          <w:p w14:paraId="78CE322D" w14:textId="77777777" w:rsidR="00A807C1" w:rsidRPr="00A807C1" w:rsidRDefault="00A807C1" w:rsidP="00A807C1">
            <w:pPr>
              <w:spacing w:line="240" w:lineRule="auto"/>
              <w:ind w:firstLine="0"/>
              <w:jc w:val="center"/>
              <w:rPr>
                <w:lang w:val="en-US"/>
              </w:rPr>
            </w:pPr>
            <w:r w:rsidRPr="00A807C1">
              <w:rPr>
                <w:lang w:val="en-US"/>
              </w:rPr>
              <w:t>-1.91025</w:t>
            </w:r>
          </w:p>
        </w:tc>
      </w:tr>
      <w:tr w:rsidR="00A807C1" w:rsidRPr="00A807C1" w14:paraId="26D6E6D9" w14:textId="77777777" w:rsidTr="00A807C1">
        <w:trPr>
          <w:trHeight w:val="300"/>
          <w:jc w:val="center"/>
        </w:trPr>
        <w:tc>
          <w:tcPr>
            <w:tcW w:w="2263" w:type="dxa"/>
            <w:noWrap/>
            <w:hideMark/>
          </w:tcPr>
          <w:p w14:paraId="432031A8" w14:textId="77777777" w:rsidR="00A807C1" w:rsidRPr="00A807C1" w:rsidRDefault="00A807C1" w:rsidP="00A807C1">
            <w:pPr>
              <w:spacing w:line="240" w:lineRule="auto"/>
              <w:ind w:firstLine="0"/>
              <w:jc w:val="center"/>
              <w:rPr>
                <w:lang w:val="en-US"/>
              </w:rPr>
            </w:pPr>
            <w:r w:rsidRPr="00A807C1">
              <w:rPr>
                <w:lang w:val="en-US"/>
              </w:rPr>
              <w:t>13</w:t>
            </w:r>
          </w:p>
        </w:tc>
        <w:tc>
          <w:tcPr>
            <w:tcW w:w="4395" w:type="dxa"/>
            <w:noWrap/>
            <w:hideMark/>
          </w:tcPr>
          <w:p w14:paraId="451DE494" w14:textId="77777777" w:rsidR="00A807C1" w:rsidRPr="00A807C1" w:rsidRDefault="00A807C1" w:rsidP="00A807C1">
            <w:pPr>
              <w:spacing w:line="240" w:lineRule="auto"/>
              <w:ind w:firstLine="0"/>
              <w:jc w:val="center"/>
              <w:rPr>
                <w:lang w:val="en-US"/>
              </w:rPr>
            </w:pPr>
            <w:r w:rsidRPr="00A807C1">
              <w:rPr>
                <w:lang w:val="en-US"/>
              </w:rPr>
              <w:t>-2.02744</w:t>
            </w:r>
          </w:p>
        </w:tc>
      </w:tr>
      <w:tr w:rsidR="00A807C1" w:rsidRPr="00A807C1" w14:paraId="27689C0B" w14:textId="77777777" w:rsidTr="00A807C1">
        <w:trPr>
          <w:trHeight w:val="300"/>
          <w:jc w:val="center"/>
        </w:trPr>
        <w:tc>
          <w:tcPr>
            <w:tcW w:w="2263" w:type="dxa"/>
            <w:noWrap/>
            <w:hideMark/>
          </w:tcPr>
          <w:p w14:paraId="1D62C796" w14:textId="77777777" w:rsidR="00A807C1" w:rsidRPr="00A807C1" w:rsidRDefault="00A807C1" w:rsidP="00A807C1">
            <w:pPr>
              <w:spacing w:line="240" w:lineRule="auto"/>
              <w:ind w:firstLine="0"/>
              <w:jc w:val="center"/>
              <w:rPr>
                <w:lang w:val="en-US"/>
              </w:rPr>
            </w:pPr>
            <w:r w:rsidRPr="00A807C1">
              <w:rPr>
                <w:lang w:val="en-US"/>
              </w:rPr>
              <w:t>14</w:t>
            </w:r>
          </w:p>
        </w:tc>
        <w:tc>
          <w:tcPr>
            <w:tcW w:w="4395" w:type="dxa"/>
            <w:noWrap/>
            <w:hideMark/>
          </w:tcPr>
          <w:p w14:paraId="718F742B" w14:textId="77777777" w:rsidR="00A807C1" w:rsidRPr="00A807C1" w:rsidRDefault="00A807C1" w:rsidP="00A807C1">
            <w:pPr>
              <w:spacing w:line="240" w:lineRule="auto"/>
              <w:ind w:firstLine="0"/>
              <w:jc w:val="center"/>
              <w:rPr>
                <w:lang w:val="en-US"/>
              </w:rPr>
            </w:pPr>
            <w:r w:rsidRPr="00A807C1">
              <w:rPr>
                <w:lang w:val="en-US"/>
              </w:rPr>
              <w:t>-2.14877</w:t>
            </w:r>
          </w:p>
        </w:tc>
      </w:tr>
      <w:tr w:rsidR="00A807C1" w:rsidRPr="00A807C1" w14:paraId="1F78D57C" w14:textId="77777777" w:rsidTr="00A807C1">
        <w:trPr>
          <w:trHeight w:val="300"/>
          <w:jc w:val="center"/>
        </w:trPr>
        <w:tc>
          <w:tcPr>
            <w:tcW w:w="2263" w:type="dxa"/>
            <w:noWrap/>
            <w:hideMark/>
          </w:tcPr>
          <w:p w14:paraId="733726BD" w14:textId="77777777" w:rsidR="00A807C1" w:rsidRPr="00A807C1" w:rsidRDefault="00A807C1" w:rsidP="00A807C1">
            <w:pPr>
              <w:spacing w:line="240" w:lineRule="auto"/>
              <w:ind w:firstLine="0"/>
              <w:jc w:val="center"/>
              <w:rPr>
                <w:lang w:val="en-US"/>
              </w:rPr>
            </w:pPr>
            <w:r w:rsidRPr="00A807C1">
              <w:rPr>
                <w:lang w:val="en-US"/>
              </w:rPr>
              <w:t>15</w:t>
            </w:r>
          </w:p>
        </w:tc>
        <w:tc>
          <w:tcPr>
            <w:tcW w:w="4395" w:type="dxa"/>
            <w:noWrap/>
            <w:hideMark/>
          </w:tcPr>
          <w:p w14:paraId="25D60B36" w14:textId="77777777" w:rsidR="00A807C1" w:rsidRPr="00A807C1" w:rsidRDefault="00A807C1" w:rsidP="00A807C1">
            <w:pPr>
              <w:spacing w:line="240" w:lineRule="auto"/>
              <w:ind w:firstLine="0"/>
              <w:jc w:val="center"/>
              <w:rPr>
                <w:lang w:val="en-US"/>
              </w:rPr>
            </w:pPr>
            <w:r w:rsidRPr="00A807C1">
              <w:rPr>
                <w:lang w:val="en-US"/>
              </w:rPr>
              <w:t>-2.27482</w:t>
            </w:r>
          </w:p>
        </w:tc>
      </w:tr>
      <w:tr w:rsidR="00A807C1" w:rsidRPr="00A807C1" w14:paraId="78838CF6" w14:textId="77777777" w:rsidTr="00A807C1">
        <w:trPr>
          <w:trHeight w:val="300"/>
          <w:jc w:val="center"/>
        </w:trPr>
        <w:tc>
          <w:tcPr>
            <w:tcW w:w="2263" w:type="dxa"/>
            <w:noWrap/>
            <w:hideMark/>
          </w:tcPr>
          <w:p w14:paraId="79A2B8BB" w14:textId="77777777" w:rsidR="00A807C1" w:rsidRPr="00A807C1" w:rsidRDefault="00A807C1" w:rsidP="00A807C1">
            <w:pPr>
              <w:spacing w:line="240" w:lineRule="auto"/>
              <w:ind w:firstLine="0"/>
              <w:jc w:val="center"/>
              <w:rPr>
                <w:lang w:val="en-US"/>
              </w:rPr>
            </w:pPr>
            <w:r w:rsidRPr="00A807C1">
              <w:rPr>
                <w:lang w:val="en-US"/>
              </w:rPr>
              <w:t>16</w:t>
            </w:r>
          </w:p>
        </w:tc>
        <w:tc>
          <w:tcPr>
            <w:tcW w:w="4395" w:type="dxa"/>
            <w:noWrap/>
            <w:hideMark/>
          </w:tcPr>
          <w:p w14:paraId="7295D118" w14:textId="77777777" w:rsidR="00A807C1" w:rsidRPr="00A807C1" w:rsidRDefault="00A807C1" w:rsidP="00A807C1">
            <w:pPr>
              <w:spacing w:line="240" w:lineRule="auto"/>
              <w:ind w:firstLine="0"/>
              <w:jc w:val="center"/>
              <w:rPr>
                <w:lang w:val="en-US"/>
              </w:rPr>
            </w:pPr>
            <w:r w:rsidRPr="00A807C1">
              <w:rPr>
                <w:lang w:val="en-US"/>
              </w:rPr>
              <w:t>-2.40616</w:t>
            </w:r>
          </w:p>
        </w:tc>
      </w:tr>
      <w:tr w:rsidR="00A807C1" w:rsidRPr="00A807C1" w14:paraId="0731F609" w14:textId="77777777" w:rsidTr="00A807C1">
        <w:trPr>
          <w:trHeight w:val="300"/>
          <w:jc w:val="center"/>
        </w:trPr>
        <w:tc>
          <w:tcPr>
            <w:tcW w:w="2263" w:type="dxa"/>
            <w:noWrap/>
            <w:hideMark/>
          </w:tcPr>
          <w:p w14:paraId="69C3B453" w14:textId="77777777" w:rsidR="00A807C1" w:rsidRPr="00A807C1" w:rsidRDefault="00A807C1" w:rsidP="00A807C1">
            <w:pPr>
              <w:spacing w:line="240" w:lineRule="auto"/>
              <w:ind w:firstLine="0"/>
              <w:jc w:val="center"/>
              <w:rPr>
                <w:lang w:val="en-US"/>
              </w:rPr>
            </w:pPr>
            <w:r w:rsidRPr="00A807C1">
              <w:rPr>
                <w:lang w:val="en-US"/>
              </w:rPr>
              <w:t>17</w:t>
            </w:r>
          </w:p>
        </w:tc>
        <w:tc>
          <w:tcPr>
            <w:tcW w:w="4395" w:type="dxa"/>
            <w:noWrap/>
            <w:hideMark/>
          </w:tcPr>
          <w:p w14:paraId="13E9B0D7" w14:textId="77777777" w:rsidR="00A807C1" w:rsidRPr="00A807C1" w:rsidRDefault="00A807C1" w:rsidP="00A807C1">
            <w:pPr>
              <w:spacing w:line="240" w:lineRule="auto"/>
              <w:ind w:firstLine="0"/>
              <w:jc w:val="center"/>
              <w:rPr>
                <w:lang w:val="en-US"/>
              </w:rPr>
            </w:pPr>
            <w:r w:rsidRPr="00A807C1">
              <w:rPr>
                <w:lang w:val="en-US"/>
              </w:rPr>
              <w:t>-2.54343</w:t>
            </w:r>
          </w:p>
        </w:tc>
      </w:tr>
      <w:tr w:rsidR="00A807C1" w:rsidRPr="00A807C1" w14:paraId="71BC8516" w14:textId="77777777" w:rsidTr="00A807C1">
        <w:trPr>
          <w:trHeight w:val="300"/>
          <w:jc w:val="center"/>
        </w:trPr>
        <w:tc>
          <w:tcPr>
            <w:tcW w:w="2263" w:type="dxa"/>
            <w:noWrap/>
            <w:hideMark/>
          </w:tcPr>
          <w:p w14:paraId="22B86727" w14:textId="77777777" w:rsidR="00A807C1" w:rsidRPr="00A807C1" w:rsidRDefault="00A807C1" w:rsidP="00A807C1">
            <w:pPr>
              <w:spacing w:line="240" w:lineRule="auto"/>
              <w:ind w:firstLine="0"/>
              <w:jc w:val="center"/>
              <w:rPr>
                <w:lang w:val="en-US"/>
              </w:rPr>
            </w:pPr>
            <w:r w:rsidRPr="00A807C1">
              <w:rPr>
                <w:lang w:val="en-US"/>
              </w:rPr>
              <w:t>18</w:t>
            </w:r>
          </w:p>
        </w:tc>
        <w:tc>
          <w:tcPr>
            <w:tcW w:w="4395" w:type="dxa"/>
            <w:noWrap/>
            <w:hideMark/>
          </w:tcPr>
          <w:p w14:paraId="1759F945" w14:textId="77777777" w:rsidR="00A807C1" w:rsidRPr="00A807C1" w:rsidRDefault="00A807C1" w:rsidP="00A807C1">
            <w:pPr>
              <w:spacing w:line="240" w:lineRule="auto"/>
              <w:ind w:firstLine="0"/>
              <w:jc w:val="center"/>
              <w:rPr>
                <w:lang w:val="en-US"/>
              </w:rPr>
            </w:pPr>
            <w:r w:rsidRPr="00A807C1">
              <w:rPr>
                <w:lang w:val="en-US"/>
              </w:rPr>
              <w:t>-2.68725</w:t>
            </w:r>
          </w:p>
        </w:tc>
      </w:tr>
      <w:tr w:rsidR="00A807C1" w:rsidRPr="00A807C1" w14:paraId="6A208051" w14:textId="77777777" w:rsidTr="00A807C1">
        <w:trPr>
          <w:trHeight w:val="300"/>
          <w:jc w:val="center"/>
        </w:trPr>
        <w:tc>
          <w:tcPr>
            <w:tcW w:w="2263" w:type="dxa"/>
            <w:noWrap/>
            <w:hideMark/>
          </w:tcPr>
          <w:p w14:paraId="684A7F98" w14:textId="77777777" w:rsidR="00A807C1" w:rsidRPr="00A807C1" w:rsidRDefault="00A807C1" w:rsidP="00A807C1">
            <w:pPr>
              <w:spacing w:line="240" w:lineRule="auto"/>
              <w:ind w:firstLine="0"/>
              <w:jc w:val="center"/>
              <w:rPr>
                <w:lang w:val="en-US"/>
              </w:rPr>
            </w:pPr>
            <w:r w:rsidRPr="00A807C1">
              <w:rPr>
                <w:lang w:val="en-US"/>
              </w:rPr>
              <w:t>19</w:t>
            </w:r>
          </w:p>
        </w:tc>
        <w:tc>
          <w:tcPr>
            <w:tcW w:w="4395" w:type="dxa"/>
            <w:noWrap/>
            <w:hideMark/>
          </w:tcPr>
          <w:p w14:paraId="0D0DEBEC" w14:textId="77777777" w:rsidR="00A807C1" w:rsidRPr="00A807C1" w:rsidRDefault="00A807C1" w:rsidP="00A807C1">
            <w:pPr>
              <w:spacing w:line="240" w:lineRule="auto"/>
              <w:ind w:firstLine="0"/>
              <w:jc w:val="center"/>
              <w:rPr>
                <w:lang w:val="en-US"/>
              </w:rPr>
            </w:pPr>
            <w:r w:rsidRPr="00A807C1">
              <w:rPr>
                <w:lang w:val="en-US"/>
              </w:rPr>
              <w:t>-2.83828</w:t>
            </w:r>
          </w:p>
        </w:tc>
      </w:tr>
      <w:tr w:rsidR="00A807C1" w:rsidRPr="00A807C1" w14:paraId="0A12F841" w14:textId="77777777" w:rsidTr="00A807C1">
        <w:trPr>
          <w:trHeight w:val="300"/>
          <w:jc w:val="center"/>
        </w:trPr>
        <w:tc>
          <w:tcPr>
            <w:tcW w:w="2263" w:type="dxa"/>
            <w:noWrap/>
            <w:hideMark/>
          </w:tcPr>
          <w:p w14:paraId="7BE79D7B" w14:textId="77777777" w:rsidR="00A807C1" w:rsidRPr="00A807C1" w:rsidRDefault="00A807C1" w:rsidP="00A807C1">
            <w:pPr>
              <w:spacing w:line="240" w:lineRule="auto"/>
              <w:ind w:firstLine="0"/>
              <w:jc w:val="center"/>
              <w:rPr>
                <w:lang w:val="en-US"/>
              </w:rPr>
            </w:pPr>
            <w:r w:rsidRPr="00A807C1">
              <w:rPr>
                <w:lang w:val="en-US"/>
              </w:rPr>
              <w:t>20</w:t>
            </w:r>
          </w:p>
        </w:tc>
        <w:tc>
          <w:tcPr>
            <w:tcW w:w="4395" w:type="dxa"/>
            <w:noWrap/>
            <w:hideMark/>
          </w:tcPr>
          <w:p w14:paraId="7F9173C3" w14:textId="77777777" w:rsidR="00A807C1" w:rsidRPr="00A807C1" w:rsidRDefault="00A807C1" w:rsidP="00A807C1">
            <w:pPr>
              <w:spacing w:line="240" w:lineRule="auto"/>
              <w:ind w:firstLine="0"/>
              <w:jc w:val="center"/>
              <w:rPr>
                <w:lang w:val="en-US"/>
              </w:rPr>
            </w:pPr>
            <w:r w:rsidRPr="00A807C1">
              <w:rPr>
                <w:lang w:val="en-US"/>
              </w:rPr>
              <w:t>-2.99718</w:t>
            </w:r>
          </w:p>
        </w:tc>
      </w:tr>
      <w:tr w:rsidR="00A807C1" w:rsidRPr="00A807C1" w14:paraId="04EBA89F" w14:textId="77777777" w:rsidTr="00A807C1">
        <w:trPr>
          <w:trHeight w:val="300"/>
          <w:jc w:val="center"/>
        </w:trPr>
        <w:tc>
          <w:tcPr>
            <w:tcW w:w="2263" w:type="dxa"/>
            <w:noWrap/>
            <w:hideMark/>
          </w:tcPr>
          <w:p w14:paraId="14CA8532" w14:textId="77777777" w:rsidR="00A807C1" w:rsidRPr="00A807C1" w:rsidRDefault="00A807C1" w:rsidP="00A807C1">
            <w:pPr>
              <w:spacing w:line="240" w:lineRule="auto"/>
              <w:ind w:firstLine="0"/>
              <w:jc w:val="center"/>
              <w:rPr>
                <w:lang w:val="en-US"/>
              </w:rPr>
            </w:pPr>
            <w:r w:rsidRPr="00A807C1">
              <w:rPr>
                <w:lang w:val="en-US"/>
              </w:rPr>
              <w:t>21</w:t>
            </w:r>
          </w:p>
        </w:tc>
        <w:tc>
          <w:tcPr>
            <w:tcW w:w="4395" w:type="dxa"/>
            <w:noWrap/>
            <w:hideMark/>
          </w:tcPr>
          <w:p w14:paraId="38648FC1" w14:textId="77777777" w:rsidR="00A807C1" w:rsidRPr="00A807C1" w:rsidRDefault="00A807C1" w:rsidP="00A807C1">
            <w:pPr>
              <w:spacing w:line="240" w:lineRule="auto"/>
              <w:ind w:firstLine="0"/>
              <w:jc w:val="center"/>
              <w:rPr>
                <w:lang w:val="en-US"/>
              </w:rPr>
            </w:pPr>
            <w:r w:rsidRPr="00A807C1">
              <w:rPr>
                <w:lang w:val="en-US"/>
              </w:rPr>
              <w:t>-3.16455</w:t>
            </w:r>
          </w:p>
        </w:tc>
      </w:tr>
      <w:tr w:rsidR="00A807C1" w:rsidRPr="00A807C1" w14:paraId="29662C2A" w14:textId="77777777" w:rsidTr="00A807C1">
        <w:trPr>
          <w:trHeight w:val="300"/>
          <w:jc w:val="center"/>
        </w:trPr>
        <w:tc>
          <w:tcPr>
            <w:tcW w:w="2263" w:type="dxa"/>
            <w:noWrap/>
            <w:hideMark/>
          </w:tcPr>
          <w:p w14:paraId="5FB09681" w14:textId="77777777" w:rsidR="00A807C1" w:rsidRPr="00A807C1" w:rsidRDefault="00A807C1" w:rsidP="00A807C1">
            <w:pPr>
              <w:spacing w:line="240" w:lineRule="auto"/>
              <w:ind w:firstLine="0"/>
              <w:jc w:val="center"/>
              <w:rPr>
                <w:lang w:val="en-US"/>
              </w:rPr>
            </w:pPr>
            <w:r w:rsidRPr="00A807C1">
              <w:rPr>
                <w:lang w:val="en-US"/>
              </w:rPr>
              <w:t>22</w:t>
            </w:r>
          </w:p>
        </w:tc>
        <w:tc>
          <w:tcPr>
            <w:tcW w:w="4395" w:type="dxa"/>
            <w:noWrap/>
            <w:hideMark/>
          </w:tcPr>
          <w:p w14:paraId="148ABC4A" w14:textId="77777777" w:rsidR="00A807C1" w:rsidRPr="00A807C1" w:rsidRDefault="00A807C1" w:rsidP="00A807C1">
            <w:pPr>
              <w:spacing w:line="240" w:lineRule="auto"/>
              <w:ind w:firstLine="0"/>
              <w:jc w:val="center"/>
              <w:rPr>
                <w:lang w:val="en-US"/>
              </w:rPr>
            </w:pPr>
            <w:r w:rsidRPr="00A807C1">
              <w:rPr>
                <w:lang w:val="en-US"/>
              </w:rPr>
              <w:t>-3.34098</w:t>
            </w:r>
          </w:p>
        </w:tc>
      </w:tr>
      <w:tr w:rsidR="00A807C1" w:rsidRPr="00A807C1" w14:paraId="6436B666" w14:textId="77777777" w:rsidTr="00A807C1">
        <w:trPr>
          <w:trHeight w:val="300"/>
          <w:jc w:val="center"/>
        </w:trPr>
        <w:tc>
          <w:tcPr>
            <w:tcW w:w="2263" w:type="dxa"/>
            <w:noWrap/>
            <w:hideMark/>
          </w:tcPr>
          <w:p w14:paraId="4FB91376" w14:textId="77777777" w:rsidR="00A807C1" w:rsidRPr="00A807C1" w:rsidRDefault="00A807C1" w:rsidP="00A807C1">
            <w:pPr>
              <w:spacing w:line="240" w:lineRule="auto"/>
              <w:ind w:firstLine="0"/>
              <w:jc w:val="center"/>
              <w:rPr>
                <w:lang w:val="en-US"/>
              </w:rPr>
            </w:pPr>
            <w:r w:rsidRPr="00A807C1">
              <w:rPr>
                <w:lang w:val="en-US"/>
              </w:rPr>
              <w:t>23</w:t>
            </w:r>
          </w:p>
        </w:tc>
        <w:tc>
          <w:tcPr>
            <w:tcW w:w="4395" w:type="dxa"/>
            <w:noWrap/>
            <w:hideMark/>
          </w:tcPr>
          <w:p w14:paraId="0A2C654B" w14:textId="77777777" w:rsidR="00A807C1" w:rsidRPr="00A807C1" w:rsidRDefault="00A807C1" w:rsidP="00A807C1">
            <w:pPr>
              <w:spacing w:line="240" w:lineRule="auto"/>
              <w:ind w:firstLine="0"/>
              <w:jc w:val="center"/>
              <w:rPr>
                <w:lang w:val="en-US"/>
              </w:rPr>
            </w:pPr>
            <w:r w:rsidRPr="00A807C1">
              <w:rPr>
                <w:lang w:val="en-US"/>
              </w:rPr>
              <w:t>-3.52714</w:t>
            </w:r>
          </w:p>
        </w:tc>
      </w:tr>
      <w:tr w:rsidR="00A807C1" w:rsidRPr="00A807C1" w14:paraId="7F58642C" w14:textId="77777777" w:rsidTr="00A807C1">
        <w:trPr>
          <w:trHeight w:val="300"/>
          <w:jc w:val="center"/>
        </w:trPr>
        <w:tc>
          <w:tcPr>
            <w:tcW w:w="2263" w:type="dxa"/>
            <w:noWrap/>
            <w:hideMark/>
          </w:tcPr>
          <w:p w14:paraId="22006430" w14:textId="77777777" w:rsidR="00A807C1" w:rsidRPr="00A807C1" w:rsidRDefault="00A807C1" w:rsidP="00A807C1">
            <w:pPr>
              <w:spacing w:line="240" w:lineRule="auto"/>
              <w:ind w:firstLine="0"/>
              <w:jc w:val="center"/>
              <w:rPr>
                <w:lang w:val="en-US"/>
              </w:rPr>
            </w:pPr>
            <w:r w:rsidRPr="00A807C1">
              <w:rPr>
                <w:lang w:val="en-US"/>
              </w:rPr>
              <w:t>24</w:t>
            </w:r>
          </w:p>
        </w:tc>
        <w:tc>
          <w:tcPr>
            <w:tcW w:w="4395" w:type="dxa"/>
            <w:noWrap/>
            <w:hideMark/>
          </w:tcPr>
          <w:p w14:paraId="041045F4" w14:textId="77777777" w:rsidR="00A807C1" w:rsidRPr="00A807C1" w:rsidRDefault="00A807C1" w:rsidP="00A807C1">
            <w:pPr>
              <w:spacing w:line="240" w:lineRule="auto"/>
              <w:ind w:firstLine="0"/>
              <w:jc w:val="center"/>
              <w:rPr>
                <w:lang w:val="en-US"/>
              </w:rPr>
            </w:pPr>
            <w:r w:rsidRPr="00A807C1">
              <w:rPr>
                <w:lang w:val="en-US"/>
              </w:rPr>
              <w:t>-3.72375</w:t>
            </w:r>
          </w:p>
        </w:tc>
      </w:tr>
      <w:tr w:rsidR="00A807C1" w:rsidRPr="00A807C1" w14:paraId="7C0E2DE2" w14:textId="77777777" w:rsidTr="00A807C1">
        <w:trPr>
          <w:trHeight w:val="300"/>
          <w:jc w:val="center"/>
        </w:trPr>
        <w:tc>
          <w:tcPr>
            <w:tcW w:w="2263" w:type="dxa"/>
            <w:noWrap/>
            <w:hideMark/>
          </w:tcPr>
          <w:p w14:paraId="7D07F793" w14:textId="77777777" w:rsidR="00A807C1" w:rsidRPr="00A807C1" w:rsidRDefault="00A807C1" w:rsidP="00A807C1">
            <w:pPr>
              <w:spacing w:line="240" w:lineRule="auto"/>
              <w:ind w:firstLine="0"/>
              <w:jc w:val="center"/>
              <w:rPr>
                <w:lang w:val="en-US"/>
              </w:rPr>
            </w:pPr>
            <w:r w:rsidRPr="00A807C1">
              <w:rPr>
                <w:lang w:val="en-US"/>
              </w:rPr>
              <w:t>25</w:t>
            </w:r>
          </w:p>
        </w:tc>
        <w:tc>
          <w:tcPr>
            <w:tcW w:w="4395" w:type="dxa"/>
            <w:noWrap/>
            <w:hideMark/>
          </w:tcPr>
          <w:p w14:paraId="35B1AB87" w14:textId="77777777" w:rsidR="00A807C1" w:rsidRPr="00A807C1" w:rsidRDefault="00A807C1" w:rsidP="00A807C1">
            <w:pPr>
              <w:spacing w:line="240" w:lineRule="auto"/>
              <w:ind w:firstLine="0"/>
              <w:jc w:val="center"/>
              <w:rPr>
                <w:lang w:val="en-US"/>
              </w:rPr>
            </w:pPr>
            <w:r w:rsidRPr="00A807C1">
              <w:rPr>
                <w:lang w:val="en-US"/>
              </w:rPr>
              <w:t>-3.93161</w:t>
            </w:r>
          </w:p>
        </w:tc>
      </w:tr>
      <w:tr w:rsidR="00A807C1" w:rsidRPr="00A807C1" w14:paraId="2E6F7E89" w14:textId="77777777" w:rsidTr="00A807C1">
        <w:trPr>
          <w:trHeight w:val="300"/>
          <w:jc w:val="center"/>
        </w:trPr>
        <w:tc>
          <w:tcPr>
            <w:tcW w:w="2263" w:type="dxa"/>
            <w:noWrap/>
            <w:hideMark/>
          </w:tcPr>
          <w:p w14:paraId="4703411F" w14:textId="77777777" w:rsidR="00A807C1" w:rsidRPr="00A807C1" w:rsidRDefault="00A807C1" w:rsidP="00A807C1">
            <w:pPr>
              <w:spacing w:line="240" w:lineRule="auto"/>
              <w:ind w:firstLine="0"/>
              <w:jc w:val="center"/>
              <w:rPr>
                <w:lang w:val="en-US"/>
              </w:rPr>
            </w:pPr>
            <w:r w:rsidRPr="00A807C1">
              <w:rPr>
                <w:lang w:val="en-US"/>
              </w:rPr>
              <w:t>26</w:t>
            </w:r>
          </w:p>
        </w:tc>
        <w:tc>
          <w:tcPr>
            <w:tcW w:w="4395" w:type="dxa"/>
            <w:noWrap/>
            <w:hideMark/>
          </w:tcPr>
          <w:p w14:paraId="62E60C37" w14:textId="77777777" w:rsidR="00A807C1" w:rsidRPr="00A807C1" w:rsidRDefault="00A807C1" w:rsidP="00A807C1">
            <w:pPr>
              <w:spacing w:line="240" w:lineRule="auto"/>
              <w:ind w:firstLine="0"/>
              <w:jc w:val="center"/>
              <w:rPr>
                <w:lang w:val="en-US"/>
              </w:rPr>
            </w:pPr>
            <w:r w:rsidRPr="00A807C1">
              <w:rPr>
                <w:lang w:val="en-US"/>
              </w:rPr>
              <w:t>-4.15152</w:t>
            </w:r>
          </w:p>
        </w:tc>
      </w:tr>
      <w:tr w:rsidR="00A807C1" w:rsidRPr="00A807C1" w14:paraId="768D5BB2" w14:textId="77777777" w:rsidTr="00A807C1">
        <w:trPr>
          <w:trHeight w:val="300"/>
          <w:jc w:val="center"/>
        </w:trPr>
        <w:tc>
          <w:tcPr>
            <w:tcW w:w="2263" w:type="dxa"/>
            <w:noWrap/>
            <w:hideMark/>
          </w:tcPr>
          <w:p w14:paraId="06561E79" w14:textId="77777777" w:rsidR="00A807C1" w:rsidRPr="00A807C1" w:rsidRDefault="00A807C1" w:rsidP="00A807C1">
            <w:pPr>
              <w:spacing w:line="240" w:lineRule="auto"/>
              <w:ind w:firstLine="0"/>
              <w:jc w:val="center"/>
              <w:rPr>
                <w:lang w:val="en-US"/>
              </w:rPr>
            </w:pPr>
            <w:r w:rsidRPr="00A807C1">
              <w:rPr>
                <w:lang w:val="en-US"/>
              </w:rPr>
              <w:t>27</w:t>
            </w:r>
          </w:p>
        </w:tc>
        <w:tc>
          <w:tcPr>
            <w:tcW w:w="4395" w:type="dxa"/>
            <w:noWrap/>
            <w:hideMark/>
          </w:tcPr>
          <w:p w14:paraId="30DBAD1F" w14:textId="77777777" w:rsidR="00A807C1" w:rsidRPr="00A807C1" w:rsidRDefault="00A807C1" w:rsidP="00A807C1">
            <w:pPr>
              <w:spacing w:line="240" w:lineRule="auto"/>
              <w:ind w:firstLine="0"/>
              <w:jc w:val="center"/>
              <w:rPr>
                <w:lang w:val="en-US"/>
              </w:rPr>
            </w:pPr>
            <w:r w:rsidRPr="00A807C1">
              <w:rPr>
                <w:lang w:val="en-US"/>
              </w:rPr>
              <w:t>-4.38402</w:t>
            </w:r>
          </w:p>
        </w:tc>
      </w:tr>
      <w:tr w:rsidR="00A807C1" w:rsidRPr="00A807C1" w14:paraId="07870D96" w14:textId="77777777" w:rsidTr="00A807C1">
        <w:trPr>
          <w:trHeight w:val="300"/>
          <w:jc w:val="center"/>
        </w:trPr>
        <w:tc>
          <w:tcPr>
            <w:tcW w:w="2263" w:type="dxa"/>
            <w:noWrap/>
            <w:hideMark/>
          </w:tcPr>
          <w:p w14:paraId="2803A8E9" w14:textId="77777777" w:rsidR="00A807C1" w:rsidRPr="00A807C1" w:rsidRDefault="00A807C1" w:rsidP="00A807C1">
            <w:pPr>
              <w:spacing w:line="240" w:lineRule="auto"/>
              <w:ind w:firstLine="0"/>
              <w:jc w:val="center"/>
              <w:rPr>
                <w:lang w:val="en-US"/>
              </w:rPr>
            </w:pPr>
            <w:r w:rsidRPr="00A807C1">
              <w:rPr>
                <w:lang w:val="en-US"/>
              </w:rPr>
              <w:t>28</w:t>
            </w:r>
          </w:p>
        </w:tc>
        <w:tc>
          <w:tcPr>
            <w:tcW w:w="4395" w:type="dxa"/>
            <w:noWrap/>
            <w:hideMark/>
          </w:tcPr>
          <w:p w14:paraId="2F73C631" w14:textId="77777777" w:rsidR="00A807C1" w:rsidRPr="00A807C1" w:rsidRDefault="00A807C1" w:rsidP="00A807C1">
            <w:pPr>
              <w:spacing w:line="240" w:lineRule="auto"/>
              <w:ind w:firstLine="0"/>
              <w:jc w:val="center"/>
              <w:rPr>
                <w:lang w:val="en-US"/>
              </w:rPr>
            </w:pPr>
            <w:r w:rsidRPr="00A807C1">
              <w:rPr>
                <w:lang w:val="en-US"/>
              </w:rPr>
              <w:t>-4.62946</w:t>
            </w:r>
          </w:p>
        </w:tc>
      </w:tr>
      <w:tr w:rsidR="00A807C1" w:rsidRPr="00A807C1" w14:paraId="35DD78F0" w14:textId="77777777" w:rsidTr="00A807C1">
        <w:trPr>
          <w:trHeight w:val="300"/>
          <w:jc w:val="center"/>
        </w:trPr>
        <w:tc>
          <w:tcPr>
            <w:tcW w:w="2263" w:type="dxa"/>
            <w:noWrap/>
            <w:hideMark/>
          </w:tcPr>
          <w:p w14:paraId="6320E76A" w14:textId="77777777" w:rsidR="00A807C1" w:rsidRPr="00A807C1" w:rsidRDefault="00A807C1" w:rsidP="00A807C1">
            <w:pPr>
              <w:spacing w:line="240" w:lineRule="auto"/>
              <w:ind w:firstLine="0"/>
              <w:jc w:val="center"/>
              <w:rPr>
                <w:lang w:val="en-US"/>
              </w:rPr>
            </w:pPr>
            <w:r w:rsidRPr="00A807C1">
              <w:rPr>
                <w:lang w:val="en-US"/>
              </w:rPr>
              <w:t>29</w:t>
            </w:r>
          </w:p>
        </w:tc>
        <w:tc>
          <w:tcPr>
            <w:tcW w:w="4395" w:type="dxa"/>
            <w:noWrap/>
            <w:hideMark/>
          </w:tcPr>
          <w:p w14:paraId="005AC8FE" w14:textId="77777777" w:rsidR="00A807C1" w:rsidRPr="00A807C1" w:rsidRDefault="00A807C1" w:rsidP="00A807C1">
            <w:pPr>
              <w:spacing w:line="240" w:lineRule="auto"/>
              <w:ind w:firstLine="0"/>
              <w:jc w:val="center"/>
              <w:rPr>
                <w:lang w:val="en-US"/>
              </w:rPr>
            </w:pPr>
            <w:r w:rsidRPr="00A807C1">
              <w:rPr>
                <w:lang w:val="en-US"/>
              </w:rPr>
              <w:t>-4.88812</w:t>
            </w:r>
          </w:p>
        </w:tc>
      </w:tr>
      <w:tr w:rsidR="00A807C1" w:rsidRPr="00A807C1" w14:paraId="758D6134" w14:textId="77777777" w:rsidTr="00A807C1">
        <w:trPr>
          <w:trHeight w:val="300"/>
          <w:jc w:val="center"/>
        </w:trPr>
        <w:tc>
          <w:tcPr>
            <w:tcW w:w="2263" w:type="dxa"/>
            <w:noWrap/>
            <w:hideMark/>
          </w:tcPr>
          <w:p w14:paraId="0C755FAA" w14:textId="77777777" w:rsidR="00A807C1" w:rsidRPr="00A807C1" w:rsidRDefault="00A807C1" w:rsidP="00A807C1">
            <w:pPr>
              <w:spacing w:line="240" w:lineRule="auto"/>
              <w:ind w:firstLine="0"/>
              <w:jc w:val="center"/>
              <w:rPr>
                <w:lang w:val="en-US"/>
              </w:rPr>
            </w:pPr>
            <w:r w:rsidRPr="00A807C1">
              <w:rPr>
                <w:lang w:val="en-US"/>
              </w:rPr>
              <w:t>30</w:t>
            </w:r>
          </w:p>
        </w:tc>
        <w:tc>
          <w:tcPr>
            <w:tcW w:w="4395" w:type="dxa"/>
            <w:noWrap/>
            <w:hideMark/>
          </w:tcPr>
          <w:p w14:paraId="0DE3C1C5" w14:textId="77777777" w:rsidR="00A807C1" w:rsidRPr="00A807C1" w:rsidRDefault="00A807C1" w:rsidP="00A807C1">
            <w:pPr>
              <w:spacing w:line="240" w:lineRule="auto"/>
              <w:ind w:firstLine="0"/>
              <w:jc w:val="center"/>
              <w:rPr>
                <w:lang w:val="en-US"/>
              </w:rPr>
            </w:pPr>
            <w:r w:rsidRPr="00A807C1">
              <w:rPr>
                <w:lang w:val="en-US"/>
              </w:rPr>
              <w:t>-5.16027</w:t>
            </w:r>
          </w:p>
        </w:tc>
      </w:tr>
    </w:tbl>
    <w:p w14:paraId="70611BCD" w14:textId="58747444" w:rsidR="00707878" w:rsidRDefault="00707878" w:rsidP="000F484D">
      <w:pPr>
        <w:rPr>
          <w:rFonts w:cs="Times New Roman"/>
          <w:szCs w:val="24"/>
          <w:lang w:val="en-US"/>
        </w:rPr>
      </w:pPr>
    </w:p>
    <w:p w14:paraId="5B53AB06" w14:textId="20113304" w:rsidR="00707878" w:rsidRDefault="00707878" w:rsidP="00707878">
      <w:pPr>
        <w:pStyle w:val="1"/>
        <w:numPr>
          <w:ilvl w:val="0"/>
          <w:numId w:val="0"/>
        </w:numPr>
        <w:jc w:val="center"/>
        <w:rPr>
          <w:lang w:val="en-US"/>
        </w:rPr>
      </w:pPr>
      <w:bookmarkStart w:id="1804" w:name="_Toc104985383"/>
      <w:r w:rsidRPr="00A367BA">
        <w:rPr>
          <w:lang w:val="en-US"/>
        </w:rPr>
        <w:lastRenderedPageBreak/>
        <w:t xml:space="preserve">Appendix </w:t>
      </w:r>
      <w:r w:rsidR="003138D2">
        <w:rPr>
          <w:lang w:val="en-US"/>
        </w:rPr>
        <w:t>D</w:t>
      </w:r>
      <w:r>
        <w:rPr>
          <w:lang w:val="en-US"/>
        </w:rPr>
        <w:t xml:space="preserve"> – </w:t>
      </w:r>
      <w:r w:rsidR="000159F5">
        <w:rPr>
          <w:rFonts w:eastAsia="Calibri"/>
          <w:lang w:val="en-US"/>
        </w:rPr>
        <w:t>Ndembera</w:t>
      </w:r>
      <w:r>
        <w:rPr>
          <w:rFonts w:eastAsia="Calibri"/>
          <w:lang w:val="en-US"/>
        </w:rPr>
        <w:t xml:space="preserve"> dam factor of safety values from </w:t>
      </w:r>
      <w:r w:rsidR="000159F5">
        <w:rPr>
          <w:rFonts w:eastAsia="Calibri"/>
          <w:lang w:val="en-US"/>
        </w:rPr>
        <w:t>1 m per day</w:t>
      </w:r>
      <w:r>
        <w:rPr>
          <w:rFonts w:eastAsia="Calibri"/>
          <w:lang w:val="en-US"/>
        </w:rPr>
        <w:t xml:space="preserve"> drawdown</w:t>
      </w:r>
      <w:r w:rsidR="000159F5">
        <w:rPr>
          <w:rFonts w:eastAsia="Calibri"/>
          <w:lang w:val="en-US"/>
        </w:rPr>
        <w:t>: Morgenstern-Price method</w:t>
      </w:r>
      <w:bookmarkEnd w:id="1804"/>
    </w:p>
    <w:tbl>
      <w:tblPr>
        <w:tblStyle w:val="a8"/>
        <w:tblW w:w="0" w:type="auto"/>
        <w:jc w:val="center"/>
        <w:tblLook w:val="04A0" w:firstRow="1" w:lastRow="0" w:firstColumn="1" w:lastColumn="0" w:noHBand="0" w:noVBand="1"/>
      </w:tblPr>
      <w:tblGrid>
        <w:gridCol w:w="2263"/>
        <w:gridCol w:w="2835"/>
      </w:tblGrid>
      <w:tr w:rsidR="00935749" w:rsidRPr="000159F5" w14:paraId="3A0DDF96" w14:textId="77777777" w:rsidTr="000159F5">
        <w:trPr>
          <w:trHeight w:val="300"/>
          <w:jc w:val="center"/>
        </w:trPr>
        <w:tc>
          <w:tcPr>
            <w:tcW w:w="2263" w:type="dxa"/>
            <w:noWrap/>
            <w:hideMark/>
          </w:tcPr>
          <w:p w14:paraId="74FF247C" w14:textId="77777777" w:rsidR="00935749" w:rsidRPr="000159F5" w:rsidRDefault="00935749" w:rsidP="00935749">
            <w:pPr>
              <w:spacing w:line="240" w:lineRule="auto"/>
              <w:ind w:firstLine="0"/>
              <w:jc w:val="center"/>
              <w:rPr>
                <w:lang w:val="en-US"/>
              </w:rPr>
            </w:pPr>
          </w:p>
        </w:tc>
        <w:tc>
          <w:tcPr>
            <w:tcW w:w="2835" w:type="dxa"/>
            <w:noWrap/>
            <w:hideMark/>
          </w:tcPr>
          <w:p w14:paraId="7B279F0E" w14:textId="0F15C4AE" w:rsidR="00935749" w:rsidRPr="000159F5" w:rsidRDefault="00935749" w:rsidP="00935749">
            <w:pPr>
              <w:spacing w:line="240" w:lineRule="auto"/>
              <w:ind w:firstLine="0"/>
              <w:jc w:val="center"/>
              <w:rPr>
                <w:lang w:val="en-US"/>
              </w:rPr>
            </w:pPr>
            <w:r w:rsidRPr="00CD24AE">
              <w:t>Slip Surface 92</w:t>
            </w:r>
          </w:p>
        </w:tc>
      </w:tr>
      <w:tr w:rsidR="00935749" w:rsidRPr="000159F5" w14:paraId="54EE8BDB" w14:textId="77777777" w:rsidTr="000159F5">
        <w:trPr>
          <w:trHeight w:val="300"/>
          <w:jc w:val="center"/>
        </w:trPr>
        <w:tc>
          <w:tcPr>
            <w:tcW w:w="2263" w:type="dxa"/>
            <w:noWrap/>
            <w:hideMark/>
          </w:tcPr>
          <w:p w14:paraId="41474EF1" w14:textId="5DDF5574" w:rsidR="00935749" w:rsidRPr="000159F5" w:rsidRDefault="00935749" w:rsidP="00935749">
            <w:pPr>
              <w:spacing w:line="240" w:lineRule="auto"/>
              <w:ind w:firstLine="0"/>
              <w:jc w:val="center"/>
              <w:rPr>
                <w:lang w:val="en-US"/>
              </w:rPr>
            </w:pPr>
            <w:r w:rsidRPr="00CD24AE">
              <w:t>Time (d)</w:t>
            </w:r>
          </w:p>
        </w:tc>
        <w:tc>
          <w:tcPr>
            <w:tcW w:w="2835" w:type="dxa"/>
            <w:noWrap/>
            <w:hideMark/>
          </w:tcPr>
          <w:p w14:paraId="67AC3808" w14:textId="77B6650E" w:rsidR="00935749" w:rsidRPr="000159F5" w:rsidRDefault="00935749" w:rsidP="00935749">
            <w:pPr>
              <w:spacing w:line="240" w:lineRule="auto"/>
              <w:ind w:firstLine="0"/>
              <w:jc w:val="center"/>
              <w:rPr>
                <w:lang w:val="en-US"/>
              </w:rPr>
            </w:pPr>
            <w:r w:rsidRPr="00CD24AE">
              <w:t>Factor of Safety</w:t>
            </w:r>
          </w:p>
        </w:tc>
      </w:tr>
      <w:tr w:rsidR="00935749" w:rsidRPr="000159F5" w14:paraId="7492F52C" w14:textId="77777777" w:rsidTr="000159F5">
        <w:trPr>
          <w:trHeight w:val="300"/>
          <w:jc w:val="center"/>
        </w:trPr>
        <w:tc>
          <w:tcPr>
            <w:tcW w:w="2263" w:type="dxa"/>
            <w:noWrap/>
            <w:hideMark/>
          </w:tcPr>
          <w:p w14:paraId="5E78418D" w14:textId="2B0B38EE" w:rsidR="00935749" w:rsidRPr="000159F5" w:rsidRDefault="00935749" w:rsidP="00935749">
            <w:pPr>
              <w:spacing w:line="240" w:lineRule="auto"/>
              <w:ind w:firstLine="0"/>
              <w:jc w:val="center"/>
              <w:rPr>
                <w:lang w:val="en-US"/>
              </w:rPr>
            </w:pPr>
            <w:r w:rsidRPr="00CD24AE">
              <w:t>0</w:t>
            </w:r>
          </w:p>
        </w:tc>
        <w:tc>
          <w:tcPr>
            <w:tcW w:w="2835" w:type="dxa"/>
            <w:noWrap/>
            <w:hideMark/>
          </w:tcPr>
          <w:p w14:paraId="467794C4" w14:textId="09524059" w:rsidR="00935749" w:rsidRPr="000159F5" w:rsidRDefault="00935749" w:rsidP="00935749">
            <w:pPr>
              <w:spacing w:line="240" w:lineRule="auto"/>
              <w:ind w:firstLine="0"/>
              <w:jc w:val="center"/>
              <w:rPr>
                <w:lang w:val="en-US"/>
              </w:rPr>
            </w:pPr>
            <w:r w:rsidRPr="00CD24AE">
              <w:t>2.2557301</w:t>
            </w:r>
          </w:p>
        </w:tc>
      </w:tr>
      <w:tr w:rsidR="00935749" w:rsidRPr="000159F5" w14:paraId="2C83BF66" w14:textId="77777777" w:rsidTr="000159F5">
        <w:trPr>
          <w:trHeight w:val="300"/>
          <w:jc w:val="center"/>
        </w:trPr>
        <w:tc>
          <w:tcPr>
            <w:tcW w:w="2263" w:type="dxa"/>
            <w:noWrap/>
            <w:hideMark/>
          </w:tcPr>
          <w:p w14:paraId="44D48E3F" w14:textId="1EB3DA61" w:rsidR="00935749" w:rsidRPr="000159F5" w:rsidRDefault="00935749" w:rsidP="00935749">
            <w:pPr>
              <w:spacing w:line="240" w:lineRule="auto"/>
              <w:ind w:firstLine="0"/>
              <w:jc w:val="center"/>
              <w:rPr>
                <w:lang w:val="en-US"/>
              </w:rPr>
            </w:pPr>
            <w:r w:rsidRPr="00CD24AE">
              <w:t>1</w:t>
            </w:r>
          </w:p>
        </w:tc>
        <w:tc>
          <w:tcPr>
            <w:tcW w:w="2835" w:type="dxa"/>
            <w:noWrap/>
            <w:hideMark/>
          </w:tcPr>
          <w:p w14:paraId="2961EB11" w14:textId="0911892A" w:rsidR="00935749" w:rsidRPr="000159F5" w:rsidRDefault="00935749" w:rsidP="00935749">
            <w:pPr>
              <w:spacing w:line="240" w:lineRule="auto"/>
              <w:ind w:firstLine="0"/>
              <w:jc w:val="center"/>
              <w:rPr>
                <w:lang w:val="en-US"/>
              </w:rPr>
            </w:pPr>
            <w:r w:rsidRPr="00CD24AE">
              <w:t>2.1396803</w:t>
            </w:r>
          </w:p>
        </w:tc>
      </w:tr>
      <w:tr w:rsidR="00935749" w:rsidRPr="000159F5" w14:paraId="419BB579" w14:textId="77777777" w:rsidTr="000159F5">
        <w:trPr>
          <w:trHeight w:val="300"/>
          <w:jc w:val="center"/>
        </w:trPr>
        <w:tc>
          <w:tcPr>
            <w:tcW w:w="2263" w:type="dxa"/>
            <w:noWrap/>
            <w:hideMark/>
          </w:tcPr>
          <w:p w14:paraId="555265D3" w14:textId="09DDDE49" w:rsidR="00935749" w:rsidRPr="000159F5" w:rsidRDefault="00935749" w:rsidP="00935749">
            <w:pPr>
              <w:spacing w:line="240" w:lineRule="auto"/>
              <w:ind w:firstLine="0"/>
              <w:jc w:val="center"/>
              <w:rPr>
                <w:lang w:val="en-US"/>
              </w:rPr>
            </w:pPr>
            <w:r w:rsidRPr="00CD24AE">
              <w:t>2</w:t>
            </w:r>
          </w:p>
        </w:tc>
        <w:tc>
          <w:tcPr>
            <w:tcW w:w="2835" w:type="dxa"/>
            <w:noWrap/>
            <w:hideMark/>
          </w:tcPr>
          <w:p w14:paraId="55192B37" w14:textId="217C6B2D" w:rsidR="00935749" w:rsidRPr="000159F5" w:rsidRDefault="00935749" w:rsidP="00935749">
            <w:pPr>
              <w:spacing w:line="240" w:lineRule="auto"/>
              <w:ind w:firstLine="0"/>
              <w:jc w:val="center"/>
              <w:rPr>
                <w:lang w:val="en-US"/>
              </w:rPr>
            </w:pPr>
            <w:r w:rsidRPr="00CD24AE">
              <w:t>2.0540603</w:t>
            </w:r>
          </w:p>
        </w:tc>
      </w:tr>
      <w:tr w:rsidR="00935749" w:rsidRPr="000159F5" w14:paraId="10C43A0E" w14:textId="77777777" w:rsidTr="000159F5">
        <w:trPr>
          <w:trHeight w:val="300"/>
          <w:jc w:val="center"/>
        </w:trPr>
        <w:tc>
          <w:tcPr>
            <w:tcW w:w="2263" w:type="dxa"/>
            <w:noWrap/>
            <w:hideMark/>
          </w:tcPr>
          <w:p w14:paraId="0D8DAA4B" w14:textId="5247E701" w:rsidR="00935749" w:rsidRPr="000159F5" w:rsidRDefault="00935749" w:rsidP="00935749">
            <w:pPr>
              <w:spacing w:line="240" w:lineRule="auto"/>
              <w:ind w:firstLine="0"/>
              <w:jc w:val="center"/>
              <w:rPr>
                <w:lang w:val="en-US"/>
              </w:rPr>
            </w:pPr>
            <w:r w:rsidRPr="00CD24AE">
              <w:t>3</w:t>
            </w:r>
          </w:p>
        </w:tc>
        <w:tc>
          <w:tcPr>
            <w:tcW w:w="2835" w:type="dxa"/>
            <w:noWrap/>
            <w:hideMark/>
          </w:tcPr>
          <w:p w14:paraId="0ECAAFBA" w14:textId="66C15091" w:rsidR="00935749" w:rsidRPr="000159F5" w:rsidRDefault="00935749" w:rsidP="00935749">
            <w:pPr>
              <w:spacing w:line="240" w:lineRule="auto"/>
              <w:ind w:firstLine="0"/>
              <w:jc w:val="center"/>
              <w:rPr>
                <w:lang w:val="en-US"/>
              </w:rPr>
            </w:pPr>
            <w:r w:rsidRPr="00CD24AE">
              <w:t>1.9774132</w:t>
            </w:r>
          </w:p>
        </w:tc>
      </w:tr>
      <w:tr w:rsidR="00935749" w:rsidRPr="000159F5" w14:paraId="4436FFF9" w14:textId="77777777" w:rsidTr="000159F5">
        <w:trPr>
          <w:trHeight w:val="300"/>
          <w:jc w:val="center"/>
        </w:trPr>
        <w:tc>
          <w:tcPr>
            <w:tcW w:w="2263" w:type="dxa"/>
            <w:noWrap/>
            <w:hideMark/>
          </w:tcPr>
          <w:p w14:paraId="52F3E980" w14:textId="336E14DA" w:rsidR="00935749" w:rsidRPr="000159F5" w:rsidRDefault="00935749" w:rsidP="00935749">
            <w:pPr>
              <w:spacing w:line="240" w:lineRule="auto"/>
              <w:ind w:firstLine="0"/>
              <w:jc w:val="center"/>
              <w:rPr>
                <w:lang w:val="en-US"/>
              </w:rPr>
            </w:pPr>
            <w:r w:rsidRPr="00CD24AE">
              <w:t>4</w:t>
            </w:r>
          </w:p>
        </w:tc>
        <w:tc>
          <w:tcPr>
            <w:tcW w:w="2835" w:type="dxa"/>
            <w:noWrap/>
            <w:hideMark/>
          </w:tcPr>
          <w:p w14:paraId="7251B91A" w14:textId="4D8D1B31" w:rsidR="00935749" w:rsidRPr="000159F5" w:rsidRDefault="00935749" w:rsidP="00935749">
            <w:pPr>
              <w:spacing w:line="240" w:lineRule="auto"/>
              <w:ind w:firstLine="0"/>
              <w:jc w:val="center"/>
              <w:rPr>
                <w:lang w:val="en-US"/>
              </w:rPr>
            </w:pPr>
            <w:r w:rsidRPr="00CD24AE">
              <w:t>1.9068394</w:t>
            </w:r>
          </w:p>
        </w:tc>
      </w:tr>
      <w:tr w:rsidR="00935749" w:rsidRPr="000159F5" w14:paraId="4F0B528C" w14:textId="77777777" w:rsidTr="000159F5">
        <w:trPr>
          <w:trHeight w:val="300"/>
          <w:jc w:val="center"/>
        </w:trPr>
        <w:tc>
          <w:tcPr>
            <w:tcW w:w="2263" w:type="dxa"/>
            <w:noWrap/>
            <w:hideMark/>
          </w:tcPr>
          <w:p w14:paraId="0D06D218" w14:textId="2865EF23" w:rsidR="00935749" w:rsidRPr="000159F5" w:rsidRDefault="00935749" w:rsidP="00935749">
            <w:pPr>
              <w:spacing w:line="240" w:lineRule="auto"/>
              <w:ind w:firstLine="0"/>
              <w:jc w:val="center"/>
              <w:rPr>
                <w:lang w:val="en-US"/>
              </w:rPr>
            </w:pPr>
            <w:r w:rsidRPr="00CD24AE">
              <w:t>5</w:t>
            </w:r>
          </w:p>
        </w:tc>
        <w:tc>
          <w:tcPr>
            <w:tcW w:w="2835" w:type="dxa"/>
            <w:noWrap/>
            <w:hideMark/>
          </w:tcPr>
          <w:p w14:paraId="59B6A601" w14:textId="688FF179" w:rsidR="00935749" w:rsidRPr="000159F5" w:rsidRDefault="00935749" w:rsidP="00935749">
            <w:pPr>
              <w:spacing w:line="240" w:lineRule="auto"/>
              <w:ind w:firstLine="0"/>
              <w:jc w:val="center"/>
              <w:rPr>
                <w:lang w:val="en-US"/>
              </w:rPr>
            </w:pPr>
            <w:r w:rsidRPr="00CD24AE">
              <w:t>1.8363791</w:t>
            </w:r>
          </w:p>
        </w:tc>
      </w:tr>
      <w:tr w:rsidR="00935749" w:rsidRPr="000159F5" w14:paraId="5AA48E60" w14:textId="77777777" w:rsidTr="000159F5">
        <w:trPr>
          <w:trHeight w:val="300"/>
          <w:jc w:val="center"/>
        </w:trPr>
        <w:tc>
          <w:tcPr>
            <w:tcW w:w="2263" w:type="dxa"/>
            <w:noWrap/>
            <w:hideMark/>
          </w:tcPr>
          <w:p w14:paraId="006AAB11" w14:textId="4100ADD6" w:rsidR="00935749" w:rsidRPr="000159F5" w:rsidRDefault="00935749" w:rsidP="00935749">
            <w:pPr>
              <w:spacing w:line="240" w:lineRule="auto"/>
              <w:ind w:firstLine="0"/>
              <w:jc w:val="center"/>
              <w:rPr>
                <w:lang w:val="en-US"/>
              </w:rPr>
            </w:pPr>
            <w:r w:rsidRPr="00CD24AE">
              <w:t>6</w:t>
            </w:r>
          </w:p>
        </w:tc>
        <w:tc>
          <w:tcPr>
            <w:tcW w:w="2835" w:type="dxa"/>
            <w:noWrap/>
            <w:hideMark/>
          </w:tcPr>
          <w:p w14:paraId="1731555D" w14:textId="3EEB3895" w:rsidR="00935749" w:rsidRPr="000159F5" w:rsidRDefault="00935749" w:rsidP="00935749">
            <w:pPr>
              <w:spacing w:line="240" w:lineRule="auto"/>
              <w:ind w:firstLine="0"/>
              <w:jc w:val="center"/>
              <w:rPr>
                <w:lang w:val="en-US"/>
              </w:rPr>
            </w:pPr>
            <w:r w:rsidRPr="00CD24AE">
              <w:t>1.7700639</w:t>
            </w:r>
          </w:p>
        </w:tc>
      </w:tr>
      <w:tr w:rsidR="00935749" w:rsidRPr="000159F5" w14:paraId="26696270" w14:textId="77777777" w:rsidTr="000159F5">
        <w:trPr>
          <w:trHeight w:val="300"/>
          <w:jc w:val="center"/>
        </w:trPr>
        <w:tc>
          <w:tcPr>
            <w:tcW w:w="2263" w:type="dxa"/>
            <w:noWrap/>
            <w:hideMark/>
          </w:tcPr>
          <w:p w14:paraId="75F6EA0D" w14:textId="041EEA42" w:rsidR="00935749" w:rsidRPr="000159F5" w:rsidRDefault="00935749" w:rsidP="00935749">
            <w:pPr>
              <w:spacing w:line="240" w:lineRule="auto"/>
              <w:ind w:firstLine="0"/>
              <w:jc w:val="center"/>
              <w:rPr>
                <w:lang w:val="en-US"/>
              </w:rPr>
            </w:pPr>
            <w:r w:rsidRPr="00CD24AE">
              <w:t>7</w:t>
            </w:r>
          </w:p>
        </w:tc>
        <w:tc>
          <w:tcPr>
            <w:tcW w:w="2835" w:type="dxa"/>
            <w:noWrap/>
            <w:hideMark/>
          </w:tcPr>
          <w:p w14:paraId="1C7DEFE8" w14:textId="6EC82B36" w:rsidR="00935749" w:rsidRPr="000159F5" w:rsidRDefault="00935749" w:rsidP="00935749">
            <w:pPr>
              <w:spacing w:line="240" w:lineRule="auto"/>
              <w:ind w:firstLine="0"/>
              <w:jc w:val="center"/>
              <w:rPr>
                <w:lang w:val="en-US"/>
              </w:rPr>
            </w:pPr>
            <w:r w:rsidRPr="00CD24AE">
              <w:t>1.7121454</w:t>
            </w:r>
          </w:p>
        </w:tc>
      </w:tr>
      <w:tr w:rsidR="00935749" w:rsidRPr="000159F5" w14:paraId="20BC4177" w14:textId="77777777" w:rsidTr="000159F5">
        <w:trPr>
          <w:trHeight w:val="300"/>
          <w:jc w:val="center"/>
        </w:trPr>
        <w:tc>
          <w:tcPr>
            <w:tcW w:w="2263" w:type="dxa"/>
            <w:noWrap/>
            <w:hideMark/>
          </w:tcPr>
          <w:p w14:paraId="33F21D48" w14:textId="68A48501" w:rsidR="00935749" w:rsidRPr="000159F5" w:rsidRDefault="00935749" w:rsidP="00935749">
            <w:pPr>
              <w:spacing w:line="240" w:lineRule="auto"/>
              <w:ind w:firstLine="0"/>
              <w:jc w:val="center"/>
              <w:rPr>
                <w:lang w:val="en-US"/>
              </w:rPr>
            </w:pPr>
            <w:r w:rsidRPr="00CD24AE">
              <w:t>8</w:t>
            </w:r>
          </w:p>
        </w:tc>
        <w:tc>
          <w:tcPr>
            <w:tcW w:w="2835" w:type="dxa"/>
            <w:noWrap/>
            <w:hideMark/>
          </w:tcPr>
          <w:p w14:paraId="6A5A2EA4" w14:textId="38811A2C" w:rsidR="00935749" w:rsidRPr="000159F5" w:rsidRDefault="00935749" w:rsidP="00935749">
            <w:pPr>
              <w:spacing w:line="240" w:lineRule="auto"/>
              <w:ind w:firstLine="0"/>
              <w:jc w:val="center"/>
              <w:rPr>
                <w:lang w:val="en-US"/>
              </w:rPr>
            </w:pPr>
            <w:r w:rsidRPr="00CD24AE">
              <w:t>1.6551086</w:t>
            </w:r>
          </w:p>
        </w:tc>
      </w:tr>
      <w:tr w:rsidR="00935749" w:rsidRPr="000159F5" w14:paraId="55402626" w14:textId="77777777" w:rsidTr="000159F5">
        <w:trPr>
          <w:trHeight w:val="300"/>
          <w:jc w:val="center"/>
        </w:trPr>
        <w:tc>
          <w:tcPr>
            <w:tcW w:w="2263" w:type="dxa"/>
            <w:noWrap/>
            <w:hideMark/>
          </w:tcPr>
          <w:p w14:paraId="71283DAE" w14:textId="68BFB9BE" w:rsidR="00935749" w:rsidRPr="000159F5" w:rsidRDefault="00935749" w:rsidP="00935749">
            <w:pPr>
              <w:spacing w:line="240" w:lineRule="auto"/>
              <w:ind w:firstLine="0"/>
              <w:jc w:val="center"/>
              <w:rPr>
                <w:lang w:val="en-US"/>
              </w:rPr>
            </w:pPr>
            <w:r w:rsidRPr="00CD24AE">
              <w:t>9</w:t>
            </w:r>
          </w:p>
        </w:tc>
        <w:tc>
          <w:tcPr>
            <w:tcW w:w="2835" w:type="dxa"/>
            <w:noWrap/>
            <w:hideMark/>
          </w:tcPr>
          <w:p w14:paraId="2FD3390B" w14:textId="708D6C02" w:rsidR="00935749" w:rsidRPr="000159F5" w:rsidRDefault="00935749" w:rsidP="00935749">
            <w:pPr>
              <w:spacing w:line="240" w:lineRule="auto"/>
              <w:ind w:firstLine="0"/>
              <w:jc w:val="center"/>
              <w:rPr>
                <w:lang w:val="en-US"/>
              </w:rPr>
            </w:pPr>
            <w:r w:rsidRPr="00CD24AE">
              <w:t>1.5969275</w:t>
            </w:r>
          </w:p>
        </w:tc>
      </w:tr>
      <w:tr w:rsidR="00935749" w:rsidRPr="000159F5" w14:paraId="37AA0C0A" w14:textId="77777777" w:rsidTr="000159F5">
        <w:trPr>
          <w:trHeight w:val="300"/>
          <w:jc w:val="center"/>
        </w:trPr>
        <w:tc>
          <w:tcPr>
            <w:tcW w:w="2263" w:type="dxa"/>
            <w:noWrap/>
            <w:hideMark/>
          </w:tcPr>
          <w:p w14:paraId="190460C4" w14:textId="440A4485" w:rsidR="00935749" w:rsidRPr="000159F5" w:rsidRDefault="00935749" w:rsidP="00935749">
            <w:pPr>
              <w:spacing w:line="240" w:lineRule="auto"/>
              <w:ind w:firstLine="0"/>
              <w:jc w:val="center"/>
              <w:rPr>
                <w:lang w:val="en-US"/>
              </w:rPr>
            </w:pPr>
            <w:r w:rsidRPr="00CD24AE">
              <w:t>10</w:t>
            </w:r>
          </w:p>
        </w:tc>
        <w:tc>
          <w:tcPr>
            <w:tcW w:w="2835" w:type="dxa"/>
            <w:noWrap/>
            <w:hideMark/>
          </w:tcPr>
          <w:p w14:paraId="5800F453" w14:textId="11BAC784" w:rsidR="00935749" w:rsidRPr="000159F5" w:rsidRDefault="00935749" w:rsidP="00935749">
            <w:pPr>
              <w:spacing w:line="240" w:lineRule="auto"/>
              <w:ind w:firstLine="0"/>
              <w:jc w:val="center"/>
              <w:rPr>
                <w:lang w:val="en-US"/>
              </w:rPr>
            </w:pPr>
            <w:r w:rsidRPr="00CD24AE">
              <w:t>1.5402653</w:t>
            </w:r>
          </w:p>
        </w:tc>
      </w:tr>
      <w:tr w:rsidR="00935749" w:rsidRPr="000159F5" w14:paraId="6950F2DE" w14:textId="77777777" w:rsidTr="000159F5">
        <w:trPr>
          <w:trHeight w:val="300"/>
          <w:jc w:val="center"/>
        </w:trPr>
        <w:tc>
          <w:tcPr>
            <w:tcW w:w="2263" w:type="dxa"/>
            <w:noWrap/>
            <w:hideMark/>
          </w:tcPr>
          <w:p w14:paraId="119CA717" w14:textId="109808D4" w:rsidR="00935749" w:rsidRPr="000159F5" w:rsidRDefault="00935749" w:rsidP="00935749">
            <w:pPr>
              <w:spacing w:line="240" w:lineRule="auto"/>
              <w:ind w:firstLine="0"/>
              <w:jc w:val="center"/>
              <w:rPr>
                <w:lang w:val="en-US"/>
              </w:rPr>
            </w:pPr>
            <w:r w:rsidRPr="00CD24AE">
              <w:t>11</w:t>
            </w:r>
          </w:p>
        </w:tc>
        <w:tc>
          <w:tcPr>
            <w:tcW w:w="2835" w:type="dxa"/>
            <w:noWrap/>
            <w:hideMark/>
          </w:tcPr>
          <w:p w14:paraId="41C2CD76" w14:textId="510D1711" w:rsidR="00935749" w:rsidRPr="000159F5" w:rsidRDefault="00935749" w:rsidP="00935749">
            <w:pPr>
              <w:spacing w:line="240" w:lineRule="auto"/>
              <w:ind w:firstLine="0"/>
              <w:jc w:val="center"/>
              <w:rPr>
                <w:lang w:val="en-US"/>
              </w:rPr>
            </w:pPr>
            <w:r w:rsidRPr="00CD24AE">
              <w:t>1.4843074</w:t>
            </w:r>
          </w:p>
        </w:tc>
      </w:tr>
      <w:tr w:rsidR="00935749" w:rsidRPr="000159F5" w14:paraId="0540A3FE" w14:textId="77777777" w:rsidTr="000159F5">
        <w:trPr>
          <w:trHeight w:val="300"/>
          <w:jc w:val="center"/>
        </w:trPr>
        <w:tc>
          <w:tcPr>
            <w:tcW w:w="2263" w:type="dxa"/>
            <w:noWrap/>
            <w:hideMark/>
          </w:tcPr>
          <w:p w14:paraId="61822808" w14:textId="2F05C863" w:rsidR="00935749" w:rsidRPr="000159F5" w:rsidRDefault="00935749" w:rsidP="00935749">
            <w:pPr>
              <w:spacing w:line="240" w:lineRule="auto"/>
              <w:ind w:firstLine="0"/>
              <w:jc w:val="center"/>
              <w:rPr>
                <w:lang w:val="en-US"/>
              </w:rPr>
            </w:pPr>
            <w:r w:rsidRPr="00CD24AE">
              <w:t>12</w:t>
            </w:r>
          </w:p>
        </w:tc>
        <w:tc>
          <w:tcPr>
            <w:tcW w:w="2835" w:type="dxa"/>
            <w:noWrap/>
            <w:hideMark/>
          </w:tcPr>
          <w:p w14:paraId="59469EA2" w14:textId="73D18045" w:rsidR="00935749" w:rsidRPr="000159F5" w:rsidRDefault="00935749" w:rsidP="00935749">
            <w:pPr>
              <w:spacing w:line="240" w:lineRule="auto"/>
              <w:ind w:firstLine="0"/>
              <w:jc w:val="center"/>
              <w:rPr>
                <w:lang w:val="en-US"/>
              </w:rPr>
            </w:pPr>
            <w:r w:rsidRPr="00CD24AE">
              <w:t>1.4265584</w:t>
            </w:r>
          </w:p>
        </w:tc>
      </w:tr>
      <w:tr w:rsidR="00935749" w:rsidRPr="000159F5" w14:paraId="331BA457" w14:textId="77777777" w:rsidTr="000159F5">
        <w:trPr>
          <w:trHeight w:val="300"/>
          <w:jc w:val="center"/>
        </w:trPr>
        <w:tc>
          <w:tcPr>
            <w:tcW w:w="2263" w:type="dxa"/>
            <w:noWrap/>
            <w:hideMark/>
          </w:tcPr>
          <w:p w14:paraId="1BDFF369" w14:textId="036B0FF9" w:rsidR="00935749" w:rsidRPr="000159F5" w:rsidRDefault="00935749" w:rsidP="00935749">
            <w:pPr>
              <w:spacing w:line="240" w:lineRule="auto"/>
              <w:ind w:firstLine="0"/>
              <w:jc w:val="center"/>
              <w:rPr>
                <w:lang w:val="en-US"/>
              </w:rPr>
            </w:pPr>
            <w:r w:rsidRPr="00CD24AE">
              <w:t>13</w:t>
            </w:r>
          </w:p>
        </w:tc>
        <w:tc>
          <w:tcPr>
            <w:tcW w:w="2835" w:type="dxa"/>
            <w:noWrap/>
            <w:hideMark/>
          </w:tcPr>
          <w:p w14:paraId="7989B618" w14:textId="54794EC7" w:rsidR="00935749" w:rsidRPr="000159F5" w:rsidRDefault="00935749" w:rsidP="00935749">
            <w:pPr>
              <w:spacing w:line="240" w:lineRule="auto"/>
              <w:ind w:firstLine="0"/>
              <w:jc w:val="center"/>
              <w:rPr>
                <w:lang w:val="en-US"/>
              </w:rPr>
            </w:pPr>
            <w:r w:rsidRPr="00CD24AE">
              <w:t>1.3727258</w:t>
            </w:r>
          </w:p>
        </w:tc>
      </w:tr>
      <w:tr w:rsidR="00935749" w:rsidRPr="000159F5" w14:paraId="0D7CE5D1" w14:textId="77777777" w:rsidTr="000159F5">
        <w:trPr>
          <w:trHeight w:val="300"/>
          <w:jc w:val="center"/>
        </w:trPr>
        <w:tc>
          <w:tcPr>
            <w:tcW w:w="2263" w:type="dxa"/>
            <w:noWrap/>
            <w:hideMark/>
          </w:tcPr>
          <w:p w14:paraId="467C6D8E" w14:textId="647E320C" w:rsidR="00935749" w:rsidRPr="000159F5" w:rsidRDefault="00935749" w:rsidP="00935749">
            <w:pPr>
              <w:spacing w:line="240" w:lineRule="auto"/>
              <w:ind w:firstLine="0"/>
              <w:jc w:val="center"/>
              <w:rPr>
                <w:lang w:val="en-US"/>
              </w:rPr>
            </w:pPr>
            <w:r w:rsidRPr="00CD24AE">
              <w:t>14</w:t>
            </w:r>
          </w:p>
        </w:tc>
        <w:tc>
          <w:tcPr>
            <w:tcW w:w="2835" w:type="dxa"/>
            <w:noWrap/>
            <w:hideMark/>
          </w:tcPr>
          <w:p w14:paraId="2E83B329" w14:textId="7C5D6272" w:rsidR="00935749" w:rsidRPr="000159F5" w:rsidRDefault="00935749" w:rsidP="00935749">
            <w:pPr>
              <w:spacing w:line="240" w:lineRule="auto"/>
              <w:ind w:firstLine="0"/>
              <w:jc w:val="center"/>
              <w:rPr>
                <w:lang w:val="en-US"/>
              </w:rPr>
            </w:pPr>
            <w:r w:rsidRPr="00CD24AE">
              <w:t>1.3237317</w:t>
            </w:r>
          </w:p>
        </w:tc>
      </w:tr>
      <w:tr w:rsidR="00935749" w:rsidRPr="000159F5" w14:paraId="530FC1E5" w14:textId="77777777" w:rsidTr="000159F5">
        <w:trPr>
          <w:trHeight w:val="300"/>
          <w:jc w:val="center"/>
        </w:trPr>
        <w:tc>
          <w:tcPr>
            <w:tcW w:w="2263" w:type="dxa"/>
            <w:noWrap/>
            <w:hideMark/>
          </w:tcPr>
          <w:p w14:paraId="0B894611" w14:textId="20213AA1" w:rsidR="00935749" w:rsidRPr="000159F5" w:rsidRDefault="00935749" w:rsidP="00935749">
            <w:pPr>
              <w:spacing w:line="240" w:lineRule="auto"/>
              <w:ind w:firstLine="0"/>
              <w:jc w:val="center"/>
              <w:rPr>
                <w:lang w:val="en-US"/>
              </w:rPr>
            </w:pPr>
            <w:r w:rsidRPr="00CD24AE">
              <w:t>15</w:t>
            </w:r>
          </w:p>
        </w:tc>
        <w:tc>
          <w:tcPr>
            <w:tcW w:w="2835" w:type="dxa"/>
            <w:noWrap/>
            <w:hideMark/>
          </w:tcPr>
          <w:p w14:paraId="2C51A410" w14:textId="78B89049" w:rsidR="00935749" w:rsidRPr="000159F5" w:rsidRDefault="00935749" w:rsidP="00935749">
            <w:pPr>
              <w:spacing w:line="240" w:lineRule="auto"/>
              <w:ind w:firstLine="0"/>
              <w:jc w:val="center"/>
              <w:rPr>
                <w:lang w:val="en-US"/>
              </w:rPr>
            </w:pPr>
            <w:r w:rsidRPr="00CD24AE">
              <w:t>1.2778911</w:t>
            </w:r>
          </w:p>
        </w:tc>
      </w:tr>
      <w:tr w:rsidR="00935749" w:rsidRPr="000159F5" w14:paraId="0BD595CF" w14:textId="77777777" w:rsidTr="000159F5">
        <w:trPr>
          <w:trHeight w:val="300"/>
          <w:jc w:val="center"/>
        </w:trPr>
        <w:tc>
          <w:tcPr>
            <w:tcW w:w="2263" w:type="dxa"/>
            <w:noWrap/>
            <w:hideMark/>
          </w:tcPr>
          <w:p w14:paraId="1E8E3DFE" w14:textId="79834418" w:rsidR="00935749" w:rsidRPr="000159F5" w:rsidRDefault="00935749" w:rsidP="00935749">
            <w:pPr>
              <w:spacing w:line="240" w:lineRule="auto"/>
              <w:ind w:firstLine="0"/>
              <w:jc w:val="center"/>
              <w:rPr>
                <w:lang w:val="en-US"/>
              </w:rPr>
            </w:pPr>
            <w:r w:rsidRPr="00CD24AE">
              <w:t>16</w:t>
            </w:r>
          </w:p>
        </w:tc>
        <w:tc>
          <w:tcPr>
            <w:tcW w:w="2835" w:type="dxa"/>
            <w:noWrap/>
            <w:hideMark/>
          </w:tcPr>
          <w:p w14:paraId="51ECFDE8" w14:textId="73ACEFD2" w:rsidR="00935749" w:rsidRPr="000159F5" w:rsidRDefault="00935749" w:rsidP="00935749">
            <w:pPr>
              <w:spacing w:line="240" w:lineRule="auto"/>
              <w:ind w:firstLine="0"/>
              <w:jc w:val="center"/>
              <w:rPr>
                <w:lang w:val="en-US"/>
              </w:rPr>
            </w:pPr>
            <w:r w:rsidRPr="00CD24AE">
              <w:t>1.2342372</w:t>
            </w:r>
          </w:p>
        </w:tc>
      </w:tr>
      <w:tr w:rsidR="00935749" w:rsidRPr="000159F5" w14:paraId="3BE37EF3" w14:textId="77777777" w:rsidTr="000159F5">
        <w:trPr>
          <w:trHeight w:val="300"/>
          <w:jc w:val="center"/>
        </w:trPr>
        <w:tc>
          <w:tcPr>
            <w:tcW w:w="2263" w:type="dxa"/>
            <w:noWrap/>
            <w:hideMark/>
          </w:tcPr>
          <w:p w14:paraId="1BE0E897" w14:textId="63B99973" w:rsidR="00935749" w:rsidRPr="000159F5" w:rsidRDefault="00935749" w:rsidP="00935749">
            <w:pPr>
              <w:spacing w:line="240" w:lineRule="auto"/>
              <w:ind w:firstLine="0"/>
              <w:jc w:val="center"/>
              <w:rPr>
                <w:lang w:val="en-US"/>
              </w:rPr>
            </w:pPr>
            <w:r w:rsidRPr="00CD24AE">
              <w:t>17</w:t>
            </w:r>
          </w:p>
        </w:tc>
        <w:tc>
          <w:tcPr>
            <w:tcW w:w="2835" w:type="dxa"/>
            <w:noWrap/>
            <w:hideMark/>
          </w:tcPr>
          <w:p w14:paraId="1E4799C9" w14:textId="66205E18" w:rsidR="00935749" w:rsidRPr="000159F5" w:rsidRDefault="00935749" w:rsidP="00935749">
            <w:pPr>
              <w:spacing w:line="240" w:lineRule="auto"/>
              <w:ind w:firstLine="0"/>
              <w:jc w:val="center"/>
              <w:rPr>
                <w:lang w:val="en-US"/>
              </w:rPr>
            </w:pPr>
            <w:r w:rsidRPr="00CD24AE">
              <w:t>1.192138</w:t>
            </w:r>
          </w:p>
        </w:tc>
      </w:tr>
      <w:tr w:rsidR="00935749" w:rsidRPr="000159F5" w14:paraId="7474888B" w14:textId="77777777" w:rsidTr="000159F5">
        <w:trPr>
          <w:trHeight w:val="300"/>
          <w:jc w:val="center"/>
        </w:trPr>
        <w:tc>
          <w:tcPr>
            <w:tcW w:w="2263" w:type="dxa"/>
            <w:noWrap/>
            <w:hideMark/>
          </w:tcPr>
          <w:p w14:paraId="2189FC55" w14:textId="1AD1355A" w:rsidR="00935749" w:rsidRPr="000159F5" w:rsidRDefault="00935749" w:rsidP="00935749">
            <w:pPr>
              <w:spacing w:line="240" w:lineRule="auto"/>
              <w:ind w:firstLine="0"/>
              <w:jc w:val="center"/>
              <w:rPr>
                <w:lang w:val="en-US"/>
              </w:rPr>
            </w:pPr>
            <w:r w:rsidRPr="00CD24AE">
              <w:t>18</w:t>
            </w:r>
          </w:p>
        </w:tc>
        <w:tc>
          <w:tcPr>
            <w:tcW w:w="2835" w:type="dxa"/>
            <w:noWrap/>
            <w:hideMark/>
          </w:tcPr>
          <w:p w14:paraId="45A20A5E" w14:textId="671A0B21" w:rsidR="00935749" w:rsidRPr="000159F5" w:rsidRDefault="00935749" w:rsidP="00935749">
            <w:pPr>
              <w:spacing w:line="240" w:lineRule="auto"/>
              <w:ind w:firstLine="0"/>
              <w:jc w:val="center"/>
              <w:rPr>
                <w:lang w:val="en-US"/>
              </w:rPr>
            </w:pPr>
            <w:r w:rsidRPr="00CD24AE">
              <w:t>1.1529951</w:t>
            </w:r>
          </w:p>
        </w:tc>
      </w:tr>
      <w:tr w:rsidR="00935749" w:rsidRPr="000159F5" w14:paraId="3E7943FE" w14:textId="77777777" w:rsidTr="000159F5">
        <w:trPr>
          <w:trHeight w:val="300"/>
          <w:jc w:val="center"/>
        </w:trPr>
        <w:tc>
          <w:tcPr>
            <w:tcW w:w="2263" w:type="dxa"/>
            <w:noWrap/>
            <w:hideMark/>
          </w:tcPr>
          <w:p w14:paraId="35A738E1" w14:textId="77BE7407" w:rsidR="00935749" w:rsidRPr="000159F5" w:rsidRDefault="00935749" w:rsidP="00935749">
            <w:pPr>
              <w:spacing w:line="240" w:lineRule="auto"/>
              <w:ind w:firstLine="0"/>
              <w:jc w:val="center"/>
              <w:rPr>
                <w:lang w:val="en-US"/>
              </w:rPr>
            </w:pPr>
            <w:r w:rsidRPr="00CD24AE">
              <w:t>19</w:t>
            </w:r>
          </w:p>
        </w:tc>
        <w:tc>
          <w:tcPr>
            <w:tcW w:w="2835" w:type="dxa"/>
            <w:noWrap/>
            <w:hideMark/>
          </w:tcPr>
          <w:p w14:paraId="6B3DD74B" w14:textId="31F0D8DC" w:rsidR="00935749" w:rsidRPr="000159F5" w:rsidRDefault="00935749" w:rsidP="00935749">
            <w:pPr>
              <w:spacing w:line="240" w:lineRule="auto"/>
              <w:ind w:firstLine="0"/>
              <w:jc w:val="center"/>
              <w:rPr>
                <w:lang w:val="en-US"/>
              </w:rPr>
            </w:pPr>
            <w:r w:rsidRPr="00CD24AE">
              <w:t>1.1135613</w:t>
            </w:r>
          </w:p>
        </w:tc>
      </w:tr>
      <w:tr w:rsidR="00935749" w:rsidRPr="000159F5" w14:paraId="7E9A1A45" w14:textId="77777777" w:rsidTr="000159F5">
        <w:trPr>
          <w:trHeight w:val="300"/>
          <w:jc w:val="center"/>
        </w:trPr>
        <w:tc>
          <w:tcPr>
            <w:tcW w:w="2263" w:type="dxa"/>
            <w:noWrap/>
            <w:hideMark/>
          </w:tcPr>
          <w:p w14:paraId="4D3248E8" w14:textId="7158DE32" w:rsidR="00935749" w:rsidRPr="000159F5" w:rsidRDefault="00935749" w:rsidP="00935749">
            <w:pPr>
              <w:spacing w:line="240" w:lineRule="auto"/>
              <w:ind w:firstLine="0"/>
              <w:jc w:val="center"/>
              <w:rPr>
                <w:lang w:val="en-US"/>
              </w:rPr>
            </w:pPr>
            <w:r w:rsidRPr="00CD24AE">
              <w:t>20</w:t>
            </w:r>
          </w:p>
        </w:tc>
        <w:tc>
          <w:tcPr>
            <w:tcW w:w="2835" w:type="dxa"/>
            <w:noWrap/>
            <w:hideMark/>
          </w:tcPr>
          <w:p w14:paraId="1D23B9C2" w14:textId="3799CB28" w:rsidR="00935749" w:rsidRPr="000159F5" w:rsidRDefault="00935749" w:rsidP="00935749">
            <w:pPr>
              <w:spacing w:line="240" w:lineRule="auto"/>
              <w:ind w:firstLine="0"/>
              <w:jc w:val="center"/>
              <w:rPr>
                <w:lang w:val="en-US"/>
              </w:rPr>
            </w:pPr>
            <w:r w:rsidRPr="00CD24AE">
              <w:t>1.08046</w:t>
            </w:r>
          </w:p>
        </w:tc>
      </w:tr>
      <w:tr w:rsidR="00935749" w:rsidRPr="000159F5" w14:paraId="44F4B732" w14:textId="77777777" w:rsidTr="000159F5">
        <w:trPr>
          <w:trHeight w:val="300"/>
          <w:jc w:val="center"/>
        </w:trPr>
        <w:tc>
          <w:tcPr>
            <w:tcW w:w="2263" w:type="dxa"/>
            <w:noWrap/>
            <w:hideMark/>
          </w:tcPr>
          <w:p w14:paraId="78EEBE40" w14:textId="63C2B345" w:rsidR="00935749" w:rsidRPr="000159F5" w:rsidRDefault="00935749" w:rsidP="00935749">
            <w:pPr>
              <w:spacing w:line="240" w:lineRule="auto"/>
              <w:ind w:firstLine="0"/>
              <w:jc w:val="center"/>
              <w:rPr>
                <w:lang w:val="en-US"/>
              </w:rPr>
            </w:pPr>
            <w:r w:rsidRPr="00CD24AE">
              <w:t>21</w:t>
            </w:r>
          </w:p>
        </w:tc>
        <w:tc>
          <w:tcPr>
            <w:tcW w:w="2835" w:type="dxa"/>
            <w:noWrap/>
            <w:hideMark/>
          </w:tcPr>
          <w:p w14:paraId="7A05A0BF" w14:textId="04DDF8A5" w:rsidR="00935749" w:rsidRPr="000159F5" w:rsidRDefault="00935749" w:rsidP="00935749">
            <w:pPr>
              <w:spacing w:line="240" w:lineRule="auto"/>
              <w:ind w:firstLine="0"/>
              <w:jc w:val="center"/>
              <w:rPr>
                <w:lang w:val="en-US"/>
              </w:rPr>
            </w:pPr>
            <w:r w:rsidRPr="00CD24AE">
              <w:t>1.0484254</w:t>
            </w:r>
          </w:p>
        </w:tc>
      </w:tr>
      <w:tr w:rsidR="00935749" w:rsidRPr="000159F5" w14:paraId="5EFB44E1" w14:textId="77777777" w:rsidTr="000159F5">
        <w:trPr>
          <w:trHeight w:val="300"/>
          <w:jc w:val="center"/>
        </w:trPr>
        <w:tc>
          <w:tcPr>
            <w:tcW w:w="2263" w:type="dxa"/>
            <w:noWrap/>
            <w:hideMark/>
          </w:tcPr>
          <w:p w14:paraId="7B24E415" w14:textId="3F127940" w:rsidR="00935749" w:rsidRPr="000159F5" w:rsidRDefault="00935749" w:rsidP="00935749">
            <w:pPr>
              <w:spacing w:line="240" w:lineRule="auto"/>
              <w:ind w:firstLine="0"/>
              <w:jc w:val="center"/>
              <w:rPr>
                <w:lang w:val="en-US"/>
              </w:rPr>
            </w:pPr>
            <w:r w:rsidRPr="00CD24AE">
              <w:t>22</w:t>
            </w:r>
          </w:p>
        </w:tc>
        <w:tc>
          <w:tcPr>
            <w:tcW w:w="2835" w:type="dxa"/>
            <w:noWrap/>
            <w:hideMark/>
          </w:tcPr>
          <w:p w14:paraId="514F018C" w14:textId="38FB3933" w:rsidR="00935749" w:rsidRPr="000159F5" w:rsidRDefault="00935749" w:rsidP="00935749">
            <w:pPr>
              <w:spacing w:line="240" w:lineRule="auto"/>
              <w:ind w:firstLine="0"/>
              <w:jc w:val="center"/>
              <w:rPr>
                <w:lang w:val="en-US"/>
              </w:rPr>
            </w:pPr>
            <w:r w:rsidRPr="00CD24AE">
              <w:t>1.0174445</w:t>
            </w:r>
          </w:p>
        </w:tc>
      </w:tr>
      <w:tr w:rsidR="00935749" w:rsidRPr="000159F5" w14:paraId="16C24002" w14:textId="77777777" w:rsidTr="000159F5">
        <w:trPr>
          <w:trHeight w:val="300"/>
          <w:jc w:val="center"/>
        </w:trPr>
        <w:tc>
          <w:tcPr>
            <w:tcW w:w="2263" w:type="dxa"/>
            <w:noWrap/>
            <w:hideMark/>
          </w:tcPr>
          <w:p w14:paraId="688E5097" w14:textId="35EC58FB" w:rsidR="00935749" w:rsidRPr="000159F5" w:rsidRDefault="00935749" w:rsidP="00935749">
            <w:pPr>
              <w:spacing w:line="240" w:lineRule="auto"/>
              <w:ind w:firstLine="0"/>
              <w:jc w:val="center"/>
              <w:rPr>
                <w:lang w:val="en-US"/>
              </w:rPr>
            </w:pPr>
            <w:r w:rsidRPr="00CD24AE">
              <w:t>23</w:t>
            </w:r>
          </w:p>
        </w:tc>
        <w:tc>
          <w:tcPr>
            <w:tcW w:w="2835" w:type="dxa"/>
            <w:noWrap/>
            <w:hideMark/>
          </w:tcPr>
          <w:p w14:paraId="36B69D6D" w14:textId="75A18A55" w:rsidR="00935749" w:rsidRPr="000159F5" w:rsidRDefault="00935749" w:rsidP="00935749">
            <w:pPr>
              <w:spacing w:line="240" w:lineRule="auto"/>
              <w:ind w:firstLine="0"/>
              <w:jc w:val="center"/>
              <w:rPr>
                <w:lang w:val="en-US"/>
              </w:rPr>
            </w:pPr>
            <w:r w:rsidRPr="00CD24AE">
              <w:t>0.99070328</w:t>
            </w:r>
          </w:p>
        </w:tc>
      </w:tr>
      <w:tr w:rsidR="00935749" w:rsidRPr="000159F5" w14:paraId="157B7A45" w14:textId="77777777" w:rsidTr="000159F5">
        <w:trPr>
          <w:trHeight w:val="300"/>
          <w:jc w:val="center"/>
        </w:trPr>
        <w:tc>
          <w:tcPr>
            <w:tcW w:w="2263" w:type="dxa"/>
            <w:noWrap/>
            <w:hideMark/>
          </w:tcPr>
          <w:p w14:paraId="351E454C" w14:textId="57A5579A" w:rsidR="00935749" w:rsidRPr="000159F5" w:rsidRDefault="00935749" w:rsidP="00935749">
            <w:pPr>
              <w:spacing w:line="240" w:lineRule="auto"/>
              <w:ind w:firstLine="0"/>
              <w:jc w:val="center"/>
              <w:rPr>
                <w:lang w:val="en-US"/>
              </w:rPr>
            </w:pPr>
            <w:r w:rsidRPr="00CD24AE">
              <w:t>24</w:t>
            </w:r>
          </w:p>
        </w:tc>
        <w:tc>
          <w:tcPr>
            <w:tcW w:w="2835" w:type="dxa"/>
            <w:noWrap/>
            <w:hideMark/>
          </w:tcPr>
          <w:p w14:paraId="655553C4" w14:textId="1A049B14" w:rsidR="00935749" w:rsidRPr="000159F5" w:rsidRDefault="00935749" w:rsidP="00935749">
            <w:pPr>
              <w:spacing w:line="240" w:lineRule="auto"/>
              <w:ind w:firstLine="0"/>
              <w:jc w:val="center"/>
              <w:rPr>
                <w:lang w:val="en-US"/>
              </w:rPr>
            </w:pPr>
            <w:r w:rsidRPr="00CD24AE">
              <w:t>0.9657851</w:t>
            </w:r>
          </w:p>
        </w:tc>
      </w:tr>
      <w:tr w:rsidR="00935749" w:rsidRPr="000159F5" w14:paraId="54055AC8" w14:textId="77777777" w:rsidTr="000159F5">
        <w:trPr>
          <w:trHeight w:val="300"/>
          <w:jc w:val="center"/>
        </w:trPr>
        <w:tc>
          <w:tcPr>
            <w:tcW w:w="2263" w:type="dxa"/>
            <w:noWrap/>
            <w:hideMark/>
          </w:tcPr>
          <w:p w14:paraId="3D0E6A68" w14:textId="3F948DD5" w:rsidR="00935749" w:rsidRPr="000159F5" w:rsidRDefault="00935749" w:rsidP="00935749">
            <w:pPr>
              <w:spacing w:line="240" w:lineRule="auto"/>
              <w:ind w:firstLine="0"/>
              <w:jc w:val="center"/>
              <w:rPr>
                <w:lang w:val="en-US"/>
              </w:rPr>
            </w:pPr>
            <w:r w:rsidRPr="00CD24AE">
              <w:t>25</w:t>
            </w:r>
          </w:p>
        </w:tc>
        <w:tc>
          <w:tcPr>
            <w:tcW w:w="2835" w:type="dxa"/>
            <w:noWrap/>
            <w:hideMark/>
          </w:tcPr>
          <w:p w14:paraId="6D14DA3D" w14:textId="67785CDD" w:rsidR="00935749" w:rsidRPr="000159F5" w:rsidRDefault="00935749" w:rsidP="00935749">
            <w:pPr>
              <w:spacing w:line="240" w:lineRule="auto"/>
              <w:ind w:firstLine="0"/>
              <w:jc w:val="center"/>
              <w:rPr>
                <w:lang w:val="en-US"/>
              </w:rPr>
            </w:pPr>
            <w:r w:rsidRPr="00CD24AE">
              <w:t>0.94601683</w:t>
            </w:r>
          </w:p>
        </w:tc>
      </w:tr>
      <w:tr w:rsidR="00935749" w:rsidRPr="000159F5" w14:paraId="4F8AE34F" w14:textId="77777777" w:rsidTr="000159F5">
        <w:trPr>
          <w:trHeight w:val="300"/>
          <w:jc w:val="center"/>
        </w:trPr>
        <w:tc>
          <w:tcPr>
            <w:tcW w:w="2263" w:type="dxa"/>
            <w:noWrap/>
            <w:hideMark/>
          </w:tcPr>
          <w:p w14:paraId="6C7897F9" w14:textId="0C935F32" w:rsidR="00935749" w:rsidRPr="000159F5" w:rsidRDefault="00935749" w:rsidP="00935749">
            <w:pPr>
              <w:spacing w:line="240" w:lineRule="auto"/>
              <w:ind w:firstLine="0"/>
              <w:jc w:val="center"/>
              <w:rPr>
                <w:lang w:val="en-US"/>
              </w:rPr>
            </w:pPr>
            <w:r w:rsidRPr="00CD24AE">
              <w:t>26</w:t>
            </w:r>
          </w:p>
        </w:tc>
        <w:tc>
          <w:tcPr>
            <w:tcW w:w="2835" w:type="dxa"/>
            <w:noWrap/>
            <w:hideMark/>
          </w:tcPr>
          <w:p w14:paraId="696B2C2F" w14:textId="7E4F0C9C" w:rsidR="00935749" w:rsidRPr="000159F5" w:rsidRDefault="00935749" w:rsidP="00935749">
            <w:pPr>
              <w:spacing w:line="240" w:lineRule="auto"/>
              <w:ind w:firstLine="0"/>
              <w:jc w:val="center"/>
              <w:rPr>
                <w:lang w:val="en-US"/>
              </w:rPr>
            </w:pPr>
            <w:r w:rsidRPr="00CD24AE">
              <w:t>0.92581362</w:t>
            </w:r>
          </w:p>
        </w:tc>
      </w:tr>
      <w:tr w:rsidR="00935749" w:rsidRPr="000159F5" w14:paraId="260276A9" w14:textId="77777777" w:rsidTr="000159F5">
        <w:trPr>
          <w:trHeight w:val="300"/>
          <w:jc w:val="center"/>
        </w:trPr>
        <w:tc>
          <w:tcPr>
            <w:tcW w:w="2263" w:type="dxa"/>
            <w:noWrap/>
            <w:hideMark/>
          </w:tcPr>
          <w:p w14:paraId="1E3F3E8B" w14:textId="584FBD9B" w:rsidR="00935749" w:rsidRPr="000159F5" w:rsidRDefault="00935749" w:rsidP="00935749">
            <w:pPr>
              <w:spacing w:line="240" w:lineRule="auto"/>
              <w:ind w:firstLine="0"/>
              <w:jc w:val="center"/>
              <w:rPr>
                <w:lang w:val="en-US"/>
              </w:rPr>
            </w:pPr>
            <w:r w:rsidRPr="00CD24AE">
              <w:t>27</w:t>
            </w:r>
          </w:p>
        </w:tc>
        <w:tc>
          <w:tcPr>
            <w:tcW w:w="2835" w:type="dxa"/>
            <w:noWrap/>
            <w:hideMark/>
          </w:tcPr>
          <w:p w14:paraId="7B4F2319" w14:textId="0B723F29" w:rsidR="00935749" w:rsidRPr="000159F5" w:rsidRDefault="00935749" w:rsidP="00935749">
            <w:pPr>
              <w:spacing w:line="240" w:lineRule="auto"/>
              <w:ind w:firstLine="0"/>
              <w:jc w:val="center"/>
              <w:rPr>
                <w:lang w:val="en-US"/>
              </w:rPr>
            </w:pPr>
            <w:r w:rsidRPr="00CD24AE">
              <w:t>0.91306434</w:t>
            </w:r>
          </w:p>
        </w:tc>
      </w:tr>
      <w:tr w:rsidR="00935749" w:rsidRPr="000159F5" w14:paraId="7B4B2409" w14:textId="77777777" w:rsidTr="000159F5">
        <w:trPr>
          <w:trHeight w:val="300"/>
          <w:jc w:val="center"/>
        </w:trPr>
        <w:tc>
          <w:tcPr>
            <w:tcW w:w="2263" w:type="dxa"/>
            <w:noWrap/>
            <w:hideMark/>
          </w:tcPr>
          <w:p w14:paraId="478EFF8B" w14:textId="12C9E23B" w:rsidR="00935749" w:rsidRPr="000159F5" w:rsidRDefault="00935749" w:rsidP="00935749">
            <w:pPr>
              <w:spacing w:line="240" w:lineRule="auto"/>
              <w:ind w:firstLine="0"/>
              <w:jc w:val="center"/>
              <w:rPr>
                <w:lang w:val="en-US"/>
              </w:rPr>
            </w:pPr>
            <w:r w:rsidRPr="00CD24AE">
              <w:t>28</w:t>
            </w:r>
          </w:p>
        </w:tc>
        <w:tc>
          <w:tcPr>
            <w:tcW w:w="2835" w:type="dxa"/>
            <w:noWrap/>
            <w:hideMark/>
          </w:tcPr>
          <w:p w14:paraId="53EE62A5" w14:textId="0FE0E48D" w:rsidR="00935749" w:rsidRPr="000159F5" w:rsidRDefault="00935749" w:rsidP="00935749">
            <w:pPr>
              <w:spacing w:line="240" w:lineRule="auto"/>
              <w:ind w:firstLine="0"/>
              <w:jc w:val="center"/>
              <w:rPr>
                <w:lang w:val="en-US"/>
              </w:rPr>
            </w:pPr>
            <w:r w:rsidRPr="00CD24AE">
              <w:t>0.90063951</w:t>
            </w:r>
          </w:p>
        </w:tc>
      </w:tr>
      <w:tr w:rsidR="00935749" w:rsidRPr="000159F5" w14:paraId="6980A625" w14:textId="77777777" w:rsidTr="000159F5">
        <w:trPr>
          <w:trHeight w:val="300"/>
          <w:jc w:val="center"/>
        </w:trPr>
        <w:tc>
          <w:tcPr>
            <w:tcW w:w="2263" w:type="dxa"/>
            <w:noWrap/>
            <w:hideMark/>
          </w:tcPr>
          <w:p w14:paraId="0CB27425" w14:textId="1909FE9B" w:rsidR="00935749" w:rsidRPr="000159F5" w:rsidRDefault="00935749" w:rsidP="00935749">
            <w:pPr>
              <w:spacing w:line="240" w:lineRule="auto"/>
              <w:ind w:firstLine="0"/>
              <w:jc w:val="center"/>
              <w:rPr>
                <w:lang w:val="en-US"/>
              </w:rPr>
            </w:pPr>
            <w:r w:rsidRPr="00CD24AE">
              <w:t>29</w:t>
            </w:r>
          </w:p>
        </w:tc>
        <w:tc>
          <w:tcPr>
            <w:tcW w:w="2835" w:type="dxa"/>
            <w:noWrap/>
            <w:hideMark/>
          </w:tcPr>
          <w:p w14:paraId="351E611F" w14:textId="595F8532" w:rsidR="00935749" w:rsidRPr="000159F5" w:rsidRDefault="00935749" w:rsidP="00935749">
            <w:pPr>
              <w:spacing w:line="240" w:lineRule="auto"/>
              <w:ind w:firstLine="0"/>
              <w:jc w:val="center"/>
              <w:rPr>
                <w:lang w:val="en-US"/>
              </w:rPr>
            </w:pPr>
            <w:r w:rsidRPr="00CD24AE">
              <w:t>0.91921703</w:t>
            </w:r>
          </w:p>
        </w:tc>
      </w:tr>
      <w:tr w:rsidR="00935749" w:rsidRPr="000159F5" w14:paraId="73BB6CB2" w14:textId="77777777" w:rsidTr="000159F5">
        <w:trPr>
          <w:trHeight w:val="300"/>
          <w:jc w:val="center"/>
        </w:trPr>
        <w:tc>
          <w:tcPr>
            <w:tcW w:w="2263" w:type="dxa"/>
            <w:noWrap/>
            <w:hideMark/>
          </w:tcPr>
          <w:p w14:paraId="0772C903" w14:textId="664C1385" w:rsidR="00935749" w:rsidRPr="000159F5" w:rsidRDefault="00935749" w:rsidP="00935749">
            <w:pPr>
              <w:spacing w:line="240" w:lineRule="auto"/>
              <w:ind w:firstLine="0"/>
              <w:jc w:val="center"/>
              <w:rPr>
                <w:lang w:val="en-US"/>
              </w:rPr>
            </w:pPr>
            <w:r w:rsidRPr="00CD24AE">
              <w:t>30</w:t>
            </w:r>
          </w:p>
        </w:tc>
        <w:tc>
          <w:tcPr>
            <w:tcW w:w="2835" w:type="dxa"/>
            <w:noWrap/>
            <w:hideMark/>
          </w:tcPr>
          <w:p w14:paraId="59963D53" w14:textId="7F55E1B4" w:rsidR="00935749" w:rsidRPr="000159F5" w:rsidRDefault="00935749" w:rsidP="00935749">
            <w:pPr>
              <w:spacing w:line="240" w:lineRule="auto"/>
              <w:ind w:firstLine="0"/>
              <w:jc w:val="center"/>
              <w:rPr>
                <w:lang w:val="en-US"/>
              </w:rPr>
            </w:pPr>
            <w:r w:rsidRPr="00CD24AE">
              <w:t>0.95450819</w:t>
            </w:r>
          </w:p>
        </w:tc>
      </w:tr>
      <w:tr w:rsidR="00935749" w:rsidRPr="000159F5" w14:paraId="25025959" w14:textId="77777777" w:rsidTr="000159F5">
        <w:trPr>
          <w:trHeight w:val="300"/>
          <w:jc w:val="center"/>
        </w:trPr>
        <w:tc>
          <w:tcPr>
            <w:tcW w:w="2263" w:type="dxa"/>
            <w:noWrap/>
            <w:hideMark/>
          </w:tcPr>
          <w:p w14:paraId="7845D6CE" w14:textId="291E0BE6" w:rsidR="00935749" w:rsidRPr="000159F5" w:rsidRDefault="00935749" w:rsidP="00935749">
            <w:pPr>
              <w:spacing w:line="240" w:lineRule="auto"/>
              <w:ind w:firstLine="0"/>
              <w:jc w:val="center"/>
              <w:rPr>
                <w:lang w:val="en-US"/>
              </w:rPr>
            </w:pPr>
            <w:r w:rsidRPr="00CD24AE">
              <w:t>31</w:t>
            </w:r>
          </w:p>
        </w:tc>
        <w:tc>
          <w:tcPr>
            <w:tcW w:w="2835" w:type="dxa"/>
            <w:noWrap/>
            <w:hideMark/>
          </w:tcPr>
          <w:p w14:paraId="2A4E9DA4" w14:textId="2C362DCE" w:rsidR="00935749" w:rsidRPr="000159F5" w:rsidRDefault="00935749" w:rsidP="00935749">
            <w:pPr>
              <w:spacing w:line="240" w:lineRule="auto"/>
              <w:ind w:firstLine="0"/>
              <w:jc w:val="center"/>
              <w:rPr>
                <w:lang w:val="en-US"/>
              </w:rPr>
            </w:pPr>
            <w:r w:rsidRPr="00CD24AE">
              <w:t>0.98429815</w:t>
            </w:r>
          </w:p>
        </w:tc>
      </w:tr>
      <w:tr w:rsidR="00935749" w:rsidRPr="000159F5" w14:paraId="1A449505" w14:textId="77777777" w:rsidTr="000159F5">
        <w:trPr>
          <w:trHeight w:val="300"/>
          <w:jc w:val="center"/>
        </w:trPr>
        <w:tc>
          <w:tcPr>
            <w:tcW w:w="2263" w:type="dxa"/>
            <w:noWrap/>
            <w:hideMark/>
          </w:tcPr>
          <w:p w14:paraId="662A6AB8" w14:textId="3F20E246" w:rsidR="00935749" w:rsidRPr="000159F5" w:rsidRDefault="00935749" w:rsidP="00935749">
            <w:pPr>
              <w:spacing w:line="240" w:lineRule="auto"/>
              <w:ind w:firstLine="0"/>
              <w:jc w:val="center"/>
              <w:rPr>
                <w:lang w:val="en-US"/>
              </w:rPr>
            </w:pPr>
            <w:r w:rsidRPr="00CD24AE">
              <w:t>32</w:t>
            </w:r>
          </w:p>
        </w:tc>
        <w:tc>
          <w:tcPr>
            <w:tcW w:w="2835" w:type="dxa"/>
            <w:noWrap/>
            <w:hideMark/>
          </w:tcPr>
          <w:p w14:paraId="044D0850" w14:textId="5D86687D" w:rsidR="00935749" w:rsidRPr="000159F5" w:rsidRDefault="00935749" w:rsidP="00935749">
            <w:pPr>
              <w:spacing w:line="240" w:lineRule="auto"/>
              <w:ind w:firstLine="0"/>
              <w:jc w:val="center"/>
              <w:rPr>
                <w:lang w:val="en-US"/>
              </w:rPr>
            </w:pPr>
            <w:r w:rsidRPr="00CD24AE">
              <w:t>1.0098644</w:t>
            </w:r>
          </w:p>
        </w:tc>
      </w:tr>
      <w:tr w:rsidR="00935749" w:rsidRPr="000159F5" w14:paraId="076B4CC5" w14:textId="77777777" w:rsidTr="000159F5">
        <w:trPr>
          <w:trHeight w:val="300"/>
          <w:jc w:val="center"/>
        </w:trPr>
        <w:tc>
          <w:tcPr>
            <w:tcW w:w="2263" w:type="dxa"/>
            <w:noWrap/>
            <w:hideMark/>
          </w:tcPr>
          <w:p w14:paraId="54159DE2" w14:textId="6A3ECC6A" w:rsidR="00935749" w:rsidRPr="000159F5" w:rsidRDefault="00935749" w:rsidP="00935749">
            <w:pPr>
              <w:spacing w:line="240" w:lineRule="auto"/>
              <w:ind w:firstLine="0"/>
              <w:jc w:val="center"/>
              <w:rPr>
                <w:lang w:val="en-US"/>
              </w:rPr>
            </w:pPr>
            <w:r w:rsidRPr="00CD24AE">
              <w:t>33</w:t>
            </w:r>
          </w:p>
        </w:tc>
        <w:tc>
          <w:tcPr>
            <w:tcW w:w="2835" w:type="dxa"/>
            <w:noWrap/>
            <w:hideMark/>
          </w:tcPr>
          <w:p w14:paraId="5C56C25D" w14:textId="392AE8A7" w:rsidR="00935749" w:rsidRPr="000159F5" w:rsidRDefault="00935749" w:rsidP="00935749">
            <w:pPr>
              <w:spacing w:line="240" w:lineRule="auto"/>
              <w:ind w:firstLine="0"/>
              <w:jc w:val="center"/>
              <w:rPr>
                <w:lang w:val="en-US"/>
              </w:rPr>
            </w:pPr>
            <w:r w:rsidRPr="00CD24AE">
              <w:t>1.0318914</w:t>
            </w:r>
          </w:p>
        </w:tc>
      </w:tr>
      <w:tr w:rsidR="00935749" w:rsidRPr="000159F5" w14:paraId="1758C677" w14:textId="77777777" w:rsidTr="000159F5">
        <w:trPr>
          <w:trHeight w:val="300"/>
          <w:jc w:val="center"/>
        </w:trPr>
        <w:tc>
          <w:tcPr>
            <w:tcW w:w="2263" w:type="dxa"/>
            <w:noWrap/>
            <w:hideMark/>
          </w:tcPr>
          <w:p w14:paraId="3A6CD305" w14:textId="3F2C141F" w:rsidR="00935749" w:rsidRPr="000159F5" w:rsidRDefault="00935749" w:rsidP="00935749">
            <w:pPr>
              <w:spacing w:line="240" w:lineRule="auto"/>
              <w:ind w:firstLine="0"/>
              <w:jc w:val="center"/>
              <w:rPr>
                <w:lang w:val="en-US"/>
              </w:rPr>
            </w:pPr>
            <w:r w:rsidRPr="00CD24AE">
              <w:t>34</w:t>
            </w:r>
          </w:p>
        </w:tc>
        <w:tc>
          <w:tcPr>
            <w:tcW w:w="2835" w:type="dxa"/>
            <w:noWrap/>
            <w:hideMark/>
          </w:tcPr>
          <w:p w14:paraId="7BE83C28" w14:textId="1B9F775C" w:rsidR="00935749" w:rsidRPr="000159F5" w:rsidRDefault="00935749" w:rsidP="00935749">
            <w:pPr>
              <w:spacing w:line="240" w:lineRule="auto"/>
              <w:ind w:firstLine="0"/>
              <w:jc w:val="center"/>
              <w:rPr>
                <w:lang w:val="en-US"/>
              </w:rPr>
            </w:pPr>
            <w:r w:rsidRPr="00CD24AE">
              <w:t>1.0513563</w:t>
            </w:r>
          </w:p>
        </w:tc>
      </w:tr>
      <w:tr w:rsidR="00935749" w:rsidRPr="000159F5" w14:paraId="32CF097F" w14:textId="77777777" w:rsidTr="000159F5">
        <w:trPr>
          <w:trHeight w:val="300"/>
          <w:jc w:val="center"/>
        </w:trPr>
        <w:tc>
          <w:tcPr>
            <w:tcW w:w="2263" w:type="dxa"/>
            <w:noWrap/>
            <w:hideMark/>
          </w:tcPr>
          <w:p w14:paraId="43C2877E" w14:textId="16BE7ECC" w:rsidR="00935749" w:rsidRPr="000159F5" w:rsidRDefault="00935749" w:rsidP="00935749">
            <w:pPr>
              <w:spacing w:line="240" w:lineRule="auto"/>
              <w:ind w:firstLine="0"/>
              <w:jc w:val="center"/>
              <w:rPr>
                <w:lang w:val="en-US"/>
              </w:rPr>
            </w:pPr>
            <w:r w:rsidRPr="00CD24AE">
              <w:t>35</w:t>
            </w:r>
          </w:p>
        </w:tc>
        <w:tc>
          <w:tcPr>
            <w:tcW w:w="2835" w:type="dxa"/>
            <w:noWrap/>
            <w:hideMark/>
          </w:tcPr>
          <w:p w14:paraId="18D4B276" w14:textId="696DAB9B" w:rsidR="00935749" w:rsidRPr="000159F5" w:rsidRDefault="00935749" w:rsidP="00935749">
            <w:pPr>
              <w:spacing w:line="240" w:lineRule="auto"/>
              <w:ind w:firstLine="0"/>
              <w:jc w:val="center"/>
              <w:rPr>
                <w:lang w:val="en-US"/>
              </w:rPr>
            </w:pPr>
            <w:r w:rsidRPr="00CD24AE">
              <w:t>1.0675651</w:t>
            </w:r>
          </w:p>
        </w:tc>
      </w:tr>
      <w:tr w:rsidR="00935749" w:rsidRPr="000159F5" w14:paraId="6511519D" w14:textId="77777777" w:rsidTr="000159F5">
        <w:trPr>
          <w:trHeight w:val="300"/>
          <w:jc w:val="center"/>
        </w:trPr>
        <w:tc>
          <w:tcPr>
            <w:tcW w:w="2263" w:type="dxa"/>
            <w:noWrap/>
            <w:hideMark/>
          </w:tcPr>
          <w:p w14:paraId="4BAC228E" w14:textId="29F81702" w:rsidR="00935749" w:rsidRPr="000159F5" w:rsidRDefault="00935749" w:rsidP="00935749">
            <w:pPr>
              <w:spacing w:line="240" w:lineRule="auto"/>
              <w:ind w:firstLine="0"/>
              <w:jc w:val="center"/>
              <w:rPr>
                <w:lang w:val="en-US"/>
              </w:rPr>
            </w:pPr>
            <w:r w:rsidRPr="00CD24AE">
              <w:t>36</w:t>
            </w:r>
          </w:p>
        </w:tc>
        <w:tc>
          <w:tcPr>
            <w:tcW w:w="2835" w:type="dxa"/>
            <w:noWrap/>
            <w:hideMark/>
          </w:tcPr>
          <w:p w14:paraId="25B67E20" w14:textId="23EB9C0C" w:rsidR="00935749" w:rsidRPr="000159F5" w:rsidRDefault="00935749" w:rsidP="00935749">
            <w:pPr>
              <w:spacing w:line="240" w:lineRule="auto"/>
              <w:ind w:firstLine="0"/>
              <w:jc w:val="center"/>
              <w:rPr>
                <w:lang w:val="en-US"/>
              </w:rPr>
            </w:pPr>
            <w:r w:rsidRPr="00CD24AE">
              <w:t>1.082209</w:t>
            </w:r>
          </w:p>
        </w:tc>
      </w:tr>
      <w:tr w:rsidR="00935749" w:rsidRPr="000159F5" w14:paraId="20B636F9" w14:textId="77777777" w:rsidTr="000159F5">
        <w:trPr>
          <w:trHeight w:val="300"/>
          <w:jc w:val="center"/>
        </w:trPr>
        <w:tc>
          <w:tcPr>
            <w:tcW w:w="2263" w:type="dxa"/>
            <w:noWrap/>
            <w:hideMark/>
          </w:tcPr>
          <w:p w14:paraId="6474D285" w14:textId="21043BF3" w:rsidR="00935749" w:rsidRPr="000159F5" w:rsidRDefault="00935749" w:rsidP="00935749">
            <w:pPr>
              <w:spacing w:line="240" w:lineRule="auto"/>
              <w:ind w:firstLine="0"/>
              <w:jc w:val="center"/>
              <w:rPr>
                <w:lang w:val="en-US"/>
              </w:rPr>
            </w:pPr>
            <w:r w:rsidRPr="00CD24AE">
              <w:t>37</w:t>
            </w:r>
          </w:p>
        </w:tc>
        <w:tc>
          <w:tcPr>
            <w:tcW w:w="2835" w:type="dxa"/>
            <w:noWrap/>
            <w:hideMark/>
          </w:tcPr>
          <w:p w14:paraId="70BD1407" w14:textId="5ABCF0EB" w:rsidR="00935749" w:rsidRPr="000159F5" w:rsidRDefault="00935749" w:rsidP="00935749">
            <w:pPr>
              <w:spacing w:line="240" w:lineRule="auto"/>
              <w:ind w:firstLine="0"/>
              <w:jc w:val="center"/>
              <w:rPr>
                <w:lang w:val="en-US"/>
              </w:rPr>
            </w:pPr>
            <w:r w:rsidRPr="00CD24AE">
              <w:t>1.0954798</w:t>
            </w:r>
          </w:p>
        </w:tc>
      </w:tr>
      <w:tr w:rsidR="00935749" w:rsidRPr="000159F5" w14:paraId="69F9AB78" w14:textId="77777777" w:rsidTr="000159F5">
        <w:trPr>
          <w:trHeight w:val="300"/>
          <w:jc w:val="center"/>
        </w:trPr>
        <w:tc>
          <w:tcPr>
            <w:tcW w:w="2263" w:type="dxa"/>
            <w:noWrap/>
            <w:hideMark/>
          </w:tcPr>
          <w:p w14:paraId="0967ADA0" w14:textId="69D8C371" w:rsidR="00935749" w:rsidRPr="000159F5" w:rsidRDefault="00935749" w:rsidP="00935749">
            <w:pPr>
              <w:spacing w:line="240" w:lineRule="auto"/>
              <w:ind w:firstLine="0"/>
              <w:jc w:val="center"/>
              <w:rPr>
                <w:lang w:val="en-US"/>
              </w:rPr>
            </w:pPr>
            <w:r w:rsidRPr="00CD24AE">
              <w:t>38</w:t>
            </w:r>
          </w:p>
        </w:tc>
        <w:tc>
          <w:tcPr>
            <w:tcW w:w="2835" w:type="dxa"/>
            <w:noWrap/>
            <w:hideMark/>
          </w:tcPr>
          <w:p w14:paraId="697C8B52" w14:textId="0470961F" w:rsidR="00935749" w:rsidRPr="000159F5" w:rsidRDefault="00935749" w:rsidP="00935749">
            <w:pPr>
              <w:spacing w:line="240" w:lineRule="auto"/>
              <w:ind w:firstLine="0"/>
              <w:jc w:val="center"/>
              <w:rPr>
                <w:lang w:val="en-US"/>
              </w:rPr>
            </w:pPr>
            <w:r w:rsidRPr="00CD24AE">
              <w:t>1.1074696</w:t>
            </w:r>
          </w:p>
        </w:tc>
      </w:tr>
      <w:tr w:rsidR="00935749" w:rsidRPr="000159F5" w14:paraId="0AFB28AD" w14:textId="77777777" w:rsidTr="000159F5">
        <w:trPr>
          <w:trHeight w:val="300"/>
          <w:jc w:val="center"/>
        </w:trPr>
        <w:tc>
          <w:tcPr>
            <w:tcW w:w="2263" w:type="dxa"/>
            <w:noWrap/>
            <w:hideMark/>
          </w:tcPr>
          <w:p w14:paraId="2A33FCE7" w14:textId="0670BBF1" w:rsidR="00935749" w:rsidRPr="000159F5" w:rsidRDefault="00935749" w:rsidP="00935749">
            <w:pPr>
              <w:spacing w:line="240" w:lineRule="auto"/>
              <w:ind w:firstLine="0"/>
              <w:jc w:val="center"/>
              <w:rPr>
                <w:lang w:val="en-US"/>
              </w:rPr>
            </w:pPr>
            <w:r w:rsidRPr="00CD24AE">
              <w:t>39</w:t>
            </w:r>
          </w:p>
        </w:tc>
        <w:tc>
          <w:tcPr>
            <w:tcW w:w="2835" w:type="dxa"/>
            <w:noWrap/>
            <w:hideMark/>
          </w:tcPr>
          <w:p w14:paraId="2779E962" w14:textId="09DD0D26" w:rsidR="00935749" w:rsidRPr="000159F5" w:rsidRDefault="00935749" w:rsidP="00935749">
            <w:pPr>
              <w:spacing w:line="240" w:lineRule="auto"/>
              <w:ind w:firstLine="0"/>
              <w:jc w:val="center"/>
              <w:rPr>
                <w:lang w:val="en-US"/>
              </w:rPr>
            </w:pPr>
            <w:r w:rsidRPr="00CD24AE">
              <w:t>1.1183855</w:t>
            </w:r>
          </w:p>
        </w:tc>
      </w:tr>
      <w:tr w:rsidR="00935749" w:rsidRPr="000159F5" w14:paraId="5E8C4C31" w14:textId="77777777" w:rsidTr="000159F5">
        <w:trPr>
          <w:trHeight w:val="300"/>
          <w:jc w:val="center"/>
        </w:trPr>
        <w:tc>
          <w:tcPr>
            <w:tcW w:w="2263" w:type="dxa"/>
            <w:noWrap/>
            <w:hideMark/>
          </w:tcPr>
          <w:p w14:paraId="605420AE" w14:textId="4ED2CE80" w:rsidR="00935749" w:rsidRPr="000159F5" w:rsidRDefault="00935749" w:rsidP="00935749">
            <w:pPr>
              <w:spacing w:line="240" w:lineRule="auto"/>
              <w:ind w:firstLine="0"/>
              <w:jc w:val="center"/>
              <w:rPr>
                <w:lang w:val="en-US"/>
              </w:rPr>
            </w:pPr>
            <w:r w:rsidRPr="00CD24AE">
              <w:t>40</w:t>
            </w:r>
          </w:p>
        </w:tc>
        <w:tc>
          <w:tcPr>
            <w:tcW w:w="2835" w:type="dxa"/>
            <w:noWrap/>
            <w:hideMark/>
          </w:tcPr>
          <w:p w14:paraId="16769705" w14:textId="717D6D85" w:rsidR="00935749" w:rsidRPr="000159F5" w:rsidRDefault="00935749" w:rsidP="00935749">
            <w:pPr>
              <w:spacing w:line="240" w:lineRule="auto"/>
              <w:ind w:firstLine="0"/>
              <w:jc w:val="center"/>
              <w:rPr>
                <w:lang w:val="en-US"/>
              </w:rPr>
            </w:pPr>
            <w:r w:rsidRPr="00CD24AE">
              <w:t>1.1287547</w:t>
            </w:r>
          </w:p>
        </w:tc>
      </w:tr>
      <w:tr w:rsidR="00935749" w:rsidRPr="000159F5" w14:paraId="7B8D9562" w14:textId="77777777" w:rsidTr="000159F5">
        <w:trPr>
          <w:trHeight w:val="300"/>
          <w:jc w:val="center"/>
        </w:trPr>
        <w:tc>
          <w:tcPr>
            <w:tcW w:w="2263" w:type="dxa"/>
            <w:noWrap/>
            <w:hideMark/>
          </w:tcPr>
          <w:p w14:paraId="4753E88A" w14:textId="5E84ABE9" w:rsidR="00935749" w:rsidRPr="000159F5" w:rsidRDefault="00935749" w:rsidP="00935749">
            <w:pPr>
              <w:spacing w:line="240" w:lineRule="auto"/>
              <w:ind w:firstLine="0"/>
              <w:jc w:val="center"/>
              <w:rPr>
                <w:lang w:val="en-US"/>
              </w:rPr>
            </w:pPr>
            <w:r w:rsidRPr="00CD24AE">
              <w:lastRenderedPageBreak/>
              <w:t>41</w:t>
            </w:r>
          </w:p>
        </w:tc>
        <w:tc>
          <w:tcPr>
            <w:tcW w:w="2835" w:type="dxa"/>
            <w:noWrap/>
            <w:hideMark/>
          </w:tcPr>
          <w:p w14:paraId="790CCFD2" w14:textId="529B7F75" w:rsidR="00935749" w:rsidRPr="000159F5" w:rsidRDefault="00935749" w:rsidP="00935749">
            <w:pPr>
              <w:spacing w:line="240" w:lineRule="auto"/>
              <w:ind w:firstLine="0"/>
              <w:jc w:val="center"/>
              <w:rPr>
                <w:lang w:val="en-US"/>
              </w:rPr>
            </w:pPr>
            <w:r w:rsidRPr="00CD24AE">
              <w:t>1.1381106</w:t>
            </w:r>
          </w:p>
        </w:tc>
      </w:tr>
      <w:tr w:rsidR="00935749" w:rsidRPr="000159F5" w14:paraId="61D8791D" w14:textId="77777777" w:rsidTr="000159F5">
        <w:trPr>
          <w:trHeight w:val="300"/>
          <w:jc w:val="center"/>
        </w:trPr>
        <w:tc>
          <w:tcPr>
            <w:tcW w:w="2263" w:type="dxa"/>
            <w:noWrap/>
            <w:hideMark/>
          </w:tcPr>
          <w:p w14:paraId="01A8D89A" w14:textId="60AEDC78" w:rsidR="00935749" w:rsidRPr="000159F5" w:rsidRDefault="00935749" w:rsidP="00935749">
            <w:pPr>
              <w:spacing w:line="240" w:lineRule="auto"/>
              <w:ind w:firstLine="0"/>
              <w:jc w:val="center"/>
              <w:rPr>
                <w:lang w:val="en-US"/>
              </w:rPr>
            </w:pPr>
            <w:r w:rsidRPr="00CD24AE">
              <w:t>42</w:t>
            </w:r>
          </w:p>
        </w:tc>
        <w:tc>
          <w:tcPr>
            <w:tcW w:w="2835" w:type="dxa"/>
            <w:noWrap/>
            <w:hideMark/>
          </w:tcPr>
          <w:p w14:paraId="458A3322" w14:textId="2F85C6E9" w:rsidR="00935749" w:rsidRPr="000159F5" w:rsidRDefault="00935749" w:rsidP="00935749">
            <w:pPr>
              <w:spacing w:line="240" w:lineRule="auto"/>
              <w:ind w:firstLine="0"/>
              <w:jc w:val="center"/>
              <w:rPr>
                <w:lang w:val="en-US"/>
              </w:rPr>
            </w:pPr>
            <w:r w:rsidRPr="00CD24AE">
              <w:t>1.145865</w:t>
            </w:r>
          </w:p>
        </w:tc>
      </w:tr>
      <w:tr w:rsidR="00935749" w:rsidRPr="000159F5" w14:paraId="7241DAA0" w14:textId="77777777" w:rsidTr="000159F5">
        <w:trPr>
          <w:trHeight w:val="300"/>
          <w:jc w:val="center"/>
        </w:trPr>
        <w:tc>
          <w:tcPr>
            <w:tcW w:w="2263" w:type="dxa"/>
            <w:noWrap/>
            <w:hideMark/>
          </w:tcPr>
          <w:p w14:paraId="48AB4A11" w14:textId="5D892A95" w:rsidR="00935749" w:rsidRPr="000159F5" w:rsidRDefault="00935749" w:rsidP="00935749">
            <w:pPr>
              <w:spacing w:line="240" w:lineRule="auto"/>
              <w:ind w:firstLine="0"/>
              <w:jc w:val="center"/>
              <w:rPr>
                <w:lang w:val="en-US"/>
              </w:rPr>
            </w:pPr>
            <w:r w:rsidRPr="00CD24AE">
              <w:t>43</w:t>
            </w:r>
          </w:p>
        </w:tc>
        <w:tc>
          <w:tcPr>
            <w:tcW w:w="2835" w:type="dxa"/>
            <w:noWrap/>
            <w:hideMark/>
          </w:tcPr>
          <w:p w14:paraId="6E4543AB" w14:textId="3D12EF78" w:rsidR="00935749" w:rsidRPr="000159F5" w:rsidRDefault="00935749" w:rsidP="00935749">
            <w:pPr>
              <w:spacing w:line="240" w:lineRule="auto"/>
              <w:ind w:firstLine="0"/>
              <w:jc w:val="center"/>
              <w:rPr>
                <w:lang w:val="en-US"/>
              </w:rPr>
            </w:pPr>
            <w:r w:rsidRPr="00CD24AE">
              <w:t>1.1538777</w:t>
            </w:r>
          </w:p>
        </w:tc>
      </w:tr>
      <w:tr w:rsidR="00935749" w:rsidRPr="000159F5" w14:paraId="68EFCA6E" w14:textId="77777777" w:rsidTr="000159F5">
        <w:trPr>
          <w:trHeight w:val="300"/>
          <w:jc w:val="center"/>
        </w:trPr>
        <w:tc>
          <w:tcPr>
            <w:tcW w:w="2263" w:type="dxa"/>
            <w:noWrap/>
            <w:hideMark/>
          </w:tcPr>
          <w:p w14:paraId="636D0E5B" w14:textId="4833FC83" w:rsidR="00935749" w:rsidRPr="000159F5" w:rsidRDefault="00935749" w:rsidP="00935749">
            <w:pPr>
              <w:spacing w:line="240" w:lineRule="auto"/>
              <w:ind w:firstLine="0"/>
              <w:jc w:val="center"/>
              <w:rPr>
                <w:lang w:val="en-US"/>
              </w:rPr>
            </w:pPr>
            <w:r w:rsidRPr="00CD24AE">
              <w:t>44</w:t>
            </w:r>
          </w:p>
        </w:tc>
        <w:tc>
          <w:tcPr>
            <w:tcW w:w="2835" w:type="dxa"/>
            <w:noWrap/>
            <w:hideMark/>
          </w:tcPr>
          <w:p w14:paraId="69CC97FE" w14:textId="606FFCF5" w:rsidR="00935749" w:rsidRPr="000159F5" w:rsidRDefault="00935749" w:rsidP="00935749">
            <w:pPr>
              <w:spacing w:line="240" w:lineRule="auto"/>
              <w:ind w:firstLine="0"/>
              <w:jc w:val="center"/>
              <w:rPr>
                <w:lang w:val="en-US"/>
              </w:rPr>
            </w:pPr>
            <w:r w:rsidRPr="00CD24AE">
              <w:t>1.1616998</w:t>
            </w:r>
          </w:p>
        </w:tc>
      </w:tr>
      <w:tr w:rsidR="00935749" w:rsidRPr="000159F5" w14:paraId="71EBFB8F" w14:textId="77777777" w:rsidTr="000159F5">
        <w:trPr>
          <w:trHeight w:val="300"/>
          <w:jc w:val="center"/>
        </w:trPr>
        <w:tc>
          <w:tcPr>
            <w:tcW w:w="2263" w:type="dxa"/>
            <w:noWrap/>
            <w:hideMark/>
          </w:tcPr>
          <w:p w14:paraId="5235D206" w14:textId="40875C24" w:rsidR="00935749" w:rsidRPr="000159F5" w:rsidRDefault="00935749" w:rsidP="00935749">
            <w:pPr>
              <w:spacing w:line="240" w:lineRule="auto"/>
              <w:ind w:firstLine="0"/>
              <w:jc w:val="center"/>
              <w:rPr>
                <w:lang w:val="en-US"/>
              </w:rPr>
            </w:pPr>
            <w:r w:rsidRPr="00CD24AE">
              <w:t>45</w:t>
            </w:r>
          </w:p>
        </w:tc>
        <w:tc>
          <w:tcPr>
            <w:tcW w:w="2835" w:type="dxa"/>
            <w:noWrap/>
            <w:hideMark/>
          </w:tcPr>
          <w:p w14:paraId="75C717E1" w14:textId="63268BD1" w:rsidR="00935749" w:rsidRPr="000159F5" w:rsidRDefault="00935749" w:rsidP="00935749">
            <w:pPr>
              <w:spacing w:line="240" w:lineRule="auto"/>
              <w:ind w:firstLine="0"/>
              <w:jc w:val="center"/>
              <w:rPr>
                <w:lang w:val="en-US"/>
              </w:rPr>
            </w:pPr>
            <w:r w:rsidRPr="00CD24AE">
              <w:t>1.1690312</w:t>
            </w:r>
          </w:p>
        </w:tc>
      </w:tr>
      <w:tr w:rsidR="00935749" w:rsidRPr="000159F5" w14:paraId="50806CCE" w14:textId="77777777" w:rsidTr="000159F5">
        <w:trPr>
          <w:trHeight w:val="300"/>
          <w:jc w:val="center"/>
        </w:trPr>
        <w:tc>
          <w:tcPr>
            <w:tcW w:w="2263" w:type="dxa"/>
            <w:noWrap/>
            <w:hideMark/>
          </w:tcPr>
          <w:p w14:paraId="051EA1A7" w14:textId="0F1D48FA" w:rsidR="00935749" w:rsidRPr="000159F5" w:rsidRDefault="00935749" w:rsidP="00935749">
            <w:pPr>
              <w:spacing w:line="240" w:lineRule="auto"/>
              <w:ind w:firstLine="0"/>
              <w:jc w:val="center"/>
              <w:rPr>
                <w:lang w:val="en-US"/>
              </w:rPr>
            </w:pPr>
            <w:r w:rsidRPr="00CD24AE">
              <w:t>46</w:t>
            </w:r>
          </w:p>
        </w:tc>
        <w:tc>
          <w:tcPr>
            <w:tcW w:w="2835" w:type="dxa"/>
            <w:noWrap/>
            <w:hideMark/>
          </w:tcPr>
          <w:p w14:paraId="032C2B29" w14:textId="23C13320" w:rsidR="00935749" w:rsidRPr="000159F5" w:rsidRDefault="00935749" w:rsidP="00935749">
            <w:pPr>
              <w:spacing w:line="240" w:lineRule="auto"/>
              <w:ind w:firstLine="0"/>
              <w:jc w:val="center"/>
              <w:rPr>
                <w:lang w:val="en-US"/>
              </w:rPr>
            </w:pPr>
            <w:r w:rsidRPr="00CD24AE">
              <w:t>1.1754462</w:t>
            </w:r>
          </w:p>
        </w:tc>
      </w:tr>
      <w:tr w:rsidR="00935749" w:rsidRPr="000159F5" w14:paraId="4FA91429" w14:textId="77777777" w:rsidTr="000159F5">
        <w:trPr>
          <w:trHeight w:val="300"/>
          <w:jc w:val="center"/>
        </w:trPr>
        <w:tc>
          <w:tcPr>
            <w:tcW w:w="2263" w:type="dxa"/>
            <w:noWrap/>
            <w:hideMark/>
          </w:tcPr>
          <w:p w14:paraId="69DAFB6B" w14:textId="50BCAA25" w:rsidR="00935749" w:rsidRPr="000159F5" w:rsidRDefault="00935749" w:rsidP="00935749">
            <w:pPr>
              <w:spacing w:line="240" w:lineRule="auto"/>
              <w:ind w:firstLine="0"/>
              <w:jc w:val="center"/>
              <w:rPr>
                <w:lang w:val="en-US"/>
              </w:rPr>
            </w:pPr>
            <w:r w:rsidRPr="00CD24AE">
              <w:t>47</w:t>
            </w:r>
          </w:p>
        </w:tc>
        <w:tc>
          <w:tcPr>
            <w:tcW w:w="2835" w:type="dxa"/>
            <w:noWrap/>
            <w:hideMark/>
          </w:tcPr>
          <w:p w14:paraId="10EC2DE3" w14:textId="2F6D8692" w:rsidR="00935749" w:rsidRPr="000159F5" w:rsidRDefault="00935749" w:rsidP="00935749">
            <w:pPr>
              <w:spacing w:line="240" w:lineRule="auto"/>
              <w:ind w:firstLine="0"/>
              <w:jc w:val="center"/>
              <w:rPr>
                <w:lang w:val="en-US"/>
              </w:rPr>
            </w:pPr>
            <w:r w:rsidRPr="00CD24AE">
              <w:t>1.1816636</w:t>
            </w:r>
          </w:p>
        </w:tc>
      </w:tr>
      <w:tr w:rsidR="00935749" w:rsidRPr="000159F5" w14:paraId="4A2B5107" w14:textId="77777777" w:rsidTr="000159F5">
        <w:trPr>
          <w:trHeight w:val="300"/>
          <w:jc w:val="center"/>
        </w:trPr>
        <w:tc>
          <w:tcPr>
            <w:tcW w:w="2263" w:type="dxa"/>
            <w:noWrap/>
            <w:hideMark/>
          </w:tcPr>
          <w:p w14:paraId="247759AA" w14:textId="3006E06A" w:rsidR="00935749" w:rsidRPr="000159F5" w:rsidRDefault="00935749" w:rsidP="00935749">
            <w:pPr>
              <w:spacing w:line="240" w:lineRule="auto"/>
              <w:ind w:firstLine="0"/>
              <w:jc w:val="center"/>
              <w:rPr>
                <w:lang w:val="en-US"/>
              </w:rPr>
            </w:pPr>
            <w:r w:rsidRPr="00CD24AE">
              <w:t>48</w:t>
            </w:r>
          </w:p>
        </w:tc>
        <w:tc>
          <w:tcPr>
            <w:tcW w:w="2835" w:type="dxa"/>
            <w:noWrap/>
            <w:hideMark/>
          </w:tcPr>
          <w:p w14:paraId="11B79066" w14:textId="1E0DB87A" w:rsidR="00935749" w:rsidRPr="000159F5" w:rsidRDefault="00935749" w:rsidP="00935749">
            <w:pPr>
              <w:spacing w:line="240" w:lineRule="auto"/>
              <w:ind w:firstLine="0"/>
              <w:jc w:val="center"/>
              <w:rPr>
                <w:lang w:val="en-US"/>
              </w:rPr>
            </w:pPr>
            <w:r w:rsidRPr="00CD24AE">
              <w:t>1.1873037</w:t>
            </w:r>
          </w:p>
        </w:tc>
      </w:tr>
      <w:tr w:rsidR="00935749" w:rsidRPr="000159F5" w14:paraId="56CAC67F" w14:textId="77777777" w:rsidTr="000159F5">
        <w:trPr>
          <w:trHeight w:val="300"/>
          <w:jc w:val="center"/>
        </w:trPr>
        <w:tc>
          <w:tcPr>
            <w:tcW w:w="2263" w:type="dxa"/>
            <w:noWrap/>
            <w:hideMark/>
          </w:tcPr>
          <w:p w14:paraId="7AD04751" w14:textId="11E9F829" w:rsidR="00935749" w:rsidRPr="000159F5" w:rsidRDefault="00935749" w:rsidP="00935749">
            <w:pPr>
              <w:spacing w:line="240" w:lineRule="auto"/>
              <w:ind w:firstLine="0"/>
              <w:jc w:val="center"/>
              <w:rPr>
                <w:lang w:val="en-US"/>
              </w:rPr>
            </w:pPr>
            <w:r w:rsidRPr="00CD24AE">
              <w:t>49</w:t>
            </w:r>
          </w:p>
        </w:tc>
        <w:tc>
          <w:tcPr>
            <w:tcW w:w="2835" w:type="dxa"/>
            <w:noWrap/>
            <w:hideMark/>
          </w:tcPr>
          <w:p w14:paraId="234CDD19" w14:textId="14CBDBC9" w:rsidR="00935749" w:rsidRPr="000159F5" w:rsidRDefault="00935749" w:rsidP="00935749">
            <w:pPr>
              <w:spacing w:line="240" w:lineRule="auto"/>
              <w:ind w:firstLine="0"/>
              <w:jc w:val="center"/>
              <w:rPr>
                <w:lang w:val="en-US"/>
              </w:rPr>
            </w:pPr>
            <w:r w:rsidRPr="00CD24AE">
              <w:t>1.1927574</w:t>
            </w:r>
          </w:p>
        </w:tc>
      </w:tr>
      <w:tr w:rsidR="00935749" w:rsidRPr="000159F5" w14:paraId="170D5B00" w14:textId="77777777" w:rsidTr="000159F5">
        <w:trPr>
          <w:trHeight w:val="300"/>
          <w:jc w:val="center"/>
        </w:trPr>
        <w:tc>
          <w:tcPr>
            <w:tcW w:w="2263" w:type="dxa"/>
            <w:noWrap/>
            <w:hideMark/>
          </w:tcPr>
          <w:p w14:paraId="3C2DDBBD" w14:textId="10F97B65" w:rsidR="00935749" w:rsidRPr="000159F5" w:rsidRDefault="00935749" w:rsidP="00935749">
            <w:pPr>
              <w:spacing w:line="240" w:lineRule="auto"/>
              <w:ind w:firstLine="0"/>
              <w:jc w:val="center"/>
              <w:rPr>
                <w:lang w:val="en-US"/>
              </w:rPr>
            </w:pPr>
            <w:r w:rsidRPr="00CD24AE">
              <w:t>50</w:t>
            </w:r>
          </w:p>
        </w:tc>
        <w:tc>
          <w:tcPr>
            <w:tcW w:w="2835" w:type="dxa"/>
            <w:noWrap/>
            <w:hideMark/>
          </w:tcPr>
          <w:p w14:paraId="4653C730" w14:textId="5FE685CF" w:rsidR="00935749" w:rsidRPr="000159F5" w:rsidRDefault="00935749" w:rsidP="00935749">
            <w:pPr>
              <w:spacing w:line="240" w:lineRule="auto"/>
              <w:ind w:firstLine="0"/>
              <w:jc w:val="center"/>
              <w:rPr>
                <w:lang w:val="en-US"/>
              </w:rPr>
            </w:pPr>
            <w:r w:rsidRPr="00CD24AE">
              <w:t>1.1981501</w:t>
            </w:r>
          </w:p>
        </w:tc>
      </w:tr>
      <w:tr w:rsidR="00935749" w:rsidRPr="000159F5" w14:paraId="75241FC2" w14:textId="77777777" w:rsidTr="000159F5">
        <w:trPr>
          <w:trHeight w:val="300"/>
          <w:jc w:val="center"/>
        </w:trPr>
        <w:tc>
          <w:tcPr>
            <w:tcW w:w="2263" w:type="dxa"/>
            <w:noWrap/>
            <w:hideMark/>
          </w:tcPr>
          <w:p w14:paraId="7668CB50" w14:textId="34088427" w:rsidR="00935749" w:rsidRPr="000159F5" w:rsidRDefault="00935749" w:rsidP="00935749">
            <w:pPr>
              <w:spacing w:line="240" w:lineRule="auto"/>
              <w:ind w:firstLine="0"/>
              <w:jc w:val="center"/>
              <w:rPr>
                <w:lang w:val="en-US"/>
              </w:rPr>
            </w:pPr>
            <w:r w:rsidRPr="00CD24AE">
              <w:t>51</w:t>
            </w:r>
          </w:p>
        </w:tc>
        <w:tc>
          <w:tcPr>
            <w:tcW w:w="2835" w:type="dxa"/>
            <w:noWrap/>
            <w:hideMark/>
          </w:tcPr>
          <w:p w14:paraId="2D4CC4BC" w14:textId="53AD1755" w:rsidR="00935749" w:rsidRPr="000159F5" w:rsidRDefault="00935749" w:rsidP="00935749">
            <w:pPr>
              <w:spacing w:line="240" w:lineRule="auto"/>
              <w:ind w:firstLine="0"/>
              <w:jc w:val="center"/>
              <w:rPr>
                <w:lang w:val="en-US"/>
              </w:rPr>
            </w:pPr>
            <w:r w:rsidRPr="00CD24AE">
              <w:t>1.2030206</w:t>
            </w:r>
          </w:p>
        </w:tc>
      </w:tr>
      <w:tr w:rsidR="00935749" w:rsidRPr="000159F5" w14:paraId="733E2EA6" w14:textId="77777777" w:rsidTr="000159F5">
        <w:trPr>
          <w:trHeight w:val="300"/>
          <w:jc w:val="center"/>
        </w:trPr>
        <w:tc>
          <w:tcPr>
            <w:tcW w:w="2263" w:type="dxa"/>
            <w:noWrap/>
            <w:hideMark/>
          </w:tcPr>
          <w:p w14:paraId="05E34FEA" w14:textId="695A0652" w:rsidR="00935749" w:rsidRPr="000159F5" w:rsidRDefault="00935749" w:rsidP="00935749">
            <w:pPr>
              <w:spacing w:line="240" w:lineRule="auto"/>
              <w:ind w:firstLine="0"/>
              <w:jc w:val="center"/>
              <w:rPr>
                <w:lang w:val="en-US"/>
              </w:rPr>
            </w:pPr>
            <w:r w:rsidRPr="00CD24AE">
              <w:t>52</w:t>
            </w:r>
          </w:p>
        </w:tc>
        <w:tc>
          <w:tcPr>
            <w:tcW w:w="2835" w:type="dxa"/>
            <w:noWrap/>
            <w:hideMark/>
          </w:tcPr>
          <w:p w14:paraId="7C7D6FFD" w14:textId="573657EB" w:rsidR="00935749" w:rsidRPr="000159F5" w:rsidRDefault="00935749" w:rsidP="00935749">
            <w:pPr>
              <w:spacing w:line="240" w:lineRule="auto"/>
              <w:ind w:firstLine="0"/>
              <w:jc w:val="center"/>
              <w:rPr>
                <w:lang w:val="en-US"/>
              </w:rPr>
            </w:pPr>
            <w:r w:rsidRPr="00CD24AE">
              <w:t>1.2077744</w:t>
            </w:r>
          </w:p>
        </w:tc>
      </w:tr>
      <w:tr w:rsidR="00935749" w:rsidRPr="000159F5" w14:paraId="511151AF" w14:textId="77777777" w:rsidTr="000159F5">
        <w:trPr>
          <w:trHeight w:val="300"/>
          <w:jc w:val="center"/>
        </w:trPr>
        <w:tc>
          <w:tcPr>
            <w:tcW w:w="2263" w:type="dxa"/>
            <w:noWrap/>
            <w:hideMark/>
          </w:tcPr>
          <w:p w14:paraId="33908C51" w14:textId="1ECE271A" w:rsidR="00935749" w:rsidRPr="000159F5" w:rsidRDefault="00935749" w:rsidP="00935749">
            <w:pPr>
              <w:spacing w:line="240" w:lineRule="auto"/>
              <w:ind w:firstLine="0"/>
              <w:jc w:val="center"/>
              <w:rPr>
                <w:lang w:val="en-US"/>
              </w:rPr>
            </w:pPr>
            <w:r w:rsidRPr="00CD24AE">
              <w:t>53</w:t>
            </w:r>
          </w:p>
        </w:tc>
        <w:tc>
          <w:tcPr>
            <w:tcW w:w="2835" w:type="dxa"/>
            <w:noWrap/>
            <w:hideMark/>
          </w:tcPr>
          <w:p w14:paraId="4B63DC90" w14:textId="654365D0" w:rsidR="00935749" w:rsidRPr="000159F5" w:rsidRDefault="00935749" w:rsidP="00935749">
            <w:pPr>
              <w:spacing w:line="240" w:lineRule="auto"/>
              <w:ind w:firstLine="0"/>
              <w:jc w:val="center"/>
              <w:rPr>
                <w:lang w:val="en-US"/>
              </w:rPr>
            </w:pPr>
            <w:r w:rsidRPr="00CD24AE">
              <w:t>1.2124921</w:t>
            </w:r>
          </w:p>
        </w:tc>
      </w:tr>
      <w:tr w:rsidR="00935749" w:rsidRPr="000159F5" w14:paraId="27680F73" w14:textId="77777777" w:rsidTr="000159F5">
        <w:trPr>
          <w:trHeight w:val="300"/>
          <w:jc w:val="center"/>
        </w:trPr>
        <w:tc>
          <w:tcPr>
            <w:tcW w:w="2263" w:type="dxa"/>
            <w:noWrap/>
            <w:hideMark/>
          </w:tcPr>
          <w:p w14:paraId="20778A75" w14:textId="269A624F" w:rsidR="00935749" w:rsidRPr="000159F5" w:rsidRDefault="00935749" w:rsidP="00935749">
            <w:pPr>
              <w:spacing w:line="240" w:lineRule="auto"/>
              <w:ind w:firstLine="0"/>
              <w:jc w:val="center"/>
              <w:rPr>
                <w:lang w:val="en-US"/>
              </w:rPr>
            </w:pPr>
            <w:r w:rsidRPr="00CD24AE">
              <w:t>54</w:t>
            </w:r>
          </w:p>
        </w:tc>
        <w:tc>
          <w:tcPr>
            <w:tcW w:w="2835" w:type="dxa"/>
            <w:noWrap/>
            <w:hideMark/>
          </w:tcPr>
          <w:p w14:paraId="250762DA" w14:textId="01EA82EB" w:rsidR="00935749" w:rsidRPr="000159F5" w:rsidRDefault="00935749" w:rsidP="00935749">
            <w:pPr>
              <w:spacing w:line="240" w:lineRule="auto"/>
              <w:ind w:firstLine="0"/>
              <w:jc w:val="center"/>
              <w:rPr>
                <w:lang w:val="en-US"/>
              </w:rPr>
            </w:pPr>
            <w:r w:rsidRPr="00CD24AE">
              <w:t>1.2171431</w:t>
            </w:r>
          </w:p>
        </w:tc>
      </w:tr>
      <w:tr w:rsidR="00935749" w:rsidRPr="000159F5" w14:paraId="45DEB49A" w14:textId="77777777" w:rsidTr="000159F5">
        <w:trPr>
          <w:trHeight w:val="300"/>
          <w:jc w:val="center"/>
        </w:trPr>
        <w:tc>
          <w:tcPr>
            <w:tcW w:w="2263" w:type="dxa"/>
            <w:noWrap/>
            <w:hideMark/>
          </w:tcPr>
          <w:p w14:paraId="5E2588D7" w14:textId="367A4C64" w:rsidR="00935749" w:rsidRPr="000159F5" w:rsidRDefault="00935749" w:rsidP="00935749">
            <w:pPr>
              <w:spacing w:line="240" w:lineRule="auto"/>
              <w:ind w:firstLine="0"/>
              <w:jc w:val="center"/>
              <w:rPr>
                <w:lang w:val="en-US"/>
              </w:rPr>
            </w:pPr>
            <w:r w:rsidRPr="00CD24AE">
              <w:t>55</w:t>
            </w:r>
          </w:p>
        </w:tc>
        <w:tc>
          <w:tcPr>
            <w:tcW w:w="2835" w:type="dxa"/>
            <w:noWrap/>
            <w:hideMark/>
          </w:tcPr>
          <w:p w14:paraId="60FF86AE" w14:textId="588BDF02" w:rsidR="00935749" w:rsidRPr="000159F5" w:rsidRDefault="00935749" w:rsidP="00935749">
            <w:pPr>
              <w:spacing w:line="240" w:lineRule="auto"/>
              <w:ind w:firstLine="0"/>
              <w:jc w:val="center"/>
              <w:rPr>
                <w:lang w:val="en-US"/>
              </w:rPr>
            </w:pPr>
            <w:r w:rsidRPr="00CD24AE">
              <w:t>1.2213738</w:t>
            </w:r>
          </w:p>
        </w:tc>
      </w:tr>
      <w:tr w:rsidR="00935749" w:rsidRPr="000159F5" w14:paraId="69063FFF" w14:textId="77777777" w:rsidTr="000159F5">
        <w:trPr>
          <w:trHeight w:val="300"/>
          <w:jc w:val="center"/>
        </w:trPr>
        <w:tc>
          <w:tcPr>
            <w:tcW w:w="2263" w:type="dxa"/>
            <w:noWrap/>
            <w:hideMark/>
          </w:tcPr>
          <w:p w14:paraId="0BC3474C" w14:textId="111022AA" w:rsidR="00935749" w:rsidRPr="000159F5" w:rsidRDefault="00935749" w:rsidP="00935749">
            <w:pPr>
              <w:spacing w:line="240" w:lineRule="auto"/>
              <w:ind w:firstLine="0"/>
              <w:jc w:val="center"/>
              <w:rPr>
                <w:lang w:val="en-US"/>
              </w:rPr>
            </w:pPr>
            <w:r w:rsidRPr="00CD24AE">
              <w:t>56</w:t>
            </w:r>
          </w:p>
        </w:tc>
        <w:tc>
          <w:tcPr>
            <w:tcW w:w="2835" w:type="dxa"/>
            <w:noWrap/>
            <w:hideMark/>
          </w:tcPr>
          <w:p w14:paraId="5D92EFCC" w14:textId="509A6CA1" w:rsidR="00935749" w:rsidRPr="000159F5" w:rsidRDefault="00935749" w:rsidP="00935749">
            <w:pPr>
              <w:spacing w:line="240" w:lineRule="auto"/>
              <w:ind w:firstLine="0"/>
              <w:jc w:val="center"/>
              <w:rPr>
                <w:lang w:val="en-US"/>
              </w:rPr>
            </w:pPr>
            <w:r w:rsidRPr="00CD24AE">
              <w:t>1.2254502</w:t>
            </w:r>
          </w:p>
        </w:tc>
      </w:tr>
      <w:tr w:rsidR="00935749" w:rsidRPr="000159F5" w14:paraId="38EFB130" w14:textId="77777777" w:rsidTr="000159F5">
        <w:trPr>
          <w:trHeight w:val="300"/>
          <w:jc w:val="center"/>
        </w:trPr>
        <w:tc>
          <w:tcPr>
            <w:tcW w:w="2263" w:type="dxa"/>
            <w:noWrap/>
            <w:hideMark/>
          </w:tcPr>
          <w:p w14:paraId="2FD20024" w14:textId="56764578" w:rsidR="00935749" w:rsidRPr="000159F5" w:rsidRDefault="00935749" w:rsidP="00935749">
            <w:pPr>
              <w:spacing w:line="240" w:lineRule="auto"/>
              <w:ind w:firstLine="0"/>
              <w:jc w:val="center"/>
              <w:rPr>
                <w:lang w:val="en-US"/>
              </w:rPr>
            </w:pPr>
            <w:r w:rsidRPr="00CD24AE">
              <w:t>57</w:t>
            </w:r>
          </w:p>
        </w:tc>
        <w:tc>
          <w:tcPr>
            <w:tcW w:w="2835" w:type="dxa"/>
            <w:noWrap/>
            <w:hideMark/>
          </w:tcPr>
          <w:p w14:paraId="265C2B23" w14:textId="36A52E8B" w:rsidR="00935749" w:rsidRPr="000159F5" w:rsidRDefault="00935749" w:rsidP="00935749">
            <w:pPr>
              <w:spacing w:line="240" w:lineRule="auto"/>
              <w:ind w:firstLine="0"/>
              <w:jc w:val="center"/>
              <w:rPr>
                <w:lang w:val="en-US"/>
              </w:rPr>
            </w:pPr>
            <w:r w:rsidRPr="00CD24AE">
              <w:t>1.2295263</w:t>
            </w:r>
          </w:p>
        </w:tc>
      </w:tr>
      <w:tr w:rsidR="00935749" w:rsidRPr="000159F5" w14:paraId="13F62024" w14:textId="77777777" w:rsidTr="000159F5">
        <w:trPr>
          <w:trHeight w:val="300"/>
          <w:jc w:val="center"/>
        </w:trPr>
        <w:tc>
          <w:tcPr>
            <w:tcW w:w="2263" w:type="dxa"/>
            <w:noWrap/>
            <w:hideMark/>
          </w:tcPr>
          <w:p w14:paraId="5E6D3F40" w14:textId="1F6A101A" w:rsidR="00935749" w:rsidRPr="000159F5" w:rsidRDefault="00935749" w:rsidP="00935749">
            <w:pPr>
              <w:spacing w:line="240" w:lineRule="auto"/>
              <w:ind w:firstLine="0"/>
              <w:jc w:val="center"/>
              <w:rPr>
                <w:lang w:val="en-US"/>
              </w:rPr>
            </w:pPr>
            <w:r w:rsidRPr="00CD24AE">
              <w:t>58</w:t>
            </w:r>
          </w:p>
        </w:tc>
        <w:tc>
          <w:tcPr>
            <w:tcW w:w="2835" w:type="dxa"/>
            <w:noWrap/>
            <w:hideMark/>
          </w:tcPr>
          <w:p w14:paraId="202058A9" w14:textId="51F753B6" w:rsidR="00935749" w:rsidRPr="000159F5" w:rsidRDefault="00935749" w:rsidP="00935749">
            <w:pPr>
              <w:spacing w:line="240" w:lineRule="auto"/>
              <w:ind w:firstLine="0"/>
              <w:jc w:val="center"/>
              <w:rPr>
                <w:lang w:val="en-US"/>
              </w:rPr>
            </w:pPr>
            <w:r w:rsidRPr="00CD24AE">
              <w:t>1.2336017</w:t>
            </w:r>
          </w:p>
        </w:tc>
      </w:tr>
      <w:tr w:rsidR="00935749" w:rsidRPr="000159F5" w14:paraId="274187FC" w14:textId="77777777" w:rsidTr="000159F5">
        <w:trPr>
          <w:trHeight w:val="300"/>
          <w:jc w:val="center"/>
        </w:trPr>
        <w:tc>
          <w:tcPr>
            <w:tcW w:w="2263" w:type="dxa"/>
            <w:noWrap/>
            <w:hideMark/>
          </w:tcPr>
          <w:p w14:paraId="643BC943" w14:textId="4FCA202C" w:rsidR="00935749" w:rsidRPr="000159F5" w:rsidRDefault="00935749" w:rsidP="00935749">
            <w:pPr>
              <w:spacing w:line="240" w:lineRule="auto"/>
              <w:ind w:firstLine="0"/>
              <w:jc w:val="center"/>
              <w:rPr>
                <w:lang w:val="en-US"/>
              </w:rPr>
            </w:pPr>
            <w:r w:rsidRPr="00CD24AE">
              <w:t>59</w:t>
            </w:r>
          </w:p>
        </w:tc>
        <w:tc>
          <w:tcPr>
            <w:tcW w:w="2835" w:type="dxa"/>
            <w:noWrap/>
            <w:hideMark/>
          </w:tcPr>
          <w:p w14:paraId="64A4F46B" w14:textId="150A89AB" w:rsidR="00935749" w:rsidRPr="000159F5" w:rsidRDefault="00935749" w:rsidP="00935749">
            <w:pPr>
              <w:spacing w:line="240" w:lineRule="auto"/>
              <w:ind w:firstLine="0"/>
              <w:jc w:val="center"/>
              <w:rPr>
                <w:lang w:val="en-US"/>
              </w:rPr>
            </w:pPr>
            <w:r w:rsidRPr="00CD24AE">
              <w:t>1.2376432</w:t>
            </w:r>
          </w:p>
        </w:tc>
      </w:tr>
      <w:tr w:rsidR="00935749" w:rsidRPr="000159F5" w14:paraId="13C6609B" w14:textId="77777777" w:rsidTr="000159F5">
        <w:trPr>
          <w:trHeight w:val="300"/>
          <w:jc w:val="center"/>
        </w:trPr>
        <w:tc>
          <w:tcPr>
            <w:tcW w:w="2263" w:type="dxa"/>
            <w:noWrap/>
            <w:hideMark/>
          </w:tcPr>
          <w:p w14:paraId="180AA398" w14:textId="2F980B8B" w:rsidR="00935749" w:rsidRPr="000159F5" w:rsidRDefault="00935749" w:rsidP="00935749">
            <w:pPr>
              <w:spacing w:line="240" w:lineRule="auto"/>
              <w:ind w:firstLine="0"/>
              <w:jc w:val="center"/>
              <w:rPr>
                <w:lang w:val="en-US"/>
              </w:rPr>
            </w:pPr>
            <w:r w:rsidRPr="00CD24AE">
              <w:t>60</w:t>
            </w:r>
          </w:p>
        </w:tc>
        <w:tc>
          <w:tcPr>
            <w:tcW w:w="2835" w:type="dxa"/>
            <w:noWrap/>
            <w:hideMark/>
          </w:tcPr>
          <w:p w14:paraId="6B32B7E9" w14:textId="47D22320" w:rsidR="00935749" w:rsidRPr="000159F5" w:rsidRDefault="00935749" w:rsidP="00935749">
            <w:pPr>
              <w:spacing w:line="240" w:lineRule="auto"/>
              <w:ind w:firstLine="0"/>
              <w:jc w:val="center"/>
              <w:rPr>
                <w:lang w:val="en-US"/>
              </w:rPr>
            </w:pPr>
            <w:r w:rsidRPr="00CD24AE">
              <w:t>1.2413526</w:t>
            </w:r>
          </w:p>
        </w:tc>
      </w:tr>
    </w:tbl>
    <w:p w14:paraId="319B2CC5" w14:textId="3D71D688" w:rsidR="00935749" w:rsidRDefault="00935749" w:rsidP="00935749">
      <w:pPr>
        <w:pStyle w:val="1"/>
        <w:numPr>
          <w:ilvl w:val="0"/>
          <w:numId w:val="0"/>
        </w:numPr>
        <w:jc w:val="center"/>
        <w:rPr>
          <w:lang w:val="en-US"/>
        </w:rPr>
      </w:pPr>
      <w:bookmarkStart w:id="1805" w:name="_Toc104985384"/>
      <w:r w:rsidRPr="00A367BA">
        <w:rPr>
          <w:lang w:val="en-US"/>
        </w:rPr>
        <w:lastRenderedPageBreak/>
        <w:t xml:space="preserve">Appendix </w:t>
      </w:r>
      <w:r w:rsidR="003138D2">
        <w:rPr>
          <w:lang w:val="en-US"/>
        </w:rPr>
        <w:t>E</w:t>
      </w:r>
      <w:r>
        <w:rPr>
          <w:lang w:val="en-US"/>
        </w:rPr>
        <w:t xml:space="preserve"> – </w:t>
      </w:r>
      <w:r>
        <w:rPr>
          <w:rFonts w:eastAsia="Calibri"/>
          <w:lang w:val="en-US"/>
        </w:rPr>
        <w:t>Ndembera dam factor of safety values from 1 m per day drawdown: Bishop method</w:t>
      </w:r>
      <w:bookmarkEnd w:id="1805"/>
    </w:p>
    <w:tbl>
      <w:tblPr>
        <w:tblStyle w:val="a8"/>
        <w:tblW w:w="0" w:type="auto"/>
        <w:jc w:val="center"/>
        <w:tblLook w:val="04A0" w:firstRow="1" w:lastRow="0" w:firstColumn="1" w:lastColumn="0" w:noHBand="0" w:noVBand="1"/>
      </w:tblPr>
      <w:tblGrid>
        <w:gridCol w:w="2122"/>
        <w:gridCol w:w="3260"/>
      </w:tblGrid>
      <w:tr w:rsidR="00935749" w:rsidRPr="00935749" w14:paraId="18CEA833" w14:textId="77777777" w:rsidTr="00935749">
        <w:trPr>
          <w:trHeight w:val="300"/>
          <w:jc w:val="center"/>
        </w:trPr>
        <w:tc>
          <w:tcPr>
            <w:tcW w:w="2122" w:type="dxa"/>
            <w:noWrap/>
            <w:hideMark/>
          </w:tcPr>
          <w:p w14:paraId="03D5CE0A" w14:textId="77777777" w:rsidR="00935749" w:rsidRPr="00D405E2" w:rsidRDefault="00935749" w:rsidP="00935749">
            <w:pPr>
              <w:spacing w:line="240" w:lineRule="auto"/>
              <w:ind w:firstLine="0"/>
              <w:jc w:val="center"/>
              <w:rPr>
                <w:lang w:val="en-US"/>
              </w:rPr>
            </w:pPr>
          </w:p>
        </w:tc>
        <w:tc>
          <w:tcPr>
            <w:tcW w:w="3260" w:type="dxa"/>
            <w:noWrap/>
            <w:hideMark/>
          </w:tcPr>
          <w:p w14:paraId="3C4E097C" w14:textId="77777777" w:rsidR="00935749" w:rsidRPr="00935749" w:rsidRDefault="00935749" w:rsidP="00935749">
            <w:pPr>
              <w:spacing w:line="240" w:lineRule="auto"/>
              <w:ind w:firstLine="0"/>
              <w:jc w:val="center"/>
            </w:pPr>
            <w:r w:rsidRPr="00935749">
              <w:t>Slip Surface 92</w:t>
            </w:r>
          </w:p>
        </w:tc>
      </w:tr>
      <w:tr w:rsidR="00935749" w:rsidRPr="00935749" w14:paraId="34583767" w14:textId="77777777" w:rsidTr="00935749">
        <w:trPr>
          <w:trHeight w:val="300"/>
          <w:jc w:val="center"/>
        </w:trPr>
        <w:tc>
          <w:tcPr>
            <w:tcW w:w="2122" w:type="dxa"/>
            <w:noWrap/>
            <w:hideMark/>
          </w:tcPr>
          <w:p w14:paraId="4B177150" w14:textId="77777777" w:rsidR="00935749" w:rsidRPr="00935749" w:rsidRDefault="00935749" w:rsidP="00935749">
            <w:pPr>
              <w:spacing w:line="240" w:lineRule="auto"/>
              <w:ind w:firstLine="0"/>
              <w:jc w:val="center"/>
            </w:pPr>
            <w:r w:rsidRPr="00935749">
              <w:t>Time (d)</w:t>
            </w:r>
          </w:p>
        </w:tc>
        <w:tc>
          <w:tcPr>
            <w:tcW w:w="3260" w:type="dxa"/>
            <w:noWrap/>
            <w:hideMark/>
          </w:tcPr>
          <w:p w14:paraId="5D62DA29" w14:textId="77777777" w:rsidR="00935749" w:rsidRPr="00935749" w:rsidRDefault="00935749" w:rsidP="00935749">
            <w:pPr>
              <w:spacing w:line="240" w:lineRule="auto"/>
              <w:ind w:firstLine="0"/>
              <w:jc w:val="center"/>
            </w:pPr>
            <w:r w:rsidRPr="00935749">
              <w:t>Factor of Safety</w:t>
            </w:r>
          </w:p>
        </w:tc>
      </w:tr>
      <w:tr w:rsidR="00935749" w:rsidRPr="00935749" w14:paraId="6274F151" w14:textId="77777777" w:rsidTr="00935749">
        <w:trPr>
          <w:trHeight w:val="300"/>
          <w:jc w:val="center"/>
        </w:trPr>
        <w:tc>
          <w:tcPr>
            <w:tcW w:w="2122" w:type="dxa"/>
            <w:noWrap/>
            <w:hideMark/>
          </w:tcPr>
          <w:p w14:paraId="37524276" w14:textId="77777777" w:rsidR="00935749" w:rsidRPr="00935749" w:rsidRDefault="00935749" w:rsidP="00935749">
            <w:pPr>
              <w:spacing w:line="240" w:lineRule="auto"/>
              <w:ind w:firstLine="0"/>
              <w:jc w:val="center"/>
            </w:pPr>
            <w:r w:rsidRPr="00935749">
              <w:t>0</w:t>
            </w:r>
          </w:p>
        </w:tc>
        <w:tc>
          <w:tcPr>
            <w:tcW w:w="3260" w:type="dxa"/>
            <w:noWrap/>
            <w:hideMark/>
          </w:tcPr>
          <w:p w14:paraId="69CC6CC0" w14:textId="77777777" w:rsidR="00935749" w:rsidRPr="00935749" w:rsidRDefault="00935749" w:rsidP="00935749">
            <w:pPr>
              <w:spacing w:line="240" w:lineRule="auto"/>
              <w:ind w:firstLine="0"/>
              <w:jc w:val="center"/>
            </w:pPr>
            <w:r w:rsidRPr="00935749">
              <w:t>2.25573</w:t>
            </w:r>
          </w:p>
        </w:tc>
      </w:tr>
      <w:tr w:rsidR="00935749" w:rsidRPr="00935749" w14:paraId="5BEB585A" w14:textId="77777777" w:rsidTr="00935749">
        <w:trPr>
          <w:trHeight w:val="300"/>
          <w:jc w:val="center"/>
        </w:trPr>
        <w:tc>
          <w:tcPr>
            <w:tcW w:w="2122" w:type="dxa"/>
            <w:noWrap/>
            <w:hideMark/>
          </w:tcPr>
          <w:p w14:paraId="3B5A9C06" w14:textId="77777777" w:rsidR="00935749" w:rsidRPr="00935749" w:rsidRDefault="00935749" w:rsidP="00935749">
            <w:pPr>
              <w:spacing w:line="240" w:lineRule="auto"/>
              <w:ind w:firstLine="0"/>
              <w:jc w:val="center"/>
            </w:pPr>
            <w:r w:rsidRPr="00935749">
              <w:t>1</w:t>
            </w:r>
          </w:p>
        </w:tc>
        <w:tc>
          <w:tcPr>
            <w:tcW w:w="3260" w:type="dxa"/>
            <w:noWrap/>
            <w:hideMark/>
          </w:tcPr>
          <w:p w14:paraId="1E2065BA" w14:textId="77777777" w:rsidR="00935749" w:rsidRPr="00935749" w:rsidRDefault="00935749" w:rsidP="00935749">
            <w:pPr>
              <w:spacing w:line="240" w:lineRule="auto"/>
              <w:ind w:firstLine="0"/>
              <w:jc w:val="center"/>
            </w:pPr>
            <w:r w:rsidRPr="00935749">
              <w:t>2.13968</w:t>
            </w:r>
          </w:p>
        </w:tc>
      </w:tr>
      <w:tr w:rsidR="00935749" w:rsidRPr="00935749" w14:paraId="129BD6CA" w14:textId="77777777" w:rsidTr="00935749">
        <w:trPr>
          <w:trHeight w:val="300"/>
          <w:jc w:val="center"/>
        </w:trPr>
        <w:tc>
          <w:tcPr>
            <w:tcW w:w="2122" w:type="dxa"/>
            <w:noWrap/>
            <w:hideMark/>
          </w:tcPr>
          <w:p w14:paraId="6EA94EFB" w14:textId="77777777" w:rsidR="00935749" w:rsidRPr="00935749" w:rsidRDefault="00935749" w:rsidP="00935749">
            <w:pPr>
              <w:spacing w:line="240" w:lineRule="auto"/>
              <w:ind w:firstLine="0"/>
              <w:jc w:val="center"/>
            </w:pPr>
            <w:r w:rsidRPr="00935749">
              <w:t>2</w:t>
            </w:r>
          </w:p>
        </w:tc>
        <w:tc>
          <w:tcPr>
            <w:tcW w:w="3260" w:type="dxa"/>
            <w:noWrap/>
            <w:hideMark/>
          </w:tcPr>
          <w:p w14:paraId="7047EEAA" w14:textId="77777777" w:rsidR="00935749" w:rsidRPr="00935749" w:rsidRDefault="00935749" w:rsidP="00935749">
            <w:pPr>
              <w:spacing w:line="240" w:lineRule="auto"/>
              <w:ind w:firstLine="0"/>
              <w:jc w:val="center"/>
            </w:pPr>
            <w:r w:rsidRPr="00935749">
              <w:t>2.05406</w:t>
            </w:r>
          </w:p>
        </w:tc>
      </w:tr>
      <w:tr w:rsidR="00935749" w:rsidRPr="00935749" w14:paraId="70904150" w14:textId="77777777" w:rsidTr="00935749">
        <w:trPr>
          <w:trHeight w:val="300"/>
          <w:jc w:val="center"/>
        </w:trPr>
        <w:tc>
          <w:tcPr>
            <w:tcW w:w="2122" w:type="dxa"/>
            <w:noWrap/>
            <w:hideMark/>
          </w:tcPr>
          <w:p w14:paraId="7F8BAD90" w14:textId="77777777" w:rsidR="00935749" w:rsidRPr="00935749" w:rsidRDefault="00935749" w:rsidP="00935749">
            <w:pPr>
              <w:spacing w:line="240" w:lineRule="auto"/>
              <w:ind w:firstLine="0"/>
              <w:jc w:val="center"/>
            </w:pPr>
            <w:r w:rsidRPr="00935749">
              <w:t>3</w:t>
            </w:r>
          </w:p>
        </w:tc>
        <w:tc>
          <w:tcPr>
            <w:tcW w:w="3260" w:type="dxa"/>
            <w:noWrap/>
            <w:hideMark/>
          </w:tcPr>
          <w:p w14:paraId="2C8E77A2" w14:textId="77777777" w:rsidR="00935749" w:rsidRPr="00935749" w:rsidRDefault="00935749" w:rsidP="00935749">
            <w:pPr>
              <w:spacing w:line="240" w:lineRule="auto"/>
              <w:ind w:firstLine="0"/>
              <w:jc w:val="center"/>
            </w:pPr>
            <w:r w:rsidRPr="00935749">
              <w:t>1.977413</w:t>
            </w:r>
          </w:p>
        </w:tc>
      </w:tr>
      <w:tr w:rsidR="00935749" w:rsidRPr="00935749" w14:paraId="269BC66D" w14:textId="77777777" w:rsidTr="00935749">
        <w:trPr>
          <w:trHeight w:val="300"/>
          <w:jc w:val="center"/>
        </w:trPr>
        <w:tc>
          <w:tcPr>
            <w:tcW w:w="2122" w:type="dxa"/>
            <w:noWrap/>
            <w:hideMark/>
          </w:tcPr>
          <w:p w14:paraId="6926947E" w14:textId="77777777" w:rsidR="00935749" w:rsidRPr="00935749" w:rsidRDefault="00935749" w:rsidP="00935749">
            <w:pPr>
              <w:spacing w:line="240" w:lineRule="auto"/>
              <w:ind w:firstLine="0"/>
              <w:jc w:val="center"/>
            </w:pPr>
            <w:r w:rsidRPr="00935749">
              <w:t>4</w:t>
            </w:r>
          </w:p>
        </w:tc>
        <w:tc>
          <w:tcPr>
            <w:tcW w:w="3260" w:type="dxa"/>
            <w:noWrap/>
            <w:hideMark/>
          </w:tcPr>
          <w:p w14:paraId="081B9E7D" w14:textId="77777777" w:rsidR="00935749" w:rsidRPr="00935749" w:rsidRDefault="00935749" w:rsidP="00935749">
            <w:pPr>
              <w:spacing w:line="240" w:lineRule="auto"/>
              <w:ind w:firstLine="0"/>
              <w:jc w:val="center"/>
            </w:pPr>
            <w:r w:rsidRPr="00935749">
              <w:t>1.906839</w:t>
            </w:r>
          </w:p>
        </w:tc>
      </w:tr>
      <w:tr w:rsidR="00935749" w:rsidRPr="00935749" w14:paraId="741A44E6" w14:textId="77777777" w:rsidTr="00935749">
        <w:trPr>
          <w:trHeight w:val="300"/>
          <w:jc w:val="center"/>
        </w:trPr>
        <w:tc>
          <w:tcPr>
            <w:tcW w:w="2122" w:type="dxa"/>
            <w:noWrap/>
            <w:hideMark/>
          </w:tcPr>
          <w:p w14:paraId="41181319" w14:textId="77777777" w:rsidR="00935749" w:rsidRPr="00935749" w:rsidRDefault="00935749" w:rsidP="00935749">
            <w:pPr>
              <w:spacing w:line="240" w:lineRule="auto"/>
              <w:ind w:firstLine="0"/>
              <w:jc w:val="center"/>
            </w:pPr>
            <w:r w:rsidRPr="00935749">
              <w:t>5</w:t>
            </w:r>
          </w:p>
        </w:tc>
        <w:tc>
          <w:tcPr>
            <w:tcW w:w="3260" w:type="dxa"/>
            <w:noWrap/>
            <w:hideMark/>
          </w:tcPr>
          <w:p w14:paraId="53A17535" w14:textId="77777777" w:rsidR="00935749" w:rsidRPr="00935749" w:rsidRDefault="00935749" w:rsidP="00935749">
            <w:pPr>
              <w:spacing w:line="240" w:lineRule="auto"/>
              <w:ind w:firstLine="0"/>
              <w:jc w:val="center"/>
            </w:pPr>
            <w:r w:rsidRPr="00935749">
              <w:t>1.836379</w:t>
            </w:r>
          </w:p>
        </w:tc>
      </w:tr>
      <w:tr w:rsidR="00935749" w:rsidRPr="00935749" w14:paraId="41532458" w14:textId="77777777" w:rsidTr="00935749">
        <w:trPr>
          <w:trHeight w:val="300"/>
          <w:jc w:val="center"/>
        </w:trPr>
        <w:tc>
          <w:tcPr>
            <w:tcW w:w="2122" w:type="dxa"/>
            <w:noWrap/>
            <w:hideMark/>
          </w:tcPr>
          <w:p w14:paraId="2ED212CF" w14:textId="77777777" w:rsidR="00935749" w:rsidRPr="00935749" w:rsidRDefault="00935749" w:rsidP="00935749">
            <w:pPr>
              <w:spacing w:line="240" w:lineRule="auto"/>
              <w:ind w:firstLine="0"/>
              <w:jc w:val="center"/>
            </w:pPr>
            <w:r w:rsidRPr="00935749">
              <w:t>6</w:t>
            </w:r>
          </w:p>
        </w:tc>
        <w:tc>
          <w:tcPr>
            <w:tcW w:w="3260" w:type="dxa"/>
            <w:noWrap/>
            <w:hideMark/>
          </w:tcPr>
          <w:p w14:paraId="4C284E5D" w14:textId="77777777" w:rsidR="00935749" w:rsidRPr="00935749" w:rsidRDefault="00935749" w:rsidP="00935749">
            <w:pPr>
              <w:spacing w:line="240" w:lineRule="auto"/>
              <w:ind w:firstLine="0"/>
              <w:jc w:val="center"/>
            </w:pPr>
            <w:r w:rsidRPr="00935749">
              <w:t>1.770064</w:t>
            </w:r>
          </w:p>
        </w:tc>
      </w:tr>
      <w:tr w:rsidR="00935749" w:rsidRPr="00935749" w14:paraId="6E29967F" w14:textId="77777777" w:rsidTr="00935749">
        <w:trPr>
          <w:trHeight w:val="300"/>
          <w:jc w:val="center"/>
        </w:trPr>
        <w:tc>
          <w:tcPr>
            <w:tcW w:w="2122" w:type="dxa"/>
            <w:noWrap/>
            <w:hideMark/>
          </w:tcPr>
          <w:p w14:paraId="2DA626A7" w14:textId="77777777" w:rsidR="00935749" w:rsidRPr="00935749" w:rsidRDefault="00935749" w:rsidP="00935749">
            <w:pPr>
              <w:spacing w:line="240" w:lineRule="auto"/>
              <w:ind w:firstLine="0"/>
              <w:jc w:val="center"/>
            </w:pPr>
            <w:r w:rsidRPr="00935749">
              <w:t>7</w:t>
            </w:r>
          </w:p>
        </w:tc>
        <w:tc>
          <w:tcPr>
            <w:tcW w:w="3260" w:type="dxa"/>
            <w:noWrap/>
            <w:hideMark/>
          </w:tcPr>
          <w:p w14:paraId="5A25909C" w14:textId="77777777" w:rsidR="00935749" w:rsidRPr="00935749" w:rsidRDefault="00935749" w:rsidP="00935749">
            <w:pPr>
              <w:spacing w:line="240" w:lineRule="auto"/>
              <w:ind w:firstLine="0"/>
              <w:jc w:val="center"/>
            </w:pPr>
            <w:r w:rsidRPr="00935749">
              <w:t>1.712145</w:t>
            </w:r>
          </w:p>
        </w:tc>
      </w:tr>
      <w:tr w:rsidR="00935749" w:rsidRPr="00935749" w14:paraId="4EE42858" w14:textId="77777777" w:rsidTr="00935749">
        <w:trPr>
          <w:trHeight w:val="300"/>
          <w:jc w:val="center"/>
        </w:trPr>
        <w:tc>
          <w:tcPr>
            <w:tcW w:w="2122" w:type="dxa"/>
            <w:noWrap/>
            <w:hideMark/>
          </w:tcPr>
          <w:p w14:paraId="4C7F8092" w14:textId="77777777" w:rsidR="00935749" w:rsidRPr="00935749" w:rsidRDefault="00935749" w:rsidP="00935749">
            <w:pPr>
              <w:spacing w:line="240" w:lineRule="auto"/>
              <w:ind w:firstLine="0"/>
              <w:jc w:val="center"/>
            </w:pPr>
            <w:r w:rsidRPr="00935749">
              <w:t>8</w:t>
            </w:r>
          </w:p>
        </w:tc>
        <w:tc>
          <w:tcPr>
            <w:tcW w:w="3260" w:type="dxa"/>
            <w:noWrap/>
            <w:hideMark/>
          </w:tcPr>
          <w:p w14:paraId="52743362" w14:textId="77777777" w:rsidR="00935749" w:rsidRPr="00935749" w:rsidRDefault="00935749" w:rsidP="00935749">
            <w:pPr>
              <w:spacing w:line="240" w:lineRule="auto"/>
              <w:ind w:firstLine="0"/>
              <w:jc w:val="center"/>
            </w:pPr>
            <w:r w:rsidRPr="00935749">
              <w:t>1.655109</w:t>
            </w:r>
          </w:p>
        </w:tc>
      </w:tr>
      <w:tr w:rsidR="00935749" w:rsidRPr="00935749" w14:paraId="02B4C67E" w14:textId="77777777" w:rsidTr="00935749">
        <w:trPr>
          <w:trHeight w:val="300"/>
          <w:jc w:val="center"/>
        </w:trPr>
        <w:tc>
          <w:tcPr>
            <w:tcW w:w="2122" w:type="dxa"/>
            <w:noWrap/>
            <w:hideMark/>
          </w:tcPr>
          <w:p w14:paraId="21EC8778" w14:textId="77777777" w:rsidR="00935749" w:rsidRPr="00935749" w:rsidRDefault="00935749" w:rsidP="00935749">
            <w:pPr>
              <w:spacing w:line="240" w:lineRule="auto"/>
              <w:ind w:firstLine="0"/>
              <w:jc w:val="center"/>
            </w:pPr>
            <w:r w:rsidRPr="00935749">
              <w:t>9</w:t>
            </w:r>
          </w:p>
        </w:tc>
        <w:tc>
          <w:tcPr>
            <w:tcW w:w="3260" w:type="dxa"/>
            <w:noWrap/>
            <w:hideMark/>
          </w:tcPr>
          <w:p w14:paraId="0A15D5B9" w14:textId="77777777" w:rsidR="00935749" w:rsidRPr="00935749" w:rsidRDefault="00935749" w:rsidP="00935749">
            <w:pPr>
              <w:spacing w:line="240" w:lineRule="auto"/>
              <w:ind w:firstLine="0"/>
              <w:jc w:val="center"/>
            </w:pPr>
            <w:r w:rsidRPr="00935749">
              <w:t>1.596928</w:t>
            </w:r>
          </w:p>
        </w:tc>
      </w:tr>
      <w:tr w:rsidR="00935749" w:rsidRPr="00935749" w14:paraId="2304FB8F" w14:textId="77777777" w:rsidTr="00935749">
        <w:trPr>
          <w:trHeight w:val="300"/>
          <w:jc w:val="center"/>
        </w:trPr>
        <w:tc>
          <w:tcPr>
            <w:tcW w:w="2122" w:type="dxa"/>
            <w:noWrap/>
            <w:hideMark/>
          </w:tcPr>
          <w:p w14:paraId="6C2F90A9" w14:textId="77777777" w:rsidR="00935749" w:rsidRPr="00935749" w:rsidRDefault="00935749" w:rsidP="00935749">
            <w:pPr>
              <w:spacing w:line="240" w:lineRule="auto"/>
              <w:ind w:firstLine="0"/>
              <w:jc w:val="center"/>
            </w:pPr>
            <w:r w:rsidRPr="00935749">
              <w:t>10</w:t>
            </w:r>
          </w:p>
        </w:tc>
        <w:tc>
          <w:tcPr>
            <w:tcW w:w="3260" w:type="dxa"/>
            <w:noWrap/>
            <w:hideMark/>
          </w:tcPr>
          <w:p w14:paraId="77CD88C6" w14:textId="77777777" w:rsidR="00935749" w:rsidRPr="00935749" w:rsidRDefault="00935749" w:rsidP="00935749">
            <w:pPr>
              <w:spacing w:line="240" w:lineRule="auto"/>
              <w:ind w:firstLine="0"/>
              <w:jc w:val="center"/>
            </w:pPr>
            <w:r w:rsidRPr="00935749">
              <w:t>1.540265</w:t>
            </w:r>
          </w:p>
        </w:tc>
      </w:tr>
      <w:tr w:rsidR="00935749" w:rsidRPr="00935749" w14:paraId="6186D7A5" w14:textId="77777777" w:rsidTr="00935749">
        <w:trPr>
          <w:trHeight w:val="300"/>
          <w:jc w:val="center"/>
        </w:trPr>
        <w:tc>
          <w:tcPr>
            <w:tcW w:w="2122" w:type="dxa"/>
            <w:noWrap/>
            <w:hideMark/>
          </w:tcPr>
          <w:p w14:paraId="11335885" w14:textId="77777777" w:rsidR="00935749" w:rsidRPr="00935749" w:rsidRDefault="00935749" w:rsidP="00935749">
            <w:pPr>
              <w:spacing w:line="240" w:lineRule="auto"/>
              <w:ind w:firstLine="0"/>
              <w:jc w:val="center"/>
            </w:pPr>
            <w:r w:rsidRPr="00935749">
              <w:t>11</w:t>
            </w:r>
          </w:p>
        </w:tc>
        <w:tc>
          <w:tcPr>
            <w:tcW w:w="3260" w:type="dxa"/>
            <w:noWrap/>
            <w:hideMark/>
          </w:tcPr>
          <w:p w14:paraId="79D7A94D" w14:textId="77777777" w:rsidR="00935749" w:rsidRPr="00935749" w:rsidRDefault="00935749" w:rsidP="00935749">
            <w:pPr>
              <w:spacing w:line="240" w:lineRule="auto"/>
              <w:ind w:firstLine="0"/>
              <w:jc w:val="center"/>
            </w:pPr>
            <w:r w:rsidRPr="00935749">
              <w:t>1.484307</w:t>
            </w:r>
          </w:p>
        </w:tc>
      </w:tr>
      <w:tr w:rsidR="00935749" w:rsidRPr="00935749" w14:paraId="496E19B3" w14:textId="77777777" w:rsidTr="00935749">
        <w:trPr>
          <w:trHeight w:val="300"/>
          <w:jc w:val="center"/>
        </w:trPr>
        <w:tc>
          <w:tcPr>
            <w:tcW w:w="2122" w:type="dxa"/>
            <w:noWrap/>
            <w:hideMark/>
          </w:tcPr>
          <w:p w14:paraId="0D0BCBB5" w14:textId="77777777" w:rsidR="00935749" w:rsidRPr="00935749" w:rsidRDefault="00935749" w:rsidP="00935749">
            <w:pPr>
              <w:spacing w:line="240" w:lineRule="auto"/>
              <w:ind w:firstLine="0"/>
              <w:jc w:val="center"/>
            </w:pPr>
            <w:r w:rsidRPr="00935749">
              <w:t>12</w:t>
            </w:r>
          </w:p>
        </w:tc>
        <w:tc>
          <w:tcPr>
            <w:tcW w:w="3260" w:type="dxa"/>
            <w:noWrap/>
            <w:hideMark/>
          </w:tcPr>
          <w:p w14:paraId="18928E69" w14:textId="77777777" w:rsidR="00935749" w:rsidRPr="00935749" w:rsidRDefault="00935749" w:rsidP="00935749">
            <w:pPr>
              <w:spacing w:line="240" w:lineRule="auto"/>
              <w:ind w:firstLine="0"/>
              <w:jc w:val="center"/>
            </w:pPr>
            <w:r w:rsidRPr="00935749">
              <w:t>1.426558</w:t>
            </w:r>
          </w:p>
        </w:tc>
      </w:tr>
      <w:tr w:rsidR="00935749" w:rsidRPr="00935749" w14:paraId="43A8860C" w14:textId="77777777" w:rsidTr="00935749">
        <w:trPr>
          <w:trHeight w:val="300"/>
          <w:jc w:val="center"/>
        </w:trPr>
        <w:tc>
          <w:tcPr>
            <w:tcW w:w="2122" w:type="dxa"/>
            <w:noWrap/>
            <w:hideMark/>
          </w:tcPr>
          <w:p w14:paraId="1FDCD3C7" w14:textId="77777777" w:rsidR="00935749" w:rsidRPr="00935749" w:rsidRDefault="00935749" w:rsidP="00935749">
            <w:pPr>
              <w:spacing w:line="240" w:lineRule="auto"/>
              <w:ind w:firstLine="0"/>
              <w:jc w:val="center"/>
            </w:pPr>
            <w:r w:rsidRPr="00935749">
              <w:t>13</w:t>
            </w:r>
          </w:p>
        </w:tc>
        <w:tc>
          <w:tcPr>
            <w:tcW w:w="3260" w:type="dxa"/>
            <w:noWrap/>
            <w:hideMark/>
          </w:tcPr>
          <w:p w14:paraId="75B53469" w14:textId="77777777" w:rsidR="00935749" w:rsidRPr="00935749" w:rsidRDefault="00935749" w:rsidP="00935749">
            <w:pPr>
              <w:spacing w:line="240" w:lineRule="auto"/>
              <w:ind w:firstLine="0"/>
              <w:jc w:val="center"/>
            </w:pPr>
            <w:r w:rsidRPr="00935749">
              <w:t>1.372726</w:t>
            </w:r>
          </w:p>
        </w:tc>
      </w:tr>
      <w:tr w:rsidR="00935749" w:rsidRPr="00935749" w14:paraId="3576EE2B" w14:textId="77777777" w:rsidTr="00935749">
        <w:trPr>
          <w:trHeight w:val="300"/>
          <w:jc w:val="center"/>
        </w:trPr>
        <w:tc>
          <w:tcPr>
            <w:tcW w:w="2122" w:type="dxa"/>
            <w:noWrap/>
            <w:hideMark/>
          </w:tcPr>
          <w:p w14:paraId="332B5566" w14:textId="77777777" w:rsidR="00935749" w:rsidRPr="00935749" w:rsidRDefault="00935749" w:rsidP="00935749">
            <w:pPr>
              <w:spacing w:line="240" w:lineRule="auto"/>
              <w:ind w:firstLine="0"/>
              <w:jc w:val="center"/>
            </w:pPr>
            <w:r w:rsidRPr="00935749">
              <w:t>14</w:t>
            </w:r>
          </w:p>
        </w:tc>
        <w:tc>
          <w:tcPr>
            <w:tcW w:w="3260" w:type="dxa"/>
            <w:noWrap/>
            <w:hideMark/>
          </w:tcPr>
          <w:p w14:paraId="2077F822" w14:textId="77777777" w:rsidR="00935749" w:rsidRPr="00935749" w:rsidRDefault="00935749" w:rsidP="00935749">
            <w:pPr>
              <w:spacing w:line="240" w:lineRule="auto"/>
              <w:ind w:firstLine="0"/>
              <w:jc w:val="center"/>
            </w:pPr>
            <w:r w:rsidRPr="00935749">
              <w:t>1.323732</w:t>
            </w:r>
          </w:p>
        </w:tc>
      </w:tr>
      <w:tr w:rsidR="00935749" w:rsidRPr="00935749" w14:paraId="425C8AB9" w14:textId="77777777" w:rsidTr="00935749">
        <w:trPr>
          <w:trHeight w:val="300"/>
          <w:jc w:val="center"/>
        </w:trPr>
        <w:tc>
          <w:tcPr>
            <w:tcW w:w="2122" w:type="dxa"/>
            <w:noWrap/>
            <w:hideMark/>
          </w:tcPr>
          <w:p w14:paraId="2E9BBBD8" w14:textId="77777777" w:rsidR="00935749" w:rsidRPr="00935749" w:rsidRDefault="00935749" w:rsidP="00935749">
            <w:pPr>
              <w:spacing w:line="240" w:lineRule="auto"/>
              <w:ind w:firstLine="0"/>
              <w:jc w:val="center"/>
            </w:pPr>
            <w:r w:rsidRPr="00935749">
              <w:t>15</w:t>
            </w:r>
          </w:p>
        </w:tc>
        <w:tc>
          <w:tcPr>
            <w:tcW w:w="3260" w:type="dxa"/>
            <w:noWrap/>
            <w:hideMark/>
          </w:tcPr>
          <w:p w14:paraId="2782073E" w14:textId="77777777" w:rsidR="00935749" w:rsidRPr="00935749" w:rsidRDefault="00935749" w:rsidP="00935749">
            <w:pPr>
              <w:spacing w:line="240" w:lineRule="auto"/>
              <w:ind w:firstLine="0"/>
              <w:jc w:val="center"/>
            </w:pPr>
            <w:r w:rsidRPr="00935749">
              <w:t>1.277891</w:t>
            </w:r>
          </w:p>
        </w:tc>
      </w:tr>
      <w:tr w:rsidR="00935749" w:rsidRPr="00935749" w14:paraId="23DF1D44" w14:textId="77777777" w:rsidTr="00935749">
        <w:trPr>
          <w:trHeight w:val="300"/>
          <w:jc w:val="center"/>
        </w:trPr>
        <w:tc>
          <w:tcPr>
            <w:tcW w:w="2122" w:type="dxa"/>
            <w:noWrap/>
            <w:hideMark/>
          </w:tcPr>
          <w:p w14:paraId="7342B3B2" w14:textId="77777777" w:rsidR="00935749" w:rsidRPr="00935749" w:rsidRDefault="00935749" w:rsidP="00935749">
            <w:pPr>
              <w:spacing w:line="240" w:lineRule="auto"/>
              <w:ind w:firstLine="0"/>
              <w:jc w:val="center"/>
            </w:pPr>
            <w:r w:rsidRPr="00935749">
              <w:t>16</w:t>
            </w:r>
          </w:p>
        </w:tc>
        <w:tc>
          <w:tcPr>
            <w:tcW w:w="3260" w:type="dxa"/>
            <w:noWrap/>
            <w:hideMark/>
          </w:tcPr>
          <w:p w14:paraId="60F4A15B" w14:textId="77777777" w:rsidR="00935749" w:rsidRPr="00935749" w:rsidRDefault="00935749" w:rsidP="00935749">
            <w:pPr>
              <w:spacing w:line="240" w:lineRule="auto"/>
              <w:ind w:firstLine="0"/>
              <w:jc w:val="center"/>
            </w:pPr>
            <w:r w:rsidRPr="00935749">
              <w:t>1.234237</w:t>
            </w:r>
          </w:p>
        </w:tc>
      </w:tr>
      <w:tr w:rsidR="00935749" w:rsidRPr="00935749" w14:paraId="1209ACCD" w14:textId="77777777" w:rsidTr="00935749">
        <w:trPr>
          <w:trHeight w:val="300"/>
          <w:jc w:val="center"/>
        </w:trPr>
        <w:tc>
          <w:tcPr>
            <w:tcW w:w="2122" w:type="dxa"/>
            <w:noWrap/>
            <w:hideMark/>
          </w:tcPr>
          <w:p w14:paraId="4172812F" w14:textId="77777777" w:rsidR="00935749" w:rsidRPr="00935749" w:rsidRDefault="00935749" w:rsidP="00935749">
            <w:pPr>
              <w:spacing w:line="240" w:lineRule="auto"/>
              <w:ind w:firstLine="0"/>
              <w:jc w:val="center"/>
            </w:pPr>
            <w:r w:rsidRPr="00935749">
              <w:t>17</w:t>
            </w:r>
          </w:p>
        </w:tc>
        <w:tc>
          <w:tcPr>
            <w:tcW w:w="3260" w:type="dxa"/>
            <w:noWrap/>
            <w:hideMark/>
          </w:tcPr>
          <w:p w14:paraId="60D2CCDA" w14:textId="77777777" w:rsidR="00935749" w:rsidRPr="00935749" w:rsidRDefault="00935749" w:rsidP="00935749">
            <w:pPr>
              <w:spacing w:line="240" w:lineRule="auto"/>
              <w:ind w:firstLine="0"/>
              <w:jc w:val="center"/>
            </w:pPr>
            <w:r w:rsidRPr="00935749">
              <w:t>1.192138</w:t>
            </w:r>
          </w:p>
        </w:tc>
      </w:tr>
      <w:tr w:rsidR="00935749" w:rsidRPr="00935749" w14:paraId="6264989C" w14:textId="77777777" w:rsidTr="00935749">
        <w:trPr>
          <w:trHeight w:val="300"/>
          <w:jc w:val="center"/>
        </w:trPr>
        <w:tc>
          <w:tcPr>
            <w:tcW w:w="2122" w:type="dxa"/>
            <w:noWrap/>
            <w:hideMark/>
          </w:tcPr>
          <w:p w14:paraId="1836F3A4" w14:textId="77777777" w:rsidR="00935749" w:rsidRPr="00935749" w:rsidRDefault="00935749" w:rsidP="00935749">
            <w:pPr>
              <w:spacing w:line="240" w:lineRule="auto"/>
              <w:ind w:firstLine="0"/>
              <w:jc w:val="center"/>
            </w:pPr>
            <w:r w:rsidRPr="00935749">
              <w:t>18</w:t>
            </w:r>
          </w:p>
        </w:tc>
        <w:tc>
          <w:tcPr>
            <w:tcW w:w="3260" w:type="dxa"/>
            <w:noWrap/>
            <w:hideMark/>
          </w:tcPr>
          <w:p w14:paraId="0F2D92C7" w14:textId="77777777" w:rsidR="00935749" w:rsidRPr="00935749" w:rsidRDefault="00935749" w:rsidP="00935749">
            <w:pPr>
              <w:spacing w:line="240" w:lineRule="auto"/>
              <w:ind w:firstLine="0"/>
              <w:jc w:val="center"/>
            </w:pPr>
            <w:r w:rsidRPr="00935749">
              <w:t>1.152995</w:t>
            </w:r>
          </w:p>
        </w:tc>
      </w:tr>
      <w:tr w:rsidR="00935749" w:rsidRPr="00935749" w14:paraId="1301EA61" w14:textId="77777777" w:rsidTr="00935749">
        <w:trPr>
          <w:trHeight w:val="300"/>
          <w:jc w:val="center"/>
        </w:trPr>
        <w:tc>
          <w:tcPr>
            <w:tcW w:w="2122" w:type="dxa"/>
            <w:noWrap/>
            <w:hideMark/>
          </w:tcPr>
          <w:p w14:paraId="483F7AFA" w14:textId="77777777" w:rsidR="00935749" w:rsidRPr="00935749" w:rsidRDefault="00935749" w:rsidP="00935749">
            <w:pPr>
              <w:spacing w:line="240" w:lineRule="auto"/>
              <w:ind w:firstLine="0"/>
              <w:jc w:val="center"/>
            </w:pPr>
            <w:r w:rsidRPr="00935749">
              <w:t>19</w:t>
            </w:r>
          </w:p>
        </w:tc>
        <w:tc>
          <w:tcPr>
            <w:tcW w:w="3260" w:type="dxa"/>
            <w:noWrap/>
            <w:hideMark/>
          </w:tcPr>
          <w:p w14:paraId="465DAEA6" w14:textId="77777777" w:rsidR="00935749" w:rsidRPr="00935749" w:rsidRDefault="00935749" w:rsidP="00935749">
            <w:pPr>
              <w:spacing w:line="240" w:lineRule="auto"/>
              <w:ind w:firstLine="0"/>
              <w:jc w:val="center"/>
            </w:pPr>
            <w:r w:rsidRPr="00935749">
              <w:t>1.113561</w:t>
            </w:r>
          </w:p>
        </w:tc>
      </w:tr>
      <w:tr w:rsidR="00935749" w:rsidRPr="00935749" w14:paraId="655EB4B5" w14:textId="77777777" w:rsidTr="00935749">
        <w:trPr>
          <w:trHeight w:val="300"/>
          <w:jc w:val="center"/>
        </w:trPr>
        <w:tc>
          <w:tcPr>
            <w:tcW w:w="2122" w:type="dxa"/>
            <w:noWrap/>
            <w:hideMark/>
          </w:tcPr>
          <w:p w14:paraId="4B893712" w14:textId="77777777" w:rsidR="00935749" w:rsidRPr="00935749" w:rsidRDefault="00935749" w:rsidP="00935749">
            <w:pPr>
              <w:spacing w:line="240" w:lineRule="auto"/>
              <w:ind w:firstLine="0"/>
              <w:jc w:val="center"/>
            </w:pPr>
            <w:r w:rsidRPr="00935749">
              <w:t>20</w:t>
            </w:r>
          </w:p>
        </w:tc>
        <w:tc>
          <w:tcPr>
            <w:tcW w:w="3260" w:type="dxa"/>
            <w:noWrap/>
            <w:hideMark/>
          </w:tcPr>
          <w:p w14:paraId="6A129157" w14:textId="77777777" w:rsidR="00935749" w:rsidRPr="00935749" w:rsidRDefault="00935749" w:rsidP="00935749">
            <w:pPr>
              <w:spacing w:line="240" w:lineRule="auto"/>
              <w:ind w:firstLine="0"/>
              <w:jc w:val="center"/>
            </w:pPr>
            <w:r w:rsidRPr="00935749">
              <w:t>1.08046</w:t>
            </w:r>
          </w:p>
        </w:tc>
      </w:tr>
      <w:tr w:rsidR="00935749" w:rsidRPr="00935749" w14:paraId="541CC00A" w14:textId="77777777" w:rsidTr="00935749">
        <w:trPr>
          <w:trHeight w:val="300"/>
          <w:jc w:val="center"/>
        </w:trPr>
        <w:tc>
          <w:tcPr>
            <w:tcW w:w="2122" w:type="dxa"/>
            <w:noWrap/>
            <w:hideMark/>
          </w:tcPr>
          <w:p w14:paraId="7D47787D" w14:textId="77777777" w:rsidR="00935749" w:rsidRPr="00935749" w:rsidRDefault="00935749" w:rsidP="00935749">
            <w:pPr>
              <w:spacing w:line="240" w:lineRule="auto"/>
              <w:ind w:firstLine="0"/>
              <w:jc w:val="center"/>
            </w:pPr>
            <w:r w:rsidRPr="00935749">
              <w:t>21</w:t>
            </w:r>
          </w:p>
        </w:tc>
        <w:tc>
          <w:tcPr>
            <w:tcW w:w="3260" w:type="dxa"/>
            <w:noWrap/>
            <w:hideMark/>
          </w:tcPr>
          <w:p w14:paraId="39E65377" w14:textId="77777777" w:rsidR="00935749" w:rsidRPr="00935749" w:rsidRDefault="00935749" w:rsidP="00935749">
            <w:pPr>
              <w:spacing w:line="240" w:lineRule="auto"/>
              <w:ind w:firstLine="0"/>
              <w:jc w:val="center"/>
            </w:pPr>
            <w:r w:rsidRPr="00935749">
              <w:t>1.048425</w:t>
            </w:r>
          </w:p>
        </w:tc>
      </w:tr>
      <w:tr w:rsidR="00935749" w:rsidRPr="00935749" w14:paraId="012D5E6B" w14:textId="77777777" w:rsidTr="00935749">
        <w:trPr>
          <w:trHeight w:val="300"/>
          <w:jc w:val="center"/>
        </w:trPr>
        <w:tc>
          <w:tcPr>
            <w:tcW w:w="2122" w:type="dxa"/>
            <w:noWrap/>
            <w:hideMark/>
          </w:tcPr>
          <w:p w14:paraId="6E00283B" w14:textId="77777777" w:rsidR="00935749" w:rsidRPr="00935749" w:rsidRDefault="00935749" w:rsidP="00935749">
            <w:pPr>
              <w:spacing w:line="240" w:lineRule="auto"/>
              <w:ind w:firstLine="0"/>
              <w:jc w:val="center"/>
            </w:pPr>
            <w:r w:rsidRPr="00935749">
              <w:t>22</w:t>
            </w:r>
          </w:p>
        </w:tc>
        <w:tc>
          <w:tcPr>
            <w:tcW w:w="3260" w:type="dxa"/>
            <w:noWrap/>
            <w:hideMark/>
          </w:tcPr>
          <w:p w14:paraId="17144F28" w14:textId="77777777" w:rsidR="00935749" w:rsidRPr="00935749" w:rsidRDefault="00935749" w:rsidP="00935749">
            <w:pPr>
              <w:spacing w:line="240" w:lineRule="auto"/>
              <w:ind w:firstLine="0"/>
              <w:jc w:val="center"/>
            </w:pPr>
            <w:r w:rsidRPr="00935749">
              <w:t>1.017445</w:t>
            </w:r>
          </w:p>
        </w:tc>
      </w:tr>
      <w:tr w:rsidR="00935749" w:rsidRPr="00935749" w14:paraId="09643E43" w14:textId="77777777" w:rsidTr="00935749">
        <w:trPr>
          <w:trHeight w:val="300"/>
          <w:jc w:val="center"/>
        </w:trPr>
        <w:tc>
          <w:tcPr>
            <w:tcW w:w="2122" w:type="dxa"/>
            <w:noWrap/>
            <w:hideMark/>
          </w:tcPr>
          <w:p w14:paraId="448BDAC7" w14:textId="77777777" w:rsidR="00935749" w:rsidRPr="00935749" w:rsidRDefault="00935749" w:rsidP="00935749">
            <w:pPr>
              <w:spacing w:line="240" w:lineRule="auto"/>
              <w:ind w:firstLine="0"/>
              <w:jc w:val="center"/>
            </w:pPr>
            <w:r w:rsidRPr="00935749">
              <w:t>23</w:t>
            </w:r>
          </w:p>
        </w:tc>
        <w:tc>
          <w:tcPr>
            <w:tcW w:w="3260" w:type="dxa"/>
            <w:noWrap/>
            <w:hideMark/>
          </w:tcPr>
          <w:p w14:paraId="4454EF11" w14:textId="77777777" w:rsidR="00935749" w:rsidRPr="00935749" w:rsidRDefault="00935749" w:rsidP="00935749">
            <w:pPr>
              <w:spacing w:line="240" w:lineRule="auto"/>
              <w:ind w:firstLine="0"/>
              <w:jc w:val="center"/>
            </w:pPr>
            <w:r w:rsidRPr="00935749">
              <w:t>0.990703</w:t>
            </w:r>
          </w:p>
        </w:tc>
      </w:tr>
      <w:tr w:rsidR="00935749" w:rsidRPr="00935749" w14:paraId="66D766DF" w14:textId="77777777" w:rsidTr="00935749">
        <w:trPr>
          <w:trHeight w:val="300"/>
          <w:jc w:val="center"/>
        </w:trPr>
        <w:tc>
          <w:tcPr>
            <w:tcW w:w="2122" w:type="dxa"/>
            <w:noWrap/>
            <w:hideMark/>
          </w:tcPr>
          <w:p w14:paraId="65B55712" w14:textId="77777777" w:rsidR="00935749" w:rsidRPr="00935749" w:rsidRDefault="00935749" w:rsidP="00935749">
            <w:pPr>
              <w:spacing w:line="240" w:lineRule="auto"/>
              <w:ind w:firstLine="0"/>
              <w:jc w:val="center"/>
            </w:pPr>
            <w:r w:rsidRPr="00935749">
              <w:t>24</w:t>
            </w:r>
          </w:p>
        </w:tc>
        <w:tc>
          <w:tcPr>
            <w:tcW w:w="3260" w:type="dxa"/>
            <w:noWrap/>
            <w:hideMark/>
          </w:tcPr>
          <w:p w14:paraId="78DA395C" w14:textId="77777777" w:rsidR="00935749" w:rsidRPr="00935749" w:rsidRDefault="00935749" w:rsidP="00935749">
            <w:pPr>
              <w:spacing w:line="240" w:lineRule="auto"/>
              <w:ind w:firstLine="0"/>
              <w:jc w:val="center"/>
            </w:pPr>
            <w:r w:rsidRPr="00935749">
              <w:t>0.965785</w:t>
            </w:r>
          </w:p>
        </w:tc>
      </w:tr>
      <w:tr w:rsidR="00935749" w:rsidRPr="00935749" w14:paraId="583D3861" w14:textId="77777777" w:rsidTr="00935749">
        <w:trPr>
          <w:trHeight w:val="300"/>
          <w:jc w:val="center"/>
        </w:trPr>
        <w:tc>
          <w:tcPr>
            <w:tcW w:w="2122" w:type="dxa"/>
            <w:noWrap/>
            <w:hideMark/>
          </w:tcPr>
          <w:p w14:paraId="70925AF1" w14:textId="77777777" w:rsidR="00935749" w:rsidRPr="00935749" w:rsidRDefault="00935749" w:rsidP="00935749">
            <w:pPr>
              <w:spacing w:line="240" w:lineRule="auto"/>
              <w:ind w:firstLine="0"/>
              <w:jc w:val="center"/>
            </w:pPr>
            <w:r w:rsidRPr="00935749">
              <w:t>25</w:t>
            </w:r>
          </w:p>
        </w:tc>
        <w:tc>
          <w:tcPr>
            <w:tcW w:w="3260" w:type="dxa"/>
            <w:noWrap/>
            <w:hideMark/>
          </w:tcPr>
          <w:p w14:paraId="39B7B8E7" w14:textId="77777777" w:rsidR="00935749" w:rsidRPr="00935749" w:rsidRDefault="00935749" w:rsidP="00935749">
            <w:pPr>
              <w:spacing w:line="240" w:lineRule="auto"/>
              <w:ind w:firstLine="0"/>
              <w:jc w:val="center"/>
            </w:pPr>
            <w:r w:rsidRPr="00935749">
              <w:t>0.946017</w:t>
            </w:r>
          </w:p>
        </w:tc>
      </w:tr>
      <w:tr w:rsidR="00935749" w:rsidRPr="00935749" w14:paraId="45939B20" w14:textId="77777777" w:rsidTr="00935749">
        <w:trPr>
          <w:trHeight w:val="300"/>
          <w:jc w:val="center"/>
        </w:trPr>
        <w:tc>
          <w:tcPr>
            <w:tcW w:w="2122" w:type="dxa"/>
            <w:noWrap/>
            <w:hideMark/>
          </w:tcPr>
          <w:p w14:paraId="3FA8BF80" w14:textId="77777777" w:rsidR="00935749" w:rsidRPr="00935749" w:rsidRDefault="00935749" w:rsidP="00935749">
            <w:pPr>
              <w:spacing w:line="240" w:lineRule="auto"/>
              <w:ind w:firstLine="0"/>
              <w:jc w:val="center"/>
            </w:pPr>
            <w:r w:rsidRPr="00935749">
              <w:t>26</w:t>
            </w:r>
          </w:p>
        </w:tc>
        <w:tc>
          <w:tcPr>
            <w:tcW w:w="3260" w:type="dxa"/>
            <w:noWrap/>
            <w:hideMark/>
          </w:tcPr>
          <w:p w14:paraId="47C7584F" w14:textId="77777777" w:rsidR="00935749" w:rsidRPr="00935749" w:rsidRDefault="00935749" w:rsidP="00935749">
            <w:pPr>
              <w:spacing w:line="240" w:lineRule="auto"/>
              <w:ind w:firstLine="0"/>
              <w:jc w:val="center"/>
            </w:pPr>
            <w:r w:rsidRPr="00935749">
              <w:t>0.925814</w:t>
            </w:r>
          </w:p>
        </w:tc>
      </w:tr>
      <w:tr w:rsidR="00935749" w:rsidRPr="00935749" w14:paraId="211D4201" w14:textId="77777777" w:rsidTr="00935749">
        <w:trPr>
          <w:trHeight w:val="300"/>
          <w:jc w:val="center"/>
        </w:trPr>
        <w:tc>
          <w:tcPr>
            <w:tcW w:w="2122" w:type="dxa"/>
            <w:noWrap/>
            <w:hideMark/>
          </w:tcPr>
          <w:p w14:paraId="4AB2FEF4" w14:textId="77777777" w:rsidR="00935749" w:rsidRPr="00935749" w:rsidRDefault="00935749" w:rsidP="00935749">
            <w:pPr>
              <w:spacing w:line="240" w:lineRule="auto"/>
              <w:ind w:firstLine="0"/>
              <w:jc w:val="center"/>
            </w:pPr>
            <w:r w:rsidRPr="00935749">
              <w:t>27</w:t>
            </w:r>
          </w:p>
        </w:tc>
        <w:tc>
          <w:tcPr>
            <w:tcW w:w="3260" w:type="dxa"/>
            <w:noWrap/>
            <w:hideMark/>
          </w:tcPr>
          <w:p w14:paraId="4FEBB8CC" w14:textId="77777777" w:rsidR="00935749" w:rsidRPr="00935749" w:rsidRDefault="00935749" w:rsidP="00935749">
            <w:pPr>
              <w:spacing w:line="240" w:lineRule="auto"/>
              <w:ind w:firstLine="0"/>
              <w:jc w:val="center"/>
            </w:pPr>
            <w:r w:rsidRPr="00935749">
              <w:t>0.913064</w:t>
            </w:r>
          </w:p>
        </w:tc>
      </w:tr>
      <w:tr w:rsidR="00935749" w:rsidRPr="00935749" w14:paraId="685E4226" w14:textId="77777777" w:rsidTr="00935749">
        <w:trPr>
          <w:trHeight w:val="300"/>
          <w:jc w:val="center"/>
        </w:trPr>
        <w:tc>
          <w:tcPr>
            <w:tcW w:w="2122" w:type="dxa"/>
            <w:noWrap/>
            <w:hideMark/>
          </w:tcPr>
          <w:p w14:paraId="7A79D64F" w14:textId="77777777" w:rsidR="00935749" w:rsidRPr="00935749" w:rsidRDefault="00935749" w:rsidP="00935749">
            <w:pPr>
              <w:spacing w:line="240" w:lineRule="auto"/>
              <w:ind w:firstLine="0"/>
              <w:jc w:val="center"/>
            </w:pPr>
            <w:r w:rsidRPr="00935749">
              <w:t>28</w:t>
            </w:r>
          </w:p>
        </w:tc>
        <w:tc>
          <w:tcPr>
            <w:tcW w:w="3260" w:type="dxa"/>
            <w:noWrap/>
            <w:hideMark/>
          </w:tcPr>
          <w:p w14:paraId="2F1F8C83" w14:textId="77777777" w:rsidR="00935749" w:rsidRPr="00935749" w:rsidRDefault="00935749" w:rsidP="00935749">
            <w:pPr>
              <w:spacing w:line="240" w:lineRule="auto"/>
              <w:ind w:firstLine="0"/>
              <w:jc w:val="center"/>
            </w:pPr>
            <w:r w:rsidRPr="00935749">
              <w:t>0.90064</w:t>
            </w:r>
          </w:p>
        </w:tc>
      </w:tr>
      <w:tr w:rsidR="00935749" w:rsidRPr="00935749" w14:paraId="2353E72B" w14:textId="77777777" w:rsidTr="00935749">
        <w:trPr>
          <w:trHeight w:val="300"/>
          <w:jc w:val="center"/>
        </w:trPr>
        <w:tc>
          <w:tcPr>
            <w:tcW w:w="2122" w:type="dxa"/>
            <w:noWrap/>
            <w:hideMark/>
          </w:tcPr>
          <w:p w14:paraId="031C8D5E" w14:textId="77777777" w:rsidR="00935749" w:rsidRPr="00935749" w:rsidRDefault="00935749" w:rsidP="00935749">
            <w:pPr>
              <w:spacing w:line="240" w:lineRule="auto"/>
              <w:ind w:firstLine="0"/>
              <w:jc w:val="center"/>
            </w:pPr>
            <w:r w:rsidRPr="00935749">
              <w:t>29</w:t>
            </w:r>
          </w:p>
        </w:tc>
        <w:tc>
          <w:tcPr>
            <w:tcW w:w="3260" w:type="dxa"/>
            <w:noWrap/>
            <w:hideMark/>
          </w:tcPr>
          <w:p w14:paraId="7967EF4A" w14:textId="77777777" w:rsidR="00935749" w:rsidRPr="00935749" w:rsidRDefault="00935749" w:rsidP="00935749">
            <w:pPr>
              <w:spacing w:line="240" w:lineRule="auto"/>
              <w:ind w:firstLine="0"/>
              <w:jc w:val="center"/>
            </w:pPr>
            <w:r w:rsidRPr="00935749">
              <w:t>0.919217</w:t>
            </w:r>
          </w:p>
        </w:tc>
      </w:tr>
      <w:tr w:rsidR="00935749" w:rsidRPr="00935749" w14:paraId="39EB2C72" w14:textId="77777777" w:rsidTr="00935749">
        <w:trPr>
          <w:trHeight w:val="300"/>
          <w:jc w:val="center"/>
        </w:trPr>
        <w:tc>
          <w:tcPr>
            <w:tcW w:w="2122" w:type="dxa"/>
            <w:noWrap/>
            <w:hideMark/>
          </w:tcPr>
          <w:p w14:paraId="64D81BC9" w14:textId="77777777" w:rsidR="00935749" w:rsidRPr="00935749" w:rsidRDefault="00935749" w:rsidP="00935749">
            <w:pPr>
              <w:spacing w:line="240" w:lineRule="auto"/>
              <w:ind w:firstLine="0"/>
              <w:jc w:val="center"/>
            </w:pPr>
            <w:r w:rsidRPr="00935749">
              <w:t>30</w:t>
            </w:r>
          </w:p>
        </w:tc>
        <w:tc>
          <w:tcPr>
            <w:tcW w:w="3260" w:type="dxa"/>
            <w:noWrap/>
            <w:hideMark/>
          </w:tcPr>
          <w:p w14:paraId="51AECC94" w14:textId="77777777" w:rsidR="00935749" w:rsidRPr="00935749" w:rsidRDefault="00935749" w:rsidP="00935749">
            <w:pPr>
              <w:spacing w:line="240" w:lineRule="auto"/>
              <w:ind w:firstLine="0"/>
              <w:jc w:val="center"/>
            </w:pPr>
            <w:r w:rsidRPr="00935749">
              <w:t>0.954508</w:t>
            </w:r>
          </w:p>
        </w:tc>
      </w:tr>
      <w:tr w:rsidR="00935749" w:rsidRPr="00935749" w14:paraId="4D83FD8E" w14:textId="77777777" w:rsidTr="00935749">
        <w:trPr>
          <w:trHeight w:val="300"/>
          <w:jc w:val="center"/>
        </w:trPr>
        <w:tc>
          <w:tcPr>
            <w:tcW w:w="2122" w:type="dxa"/>
            <w:noWrap/>
            <w:hideMark/>
          </w:tcPr>
          <w:p w14:paraId="0E14F3B9" w14:textId="77777777" w:rsidR="00935749" w:rsidRPr="00935749" w:rsidRDefault="00935749" w:rsidP="00935749">
            <w:pPr>
              <w:spacing w:line="240" w:lineRule="auto"/>
              <w:ind w:firstLine="0"/>
              <w:jc w:val="center"/>
            </w:pPr>
            <w:r w:rsidRPr="00935749">
              <w:t>31</w:t>
            </w:r>
          </w:p>
        </w:tc>
        <w:tc>
          <w:tcPr>
            <w:tcW w:w="3260" w:type="dxa"/>
            <w:noWrap/>
            <w:hideMark/>
          </w:tcPr>
          <w:p w14:paraId="54D6BFAC" w14:textId="77777777" w:rsidR="00935749" w:rsidRPr="00935749" w:rsidRDefault="00935749" w:rsidP="00935749">
            <w:pPr>
              <w:spacing w:line="240" w:lineRule="auto"/>
              <w:ind w:firstLine="0"/>
              <w:jc w:val="center"/>
            </w:pPr>
            <w:r w:rsidRPr="00935749">
              <w:t>0.984298</w:t>
            </w:r>
          </w:p>
        </w:tc>
      </w:tr>
      <w:tr w:rsidR="00935749" w:rsidRPr="00935749" w14:paraId="1FCF049C" w14:textId="77777777" w:rsidTr="00935749">
        <w:trPr>
          <w:trHeight w:val="300"/>
          <w:jc w:val="center"/>
        </w:trPr>
        <w:tc>
          <w:tcPr>
            <w:tcW w:w="2122" w:type="dxa"/>
            <w:noWrap/>
            <w:hideMark/>
          </w:tcPr>
          <w:p w14:paraId="5BA302C8" w14:textId="77777777" w:rsidR="00935749" w:rsidRPr="00935749" w:rsidRDefault="00935749" w:rsidP="00935749">
            <w:pPr>
              <w:spacing w:line="240" w:lineRule="auto"/>
              <w:ind w:firstLine="0"/>
              <w:jc w:val="center"/>
            </w:pPr>
            <w:r w:rsidRPr="00935749">
              <w:t>32</w:t>
            </w:r>
          </w:p>
        </w:tc>
        <w:tc>
          <w:tcPr>
            <w:tcW w:w="3260" w:type="dxa"/>
            <w:noWrap/>
            <w:hideMark/>
          </w:tcPr>
          <w:p w14:paraId="17AE9677" w14:textId="77777777" w:rsidR="00935749" w:rsidRPr="00935749" w:rsidRDefault="00935749" w:rsidP="00935749">
            <w:pPr>
              <w:spacing w:line="240" w:lineRule="auto"/>
              <w:ind w:firstLine="0"/>
              <w:jc w:val="center"/>
            </w:pPr>
            <w:r w:rsidRPr="00935749">
              <w:t>1.009864</w:t>
            </w:r>
          </w:p>
        </w:tc>
      </w:tr>
      <w:tr w:rsidR="00935749" w:rsidRPr="00935749" w14:paraId="594BFF75" w14:textId="77777777" w:rsidTr="00935749">
        <w:trPr>
          <w:trHeight w:val="300"/>
          <w:jc w:val="center"/>
        </w:trPr>
        <w:tc>
          <w:tcPr>
            <w:tcW w:w="2122" w:type="dxa"/>
            <w:noWrap/>
            <w:hideMark/>
          </w:tcPr>
          <w:p w14:paraId="63F0A30C" w14:textId="77777777" w:rsidR="00935749" w:rsidRPr="00935749" w:rsidRDefault="00935749" w:rsidP="00935749">
            <w:pPr>
              <w:spacing w:line="240" w:lineRule="auto"/>
              <w:ind w:firstLine="0"/>
              <w:jc w:val="center"/>
            </w:pPr>
            <w:r w:rsidRPr="00935749">
              <w:t>33</w:t>
            </w:r>
          </w:p>
        </w:tc>
        <w:tc>
          <w:tcPr>
            <w:tcW w:w="3260" w:type="dxa"/>
            <w:noWrap/>
            <w:hideMark/>
          </w:tcPr>
          <w:p w14:paraId="21ABDD0D" w14:textId="77777777" w:rsidR="00935749" w:rsidRPr="00935749" w:rsidRDefault="00935749" w:rsidP="00935749">
            <w:pPr>
              <w:spacing w:line="240" w:lineRule="auto"/>
              <w:ind w:firstLine="0"/>
              <w:jc w:val="center"/>
            </w:pPr>
            <w:r w:rsidRPr="00935749">
              <w:t>1.031891</w:t>
            </w:r>
          </w:p>
        </w:tc>
      </w:tr>
      <w:tr w:rsidR="00935749" w:rsidRPr="00935749" w14:paraId="3E41BB99" w14:textId="77777777" w:rsidTr="00935749">
        <w:trPr>
          <w:trHeight w:val="300"/>
          <w:jc w:val="center"/>
        </w:trPr>
        <w:tc>
          <w:tcPr>
            <w:tcW w:w="2122" w:type="dxa"/>
            <w:noWrap/>
            <w:hideMark/>
          </w:tcPr>
          <w:p w14:paraId="53940D22" w14:textId="77777777" w:rsidR="00935749" w:rsidRPr="00935749" w:rsidRDefault="00935749" w:rsidP="00935749">
            <w:pPr>
              <w:spacing w:line="240" w:lineRule="auto"/>
              <w:ind w:firstLine="0"/>
              <w:jc w:val="center"/>
            </w:pPr>
            <w:r w:rsidRPr="00935749">
              <w:t>34</w:t>
            </w:r>
          </w:p>
        </w:tc>
        <w:tc>
          <w:tcPr>
            <w:tcW w:w="3260" w:type="dxa"/>
            <w:noWrap/>
            <w:hideMark/>
          </w:tcPr>
          <w:p w14:paraId="71C8C530" w14:textId="77777777" w:rsidR="00935749" w:rsidRPr="00935749" w:rsidRDefault="00935749" w:rsidP="00935749">
            <w:pPr>
              <w:spacing w:line="240" w:lineRule="auto"/>
              <w:ind w:firstLine="0"/>
              <w:jc w:val="center"/>
            </w:pPr>
            <w:r w:rsidRPr="00935749">
              <w:t>1.051356</w:t>
            </w:r>
          </w:p>
        </w:tc>
      </w:tr>
      <w:tr w:rsidR="00935749" w:rsidRPr="00935749" w14:paraId="42F31FA2" w14:textId="77777777" w:rsidTr="00935749">
        <w:trPr>
          <w:trHeight w:val="300"/>
          <w:jc w:val="center"/>
        </w:trPr>
        <w:tc>
          <w:tcPr>
            <w:tcW w:w="2122" w:type="dxa"/>
            <w:noWrap/>
            <w:hideMark/>
          </w:tcPr>
          <w:p w14:paraId="7AC6AB7A" w14:textId="77777777" w:rsidR="00935749" w:rsidRPr="00935749" w:rsidRDefault="00935749" w:rsidP="00935749">
            <w:pPr>
              <w:spacing w:line="240" w:lineRule="auto"/>
              <w:ind w:firstLine="0"/>
              <w:jc w:val="center"/>
            </w:pPr>
            <w:r w:rsidRPr="00935749">
              <w:t>35</w:t>
            </w:r>
          </w:p>
        </w:tc>
        <w:tc>
          <w:tcPr>
            <w:tcW w:w="3260" w:type="dxa"/>
            <w:noWrap/>
            <w:hideMark/>
          </w:tcPr>
          <w:p w14:paraId="32AD71CA" w14:textId="77777777" w:rsidR="00935749" w:rsidRPr="00935749" w:rsidRDefault="00935749" w:rsidP="00935749">
            <w:pPr>
              <w:spacing w:line="240" w:lineRule="auto"/>
              <w:ind w:firstLine="0"/>
              <w:jc w:val="center"/>
            </w:pPr>
            <w:r w:rsidRPr="00935749">
              <w:t>1.067565</w:t>
            </w:r>
          </w:p>
        </w:tc>
      </w:tr>
      <w:tr w:rsidR="00935749" w:rsidRPr="00935749" w14:paraId="145FFEA7" w14:textId="77777777" w:rsidTr="00935749">
        <w:trPr>
          <w:trHeight w:val="300"/>
          <w:jc w:val="center"/>
        </w:trPr>
        <w:tc>
          <w:tcPr>
            <w:tcW w:w="2122" w:type="dxa"/>
            <w:noWrap/>
            <w:hideMark/>
          </w:tcPr>
          <w:p w14:paraId="04116E1C" w14:textId="77777777" w:rsidR="00935749" w:rsidRPr="00935749" w:rsidRDefault="00935749" w:rsidP="00935749">
            <w:pPr>
              <w:spacing w:line="240" w:lineRule="auto"/>
              <w:ind w:firstLine="0"/>
              <w:jc w:val="center"/>
            </w:pPr>
            <w:r w:rsidRPr="00935749">
              <w:t>36</w:t>
            </w:r>
          </w:p>
        </w:tc>
        <w:tc>
          <w:tcPr>
            <w:tcW w:w="3260" w:type="dxa"/>
            <w:noWrap/>
            <w:hideMark/>
          </w:tcPr>
          <w:p w14:paraId="2BB9DCFF" w14:textId="77777777" w:rsidR="00935749" w:rsidRPr="00935749" w:rsidRDefault="00935749" w:rsidP="00935749">
            <w:pPr>
              <w:spacing w:line="240" w:lineRule="auto"/>
              <w:ind w:firstLine="0"/>
              <w:jc w:val="center"/>
            </w:pPr>
            <w:r w:rsidRPr="00935749">
              <w:t>1.082209</w:t>
            </w:r>
          </w:p>
        </w:tc>
      </w:tr>
      <w:tr w:rsidR="00935749" w:rsidRPr="00935749" w14:paraId="697F8FDC" w14:textId="77777777" w:rsidTr="00935749">
        <w:trPr>
          <w:trHeight w:val="300"/>
          <w:jc w:val="center"/>
        </w:trPr>
        <w:tc>
          <w:tcPr>
            <w:tcW w:w="2122" w:type="dxa"/>
            <w:noWrap/>
            <w:hideMark/>
          </w:tcPr>
          <w:p w14:paraId="41B9023E" w14:textId="77777777" w:rsidR="00935749" w:rsidRPr="00935749" w:rsidRDefault="00935749" w:rsidP="00935749">
            <w:pPr>
              <w:spacing w:line="240" w:lineRule="auto"/>
              <w:ind w:firstLine="0"/>
              <w:jc w:val="center"/>
            </w:pPr>
            <w:r w:rsidRPr="00935749">
              <w:t>37</w:t>
            </w:r>
          </w:p>
        </w:tc>
        <w:tc>
          <w:tcPr>
            <w:tcW w:w="3260" w:type="dxa"/>
            <w:noWrap/>
            <w:hideMark/>
          </w:tcPr>
          <w:p w14:paraId="7197D97D" w14:textId="77777777" w:rsidR="00935749" w:rsidRPr="00935749" w:rsidRDefault="00935749" w:rsidP="00935749">
            <w:pPr>
              <w:spacing w:line="240" w:lineRule="auto"/>
              <w:ind w:firstLine="0"/>
              <w:jc w:val="center"/>
            </w:pPr>
            <w:r w:rsidRPr="00935749">
              <w:t>1.09548</w:t>
            </w:r>
          </w:p>
        </w:tc>
      </w:tr>
      <w:tr w:rsidR="00935749" w:rsidRPr="00935749" w14:paraId="6957FE87" w14:textId="77777777" w:rsidTr="00935749">
        <w:trPr>
          <w:trHeight w:val="300"/>
          <w:jc w:val="center"/>
        </w:trPr>
        <w:tc>
          <w:tcPr>
            <w:tcW w:w="2122" w:type="dxa"/>
            <w:noWrap/>
            <w:hideMark/>
          </w:tcPr>
          <w:p w14:paraId="5DBEEA13" w14:textId="77777777" w:rsidR="00935749" w:rsidRPr="00935749" w:rsidRDefault="00935749" w:rsidP="00935749">
            <w:pPr>
              <w:spacing w:line="240" w:lineRule="auto"/>
              <w:ind w:firstLine="0"/>
              <w:jc w:val="center"/>
            </w:pPr>
            <w:r w:rsidRPr="00935749">
              <w:t>38</w:t>
            </w:r>
          </w:p>
        </w:tc>
        <w:tc>
          <w:tcPr>
            <w:tcW w:w="3260" w:type="dxa"/>
            <w:noWrap/>
            <w:hideMark/>
          </w:tcPr>
          <w:p w14:paraId="0026BE1D" w14:textId="77777777" w:rsidR="00935749" w:rsidRPr="00935749" w:rsidRDefault="00935749" w:rsidP="00935749">
            <w:pPr>
              <w:spacing w:line="240" w:lineRule="auto"/>
              <w:ind w:firstLine="0"/>
              <w:jc w:val="center"/>
            </w:pPr>
            <w:r w:rsidRPr="00935749">
              <w:t>1.10747</w:t>
            </w:r>
          </w:p>
        </w:tc>
      </w:tr>
      <w:tr w:rsidR="00935749" w:rsidRPr="00935749" w14:paraId="5817602F" w14:textId="77777777" w:rsidTr="00935749">
        <w:trPr>
          <w:trHeight w:val="300"/>
          <w:jc w:val="center"/>
        </w:trPr>
        <w:tc>
          <w:tcPr>
            <w:tcW w:w="2122" w:type="dxa"/>
            <w:noWrap/>
            <w:hideMark/>
          </w:tcPr>
          <w:p w14:paraId="6FCC7063" w14:textId="77777777" w:rsidR="00935749" w:rsidRPr="00935749" w:rsidRDefault="00935749" w:rsidP="00935749">
            <w:pPr>
              <w:spacing w:line="240" w:lineRule="auto"/>
              <w:ind w:firstLine="0"/>
              <w:jc w:val="center"/>
            </w:pPr>
            <w:r w:rsidRPr="00935749">
              <w:t>39</w:t>
            </w:r>
          </w:p>
        </w:tc>
        <w:tc>
          <w:tcPr>
            <w:tcW w:w="3260" w:type="dxa"/>
            <w:noWrap/>
            <w:hideMark/>
          </w:tcPr>
          <w:p w14:paraId="11006B0C" w14:textId="77777777" w:rsidR="00935749" w:rsidRPr="00935749" w:rsidRDefault="00935749" w:rsidP="00935749">
            <w:pPr>
              <w:spacing w:line="240" w:lineRule="auto"/>
              <w:ind w:firstLine="0"/>
              <w:jc w:val="center"/>
            </w:pPr>
            <w:r w:rsidRPr="00935749">
              <w:t>1.118386</w:t>
            </w:r>
          </w:p>
        </w:tc>
      </w:tr>
      <w:tr w:rsidR="00935749" w:rsidRPr="00935749" w14:paraId="3E78E96E" w14:textId="77777777" w:rsidTr="00935749">
        <w:trPr>
          <w:trHeight w:val="300"/>
          <w:jc w:val="center"/>
        </w:trPr>
        <w:tc>
          <w:tcPr>
            <w:tcW w:w="2122" w:type="dxa"/>
            <w:noWrap/>
            <w:hideMark/>
          </w:tcPr>
          <w:p w14:paraId="13D1C717" w14:textId="77777777" w:rsidR="00935749" w:rsidRPr="00935749" w:rsidRDefault="00935749" w:rsidP="00935749">
            <w:pPr>
              <w:spacing w:line="240" w:lineRule="auto"/>
              <w:ind w:firstLine="0"/>
              <w:jc w:val="center"/>
            </w:pPr>
            <w:r w:rsidRPr="00935749">
              <w:t>40</w:t>
            </w:r>
          </w:p>
        </w:tc>
        <w:tc>
          <w:tcPr>
            <w:tcW w:w="3260" w:type="dxa"/>
            <w:noWrap/>
            <w:hideMark/>
          </w:tcPr>
          <w:p w14:paraId="71CF72ED" w14:textId="77777777" w:rsidR="00935749" w:rsidRPr="00935749" w:rsidRDefault="00935749" w:rsidP="00935749">
            <w:pPr>
              <w:spacing w:line="240" w:lineRule="auto"/>
              <w:ind w:firstLine="0"/>
              <w:jc w:val="center"/>
            </w:pPr>
            <w:r w:rsidRPr="00935749">
              <w:t>1.128755</w:t>
            </w:r>
          </w:p>
        </w:tc>
      </w:tr>
      <w:tr w:rsidR="00935749" w:rsidRPr="00935749" w14:paraId="145981B5" w14:textId="77777777" w:rsidTr="00935749">
        <w:trPr>
          <w:trHeight w:val="300"/>
          <w:jc w:val="center"/>
        </w:trPr>
        <w:tc>
          <w:tcPr>
            <w:tcW w:w="2122" w:type="dxa"/>
            <w:noWrap/>
            <w:hideMark/>
          </w:tcPr>
          <w:p w14:paraId="3F9FFA33" w14:textId="77777777" w:rsidR="00935749" w:rsidRPr="00935749" w:rsidRDefault="00935749" w:rsidP="00935749">
            <w:pPr>
              <w:spacing w:line="240" w:lineRule="auto"/>
              <w:ind w:firstLine="0"/>
              <w:jc w:val="center"/>
            </w:pPr>
            <w:r w:rsidRPr="00935749">
              <w:lastRenderedPageBreak/>
              <w:t>41</w:t>
            </w:r>
          </w:p>
        </w:tc>
        <w:tc>
          <w:tcPr>
            <w:tcW w:w="3260" w:type="dxa"/>
            <w:noWrap/>
            <w:hideMark/>
          </w:tcPr>
          <w:p w14:paraId="774E5D2D" w14:textId="77777777" w:rsidR="00935749" w:rsidRPr="00935749" w:rsidRDefault="00935749" w:rsidP="00935749">
            <w:pPr>
              <w:spacing w:line="240" w:lineRule="auto"/>
              <w:ind w:firstLine="0"/>
              <w:jc w:val="center"/>
            </w:pPr>
            <w:r w:rsidRPr="00935749">
              <w:t>1.138111</w:t>
            </w:r>
          </w:p>
        </w:tc>
      </w:tr>
      <w:tr w:rsidR="00935749" w:rsidRPr="00935749" w14:paraId="7010036D" w14:textId="77777777" w:rsidTr="00935749">
        <w:trPr>
          <w:trHeight w:val="300"/>
          <w:jc w:val="center"/>
        </w:trPr>
        <w:tc>
          <w:tcPr>
            <w:tcW w:w="2122" w:type="dxa"/>
            <w:noWrap/>
            <w:hideMark/>
          </w:tcPr>
          <w:p w14:paraId="48D1C80E" w14:textId="77777777" w:rsidR="00935749" w:rsidRPr="00935749" w:rsidRDefault="00935749" w:rsidP="00935749">
            <w:pPr>
              <w:spacing w:line="240" w:lineRule="auto"/>
              <w:ind w:firstLine="0"/>
              <w:jc w:val="center"/>
            </w:pPr>
            <w:r w:rsidRPr="00935749">
              <w:t>42</w:t>
            </w:r>
          </w:p>
        </w:tc>
        <w:tc>
          <w:tcPr>
            <w:tcW w:w="3260" w:type="dxa"/>
            <w:noWrap/>
            <w:hideMark/>
          </w:tcPr>
          <w:p w14:paraId="32F4AFFB" w14:textId="77777777" w:rsidR="00935749" w:rsidRPr="00935749" w:rsidRDefault="00935749" w:rsidP="00935749">
            <w:pPr>
              <w:spacing w:line="240" w:lineRule="auto"/>
              <w:ind w:firstLine="0"/>
              <w:jc w:val="center"/>
            </w:pPr>
            <w:r w:rsidRPr="00935749">
              <w:t>1.145865</w:t>
            </w:r>
          </w:p>
        </w:tc>
      </w:tr>
      <w:tr w:rsidR="00935749" w:rsidRPr="00935749" w14:paraId="770E4B9D" w14:textId="77777777" w:rsidTr="00935749">
        <w:trPr>
          <w:trHeight w:val="300"/>
          <w:jc w:val="center"/>
        </w:trPr>
        <w:tc>
          <w:tcPr>
            <w:tcW w:w="2122" w:type="dxa"/>
            <w:noWrap/>
            <w:hideMark/>
          </w:tcPr>
          <w:p w14:paraId="3160653C" w14:textId="77777777" w:rsidR="00935749" w:rsidRPr="00935749" w:rsidRDefault="00935749" w:rsidP="00935749">
            <w:pPr>
              <w:spacing w:line="240" w:lineRule="auto"/>
              <w:ind w:firstLine="0"/>
              <w:jc w:val="center"/>
            </w:pPr>
            <w:r w:rsidRPr="00935749">
              <w:t>43</w:t>
            </w:r>
          </w:p>
        </w:tc>
        <w:tc>
          <w:tcPr>
            <w:tcW w:w="3260" w:type="dxa"/>
            <w:noWrap/>
            <w:hideMark/>
          </w:tcPr>
          <w:p w14:paraId="5A18735B" w14:textId="77777777" w:rsidR="00935749" w:rsidRPr="00935749" w:rsidRDefault="00935749" w:rsidP="00935749">
            <w:pPr>
              <w:spacing w:line="240" w:lineRule="auto"/>
              <w:ind w:firstLine="0"/>
              <w:jc w:val="center"/>
            </w:pPr>
            <w:r w:rsidRPr="00935749">
              <w:t>1.153878</w:t>
            </w:r>
          </w:p>
        </w:tc>
      </w:tr>
      <w:tr w:rsidR="00935749" w:rsidRPr="00935749" w14:paraId="60C963EC" w14:textId="77777777" w:rsidTr="00935749">
        <w:trPr>
          <w:trHeight w:val="300"/>
          <w:jc w:val="center"/>
        </w:trPr>
        <w:tc>
          <w:tcPr>
            <w:tcW w:w="2122" w:type="dxa"/>
            <w:noWrap/>
            <w:hideMark/>
          </w:tcPr>
          <w:p w14:paraId="7A77B2E7" w14:textId="77777777" w:rsidR="00935749" w:rsidRPr="00935749" w:rsidRDefault="00935749" w:rsidP="00935749">
            <w:pPr>
              <w:spacing w:line="240" w:lineRule="auto"/>
              <w:ind w:firstLine="0"/>
              <w:jc w:val="center"/>
            </w:pPr>
            <w:r w:rsidRPr="00935749">
              <w:t>44</w:t>
            </w:r>
          </w:p>
        </w:tc>
        <w:tc>
          <w:tcPr>
            <w:tcW w:w="3260" w:type="dxa"/>
            <w:noWrap/>
            <w:hideMark/>
          </w:tcPr>
          <w:p w14:paraId="5D174546" w14:textId="77777777" w:rsidR="00935749" w:rsidRPr="00935749" w:rsidRDefault="00935749" w:rsidP="00935749">
            <w:pPr>
              <w:spacing w:line="240" w:lineRule="auto"/>
              <w:ind w:firstLine="0"/>
              <w:jc w:val="center"/>
            </w:pPr>
            <w:r w:rsidRPr="00935749">
              <w:t>1.1617</w:t>
            </w:r>
          </w:p>
        </w:tc>
      </w:tr>
      <w:tr w:rsidR="00935749" w:rsidRPr="00935749" w14:paraId="01270131" w14:textId="77777777" w:rsidTr="00935749">
        <w:trPr>
          <w:trHeight w:val="300"/>
          <w:jc w:val="center"/>
        </w:trPr>
        <w:tc>
          <w:tcPr>
            <w:tcW w:w="2122" w:type="dxa"/>
            <w:noWrap/>
            <w:hideMark/>
          </w:tcPr>
          <w:p w14:paraId="290B383E" w14:textId="77777777" w:rsidR="00935749" w:rsidRPr="00935749" w:rsidRDefault="00935749" w:rsidP="00935749">
            <w:pPr>
              <w:spacing w:line="240" w:lineRule="auto"/>
              <w:ind w:firstLine="0"/>
              <w:jc w:val="center"/>
            </w:pPr>
            <w:r w:rsidRPr="00935749">
              <w:t>45</w:t>
            </w:r>
          </w:p>
        </w:tc>
        <w:tc>
          <w:tcPr>
            <w:tcW w:w="3260" w:type="dxa"/>
            <w:noWrap/>
            <w:hideMark/>
          </w:tcPr>
          <w:p w14:paraId="2E795E64" w14:textId="77777777" w:rsidR="00935749" w:rsidRPr="00935749" w:rsidRDefault="00935749" w:rsidP="00935749">
            <w:pPr>
              <w:spacing w:line="240" w:lineRule="auto"/>
              <w:ind w:firstLine="0"/>
              <w:jc w:val="center"/>
            </w:pPr>
            <w:r w:rsidRPr="00935749">
              <w:t>1.169031</w:t>
            </w:r>
          </w:p>
        </w:tc>
      </w:tr>
      <w:tr w:rsidR="00935749" w:rsidRPr="00935749" w14:paraId="095BC97E" w14:textId="77777777" w:rsidTr="00935749">
        <w:trPr>
          <w:trHeight w:val="300"/>
          <w:jc w:val="center"/>
        </w:trPr>
        <w:tc>
          <w:tcPr>
            <w:tcW w:w="2122" w:type="dxa"/>
            <w:noWrap/>
            <w:hideMark/>
          </w:tcPr>
          <w:p w14:paraId="506566A1" w14:textId="77777777" w:rsidR="00935749" w:rsidRPr="00935749" w:rsidRDefault="00935749" w:rsidP="00935749">
            <w:pPr>
              <w:spacing w:line="240" w:lineRule="auto"/>
              <w:ind w:firstLine="0"/>
              <w:jc w:val="center"/>
            </w:pPr>
            <w:r w:rsidRPr="00935749">
              <w:t>46</w:t>
            </w:r>
          </w:p>
        </w:tc>
        <w:tc>
          <w:tcPr>
            <w:tcW w:w="3260" w:type="dxa"/>
            <w:noWrap/>
            <w:hideMark/>
          </w:tcPr>
          <w:p w14:paraId="5D1F004F" w14:textId="77777777" w:rsidR="00935749" w:rsidRPr="00935749" w:rsidRDefault="00935749" w:rsidP="00935749">
            <w:pPr>
              <w:spacing w:line="240" w:lineRule="auto"/>
              <w:ind w:firstLine="0"/>
              <w:jc w:val="center"/>
            </w:pPr>
            <w:r w:rsidRPr="00935749">
              <w:t>1.175446</w:t>
            </w:r>
          </w:p>
        </w:tc>
      </w:tr>
      <w:tr w:rsidR="00935749" w:rsidRPr="00935749" w14:paraId="6AE5D1D0" w14:textId="77777777" w:rsidTr="00935749">
        <w:trPr>
          <w:trHeight w:val="300"/>
          <w:jc w:val="center"/>
        </w:trPr>
        <w:tc>
          <w:tcPr>
            <w:tcW w:w="2122" w:type="dxa"/>
            <w:noWrap/>
            <w:hideMark/>
          </w:tcPr>
          <w:p w14:paraId="214DA4BE" w14:textId="77777777" w:rsidR="00935749" w:rsidRPr="00935749" w:rsidRDefault="00935749" w:rsidP="00935749">
            <w:pPr>
              <w:spacing w:line="240" w:lineRule="auto"/>
              <w:ind w:firstLine="0"/>
              <w:jc w:val="center"/>
            </w:pPr>
            <w:r w:rsidRPr="00935749">
              <w:t>47</w:t>
            </w:r>
          </w:p>
        </w:tc>
        <w:tc>
          <w:tcPr>
            <w:tcW w:w="3260" w:type="dxa"/>
            <w:noWrap/>
            <w:hideMark/>
          </w:tcPr>
          <w:p w14:paraId="3AB5C8D1" w14:textId="77777777" w:rsidR="00935749" w:rsidRPr="00935749" w:rsidRDefault="00935749" w:rsidP="00935749">
            <w:pPr>
              <w:spacing w:line="240" w:lineRule="auto"/>
              <w:ind w:firstLine="0"/>
              <w:jc w:val="center"/>
            </w:pPr>
            <w:r w:rsidRPr="00935749">
              <w:t>1.181664</w:t>
            </w:r>
          </w:p>
        </w:tc>
      </w:tr>
      <w:tr w:rsidR="00935749" w:rsidRPr="00935749" w14:paraId="5EE75928" w14:textId="77777777" w:rsidTr="00935749">
        <w:trPr>
          <w:trHeight w:val="300"/>
          <w:jc w:val="center"/>
        </w:trPr>
        <w:tc>
          <w:tcPr>
            <w:tcW w:w="2122" w:type="dxa"/>
            <w:noWrap/>
            <w:hideMark/>
          </w:tcPr>
          <w:p w14:paraId="0DAF1B3E" w14:textId="77777777" w:rsidR="00935749" w:rsidRPr="00935749" w:rsidRDefault="00935749" w:rsidP="00935749">
            <w:pPr>
              <w:spacing w:line="240" w:lineRule="auto"/>
              <w:ind w:firstLine="0"/>
              <w:jc w:val="center"/>
            </w:pPr>
            <w:r w:rsidRPr="00935749">
              <w:t>48</w:t>
            </w:r>
          </w:p>
        </w:tc>
        <w:tc>
          <w:tcPr>
            <w:tcW w:w="3260" w:type="dxa"/>
            <w:noWrap/>
            <w:hideMark/>
          </w:tcPr>
          <w:p w14:paraId="11B4C49C" w14:textId="77777777" w:rsidR="00935749" w:rsidRPr="00935749" w:rsidRDefault="00935749" w:rsidP="00935749">
            <w:pPr>
              <w:spacing w:line="240" w:lineRule="auto"/>
              <w:ind w:firstLine="0"/>
              <w:jc w:val="center"/>
            </w:pPr>
            <w:r w:rsidRPr="00935749">
              <w:t>1.187304</w:t>
            </w:r>
          </w:p>
        </w:tc>
      </w:tr>
      <w:tr w:rsidR="00935749" w:rsidRPr="00935749" w14:paraId="0D0C7260" w14:textId="77777777" w:rsidTr="00935749">
        <w:trPr>
          <w:trHeight w:val="300"/>
          <w:jc w:val="center"/>
        </w:trPr>
        <w:tc>
          <w:tcPr>
            <w:tcW w:w="2122" w:type="dxa"/>
            <w:noWrap/>
            <w:hideMark/>
          </w:tcPr>
          <w:p w14:paraId="6C542E1E" w14:textId="77777777" w:rsidR="00935749" w:rsidRPr="00935749" w:rsidRDefault="00935749" w:rsidP="00935749">
            <w:pPr>
              <w:spacing w:line="240" w:lineRule="auto"/>
              <w:ind w:firstLine="0"/>
              <w:jc w:val="center"/>
            </w:pPr>
            <w:r w:rsidRPr="00935749">
              <w:t>49</w:t>
            </w:r>
          </w:p>
        </w:tc>
        <w:tc>
          <w:tcPr>
            <w:tcW w:w="3260" w:type="dxa"/>
            <w:noWrap/>
            <w:hideMark/>
          </w:tcPr>
          <w:p w14:paraId="747A25E3" w14:textId="77777777" w:rsidR="00935749" w:rsidRPr="00935749" w:rsidRDefault="00935749" w:rsidP="00935749">
            <w:pPr>
              <w:spacing w:line="240" w:lineRule="auto"/>
              <w:ind w:firstLine="0"/>
              <w:jc w:val="center"/>
            </w:pPr>
            <w:r w:rsidRPr="00935749">
              <w:t>1.192757</w:t>
            </w:r>
          </w:p>
        </w:tc>
      </w:tr>
      <w:tr w:rsidR="00935749" w:rsidRPr="00935749" w14:paraId="3072C0E9" w14:textId="77777777" w:rsidTr="00935749">
        <w:trPr>
          <w:trHeight w:val="300"/>
          <w:jc w:val="center"/>
        </w:trPr>
        <w:tc>
          <w:tcPr>
            <w:tcW w:w="2122" w:type="dxa"/>
            <w:noWrap/>
            <w:hideMark/>
          </w:tcPr>
          <w:p w14:paraId="318C788F" w14:textId="77777777" w:rsidR="00935749" w:rsidRPr="00935749" w:rsidRDefault="00935749" w:rsidP="00935749">
            <w:pPr>
              <w:spacing w:line="240" w:lineRule="auto"/>
              <w:ind w:firstLine="0"/>
              <w:jc w:val="center"/>
            </w:pPr>
            <w:r w:rsidRPr="00935749">
              <w:t>50</w:t>
            </w:r>
          </w:p>
        </w:tc>
        <w:tc>
          <w:tcPr>
            <w:tcW w:w="3260" w:type="dxa"/>
            <w:noWrap/>
            <w:hideMark/>
          </w:tcPr>
          <w:p w14:paraId="74F9DBD0" w14:textId="77777777" w:rsidR="00935749" w:rsidRPr="00935749" w:rsidRDefault="00935749" w:rsidP="00935749">
            <w:pPr>
              <w:spacing w:line="240" w:lineRule="auto"/>
              <w:ind w:firstLine="0"/>
              <w:jc w:val="center"/>
            </w:pPr>
            <w:r w:rsidRPr="00935749">
              <w:t>1.19815</w:t>
            </w:r>
          </w:p>
        </w:tc>
      </w:tr>
      <w:tr w:rsidR="00935749" w:rsidRPr="00935749" w14:paraId="06981BF3" w14:textId="77777777" w:rsidTr="00935749">
        <w:trPr>
          <w:trHeight w:val="300"/>
          <w:jc w:val="center"/>
        </w:trPr>
        <w:tc>
          <w:tcPr>
            <w:tcW w:w="2122" w:type="dxa"/>
            <w:noWrap/>
            <w:hideMark/>
          </w:tcPr>
          <w:p w14:paraId="3D5F7858" w14:textId="77777777" w:rsidR="00935749" w:rsidRPr="00935749" w:rsidRDefault="00935749" w:rsidP="00935749">
            <w:pPr>
              <w:spacing w:line="240" w:lineRule="auto"/>
              <w:ind w:firstLine="0"/>
              <w:jc w:val="center"/>
            </w:pPr>
            <w:r w:rsidRPr="00935749">
              <w:t>51</w:t>
            </w:r>
          </w:p>
        </w:tc>
        <w:tc>
          <w:tcPr>
            <w:tcW w:w="3260" w:type="dxa"/>
            <w:noWrap/>
            <w:hideMark/>
          </w:tcPr>
          <w:p w14:paraId="1298AFAC" w14:textId="77777777" w:rsidR="00935749" w:rsidRPr="00935749" w:rsidRDefault="00935749" w:rsidP="00935749">
            <w:pPr>
              <w:spacing w:line="240" w:lineRule="auto"/>
              <w:ind w:firstLine="0"/>
              <w:jc w:val="center"/>
            </w:pPr>
            <w:r w:rsidRPr="00935749">
              <w:t>1.203021</w:t>
            </w:r>
          </w:p>
        </w:tc>
      </w:tr>
      <w:tr w:rsidR="00935749" w:rsidRPr="00935749" w14:paraId="0BA654F6" w14:textId="77777777" w:rsidTr="00935749">
        <w:trPr>
          <w:trHeight w:val="300"/>
          <w:jc w:val="center"/>
        </w:trPr>
        <w:tc>
          <w:tcPr>
            <w:tcW w:w="2122" w:type="dxa"/>
            <w:noWrap/>
            <w:hideMark/>
          </w:tcPr>
          <w:p w14:paraId="1474F12D" w14:textId="77777777" w:rsidR="00935749" w:rsidRPr="00935749" w:rsidRDefault="00935749" w:rsidP="00935749">
            <w:pPr>
              <w:spacing w:line="240" w:lineRule="auto"/>
              <w:ind w:firstLine="0"/>
              <w:jc w:val="center"/>
            </w:pPr>
            <w:r w:rsidRPr="00935749">
              <w:t>52</w:t>
            </w:r>
          </w:p>
        </w:tc>
        <w:tc>
          <w:tcPr>
            <w:tcW w:w="3260" w:type="dxa"/>
            <w:noWrap/>
            <w:hideMark/>
          </w:tcPr>
          <w:p w14:paraId="65551227" w14:textId="77777777" w:rsidR="00935749" w:rsidRPr="00935749" w:rsidRDefault="00935749" w:rsidP="00935749">
            <w:pPr>
              <w:spacing w:line="240" w:lineRule="auto"/>
              <w:ind w:firstLine="0"/>
              <w:jc w:val="center"/>
            </w:pPr>
            <w:r w:rsidRPr="00935749">
              <w:t>1.207774</w:t>
            </w:r>
          </w:p>
        </w:tc>
      </w:tr>
      <w:tr w:rsidR="00935749" w:rsidRPr="00935749" w14:paraId="47384B29" w14:textId="77777777" w:rsidTr="00935749">
        <w:trPr>
          <w:trHeight w:val="300"/>
          <w:jc w:val="center"/>
        </w:trPr>
        <w:tc>
          <w:tcPr>
            <w:tcW w:w="2122" w:type="dxa"/>
            <w:noWrap/>
            <w:hideMark/>
          </w:tcPr>
          <w:p w14:paraId="07161F56" w14:textId="77777777" w:rsidR="00935749" w:rsidRPr="00935749" w:rsidRDefault="00935749" w:rsidP="00935749">
            <w:pPr>
              <w:spacing w:line="240" w:lineRule="auto"/>
              <w:ind w:firstLine="0"/>
              <w:jc w:val="center"/>
            </w:pPr>
            <w:r w:rsidRPr="00935749">
              <w:t>53</w:t>
            </w:r>
          </w:p>
        </w:tc>
        <w:tc>
          <w:tcPr>
            <w:tcW w:w="3260" w:type="dxa"/>
            <w:noWrap/>
            <w:hideMark/>
          </w:tcPr>
          <w:p w14:paraId="76BCE208" w14:textId="77777777" w:rsidR="00935749" w:rsidRPr="00935749" w:rsidRDefault="00935749" w:rsidP="00935749">
            <w:pPr>
              <w:spacing w:line="240" w:lineRule="auto"/>
              <w:ind w:firstLine="0"/>
              <w:jc w:val="center"/>
            </w:pPr>
            <w:r w:rsidRPr="00935749">
              <w:t>1.212492</w:t>
            </w:r>
          </w:p>
        </w:tc>
      </w:tr>
      <w:tr w:rsidR="00935749" w:rsidRPr="00935749" w14:paraId="2D1EE1C4" w14:textId="77777777" w:rsidTr="00935749">
        <w:trPr>
          <w:trHeight w:val="300"/>
          <w:jc w:val="center"/>
        </w:trPr>
        <w:tc>
          <w:tcPr>
            <w:tcW w:w="2122" w:type="dxa"/>
            <w:noWrap/>
            <w:hideMark/>
          </w:tcPr>
          <w:p w14:paraId="55A84048" w14:textId="77777777" w:rsidR="00935749" w:rsidRPr="00935749" w:rsidRDefault="00935749" w:rsidP="00935749">
            <w:pPr>
              <w:spacing w:line="240" w:lineRule="auto"/>
              <w:ind w:firstLine="0"/>
              <w:jc w:val="center"/>
            </w:pPr>
            <w:r w:rsidRPr="00935749">
              <w:t>54</w:t>
            </w:r>
          </w:p>
        </w:tc>
        <w:tc>
          <w:tcPr>
            <w:tcW w:w="3260" w:type="dxa"/>
            <w:noWrap/>
            <w:hideMark/>
          </w:tcPr>
          <w:p w14:paraId="32B6E293" w14:textId="77777777" w:rsidR="00935749" w:rsidRPr="00935749" w:rsidRDefault="00935749" w:rsidP="00935749">
            <w:pPr>
              <w:spacing w:line="240" w:lineRule="auto"/>
              <w:ind w:firstLine="0"/>
              <w:jc w:val="center"/>
            </w:pPr>
            <w:r w:rsidRPr="00935749">
              <w:t>1.217143</w:t>
            </w:r>
          </w:p>
        </w:tc>
      </w:tr>
      <w:tr w:rsidR="00935749" w:rsidRPr="00935749" w14:paraId="06D00EE0" w14:textId="77777777" w:rsidTr="00935749">
        <w:trPr>
          <w:trHeight w:val="300"/>
          <w:jc w:val="center"/>
        </w:trPr>
        <w:tc>
          <w:tcPr>
            <w:tcW w:w="2122" w:type="dxa"/>
            <w:noWrap/>
            <w:hideMark/>
          </w:tcPr>
          <w:p w14:paraId="14C7F72B" w14:textId="77777777" w:rsidR="00935749" w:rsidRPr="00935749" w:rsidRDefault="00935749" w:rsidP="00935749">
            <w:pPr>
              <w:spacing w:line="240" w:lineRule="auto"/>
              <w:ind w:firstLine="0"/>
              <w:jc w:val="center"/>
            </w:pPr>
            <w:r w:rsidRPr="00935749">
              <w:t>55</w:t>
            </w:r>
          </w:p>
        </w:tc>
        <w:tc>
          <w:tcPr>
            <w:tcW w:w="3260" w:type="dxa"/>
            <w:noWrap/>
            <w:hideMark/>
          </w:tcPr>
          <w:p w14:paraId="5661F3BA" w14:textId="77777777" w:rsidR="00935749" w:rsidRPr="00935749" w:rsidRDefault="00935749" w:rsidP="00935749">
            <w:pPr>
              <w:spacing w:line="240" w:lineRule="auto"/>
              <w:ind w:firstLine="0"/>
              <w:jc w:val="center"/>
            </w:pPr>
            <w:r w:rsidRPr="00935749">
              <w:t>1.221374</w:t>
            </w:r>
          </w:p>
        </w:tc>
      </w:tr>
      <w:tr w:rsidR="00935749" w:rsidRPr="00935749" w14:paraId="37A2BCEF" w14:textId="77777777" w:rsidTr="00935749">
        <w:trPr>
          <w:trHeight w:val="300"/>
          <w:jc w:val="center"/>
        </w:trPr>
        <w:tc>
          <w:tcPr>
            <w:tcW w:w="2122" w:type="dxa"/>
            <w:noWrap/>
            <w:hideMark/>
          </w:tcPr>
          <w:p w14:paraId="76D754DA" w14:textId="77777777" w:rsidR="00935749" w:rsidRPr="00935749" w:rsidRDefault="00935749" w:rsidP="00935749">
            <w:pPr>
              <w:spacing w:line="240" w:lineRule="auto"/>
              <w:ind w:firstLine="0"/>
              <w:jc w:val="center"/>
            </w:pPr>
            <w:r w:rsidRPr="00935749">
              <w:t>56</w:t>
            </w:r>
          </w:p>
        </w:tc>
        <w:tc>
          <w:tcPr>
            <w:tcW w:w="3260" w:type="dxa"/>
            <w:noWrap/>
            <w:hideMark/>
          </w:tcPr>
          <w:p w14:paraId="3DDF3937" w14:textId="77777777" w:rsidR="00935749" w:rsidRPr="00935749" w:rsidRDefault="00935749" w:rsidP="00935749">
            <w:pPr>
              <w:spacing w:line="240" w:lineRule="auto"/>
              <w:ind w:firstLine="0"/>
              <w:jc w:val="center"/>
            </w:pPr>
            <w:r w:rsidRPr="00935749">
              <w:t>1.22545</w:t>
            </w:r>
          </w:p>
        </w:tc>
      </w:tr>
      <w:tr w:rsidR="00935749" w:rsidRPr="00935749" w14:paraId="0A42E0CB" w14:textId="77777777" w:rsidTr="00935749">
        <w:trPr>
          <w:trHeight w:val="300"/>
          <w:jc w:val="center"/>
        </w:trPr>
        <w:tc>
          <w:tcPr>
            <w:tcW w:w="2122" w:type="dxa"/>
            <w:noWrap/>
            <w:hideMark/>
          </w:tcPr>
          <w:p w14:paraId="79370160" w14:textId="77777777" w:rsidR="00935749" w:rsidRPr="00935749" w:rsidRDefault="00935749" w:rsidP="00935749">
            <w:pPr>
              <w:spacing w:line="240" w:lineRule="auto"/>
              <w:ind w:firstLine="0"/>
              <w:jc w:val="center"/>
            </w:pPr>
            <w:r w:rsidRPr="00935749">
              <w:t>57</w:t>
            </w:r>
          </w:p>
        </w:tc>
        <w:tc>
          <w:tcPr>
            <w:tcW w:w="3260" w:type="dxa"/>
            <w:noWrap/>
            <w:hideMark/>
          </w:tcPr>
          <w:p w14:paraId="4E3CB6EF" w14:textId="77777777" w:rsidR="00935749" w:rsidRPr="00935749" w:rsidRDefault="00935749" w:rsidP="00935749">
            <w:pPr>
              <w:spacing w:line="240" w:lineRule="auto"/>
              <w:ind w:firstLine="0"/>
              <w:jc w:val="center"/>
            </w:pPr>
            <w:r w:rsidRPr="00935749">
              <w:t>1.229526</w:t>
            </w:r>
          </w:p>
        </w:tc>
      </w:tr>
      <w:tr w:rsidR="00935749" w:rsidRPr="00935749" w14:paraId="385AD836" w14:textId="77777777" w:rsidTr="00935749">
        <w:trPr>
          <w:trHeight w:val="300"/>
          <w:jc w:val="center"/>
        </w:trPr>
        <w:tc>
          <w:tcPr>
            <w:tcW w:w="2122" w:type="dxa"/>
            <w:noWrap/>
            <w:hideMark/>
          </w:tcPr>
          <w:p w14:paraId="42B689C9" w14:textId="77777777" w:rsidR="00935749" w:rsidRPr="00935749" w:rsidRDefault="00935749" w:rsidP="00935749">
            <w:pPr>
              <w:spacing w:line="240" w:lineRule="auto"/>
              <w:ind w:firstLine="0"/>
              <w:jc w:val="center"/>
            </w:pPr>
            <w:r w:rsidRPr="00935749">
              <w:t>58</w:t>
            </w:r>
          </w:p>
        </w:tc>
        <w:tc>
          <w:tcPr>
            <w:tcW w:w="3260" w:type="dxa"/>
            <w:noWrap/>
            <w:hideMark/>
          </w:tcPr>
          <w:p w14:paraId="6FD0CD24" w14:textId="77777777" w:rsidR="00935749" w:rsidRPr="00935749" w:rsidRDefault="00935749" w:rsidP="00935749">
            <w:pPr>
              <w:spacing w:line="240" w:lineRule="auto"/>
              <w:ind w:firstLine="0"/>
              <w:jc w:val="center"/>
            </w:pPr>
            <w:r w:rsidRPr="00935749">
              <w:t>1.233602</w:t>
            </w:r>
          </w:p>
        </w:tc>
      </w:tr>
      <w:tr w:rsidR="00935749" w:rsidRPr="00935749" w14:paraId="545B465D" w14:textId="77777777" w:rsidTr="00935749">
        <w:trPr>
          <w:trHeight w:val="300"/>
          <w:jc w:val="center"/>
        </w:trPr>
        <w:tc>
          <w:tcPr>
            <w:tcW w:w="2122" w:type="dxa"/>
            <w:noWrap/>
            <w:hideMark/>
          </w:tcPr>
          <w:p w14:paraId="10256C75" w14:textId="77777777" w:rsidR="00935749" w:rsidRPr="00935749" w:rsidRDefault="00935749" w:rsidP="00935749">
            <w:pPr>
              <w:spacing w:line="240" w:lineRule="auto"/>
              <w:ind w:firstLine="0"/>
              <w:jc w:val="center"/>
            </w:pPr>
            <w:r w:rsidRPr="00935749">
              <w:t>59</w:t>
            </w:r>
          </w:p>
        </w:tc>
        <w:tc>
          <w:tcPr>
            <w:tcW w:w="3260" w:type="dxa"/>
            <w:noWrap/>
            <w:hideMark/>
          </w:tcPr>
          <w:p w14:paraId="06BE7A02" w14:textId="77777777" w:rsidR="00935749" w:rsidRPr="00935749" w:rsidRDefault="00935749" w:rsidP="00935749">
            <w:pPr>
              <w:spacing w:line="240" w:lineRule="auto"/>
              <w:ind w:firstLine="0"/>
              <w:jc w:val="center"/>
            </w:pPr>
            <w:r w:rsidRPr="00935749">
              <w:t>1.237643</w:t>
            </w:r>
          </w:p>
        </w:tc>
      </w:tr>
      <w:tr w:rsidR="00935749" w:rsidRPr="00935749" w14:paraId="7BF0F693" w14:textId="77777777" w:rsidTr="00935749">
        <w:trPr>
          <w:trHeight w:val="300"/>
          <w:jc w:val="center"/>
        </w:trPr>
        <w:tc>
          <w:tcPr>
            <w:tcW w:w="2122" w:type="dxa"/>
            <w:noWrap/>
            <w:hideMark/>
          </w:tcPr>
          <w:p w14:paraId="4CA73AFF" w14:textId="77777777" w:rsidR="00935749" w:rsidRPr="00935749" w:rsidRDefault="00935749" w:rsidP="00935749">
            <w:pPr>
              <w:spacing w:line="240" w:lineRule="auto"/>
              <w:ind w:firstLine="0"/>
              <w:jc w:val="center"/>
            </w:pPr>
            <w:r w:rsidRPr="00935749">
              <w:t>60</w:t>
            </w:r>
          </w:p>
        </w:tc>
        <w:tc>
          <w:tcPr>
            <w:tcW w:w="3260" w:type="dxa"/>
            <w:noWrap/>
            <w:hideMark/>
          </w:tcPr>
          <w:p w14:paraId="468F20FA" w14:textId="77777777" w:rsidR="00935749" w:rsidRPr="00935749" w:rsidRDefault="00935749" w:rsidP="00935749">
            <w:pPr>
              <w:spacing w:line="240" w:lineRule="auto"/>
              <w:ind w:firstLine="0"/>
              <w:jc w:val="center"/>
            </w:pPr>
            <w:r w:rsidRPr="00935749">
              <w:t>1.241353</w:t>
            </w:r>
          </w:p>
        </w:tc>
      </w:tr>
    </w:tbl>
    <w:p w14:paraId="069D4B05" w14:textId="77777777" w:rsidR="00707878" w:rsidRPr="000F484D" w:rsidRDefault="00707878" w:rsidP="000F484D">
      <w:pPr>
        <w:rPr>
          <w:rFonts w:cs="Times New Roman"/>
          <w:szCs w:val="24"/>
          <w:lang w:val="en-US"/>
        </w:rPr>
      </w:pPr>
    </w:p>
    <w:p w14:paraId="03BDEA08" w14:textId="0EFBF63D" w:rsidR="00707878" w:rsidRDefault="00707878" w:rsidP="00707878">
      <w:pPr>
        <w:pStyle w:val="1"/>
        <w:numPr>
          <w:ilvl w:val="0"/>
          <w:numId w:val="0"/>
        </w:numPr>
        <w:jc w:val="center"/>
        <w:rPr>
          <w:lang w:val="en-US"/>
        </w:rPr>
      </w:pPr>
      <w:bookmarkStart w:id="1806" w:name="_Toc104985385"/>
      <w:r w:rsidRPr="00A367BA">
        <w:rPr>
          <w:lang w:val="en-US"/>
        </w:rPr>
        <w:lastRenderedPageBreak/>
        <w:t xml:space="preserve">Appendix </w:t>
      </w:r>
      <w:r w:rsidR="003138D2">
        <w:rPr>
          <w:lang w:val="en-US"/>
        </w:rPr>
        <w:t>F</w:t>
      </w:r>
      <w:r>
        <w:rPr>
          <w:lang w:val="en-US"/>
        </w:rPr>
        <w:t xml:space="preserve"> – </w:t>
      </w:r>
      <w:r>
        <w:rPr>
          <w:rFonts w:eastAsia="Calibri"/>
          <w:lang w:val="en-US"/>
        </w:rPr>
        <w:t>Chardara dam factor of safety values from instantaneous drawdown</w:t>
      </w:r>
      <w:bookmarkEnd w:id="1806"/>
    </w:p>
    <w:tbl>
      <w:tblPr>
        <w:tblStyle w:val="a8"/>
        <w:tblW w:w="0" w:type="auto"/>
        <w:jc w:val="center"/>
        <w:tblLook w:val="04A0" w:firstRow="1" w:lastRow="0" w:firstColumn="1" w:lastColumn="0" w:noHBand="0" w:noVBand="1"/>
      </w:tblPr>
      <w:tblGrid>
        <w:gridCol w:w="2263"/>
        <w:gridCol w:w="3402"/>
      </w:tblGrid>
      <w:tr w:rsidR="00707878" w:rsidRPr="00707878" w14:paraId="50F402E5" w14:textId="77777777" w:rsidTr="00707878">
        <w:trPr>
          <w:trHeight w:val="300"/>
          <w:jc w:val="center"/>
        </w:trPr>
        <w:tc>
          <w:tcPr>
            <w:tcW w:w="2263" w:type="dxa"/>
            <w:noWrap/>
            <w:hideMark/>
          </w:tcPr>
          <w:p w14:paraId="4C2C3742" w14:textId="77777777" w:rsidR="00707878" w:rsidRPr="00707878" w:rsidRDefault="00707878" w:rsidP="00707878">
            <w:pPr>
              <w:spacing w:line="240" w:lineRule="auto"/>
              <w:ind w:firstLine="0"/>
              <w:jc w:val="center"/>
              <w:rPr>
                <w:lang w:val="en-US"/>
              </w:rPr>
            </w:pPr>
          </w:p>
        </w:tc>
        <w:tc>
          <w:tcPr>
            <w:tcW w:w="3402" w:type="dxa"/>
            <w:noWrap/>
            <w:hideMark/>
          </w:tcPr>
          <w:p w14:paraId="5750C720" w14:textId="77777777" w:rsidR="00707878" w:rsidRPr="00707878" w:rsidRDefault="00707878" w:rsidP="00707878">
            <w:pPr>
              <w:spacing w:line="240" w:lineRule="auto"/>
              <w:ind w:firstLine="0"/>
              <w:jc w:val="center"/>
              <w:rPr>
                <w:lang w:val="en-US"/>
              </w:rPr>
            </w:pPr>
            <w:r w:rsidRPr="00707878">
              <w:rPr>
                <w:lang w:val="en-US"/>
              </w:rPr>
              <w:t>Slip Surface 1</w:t>
            </w:r>
          </w:p>
        </w:tc>
      </w:tr>
      <w:tr w:rsidR="00707878" w:rsidRPr="00707878" w14:paraId="7037F7CD" w14:textId="77777777" w:rsidTr="00707878">
        <w:trPr>
          <w:trHeight w:val="300"/>
          <w:jc w:val="center"/>
        </w:trPr>
        <w:tc>
          <w:tcPr>
            <w:tcW w:w="2263" w:type="dxa"/>
            <w:noWrap/>
            <w:hideMark/>
          </w:tcPr>
          <w:p w14:paraId="3C1FF717" w14:textId="77777777" w:rsidR="00707878" w:rsidRPr="00707878" w:rsidRDefault="00707878" w:rsidP="00707878">
            <w:pPr>
              <w:spacing w:line="240" w:lineRule="auto"/>
              <w:ind w:firstLine="0"/>
              <w:jc w:val="center"/>
              <w:rPr>
                <w:lang w:val="en-US"/>
              </w:rPr>
            </w:pPr>
            <w:r w:rsidRPr="00707878">
              <w:rPr>
                <w:lang w:val="en-US"/>
              </w:rPr>
              <w:t>Time (d)</w:t>
            </w:r>
          </w:p>
        </w:tc>
        <w:tc>
          <w:tcPr>
            <w:tcW w:w="3402" w:type="dxa"/>
            <w:noWrap/>
            <w:hideMark/>
          </w:tcPr>
          <w:p w14:paraId="3156F669" w14:textId="77777777" w:rsidR="00707878" w:rsidRPr="00707878" w:rsidRDefault="00707878" w:rsidP="00707878">
            <w:pPr>
              <w:spacing w:line="240" w:lineRule="auto"/>
              <w:ind w:firstLine="0"/>
              <w:jc w:val="center"/>
              <w:rPr>
                <w:lang w:val="en-US"/>
              </w:rPr>
            </w:pPr>
            <w:r w:rsidRPr="00707878">
              <w:rPr>
                <w:lang w:val="en-US"/>
              </w:rPr>
              <w:t>Factor of Safety</w:t>
            </w:r>
          </w:p>
        </w:tc>
      </w:tr>
      <w:tr w:rsidR="00707878" w:rsidRPr="00707878" w14:paraId="4ECCB9BC" w14:textId="77777777" w:rsidTr="00707878">
        <w:trPr>
          <w:trHeight w:val="300"/>
          <w:jc w:val="center"/>
        </w:trPr>
        <w:tc>
          <w:tcPr>
            <w:tcW w:w="2263" w:type="dxa"/>
            <w:noWrap/>
            <w:hideMark/>
          </w:tcPr>
          <w:p w14:paraId="2E2A75A0" w14:textId="77777777" w:rsidR="00707878" w:rsidRPr="00707878" w:rsidRDefault="00707878" w:rsidP="00707878">
            <w:pPr>
              <w:spacing w:line="240" w:lineRule="auto"/>
              <w:ind w:firstLine="0"/>
              <w:jc w:val="center"/>
              <w:rPr>
                <w:lang w:val="en-US"/>
              </w:rPr>
            </w:pPr>
            <w:r w:rsidRPr="00707878">
              <w:rPr>
                <w:lang w:val="en-US"/>
              </w:rPr>
              <w:t>0</w:t>
            </w:r>
          </w:p>
        </w:tc>
        <w:tc>
          <w:tcPr>
            <w:tcW w:w="3402" w:type="dxa"/>
            <w:noWrap/>
            <w:hideMark/>
          </w:tcPr>
          <w:p w14:paraId="2DEF423C" w14:textId="77777777" w:rsidR="00707878" w:rsidRPr="00707878" w:rsidRDefault="00707878" w:rsidP="00707878">
            <w:pPr>
              <w:spacing w:line="240" w:lineRule="auto"/>
              <w:ind w:firstLine="0"/>
              <w:jc w:val="center"/>
              <w:rPr>
                <w:lang w:val="en-US"/>
              </w:rPr>
            </w:pPr>
            <w:r w:rsidRPr="00707878">
              <w:rPr>
                <w:lang w:val="en-US"/>
              </w:rPr>
              <w:t>3.576209</w:t>
            </w:r>
          </w:p>
        </w:tc>
      </w:tr>
      <w:tr w:rsidR="00707878" w:rsidRPr="00707878" w14:paraId="3535BB1A" w14:textId="77777777" w:rsidTr="00707878">
        <w:trPr>
          <w:trHeight w:val="300"/>
          <w:jc w:val="center"/>
        </w:trPr>
        <w:tc>
          <w:tcPr>
            <w:tcW w:w="2263" w:type="dxa"/>
            <w:noWrap/>
            <w:hideMark/>
          </w:tcPr>
          <w:p w14:paraId="1EFE3525" w14:textId="77777777" w:rsidR="00707878" w:rsidRPr="00707878" w:rsidRDefault="00707878" w:rsidP="00707878">
            <w:pPr>
              <w:spacing w:line="240" w:lineRule="auto"/>
              <w:ind w:firstLine="0"/>
              <w:jc w:val="center"/>
              <w:rPr>
                <w:lang w:val="en-US"/>
              </w:rPr>
            </w:pPr>
            <w:r w:rsidRPr="00707878">
              <w:rPr>
                <w:lang w:val="en-US"/>
              </w:rPr>
              <w:t>1</w:t>
            </w:r>
          </w:p>
        </w:tc>
        <w:tc>
          <w:tcPr>
            <w:tcW w:w="3402" w:type="dxa"/>
            <w:noWrap/>
            <w:hideMark/>
          </w:tcPr>
          <w:p w14:paraId="194989BC" w14:textId="77777777" w:rsidR="00707878" w:rsidRPr="00707878" w:rsidRDefault="00707878" w:rsidP="00707878">
            <w:pPr>
              <w:spacing w:line="240" w:lineRule="auto"/>
              <w:ind w:firstLine="0"/>
              <w:jc w:val="center"/>
              <w:rPr>
                <w:lang w:val="en-US"/>
              </w:rPr>
            </w:pPr>
            <w:r w:rsidRPr="00707878">
              <w:rPr>
                <w:lang w:val="en-US"/>
              </w:rPr>
              <w:t>0.978591</w:t>
            </w:r>
          </w:p>
        </w:tc>
      </w:tr>
      <w:tr w:rsidR="00707878" w:rsidRPr="00707878" w14:paraId="36FB7FE5" w14:textId="77777777" w:rsidTr="00707878">
        <w:trPr>
          <w:trHeight w:val="300"/>
          <w:jc w:val="center"/>
        </w:trPr>
        <w:tc>
          <w:tcPr>
            <w:tcW w:w="2263" w:type="dxa"/>
            <w:noWrap/>
            <w:hideMark/>
          </w:tcPr>
          <w:p w14:paraId="6957AB0F" w14:textId="77777777" w:rsidR="00707878" w:rsidRPr="00707878" w:rsidRDefault="00707878" w:rsidP="00707878">
            <w:pPr>
              <w:spacing w:line="240" w:lineRule="auto"/>
              <w:ind w:firstLine="0"/>
              <w:jc w:val="center"/>
              <w:rPr>
                <w:lang w:val="en-US"/>
              </w:rPr>
            </w:pPr>
            <w:r w:rsidRPr="00707878">
              <w:rPr>
                <w:lang w:val="en-US"/>
              </w:rPr>
              <w:t>2</w:t>
            </w:r>
          </w:p>
        </w:tc>
        <w:tc>
          <w:tcPr>
            <w:tcW w:w="3402" w:type="dxa"/>
            <w:noWrap/>
            <w:hideMark/>
          </w:tcPr>
          <w:p w14:paraId="634A5DC0" w14:textId="77777777" w:rsidR="00707878" w:rsidRPr="00707878" w:rsidRDefault="00707878" w:rsidP="00707878">
            <w:pPr>
              <w:spacing w:line="240" w:lineRule="auto"/>
              <w:ind w:firstLine="0"/>
              <w:jc w:val="center"/>
              <w:rPr>
                <w:lang w:val="en-US"/>
              </w:rPr>
            </w:pPr>
            <w:r w:rsidRPr="00707878">
              <w:rPr>
                <w:lang w:val="en-US"/>
              </w:rPr>
              <w:t>1.684646</w:t>
            </w:r>
          </w:p>
        </w:tc>
      </w:tr>
      <w:tr w:rsidR="00707878" w:rsidRPr="00707878" w14:paraId="1CF6AD9D" w14:textId="77777777" w:rsidTr="00707878">
        <w:trPr>
          <w:trHeight w:val="300"/>
          <w:jc w:val="center"/>
        </w:trPr>
        <w:tc>
          <w:tcPr>
            <w:tcW w:w="2263" w:type="dxa"/>
            <w:noWrap/>
            <w:hideMark/>
          </w:tcPr>
          <w:p w14:paraId="6966324E" w14:textId="77777777" w:rsidR="00707878" w:rsidRPr="00707878" w:rsidRDefault="00707878" w:rsidP="00707878">
            <w:pPr>
              <w:spacing w:line="240" w:lineRule="auto"/>
              <w:ind w:firstLine="0"/>
              <w:jc w:val="center"/>
              <w:rPr>
                <w:lang w:val="en-US"/>
              </w:rPr>
            </w:pPr>
            <w:r w:rsidRPr="00707878">
              <w:rPr>
                <w:lang w:val="en-US"/>
              </w:rPr>
              <w:t>3</w:t>
            </w:r>
          </w:p>
        </w:tc>
        <w:tc>
          <w:tcPr>
            <w:tcW w:w="3402" w:type="dxa"/>
            <w:noWrap/>
            <w:hideMark/>
          </w:tcPr>
          <w:p w14:paraId="10A4CA6F" w14:textId="77777777" w:rsidR="00707878" w:rsidRPr="00707878" w:rsidRDefault="00707878" w:rsidP="00707878">
            <w:pPr>
              <w:spacing w:line="240" w:lineRule="auto"/>
              <w:ind w:firstLine="0"/>
              <w:jc w:val="center"/>
              <w:rPr>
                <w:lang w:val="en-US"/>
              </w:rPr>
            </w:pPr>
            <w:r w:rsidRPr="00707878">
              <w:rPr>
                <w:lang w:val="en-US"/>
              </w:rPr>
              <w:t>1.839911</w:t>
            </w:r>
          </w:p>
        </w:tc>
      </w:tr>
      <w:tr w:rsidR="00707878" w:rsidRPr="00707878" w14:paraId="00035F08" w14:textId="77777777" w:rsidTr="00707878">
        <w:trPr>
          <w:trHeight w:val="300"/>
          <w:jc w:val="center"/>
        </w:trPr>
        <w:tc>
          <w:tcPr>
            <w:tcW w:w="2263" w:type="dxa"/>
            <w:noWrap/>
            <w:hideMark/>
          </w:tcPr>
          <w:p w14:paraId="3E6F16BC" w14:textId="77777777" w:rsidR="00707878" w:rsidRPr="00707878" w:rsidRDefault="00707878" w:rsidP="00707878">
            <w:pPr>
              <w:spacing w:line="240" w:lineRule="auto"/>
              <w:ind w:firstLine="0"/>
              <w:jc w:val="center"/>
              <w:rPr>
                <w:lang w:val="en-US"/>
              </w:rPr>
            </w:pPr>
            <w:r w:rsidRPr="00707878">
              <w:rPr>
                <w:lang w:val="en-US"/>
              </w:rPr>
              <w:t>4</w:t>
            </w:r>
          </w:p>
        </w:tc>
        <w:tc>
          <w:tcPr>
            <w:tcW w:w="3402" w:type="dxa"/>
            <w:noWrap/>
            <w:hideMark/>
          </w:tcPr>
          <w:p w14:paraId="46C7F4B3" w14:textId="77777777" w:rsidR="00707878" w:rsidRPr="00707878" w:rsidRDefault="00707878" w:rsidP="00707878">
            <w:pPr>
              <w:spacing w:line="240" w:lineRule="auto"/>
              <w:ind w:firstLine="0"/>
              <w:jc w:val="center"/>
              <w:rPr>
                <w:lang w:val="en-US"/>
              </w:rPr>
            </w:pPr>
            <w:r w:rsidRPr="00707878">
              <w:rPr>
                <w:lang w:val="en-US"/>
              </w:rPr>
              <w:t>1.902818</w:t>
            </w:r>
          </w:p>
        </w:tc>
      </w:tr>
      <w:tr w:rsidR="00707878" w:rsidRPr="00707878" w14:paraId="6BBC8415" w14:textId="77777777" w:rsidTr="00707878">
        <w:trPr>
          <w:trHeight w:val="300"/>
          <w:jc w:val="center"/>
        </w:trPr>
        <w:tc>
          <w:tcPr>
            <w:tcW w:w="2263" w:type="dxa"/>
            <w:noWrap/>
            <w:hideMark/>
          </w:tcPr>
          <w:p w14:paraId="1C616DE1" w14:textId="77777777" w:rsidR="00707878" w:rsidRPr="00707878" w:rsidRDefault="00707878" w:rsidP="00707878">
            <w:pPr>
              <w:spacing w:line="240" w:lineRule="auto"/>
              <w:ind w:firstLine="0"/>
              <w:jc w:val="center"/>
              <w:rPr>
                <w:lang w:val="en-US"/>
              </w:rPr>
            </w:pPr>
            <w:r w:rsidRPr="00707878">
              <w:rPr>
                <w:lang w:val="en-US"/>
              </w:rPr>
              <w:t>5</w:t>
            </w:r>
          </w:p>
        </w:tc>
        <w:tc>
          <w:tcPr>
            <w:tcW w:w="3402" w:type="dxa"/>
            <w:noWrap/>
            <w:hideMark/>
          </w:tcPr>
          <w:p w14:paraId="60C11E83" w14:textId="77777777" w:rsidR="00707878" w:rsidRPr="00707878" w:rsidRDefault="00707878" w:rsidP="00707878">
            <w:pPr>
              <w:spacing w:line="240" w:lineRule="auto"/>
              <w:ind w:firstLine="0"/>
              <w:jc w:val="center"/>
              <w:rPr>
                <w:lang w:val="en-US"/>
              </w:rPr>
            </w:pPr>
            <w:r w:rsidRPr="00707878">
              <w:rPr>
                <w:lang w:val="en-US"/>
              </w:rPr>
              <w:t>1.935414</w:t>
            </w:r>
          </w:p>
        </w:tc>
      </w:tr>
      <w:tr w:rsidR="00707878" w:rsidRPr="00707878" w14:paraId="10E48354" w14:textId="77777777" w:rsidTr="00707878">
        <w:trPr>
          <w:trHeight w:val="300"/>
          <w:jc w:val="center"/>
        </w:trPr>
        <w:tc>
          <w:tcPr>
            <w:tcW w:w="2263" w:type="dxa"/>
            <w:noWrap/>
            <w:hideMark/>
          </w:tcPr>
          <w:p w14:paraId="3A23FEC8" w14:textId="77777777" w:rsidR="00707878" w:rsidRPr="00707878" w:rsidRDefault="00707878" w:rsidP="00707878">
            <w:pPr>
              <w:spacing w:line="240" w:lineRule="auto"/>
              <w:ind w:firstLine="0"/>
              <w:jc w:val="center"/>
              <w:rPr>
                <w:lang w:val="en-US"/>
              </w:rPr>
            </w:pPr>
            <w:r w:rsidRPr="00707878">
              <w:rPr>
                <w:lang w:val="en-US"/>
              </w:rPr>
              <w:t>6</w:t>
            </w:r>
          </w:p>
        </w:tc>
        <w:tc>
          <w:tcPr>
            <w:tcW w:w="3402" w:type="dxa"/>
            <w:noWrap/>
            <w:hideMark/>
          </w:tcPr>
          <w:p w14:paraId="11F220E4" w14:textId="77777777" w:rsidR="00707878" w:rsidRPr="00707878" w:rsidRDefault="00707878" w:rsidP="00707878">
            <w:pPr>
              <w:spacing w:line="240" w:lineRule="auto"/>
              <w:ind w:firstLine="0"/>
              <w:jc w:val="center"/>
              <w:rPr>
                <w:lang w:val="en-US"/>
              </w:rPr>
            </w:pPr>
            <w:r w:rsidRPr="00707878">
              <w:rPr>
                <w:lang w:val="en-US"/>
              </w:rPr>
              <w:t>1.953739</w:t>
            </w:r>
          </w:p>
        </w:tc>
      </w:tr>
      <w:tr w:rsidR="00707878" w:rsidRPr="00707878" w14:paraId="4C93A0B5" w14:textId="77777777" w:rsidTr="00707878">
        <w:trPr>
          <w:trHeight w:val="300"/>
          <w:jc w:val="center"/>
        </w:trPr>
        <w:tc>
          <w:tcPr>
            <w:tcW w:w="2263" w:type="dxa"/>
            <w:noWrap/>
            <w:hideMark/>
          </w:tcPr>
          <w:p w14:paraId="298EDF58" w14:textId="77777777" w:rsidR="00707878" w:rsidRPr="00707878" w:rsidRDefault="00707878" w:rsidP="00707878">
            <w:pPr>
              <w:spacing w:line="240" w:lineRule="auto"/>
              <w:ind w:firstLine="0"/>
              <w:jc w:val="center"/>
              <w:rPr>
                <w:lang w:val="en-US"/>
              </w:rPr>
            </w:pPr>
            <w:r w:rsidRPr="00707878">
              <w:rPr>
                <w:lang w:val="en-US"/>
              </w:rPr>
              <w:t>7</w:t>
            </w:r>
          </w:p>
        </w:tc>
        <w:tc>
          <w:tcPr>
            <w:tcW w:w="3402" w:type="dxa"/>
            <w:noWrap/>
            <w:hideMark/>
          </w:tcPr>
          <w:p w14:paraId="691B04CA" w14:textId="77777777" w:rsidR="00707878" w:rsidRPr="00707878" w:rsidRDefault="00707878" w:rsidP="00707878">
            <w:pPr>
              <w:spacing w:line="240" w:lineRule="auto"/>
              <w:ind w:firstLine="0"/>
              <w:jc w:val="center"/>
              <w:rPr>
                <w:lang w:val="en-US"/>
              </w:rPr>
            </w:pPr>
            <w:r w:rsidRPr="00707878">
              <w:rPr>
                <w:lang w:val="en-US"/>
              </w:rPr>
              <w:t>1.966192</w:t>
            </w:r>
          </w:p>
        </w:tc>
      </w:tr>
      <w:tr w:rsidR="00707878" w:rsidRPr="00707878" w14:paraId="75B70835" w14:textId="77777777" w:rsidTr="00707878">
        <w:trPr>
          <w:trHeight w:val="300"/>
          <w:jc w:val="center"/>
        </w:trPr>
        <w:tc>
          <w:tcPr>
            <w:tcW w:w="2263" w:type="dxa"/>
            <w:noWrap/>
            <w:hideMark/>
          </w:tcPr>
          <w:p w14:paraId="56892C19" w14:textId="77777777" w:rsidR="00707878" w:rsidRPr="00707878" w:rsidRDefault="00707878" w:rsidP="00707878">
            <w:pPr>
              <w:spacing w:line="240" w:lineRule="auto"/>
              <w:ind w:firstLine="0"/>
              <w:jc w:val="center"/>
              <w:rPr>
                <w:lang w:val="en-US"/>
              </w:rPr>
            </w:pPr>
            <w:r w:rsidRPr="00707878">
              <w:rPr>
                <w:lang w:val="en-US"/>
              </w:rPr>
              <w:t>8</w:t>
            </w:r>
          </w:p>
        </w:tc>
        <w:tc>
          <w:tcPr>
            <w:tcW w:w="3402" w:type="dxa"/>
            <w:noWrap/>
            <w:hideMark/>
          </w:tcPr>
          <w:p w14:paraId="676DADF2" w14:textId="77777777" w:rsidR="00707878" w:rsidRPr="00707878" w:rsidRDefault="00707878" w:rsidP="00707878">
            <w:pPr>
              <w:spacing w:line="240" w:lineRule="auto"/>
              <w:ind w:firstLine="0"/>
              <w:jc w:val="center"/>
              <w:rPr>
                <w:lang w:val="en-US"/>
              </w:rPr>
            </w:pPr>
            <w:r w:rsidRPr="00707878">
              <w:rPr>
                <w:lang w:val="en-US"/>
              </w:rPr>
              <w:t>1.975571</w:t>
            </w:r>
          </w:p>
        </w:tc>
      </w:tr>
      <w:tr w:rsidR="00707878" w:rsidRPr="00707878" w14:paraId="0111B47D" w14:textId="77777777" w:rsidTr="00707878">
        <w:trPr>
          <w:trHeight w:val="300"/>
          <w:jc w:val="center"/>
        </w:trPr>
        <w:tc>
          <w:tcPr>
            <w:tcW w:w="2263" w:type="dxa"/>
            <w:noWrap/>
            <w:hideMark/>
          </w:tcPr>
          <w:p w14:paraId="09C2DDA8" w14:textId="77777777" w:rsidR="00707878" w:rsidRPr="00707878" w:rsidRDefault="00707878" w:rsidP="00707878">
            <w:pPr>
              <w:spacing w:line="240" w:lineRule="auto"/>
              <w:ind w:firstLine="0"/>
              <w:jc w:val="center"/>
              <w:rPr>
                <w:lang w:val="en-US"/>
              </w:rPr>
            </w:pPr>
            <w:r w:rsidRPr="00707878">
              <w:rPr>
                <w:lang w:val="en-US"/>
              </w:rPr>
              <w:t>9</w:t>
            </w:r>
          </w:p>
        </w:tc>
        <w:tc>
          <w:tcPr>
            <w:tcW w:w="3402" w:type="dxa"/>
            <w:noWrap/>
            <w:hideMark/>
          </w:tcPr>
          <w:p w14:paraId="13BE2803" w14:textId="77777777" w:rsidR="00707878" w:rsidRPr="00707878" w:rsidRDefault="00707878" w:rsidP="00707878">
            <w:pPr>
              <w:spacing w:line="240" w:lineRule="auto"/>
              <w:ind w:firstLine="0"/>
              <w:jc w:val="center"/>
              <w:rPr>
                <w:lang w:val="en-US"/>
              </w:rPr>
            </w:pPr>
            <w:r w:rsidRPr="00707878">
              <w:rPr>
                <w:lang w:val="en-US"/>
              </w:rPr>
              <w:t>1.982726</w:t>
            </w:r>
          </w:p>
        </w:tc>
      </w:tr>
      <w:tr w:rsidR="00707878" w:rsidRPr="00707878" w14:paraId="5DF6B7F3" w14:textId="77777777" w:rsidTr="00707878">
        <w:trPr>
          <w:trHeight w:val="300"/>
          <w:jc w:val="center"/>
        </w:trPr>
        <w:tc>
          <w:tcPr>
            <w:tcW w:w="2263" w:type="dxa"/>
            <w:noWrap/>
            <w:hideMark/>
          </w:tcPr>
          <w:p w14:paraId="1F45D822" w14:textId="77777777" w:rsidR="00707878" w:rsidRPr="00707878" w:rsidRDefault="00707878" w:rsidP="00707878">
            <w:pPr>
              <w:spacing w:line="240" w:lineRule="auto"/>
              <w:ind w:firstLine="0"/>
              <w:jc w:val="center"/>
              <w:rPr>
                <w:lang w:val="en-US"/>
              </w:rPr>
            </w:pPr>
            <w:r w:rsidRPr="00707878">
              <w:rPr>
                <w:lang w:val="en-US"/>
              </w:rPr>
              <w:t>10</w:t>
            </w:r>
          </w:p>
        </w:tc>
        <w:tc>
          <w:tcPr>
            <w:tcW w:w="3402" w:type="dxa"/>
            <w:noWrap/>
            <w:hideMark/>
          </w:tcPr>
          <w:p w14:paraId="55815716" w14:textId="77777777" w:rsidR="00707878" w:rsidRPr="00707878" w:rsidRDefault="00707878" w:rsidP="00707878">
            <w:pPr>
              <w:spacing w:line="240" w:lineRule="auto"/>
              <w:ind w:firstLine="0"/>
              <w:jc w:val="center"/>
              <w:rPr>
                <w:lang w:val="en-US"/>
              </w:rPr>
            </w:pPr>
            <w:r w:rsidRPr="00707878">
              <w:rPr>
                <w:lang w:val="en-US"/>
              </w:rPr>
              <w:t>1.989019</w:t>
            </w:r>
          </w:p>
        </w:tc>
      </w:tr>
      <w:tr w:rsidR="00707878" w:rsidRPr="00707878" w14:paraId="4E847CAD" w14:textId="77777777" w:rsidTr="00707878">
        <w:trPr>
          <w:trHeight w:val="300"/>
          <w:jc w:val="center"/>
        </w:trPr>
        <w:tc>
          <w:tcPr>
            <w:tcW w:w="2263" w:type="dxa"/>
            <w:noWrap/>
            <w:hideMark/>
          </w:tcPr>
          <w:p w14:paraId="5CFBDC69" w14:textId="77777777" w:rsidR="00707878" w:rsidRPr="00707878" w:rsidRDefault="00707878" w:rsidP="00707878">
            <w:pPr>
              <w:spacing w:line="240" w:lineRule="auto"/>
              <w:ind w:firstLine="0"/>
              <w:jc w:val="center"/>
              <w:rPr>
                <w:lang w:val="en-US"/>
              </w:rPr>
            </w:pPr>
            <w:r w:rsidRPr="00707878">
              <w:rPr>
                <w:lang w:val="en-US"/>
              </w:rPr>
              <w:t>11</w:t>
            </w:r>
          </w:p>
        </w:tc>
        <w:tc>
          <w:tcPr>
            <w:tcW w:w="3402" w:type="dxa"/>
            <w:noWrap/>
            <w:hideMark/>
          </w:tcPr>
          <w:p w14:paraId="4543A101" w14:textId="77777777" w:rsidR="00707878" w:rsidRPr="00707878" w:rsidRDefault="00707878" w:rsidP="00707878">
            <w:pPr>
              <w:spacing w:line="240" w:lineRule="auto"/>
              <w:ind w:firstLine="0"/>
              <w:jc w:val="center"/>
              <w:rPr>
                <w:lang w:val="en-US"/>
              </w:rPr>
            </w:pPr>
            <w:r w:rsidRPr="00707878">
              <w:rPr>
                <w:lang w:val="en-US"/>
              </w:rPr>
              <w:t>1.994827</w:t>
            </w:r>
          </w:p>
        </w:tc>
      </w:tr>
      <w:tr w:rsidR="00707878" w:rsidRPr="00707878" w14:paraId="6B5A1C32" w14:textId="77777777" w:rsidTr="00707878">
        <w:trPr>
          <w:trHeight w:val="300"/>
          <w:jc w:val="center"/>
        </w:trPr>
        <w:tc>
          <w:tcPr>
            <w:tcW w:w="2263" w:type="dxa"/>
            <w:noWrap/>
            <w:hideMark/>
          </w:tcPr>
          <w:p w14:paraId="4BAFE678" w14:textId="77777777" w:rsidR="00707878" w:rsidRPr="00707878" w:rsidRDefault="00707878" w:rsidP="00707878">
            <w:pPr>
              <w:spacing w:line="240" w:lineRule="auto"/>
              <w:ind w:firstLine="0"/>
              <w:jc w:val="center"/>
              <w:rPr>
                <w:lang w:val="en-US"/>
              </w:rPr>
            </w:pPr>
            <w:r w:rsidRPr="00707878">
              <w:rPr>
                <w:lang w:val="en-US"/>
              </w:rPr>
              <w:t>12</w:t>
            </w:r>
          </w:p>
        </w:tc>
        <w:tc>
          <w:tcPr>
            <w:tcW w:w="3402" w:type="dxa"/>
            <w:noWrap/>
            <w:hideMark/>
          </w:tcPr>
          <w:p w14:paraId="36295978" w14:textId="77777777" w:rsidR="00707878" w:rsidRPr="00707878" w:rsidRDefault="00707878" w:rsidP="00707878">
            <w:pPr>
              <w:spacing w:line="240" w:lineRule="auto"/>
              <w:ind w:firstLine="0"/>
              <w:jc w:val="center"/>
              <w:rPr>
                <w:lang w:val="en-US"/>
              </w:rPr>
            </w:pPr>
            <w:r w:rsidRPr="00707878">
              <w:rPr>
                <w:lang w:val="en-US"/>
              </w:rPr>
              <w:t>2.000354</w:t>
            </w:r>
          </w:p>
        </w:tc>
      </w:tr>
      <w:tr w:rsidR="00707878" w:rsidRPr="00707878" w14:paraId="1AF04152" w14:textId="77777777" w:rsidTr="00707878">
        <w:trPr>
          <w:trHeight w:val="300"/>
          <w:jc w:val="center"/>
        </w:trPr>
        <w:tc>
          <w:tcPr>
            <w:tcW w:w="2263" w:type="dxa"/>
            <w:noWrap/>
            <w:hideMark/>
          </w:tcPr>
          <w:p w14:paraId="7AF88E91" w14:textId="77777777" w:rsidR="00707878" w:rsidRPr="00707878" w:rsidRDefault="00707878" w:rsidP="00707878">
            <w:pPr>
              <w:spacing w:line="240" w:lineRule="auto"/>
              <w:ind w:firstLine="0"/>
              <w:jc w:val="center"/>
              <w:rPr>
                <w:lang w:val="en-US"/>
              </w:rPr>
            </w:pPr>
            <w:r w:rsidRPr="00707878">
              <w:rPr>
                <w:lang w:val="en-US"/>
              </w:rPr>
              <w:t>13</w:t>
            </w:r>
          </w:p>
        </w:tc>
        <w:tc>
          <w:tcPr>
            <w:tcW w:w="3402" w:type="dxa"/>
            <w:noWrap/>
            <w:hideMark/>
          </w:tcPr>
          <w:p w14:paraId="2C8239CD" w14:textId="77777777" w:rsidR="00707878" w:rsidRPr="00707878" w:rsidRDefault="00707878" w:rsidP="00707878">
            <w:pPr>
              <w:spacing w:line="240" w:lineRule="auto"/>
              <w:ind w:firstLine="0"/>
              <w:jc w:val="center"/>
              <w:rPr>
                <w:lang w:val="en-US"/>
              </w:rPr>
            </w:pPr>
            <w:r w:rsidRPr="00707878">
              <w:rPr>
                <w:lang w:val="en-US"/>
              </w:rPr>
              <w:t>2.005613</w:t>
            </w:r>
          </w:p>
        </w:tc>
      </w:tr>
      <w:tr w:rsidR="00707878" w:rsidRPr="00707878" w14:paraId="13AC0FF2" w14:textId="77777777" w:rsidTr="00707878">
        <w:trPr>
          <w:trHeight w:val="300"/>
          <w:jc w:val="center"/>
        </w:trPr>
        <w:tc>
          <w:tcPr>
            <w:tcW w:w="2263" w:type="dxa"/>
            <w:noWrap/>
            <w:hideMark/>
          </w:tcPr>
          <w:p w14:paraId="0E06A415" w14:textId="77777777" w:rsidR="00707878" w:rsidRPr="00707878" w:rsidRDefault="00707878" w:rsidP="00707878">
            <w:pPr>
              <w:spacing w:line="240" w:lineRule="auto"/>
              <w:ind w:firstLine="0"/>
              <w:jc w:val="center"/>
              <w:rPr>
                <w:lang w:val="en-US"/>
              </w:rPr>
            </w:pPr>
            <w:r w:rsidRPr="00707878">
              <w:rPr>
                <w:lang w:val="en-US"/>
              </w:rPr>
              <w:t>14</w:t>
            </w:r>
          </w:p>
        </w:tc>
        <w:tc>
          <w:tcPr>
            <w:tcW w:w="3402" w:type="dxa"/>
            <w:noWrap/>
            <w:hideMark/>
          </w:tcPr>
          <w:p w14:paraId="2FD1836F" w14:textId="77777777" w:rsidR="00707878" w:rsidRPr="00707878" w:rsidRDefault="00707878" w:rsidP="00707878">
            <w:pPr>
              <w:spacing w:line="240" w:lineRule="auto"/>
              <w:ind w:firstLine="0"/>
              <w:jc w:val="center"/>
              <w:rPr>
                <w:lang w:val="en-US"/>
              </w:rPr>
            </w:pPr>
            <w:r w:rsidRPr="00707878">
              <w:rPr>
                <w:lang w:val="en-US"/>
              </w:rPr>
              <w:t>2.010486</w:t>
            </w:r>
          </w:p>
        </w:tc>
      </w:tr>
      <w:tr w:rsidR="00707878" w:rsidRPr="00707878" w14:paraId="5D4EF2B3" w14:textId="77777777" w:rsidTr="00707878">
        <w:trPr>
          <w:trHeight w:val="300"/>
          <w:jc w:val="center"/>
        </w:trPr>
        <w:tc>
          <w:tcPr>
            <w:tcW w:w="2263" w:type="dxa"/>
            <w:noWrap/>
            <w:hideMark/>
          </w:tcPr>
          <w:p w14:paraId="4AEC697E" w14:textId="77777777" w:rsidR="00707878" w:rsidRPr="00707878" w:rsidRDefault="00707878" w:rsidP="00707878">
            <w:pPr>
              <w:spacing w:line="240" w:lineRule="auto"/>
              <w:ind w:firstLine="0"/>
              <w:jc w:val="center"/>
              <w:rPr>
                <w:lang w:val="en-US"/>
              </w:rPr>
            </w:pPr>
            <w:r w:rsidRPr="00707878">
              <w:rPr>
                <w:lang w:val="en-US"/>
              </w:rPr>
              <w:t>15</w:t>
            </w:r>
          </w:p>
        </w:tc>
        <w:tc>
          <w:tcPr>
            <w:tcW w:w="3402" w:type="dxa"/>
            <w:noWrap/>
            <w:hideMark/>
          </w:tcPr>
          <w:p w14:paraId="6A97D18D" w14:textId="77777777" w:rsidR="00707878" w:rsidRPr="00707878" w:rsidRDefault="00707878" w:rsidP="00707878">
            <w:pPr>
              <w:spacing w:line="240" w:lineRule="auto"/>
              <w:ind w:firstLine="0"/>
              <w:jc w:val="center"/>
              <w:rPr>
                <w:lang w:val="en-US"/>
              </w:rPr>
            </w:pPr>
            <w:r w:rsidRPr="00707878">
              <w:rPr>
                <w:lang w:val="en-US"/>
              </w:rPr>
              <w:t>2.01534</w:t>
            </w:r>
          </w:p>
        </w:tc>
      </w:tr>
      <w:tr w:rsidR="00707878" w:rsidRPr="00707878" w14:paraId="2788C0B5" w14:textId="77777777" w:rsidTr="00707878">
        <w:trPr>
          <w:trHeight w:val="300"/>
          <w:jc w:val="center"/>
        </w:trPr>
        <w:tc>
          <w:tcPr>
            <w:tcW w:w="2263" w:type="dxa"/>
            <w:noWrap/>
            <w:hideMark/>
          </w:tcPr>
          <w:p w14:paraId="38C1AD1F" w14:textId="77777777" w:rsidR="00707878" w:rsidRPr="00707878" w:rsidRDefault="00707878" w:rsidP="00707878">
            <w:pPr>
              <w:spacing w:line="240" w:lineRule="auto"/>
              <w:ind w:firstLine="0"/>
              <w:jc w:val="center"/>
              <w:rPr>
                <w:lang w:val="en-US"/>
              </w:rPr>
            </w:pPr>
            <w:r w:rsidRPr="00707878">
              <w:rPr>
                <w:lang w:val="en-US"/>
              </w:rPr>
              <w:t>16</w:t>
            </w:r>
          </w:p>
        </w:tc>
        <w:tc>
          <w:tcPr>
            <w:tcW w:w="3402" w:type="dxa"/>
            <w:noWrap/>
            <w:hideMark/>
          </w:tcPr>
          <w:p w14:paraId="791B4DE8" w14:textId="77777777" w:rsidR="00707878" w:rsidRPr="00707878" w:rsidRDefault="00707878" w:rsidP="00707878">
            <w:pPr>
              <w:spacing w:line="240" w:lineRule="auto"/>
              <w:ind w:firstLine="0"/>
              <w:jc w:val="center"/>
              <w:rPr>
                <w:lang w:val="en-US"/>
              </w:rPr>
            </w:pPr>
            <w:r w:rsidRPr="00707878">
              <w:rPr>
                <w:lang w:val="en-US"/>
              </w:rPr>
              <w:t>2.020178</w:t>
            </w:r>
          </w:p>
        </w:tc>
      </w:tr>
      <w:tr w:rsidR="00707878" w:rsidRPr="00707878" w14:paraId="57741B85" w14:textId="77777777" w:rsidTr="00707878">
        <w:trPr>
          <w:trHeight w:val="300"/>
          <w:jc w:val="center"/>
        </w:trPr>
        <w:tc>
          <w:tcPr>
            <w:tcW w:w="2263" w:type="dxa"/>
            <w:noWrap/>
            <w:hideMark/>
          </w:tcPr>
          <w:p w14:paraId="4455AA4F" w14:textId="77777777" w:rsidR="00707878" w:rsidRPr="00707878" w:rsidRDefault="00707878" w:rsidP="00707878">
            <w:pPr>
              <w:spacing w:line="240" w:lineRule="auto"/>
              <w:ind w:firstLine="0"/>
              <w:jc w:val="center"/>
              <w:rPr>
                <w:lang w:val="en-US"/>
              </w:rPr>
            </w:pPr>
            <w:r w:rsidRPr="00707878">
              <w:rPr>
                <w:lang w:val="en-US"/>
              </w:rPr>
              <w:t>17</w:t>
            </w:r>
          </w:p>
        </w:tc>
        <w:tc>
          <w:tcPr>
            <w:tcW w:w="3402" w:type="dxa"/>
            <w:noWrap/>
            <w:hideMark/>
          </w:tcPr>
          <w:p w14:paraId="25736846" w14:textId="77777777" w:rsidR="00707878" w:rsidRPr="00707878" w:rsidRDefault="00707878" w:rsidP="00707878">
            <w:pPr>
              <w:spacing w:line="240" w:lineRule="auto"/>
              <w:ind w:firstLine="0"/>
              <w:jc w:val="center"/>
              <w:rPr>
                <w:lang w:val="en-US"/>
              </w:rPr>
            </w:pPr>
            <w:r w:rsidRPr="00707878">
              <w:rPr>
                <w:lang w:val="en-US"/>
              </w:rPr>
              <w:t>2.024979</w:t>
            </w:r>
          </w:p>
        </w:tc>
      </w:tr>
      <w:tr w:rsidR="00707878" w:rsidRPr="00707878" w14:paraId="20D715D0" w14:textId="77777777" w:rsidTr="00707878">
        <w:trPr>
          <w:trHeight w:val="300"/>
          <w:jc w:val="center"/>
        </w:trPr>
        <w:tc>
          <w:tcPr>
            <w:tcW w:w="2263" w:type="dxa"/>
            <w:noWrap/>
            <w:hideMark/>
          </w:tcPr>
          <w:p w14:paraId="1C50B235" w14:textId="77777777" w:rsidR="00707878" w:rsidRPr="00707878" w:rsidRDefault="00707878" w:rsidP="00707878">
            <w:pPr>
              <w:spacing w:line="240" w:lineRule="auto"/>
              <w:ind w:firstLine="0"/>
              <w:jc w:val="center"/>
              <w:rPr>
                <w:lang w:val="en-US"/>
              </w:rPr>
            </w:pPr>
            <w:r w:rsidRPr="00707878">
              <w:rPr>
                <w:lang w:val="en-US"/>
              </w:rPr>
              <w:t>18</w:t>
            </w:r>
          </w:p>
        </w:tc>
        <w:tc>
          <w:tcPr>
            <w:tcW w:w="3402" w:type="dxa"/>
            <w:noWrap/>
            <w:hideMark/>
          </w:tcPr>
          <w:p w14:paraId="5ED15C84" w14:textId="77777777" w:rsidR="00707878" w:rsidRPr="00707878" w:rsidRDefault="00707878" w:rsidP="00707878">
            <w:pPr>
              <w:spacing w:line="240" w:lineRule="auto"/>
              <w:ind w:firstLine="0"/>
              <w:jc w:val="center"/>
              <w:rPr>
                <w:lang w:val="en-US"/>
              </w:rPr>
            </w:pPr>
            <w:r w:rsidRPr="00707878">
              <w:rPr>
                <w:lang w:val="en-US"/>
              </w:rPr>
              <w:t>2.029722</w:t>
            </w:r>
          </w:p>
        </w:tc>
      </w:tr>
      <w:tr w:rsidR="00707878" w:rsidRPr="00707878" w14:paraId="405D9E43" w14:textId="77777777" w:rsidTr="00707878">
        <w:trPr>
          <w:trHeight w:val="300"/>
          <w:jc w:val="center"/>
        </w:trPr>
        <w:tc>
          <w:tcPr>
            <w:tcW w:w="2263" w:type="dxa"/>
            <w:noWrap/>
            <w:hideMark/>
          </w:tcPr>
          <w:p w14:paraId="766C8894" w14:textId="77777777" w:rsidR="00707878" w:rsidRPr="00707878" w:rsidRDefault="00707878" w:rsidP="00707878">
            <w:pPr>
              <w:spacing w:line="240" w:lineRule="auto"/>
              <w:ind w:firstLine="0"/>
              <w:jc w:val="center"/>
              <w:rPr>
                <w:lang w:val="en-US"/>
              </w:rPr>
            </w:pPr>
            <w:r w:rsidRPr="00707878">
              <w:rPr>
                <w:lang w:val="en-US"/>
              </w:rPr>
              <w:t>19</w:t>
            </w:r>
          </w:p>
        </w:tc>
        <w:tc>
          <w:tcPr>
            <w:tcW w:w="3402" w:type="dxa"/>
            <w:noWrap/>
            <w:hideMark/>
          </w:tcPr>
          <w:p w14:paraId="3CC08290" w14:textId="77777777" w:rsidR="00707878" w:rsidRPr="00707878" w:rsidRDefault="00707878" w:rsidP="00707878">
            <w:pPr>
              <w:spacing w:line="240" w:lineRule="auto"/>
              <w:ind w:firstLine="0"/>
              <w:jc w:val="center"/>
              <w:rPr>
                <w:lang w:val="en-US"/>
              </w:rPr>
            </w:pPr>
            <w:r w:rsidRPr="00707878">
              <w:rPr>
                <w:lang w:val="en-US"/>
              </w:rPr>
              <w:t>2.032798</w:t>
            </w:r>
          </w:p>
        </w:tc>
      </w:tr>
      <w:tr w:rsidR="00707878" w:rsidRPr="00707878" w14:paraId="7C2BA198" w14:textId="77777777" w:rsidTr="00707878">
        <w:trPr>
          <w:trHeight w:val="300"/>
          <w:jc w:val="center"/>
        </w:trPr>
        <w:tc>
          <w:tcPr>
            <w:tcW w:w="2263" w:type="dxa"/>
            <w:noWrap/>
            <w:hideMark/>
          </w:tcPr>
          <w:p w14:paraId="628D42E9" w14:textId="77777777" w:rsidR="00707878" w:rsidRPr="00707878" w:rsidRDefault="00707878" w:rsidP="00707878">
            <w:pPr>
              <w:spacing w:line="240" w:lineRule="auto"/>
              <w:ind w:firstLine="0"/>
              <w:jc w:val="center"/>
              <w:rPr>
                <w:lang w:val="en-US"/>
              </w:rPr>
            </w:pPr>
            <w:r w:rsidRPr="00707878">
              <w:rPr>
                <w:lang w:val="en-US"/>
              </w:rPr>
              <w:t>20</w:t>
            </w:r>
          </w:p>
        </w:tc>
        <w:tc>
          <w:tcPr>
            <w:tcW w:w="3402" w:type="dxa"/>
            <w:noWrap/>
            <w:hideMark/>
          </w:tcPr>
          <w:p w14:paraId="604CC4ED" w14:textId="77777777" w:rsidR="00707878" w:rsidRPr="00707878" w:rsidRDefault="00707878" w:rsidP="00707878">
            <w:pPr>
              <w:spacing w:line="240" w:lineRule="auto"/>
              <w:ind w:firstLine="0"/>
              <w:jc w:val="center"/>
              <w:rPr>
                <w:lang w:val="en-US"/>
              </w:rPr>
            </w:pPr>
            <w:r w:rsidRPr="00707878">
              <w:rPr>
                <w:lang w:val="en-US"/>
              </w:rPr>
              <w:t>2.036404</w:t>
            </w:r>
          </w:p>
        </w:tc>
      </w:tr>
      <w:tr w:rsidR="00707878" w:rsidRPr="00707878" w14:paraId="072AEF8A" w14:textId="77777777" w:rsidTr="00707878">
        <w:trPr>
          <w:trHeight w:val="300"/>
          <w:jc w:val="center"/>
        </w:trPr>
        <w:tc>
          <w:tcPr>
            <w:tcW w:w="2263" w:type="dxa"/>
            <w:noWrap/>
            <w:hideMark/>
          </w:tcPr>
          <w:p w14:paraId="30E33AD5" w14:textId="77777777" w:rsidR="00707878" w:rsidRPr="00707878" w:rsidRDefault="00707878" w:rsidP="00707878">
            <w:pPr>
              <w:spacing w:line="240" w:lineRule="auto"/>
              <w:ind w:firstLine="0"/>
              <w:jc w:val="center"/>
              <w:rPr>
                <w:lang w:val="en-US"/>
              </w:rPr>
            </w:pPr>
            <w:r w:rsidRPr="00707878">
              <w:rPr>
                <w:lang w:val="en-US"/>
              </w:rPr>
              <w:t>21</w:t>
            </w:r>
          </w:p>
        </w:tc>
        <w:tc>
          <w:tcPr>
            <w:tcW w:w="3402" w:type="dxa"/>
            <w:noWrap/>
            <w:hideMark/>
          </w:tcPr>
          <w:p w14:paraId="1854C58A" w14:textId="77777777" w:rsidR="00707878" w:rsidRPr="00707878" w:rsidRDefault="00707878" w:rsidP="00707878">
            <w:pPr>
              <w:spacing w:line="240" w:lineRule="auto"/>
              <w:ind w:firstLine="0"/>
              <w:jc w:val="center"/>
              <w:rPr>
                <w:lang w:val="en-US"/>
              </w:rPr>
            </w:pPr>
            <w:r w:rsidRPr="00707878">
              <w:rPr>
                <w:lang w:val="en-US"/>
              </w:rPr>
              <w:t>2.039824</w:t>
            </w:r>
          </w:p>
        </w:tc>
      </w:tr>
      <w:tr w:rsidR="00707878" w:rsidRPr="00707878" w14:paraId="46E90055" w14:textId="77777777" w:rsidTr="00707878">
        <w:trPr>
          <w:trHeight w:val="300"/>
          <w:jc w:val="center"/>
        </w:trPr>
        <w:tc>
          <w:tcPr>
            <w:tcW w:w="2263" w:type="dxa"/>
            <w:noWrap/>
            <w:hideMark/>
          </w:tcPr>
          <w:p w14:paraId="153441A6" w14:textId="77777777" w:rsidR="00707878" w:rsidRPr="00707878" w:rsidRDefault="00707878" w:rsidP="00707878">
            <w:pPr>
              <w:spacing w:line="240" w:lineRule="auto"/>
              <w:ind w:firstLine="0"/>
              <w:jc w:val="center"/>
              <w:rPr>
                <w:lang w:val="en-US"/>
              </w:rPr>
            </w:pPr>
            <w:r w:rsidRPr="00707878">
              <w:rPr>
                <w:lang w:val="en-US"/>
              </w:rPr>
              <w:t>22</w:t>
            </w:r>
          </w:p>
        </w:tc>
        <w:tc>
          <w:tcPr>
            <w:tcW w:w="3402" w:type="dxa"/>
            <w:noWrap/>
            <w:hideMark/>
          </w:tcPr>
          <w:p w14:paraId="10C73FD8" w14:textId="77777777" w:rsidR="00707878" w:rsidRPr="00707878" w:rsidRDefault="00707878" w:rsidP="00707878">
            <w:pPr>
              <w:spacing w:line="240" w:lineRule="auto"/>
              <w:ind w:firstLine="0"/>
              <w:jc w:val="center"/>
              <w:rPr>
                <w:lang w:val="en-US"/>
              </w:rPr>
            </w:pPr>
            <w:r w:rsidRPr="00707878">
              <w:rPr>
                <w:lang w:val="en-US"/>
              </w:rPr>
              <w:t>2.043344</w:t>
            </w:r>
          </w:p>
        </w:tc>
      </w:tr>
      <w:tr w:rsidR="00707878" w:rsidRPr="00707878" w14:paraId="68DCB338" w14:textId="77777777" w:rsidTr="00707878">
        <w:trPr>
          <w:trHeight w:val="300"/>
          <w:jc w:val="center"/>
        </w:trPr>
        <w:tc>
          <w:tcPr>
            <w:tcW w:w="2263" w:type="dxa"/>
            <w:noWrap/>
            <w:hideMark/>
          </w:tcPr>
          <w:p w14:paraId="73BEA5ED" w14:textId="77777777" w:rsidR="00707878" w:rsidRPr="00707878" w:rsidRDefault="00707878" w:rsidP="00707878">
            <w:pPr>
              <w:spacing w:line="240" w:lineRule="auto"/>
              <w:ind w:firstLine="0"/>
              <w:jc w:val="center"/>
              <w:rPr>
                <w:lang w:val="en-US"/>
              </w:rPr>
            </w:pPr>
            <w:r w:rsidRPr="00707878">
              <w:rPr>
                <w:lang w:val="en-US"/>
              </w:rPr>
              <w:t>23</w:t>
            </w:r>
          </w:p>
        </w:tc>
        <w:tc>
          <w:tcPr>
            <w:tcW w:w="3402" w:type="dxa"/>
            <w:noWrap/>
            <w:hideMark/>
          </w:tcPr>
          <w:p w14:paraId="73F06842" w14:textId="77777777" w:rsidR="00707878" w:rsidRPr="00707878" w:rsidRDefault="00707878" w:rsidP="00707878">
            <w:pPr>
              <w:spacing w:line="240" w:lineRule="auto"/>
              <w:ind w:firstLine="0"/>
              <w:jc w:val="center"/>
              <w:rPr>
                <w:lang w:val="en-US"/>
              </w:rPr>
            </w:pPr>
            <w:r w:rsidRPr="00707878">
              <w:rPr>
                <w:lang w:val="en-US"/>
              </w:rPr>
              <w:t>2.046819</w:t>
            </w:r>
          </w:p>
        </w:tc>
      </w:tr>
      <w:tr w:rsidR="00707878" w:rsidRPr="00707878" w14:paraId="7F366572" w14:textId="77777777" w:rsidTr="00707878">
        <w:trPr>
          <w:trHeight w:val="300"/>
          <w:jc w:val="center"/>
        </w:trPr>
        <w:tc>
          <w:tcPr>
            <w:tcW w:w="2263" w:type="dxa"/>
            <w:noWrap/>
            <w:hideMark/>
          </w:tcPr>
          <w:p w14:paraId="75D4664C" w14:textId="77777777" w:rsidR="00707878" w:rsidRPr="00707878" w:rsidRDefault="00707878" w:rsidP="00707878">
            <w:pPr>
              <w:spacing w:line="240" w:lineRule="auto"/>
              <w:ind w:firstLine="0"/>
              <w:jc w:val="center"/>
              <w:rPr>
                <w:lang w:val="en-US"/>
              </w:rPr>
            </w:pPr>
            <w:r w:rsidRPr="00707878">
              <w:rPr>
                <w:lang w:val="en-US"/>
              </w:rPr>
              <w:t>24</w:t>
            </w:r>
          </w:p>
        </w:tc>
        <w:tc>
          <w:tcPr>
            <w:tcW w:w="3402" w:type="dxa"/>
            <w:noWrap/>
            <w:hideMark/>
          </w:tcPr>
          <w:p w14:paraId="70657495" w14:textId="77777777" w:rsidR="00707878" w:rsidRPr="00707878" w:rsidRDefault="00707878" w:rsidP="00707878">
            <w:pPr>
              <w:spacing w:line="240" w:lineRule="auto"/>
              <w:ind w:firstLine="0"/>
              <w:jc w:val="center"/>
              <w:rPr>
                <w:lang w:val="en-US"/>
              </w:rPr>
            </w:pPr>
            <w:r w:rsidRPr="00707878">
              <w:rPr>
                <w:lang w:val="en-US"/>
              </w:rPr>
              <w:t>2.050406</w:t>
            </w:r>
          </w:p>
        </w:tc>
      </w:tr>
      <w:tr w:rsidR="00707878" w:rsidRPr="00707878" w14:paraId="397953ED" w14:textId="77777777" w:rsidTr="00707878">
        <w:trPr>
          <w:trHeight w:val="300"/>
          <w:jc w:val="center"/>
        </w:trPr>
        <w:tc>
          <w:tcPr>
            <w:tcW w:w="2263" w:type="dxa"/>
            <w:noWrap/>
            <w:hideMark/>
          </w:tcPr>
          <w:p w14:paraId="64DEC737" w14:textId="77777777" w:rsidR="00707878" w:rsidRPr="00707878" w:rsidRDefault="00707878" w:rsidP="00707878">
            <w:pPr>
              <w:spacing w:line="240" w:lineRule="auto"/>
              <w:ind w:firstLine="0"/>
              <w:jc w:val="center"/>
              <w:rPr>
                <w:lang w:val="en-US"/>
              </w:rPr>
            </w:pPr>
            <w:r w:rsidRPr="00707878">
              <w:rPr>
                <w:lang w:val="en-US"/>
              </w:rPr>
              <w:t>25</w:t>
            </w:r>
          </w:p>
        </w:tc>
        <w:tc>
          <w:tcPr>
            <w:tcW w:w="3402" w:type="dxa"/>
            <w:noWrap/>
            <w:hideMark/>
          </w:tcPr>
          <w:p w14:paraId="518D6C1C" w14:textId="77777777" w:rsidR="00707878" w:rsidRPr="00707878" w:rsidRDefault="00707878" w:rsidP="00707878">
            <w:pPr>
              <w:spacing w:line="240" w:lineRule="auto"/>
              <w:ind w:firstLine="0"/>
              <w:jc w:val="center"/>
              <w:rPr>
                <w:lang w:val="en-US"/>
              </w:rPr>
            </w:pPr>
            <w:r w:rsidRPr="00707878">
              <w:rPr>
                <w:lang w:val="en-US"/>
              </w:rPr>
              <w:t>2.054039</w:t>
            </w:r>
          </w:p>
        </w:tc>
      </w:tr>
      <w:tr w:rsidR="00707878" w:rsidRPr="00707878" w14:paraId="40ACCBE6" w14:textId="77777777" w:rsidTr="00707878">
        <w:trPr>
          <w:trHeight w:val="300"/>
          <w:jc w:val="center"/>
        </w:trPr>
        <w:tc>
          <w:tcPr>
            <w:tcW w:w="2263" w:type="dxa"/>
            <w:noWrap/>
            <w:hideMark/>
          </w:tcPr>
          <w:p w14:paraId="7E957832" w14:textId="77777777" w:rsidR="00707878" w:rsidRPr="00707878" w:rsidRDefault="00707878" w:rsidP="00707878">
            <w:pPr>
              <w:spacing w:line="240" w:lineRule="auto"/>
              <w:ind w:firstLine="0"/>
              <w:jc w:val="center"/>
              <w:rPr>
                <w:lang w:val="en-US"/>
              </w:rPr>
            </w:pPr>
            <w:r w:rsidRPr="00707878">
              <w:rPr>
                <w:lang w:val="en-US"/>
              </w:rPr>
              <w:t>26</w:t>
            </w:r>
          </w:p>
        </w:tc>
        <w:tc>
          <w:tcPr>
            <w:tcW w:w="3402" w:type="dxa"/>
            <w:noWrap/>
            <w:hideMark/>
          </w:tcPr>
          <w:p w14:paraId="473112D8" w14:textId="77777777" w:rsidR="00707878" w:rsidRPr="00707878" w:rsidRDefault="00707878" w:rsidP="00707878">
            <w:pPr>
              <w:spacing w:line="240" w:lineRule="auto"/>
              <w:ind w:firstLine="0"/>
              <w:jc w:val="center"/>
              <w:rPr>
                <w:lang w:val="en-US"/>
              </w:rPr>
            </w:pPr>
            <w:r w:rsidRPr="00707878">
              <w:rPr>
                <w:lang w:val="en-US"/>
              </w:rPr>
              <w:t>2.057609</w:t>
            </w:r>
          </w:p>
        </w:tc>
      </w:tr>
      <w:tr w:rsidR="00707878" w:rsidRPr="00707878" w14:paraId="129FD91A" w14:textId="77777777" w:rsidTr="00707878">
        <w:trPr>
          <w:trHeight w:val="300"/>
          <w:jc w:val="center"/>
        </w:trPr>
        <w:tc>
          <w:tcPr>
            <w:tcW w:w="2263" w:type="dxa"/>
            <w:noWrap/>
            <w:hideMark/>
          </w:tcPr>
          <w:p w14:paraId="401711D1" w14:textId="77777777" w:rsidR="00707878" w:rsidRPr="00707878" w:rsidRDefault="00707878" w:rsidP="00707878">
            <w:pPr>
              <w:spacing w:line="240" w:lineRule="auto"/>
              <w:ind w:firstLine="0"/>
              <w:jc w:val="center"/>
              <w:rPr>
                <w:lang w:val="en-US"/>
              </w:rPr>
            </w:pPr>
            <w:r w:rsidRPr="00707878">
              <w:rPr>
                <w:lang w:val="en-US"/>
              </w:rPr>
              <w:t>27</w:t>
            </w:r>
          </w:p>
        </w:tc>
        <w:tc>
          <w:tcPr>
            <w:tcW w:w="3402" w:type="dxa"/>
            <w:noWrap/>
            <w:hideMark/>
          </w:tcPr>
          <w:p w14:paraId="501361E8" w14:textId="77777777" w:rsidR="00707878" w:rsidRPr="00707878" w:rsidRDefault="00707878" w:rsidP="00707878">
            <w:pPr>
              <w:spacing w:line="240" w:lineRule="auto"/>
              <w:ind w:firstLine="0"/>
              <w:jc w:val="center"/>
              <w:rPr>
                <w:lang w:val="en-US"/>
              </w:rPr>
            </w:pPr>
            <w:r w:rsidRPr="00707878">
              <w:rPr>
                <w:lang w:val="en-US"/>
              </w:rPr>
              <w:t>2.061155</w:t>
            </w:r>
          </w:p>
        </w:tc>
      </w:tr>
      <w:tr w:rsidR="00707878" w:rsidRPr="00707878" w14:paraId="4BFD45BB" w14:textId="77777777" w:rsidTr="00707878">
        <w:trPr>
          <w:trHeight w:val="300"/>
          <w:jc w:val="center"/>
        </w:trPr>
        <w:tc>
          <w:tcPr>
            <w:tcW w:w="2263" w:type="dxa"/>
            <w:noWrap/>
            <w:hideMark/>
          </w:tcPr>
          <w:p w14:paraId="1958696E" w14:textId="77777777" w:rsidR="00707878" w:rsidRPr="00707878" w:rsidRDefault="00707878" w:rsidP="00707878">
            <w:pPr>
              <w:spacing w:line="240" w:lineRule="auto"/>
              <w:ind w:firstLine="0"/>
              <w:jc w:val="center"/>
              <w:rPr>
                <w:lang w:val="en-US"/>
              </w:rPr>
            </w:pPr>
            <w:r w:rsidRPr="00707878">
              <w:rPr>
                <w:lang w:val="en-US"/>
              </w:rPr>
              <w:t>28</w:t>
            </w:r>
          </w:p>
        </w:tc>
        <w:tc>
          <w:tcPr>
            <w:tcW w:w="3402" w:type="dxa"/>
            <w:noWrap/>
            <w:hideMark/>
          </w:tcPr>
          <w:p w14:paraId="6FD1502A" w14:textId="77777777" w:rsidR="00707878" w:rsidRPr="00707878" w:rsidRDefault="00707878" w:rsidP="00707878">
            <w:pPr>
              <w:spacing w:line="240" w:lineRule="auto"/>
              <w:ind w:firstLine="0"/>
              <w:jc w:val="center"/>
              <w:rPr>
                <w:lang w:val="en-US"/>
              </w:rPr>
            </w:pPr>
            <w:r w:rsidRPr="00707878">
              <w:rPr>
                <w:lang w:val="en-US"/>
              </w:rPr>
              <w:t>2.064619</w:t>
            </w:r>
          </w:p>
        </w:tc>
      </w:tr>
      <w:tr w:rsidR="00707878" w:rsidRPr="00707878" w14:paraId="5DA9C3FE" w14:textId="77777777" w:rsidTr="00707878">
        <w:trPr>
          <w:trHeight w:val="300"/>
          <w:jc w:val="center"/>
        </w:trPr>
        <w:tc>
          <w:tcPr>
            <w:tcW w:w="2263" w:type="dxa"/>
            <w:noWrap/>
            <w:hideMark/>
          </w:tcPr>
          <w:p w14:paraId="4E68F51E" w14:textId="77777777" w:rsidR="00707878" w:rsidRPr="00707878" w:rsidRDefault="00707878" w:rsidP="00707878">
            <w:pPr>
              <w:spacing w:line="240" w:lineRule="auto"/>
              <w:ind w:firstLine="0"/>
              <w:jc w:val="center"/>
              <w:rPr>
                <w:lang w:val="en-US"/>
              </w:rPr>
            </w:pPr>
            <w:r w:rsidRPr="00707878">
              <w:rPr>
                <w:lang w:val="en-US"/>
              </w:rPr>
              <w:t>29</w:t>
            </w:r>
          </w:p>
        </w:tc>
        <w:tc>
          <w:tcPr>
            <w:tcW w:w="3402" w:type="dxa"/>
            <w:noWrap/>
            <w:hideMark/>
          </w:tcPr>
          <w:p w14:paraId="2B90661A" w14:textId="77777777" w:rsidR="00707878" w:rsidRPr="00707878" w:rsidRDefault="00707878" w:rsidP="00707878">
            <w:pPr>
              <w:spacing w:line="240" w:lineRule="auto"/>
              <w:ind w:firstLine="0"/>
              <w:jc w:val="center"/>
              <w:rPr>
                <w:lang w:val="en-US"/>
              </w:rPr>
            </w:pPr>
            <w:r w:rsidRPr="00707878">
              <w:rPr>
                <w:lang w:val="en-US"/>
              </w:rPr>
              <w:t>2.068057</w:t>
            </w:r>
          </w:p>
        </w:tc>
      </w:tr>
      <w:tr w:rsidR="00707878" w:rsidRPr="00707878" w14:paraId="59136CE2" w14:textId="77777777" w:rsidTr="00707878">
        <w:trPr>
          <w:trHeight w:val="300"/>
          <w:jc w:val="center"/>
        </w:trPr>
        <w:tc>
          <w:tcPr>
            <w:tcW w:w="2263" w:type="dxa"/>
            <w:noWrap/>
            <w:hideMark/>
          </w:tcPr>
          <w:p w14:paraId="54D0CB3A" w14:textId="77777777" w:rsidR="00707878" w:rsidRPr="00707878" w:rsidRDefault="00707878" w:rsidP="00707878">
            <w:pPr>
              <w:spacing w:line="240" w:lineRule="auto"/>
              <w:ind w:firstLine="0"/>
              <w:jc w:val="center"/>
              <w:rPr>
                <w:lang w:val="en-US"/>
              </w:rPr>
            </w:pPr>
            <w:r w:rsidRPr="00707878">
              <w:rPr>
                <w:lang w:val="en-US"/>
              </w:rPr>
              <w:t>30</w:t>
            </w:r>
          </w:p>
        </w:tc>
        <w:tc>
          <w:tcPr>
            <w:tcW w:w="3402" w:type="dxa"/>
            <w:noWrap/>
            <w:hideMark/>
          </w:tcPr>
          <w:p w14:paraId="691155BF" w14:textId="77777777" w:rsidR="00707878" w:rsidRPr="00707878" w:rsidRDefault="00707878" w:rsidP="00707878">
            <w:pPr>
              <w:spacing w:line="240" w:lineRule="auto"/>
              <w:ind w:firstLine="0"/>
              <w:jc w:val="center"/>
              <w:rPr>
                <w:lang w:val="en-US"/>
              </w:rPr>
            </w:pPr>
            <w:r w:rsidRPr="00707878">
              <w:rPr>
                <w:lang w:val="en-US"/>
              </w:rPr>
              <w:t>2.071392</w:t>
            </w:r>
          </w:p>
        </w:tc>
      </w:tr>
    </w:tbl>
    <w:p w14:paraId="3CBD372B" w14:textId="1AD3F670" w:rsidR="00707878" w:rsidRDefault="00707878" w:rsidP="00707878">
      <w:pPr>
        <w:rPr>
          <w:lang w:val="en-US"/>
        </w:rPr>
      </w:pPr>
    </w:p>
    <w:p w14:paraId="50A1D61E" w14:textId="56E69248" w:rsidR="00D405E2" w:rsidRDefault="00D405E2" w:rsidP="00D405E2">
      <w:pPr>
        <w:pStyle w:val="1"/>
        <w:numPr>
          <w:ilvl w:val="0"/>
          <w:numId w:val="0"/>
        </w:numPr>
        <w:jc w:val="center"/>
        <w:rPr>
          <w:lang w:val="en-US"/>
        </w:rPr>
      </w:pPr>
      <w:bookmarkStart w:id="1807" w:name="_Toc104985386"/>
      <w:r w:rsidRPr="00A367BA">
        <w:rPr>
          <w:lang w:val="en-US"/>
        </w:rPr>
        <w:lastRenderedPageBreak/>
        <w:t xml:space="preserve">Appendix </w:t>
      </w:r>
      <w:r w:rsidR="003138D2">
        <w:rPr>
          <w:lang w:val="en-US"/>
        </w:rPr>
        <w:t>G</w:t>
      </w:r>
      <w:r>
        <w:rPr>
          <w:lang w:val="en-US"/>
        </w:rPr>
        <w:t xml:space="preserve"> – </w:t>
      </w:r>
      <w:r w:rsidRPr="00D405E2">
        <w:rPr>
          <w:lang w:val="en-US"/>
        </w:rPr>
        <w:t>Chardara dam factor of safety values from instantaneous drawdown</w:t>
      </w:r>
      <w:bookmarkEnd w:id="1807"/>
    </w:p>
    <w:tbl>
      <w:tblPr>
        <w:tblStyle w:val="a8"/>
        <w:tblW w:w="0" w:type="auto"/>
        <w:jc w:val="center"/>
        <w:tblLook w:val="04A0" w:firstRow="1" w:lastRow="0" w:firstColumn="1" w:lastColumn="0" w:noHBand="0" w:noVBand="1"/>
      </w:tblPr>
      <w:tblGrid>
        <w:gridCol w:w="2830"/>
        <w:gridCol w:w="2694"/>
      </w:tblGrid>
      <w:tr w:rsidR="00D405E2" w:rsidRPr="00D405E2" w14:paraId="114F96C2" w14:textId="77777777" w:rsidTr="00D405E2">
        <w:trPr>
          <w:trHeight w:val="300"/>
          <w:jc w:val="center"/>
        </w:trPr>
        <w:tc>
          <w:tcPr>
            <w:tcW w:w="2830" w:type="dxa"/>
            <w:noWrap/>
            <w:hideMark/>
          </w:tcPr>
          <w:p w14:paraId="4863D94F" w14:textId="77777777" w:rsidR="00D405E2" w:rsidRPr="00D405E2" w:rsidRDefault="00D405E2" w:rsidP="00D405E2">
            <w:pPr>
              <w:spacing w:line="240" w:lineRule="auto"/>
              <w:ind w:firstLine="0"/>
              <w:jc w:val="center"/>
              <w:rPr>
                <w:lang w:val="en-US"/>
              </w:rPr>
            </w:pPr>
          </w:p>
        </w:tc>
        <w:tc>
          <w:tcPr>
            <w:tcW w:w="2694" w:type="dxa"/>
            <w:noWrap/>
            <w:hideMark/>
          </w:tcPr>
          <w:p w14:paraId="39948218" w14:textId="77777777" w:rsidR="00D405E2" w:rsidRPr="00D405E2" w:rsidRDefault="00D405E2" w:rsidP="00D405E2">
            <w:pPr>
              <w:spacing w:line="240" w:lineRule="auto"/>
              <w:ind w:firstLine="0"/>
              <w:jc w:val="center"/>
              <w:rPr>
                <w:lang w:val="en-US"/>
              </w:rPr>
            </w:pPr>
            <w:r w:rsidRPr="00D405E2">
              <w:rPr>
                <w:lang w:val="en-US"/>
              </w:rPr>
              <w:t>Slip Surface 1</w:t>
            </w:r>
          </w:p>
        </w:tc>
      </w:tr>
      <w:tr w:rsidR="00D405E2" w:rsidRPr="00D405E2" w14:paraId="19A92764" w14:textId="77777777" w:rsidTr="00D405E2">
        <w:trPr>
          <w:trHeight w:val="300"/>
          <w:jc w:val="center"/>
        </w:trPr>
        <w:tc>
          <w:tcPr>
            <w:tcW w:w="2830" w:type="dxa"/>
            <w:noWrap/>
            <w:hideMark/>
          </w:tcPr>
          <w:p w14:paraId="35574142" w14:textId="77777777" w:rsidR="00D405E2" w:rsidRPr="00D405E2" w:rsidRDefault="00D405E2" w:rsidP="00D405E2">
            <w:pPr>
              <w:spacing w:line="240" w:lineRule="auto"/>
              <w:ind w:firstLine="0"/>
              <w:jc w:val="center"/>
              <w:rPr>
                <w:lang w:val="en-US"/>
              </w:rPr>
            </w:pPr>
            <w:r w:rsidRPr="00D405E2">
              <w:rPr>
                <w:lang w:val="en-US"/>
              </w:rPr>
              <w:t>Time (d)</w:t>
            </w:r>
          </w:p>
        </w:tc>
        <w:tc>
          <w:tcPr>
            <w:tcW w:w="2694" w:type="dxa"/>
            <w:noWrap/>
            <w:hideMark/>
          </w:tcPr>
          <w:p w14:paraId="6F6F3DF7" w14:textId="77777777" w:rsidR="00D405E2" w:rsidRPr="00D405E2" w:rsidRDefault="00D405E2" w:rsidP="00D405E2">
            <w:pPr>
              <w:spacing w:line="240" w:lineRule="auto"/>
              <w:ind w:firstLine="0"/>
              <w:jc w:val="center"/>
              <w:rPr>
                <w:lang w:val="en-US"/>
              </w:rPr>
            </w:pPr>
            <w:r w:rsidRPr="00D405E2">
              <w:rPr>
                <w:lang w:val="en-US"/>
              </w:rPr>
              <w:t>Factor of Safety</w:t>
            </w:r>
          </w:p>
        </w:tc>
      </w:tr>
      <w:tr w:rsidR="00D405E2" w:rsidRPr="00D405E2" w14:paraId="38CA0F28" w14:textId="77777777" w:rsidTr="00D405E2">
        <w:trPr>
          <w:trHeight w:val="300"/>
          <w:jc w:val="center"/>
        </w:trPr>
        <w:tc>
          <w:tcPr>
            <w:tcW w:w="2830" w:type="dxa"/>
            <w:noWrap/>
            <w:hideMark/>
          </w:tcPr>
          <w:p w14:paraId="0958E825" w14:textId="77777777" w:rsidR="00D405E2" w:rsidRPr="00D405E2" w:rsidRDefault="00D405E2" w:rsidP="00D405E2">
            <w:pPr>
              <w:spacing w:line="240" w:lineRule="auto"/>
              <w:ind w:firstLine="0"/>
              <w:jc w:val="center"/>
              <w:rPr>
                <w:lang w:val="en-US"/>
              </w:rPr>
            </w:pPr>
            <w:r w:rsidRPr="00D405E2">
              <w:rPr>
                <w:lang w:val="en-US"/>
              </w:rPr>
              <w:t>0</w:t>
            </w:r>
          </w:p>
        </w:tc>
        <w:tc>
          <w:tcPr>
            <w:tcW w:w="2694" w:type="dxa"/>
            <w:noWrap/>
            <w:hideMark/>
          </w:tcPr>
          <w:p w14:paraId="32CE8B7D" w14:textId="77777777" w:rsidR="00D405E2" w:rsidRPr="00D405E2" w:rsidRDefault="00D405E2" w:rsidP="00D405E2">
            <w:pPr>
              <w:spacing w:line="240" w:lineRule="auto"/>
              <w:ind w:firstLine="0"/>
              <w:jc w:val="center"/>
              <w:rPr>
                <w:lang w:val="en-US"/>
              </w:rPr>
            </w:pPr>
            <w:r w:rsidRPr="00D405E2">
              <w:rPr>
                <w:lang w:val="en-US"/>
              </w:rPr>
              <w:t>3.576209</w:t>
            </w:r>
          </w:p>
        </w:tc>
      </w:tr>
      <w:tr w:rsidR="00D405E2" w:rsidRPr="00D405E2" w14:paraId="226C5310" w14:textId="77777777" w:rsidTr="00D405E2">
        <w:trPr>
          <w:trHeight w:val="300"/>
          <w:jc w:val="center"/>
        </w:trPr>
        <w:tc>
          <w:tcPr>
            <w:tcW w:w="2830" w:type="dxa"/>
            <w:noWrap/>
            <w:hideMark/>
          </w:tcPr>
          <w:p w14:paraId="3AB435B7" w14:textId="77777777" w:rsidR="00D405E2" w:rsidRPr="00D405E2" w:rsidRDefault="00D405E2" w:rsidP="00D405E2">
            <w:pPr>
              <w:spacing w:line="240" w:lineRule="auto"/>
              <w:ind w:firstLine="0"/>
              <w:jc w:val="center"/>
              <w:rPr>
                <w:lang w:val="en-US"/>
              </w:rPr>
            </w:pPr>
            <w:r w:rsidRPr="00D405E2">
              <w:rPr>
                <w:lang w:val="en-US"/>
              </w:rPr>
              <w:t>1</w:t>
            </w:r>
          </w:p>
        </w:tc>
        <w:tc>
          <w:tcPr>
            <w:tcW w:w="2694" w:type="dxa"/>
            <w:noWrap/>
            <w:hideMark/>
          </w:tcPr>
          <w:p w14:paraId="2E7D928F" w14:textId="77777777" w:rsidR="00D405E2" w:rsidRPr="00D405E2" w:rsidRDefault="00D405E2" w:rsidP="00D405E2">
            <w:pPr>
              <w:spacing w:line="240" w:lineRule="auto"/>
              <w:ind w:firstLine="0"/>
              <w:jc w:val="center"/>
              <w:rPr>
                <w:lang w:val="en-US"/>
              </w:rPr>
            </w:pPr>
            <w:r w:rsidRPr="00D405E2">
              <w:rPr>
                <w:lang w:val="en-US"/>
              </w:rPr>
              <w:t>3.016615</w:t>
            </w:r>
          </w:p>
        </w:tc>
      </w:tr>
      <w:tr w:rsidR="00D405E2" w:rsidRPr="00D405E2" w14:paraId="3BBFF7FE" w14:textId="77777777" w:rsidTr="00D405E2">
        <w:trPr>
          <w:trHeight w:val="300"/>
          <w:jc w:val="center"/>
        </w:trPr>
        <w:tc>
          <w:tcPr>
            <w:tcW w:w="2830" w:type="dxa"/>
            <w:noWrap/>
            <w:hideMark/>
          </w:tcPr>
          <w:p w14:paraId="30BB61DB" w14:textId="77777777" w:rsidR="00D405E2" w:rsidRPr="00D405E2" w:rsidRDefault="00D405E2" w:rsidP="00D405E2">
            <w:pPr>
              <w:spacing w:line="240" w:lineRule="auto"/>
              <w:ind w:firstLine="0"/>
              <w:jc w:val="center"/>
              <w:rPr>
                <w:lang w:val="en-US"/>
              </w:rPr>
            </w:pPr>
            <w:r w:rsidRPr="00D405E2">
              <w:rPr>
                <w:lang w:val="en-US"/>
              </w:rPr>
              <w:t>2</w:t>
            </w:r>
          </w:p>
        </w:tc>
        <w:tc>
          <w:tcPr>
            <w:tcW w:w="2694" w:type="dxa"/>
            <w:noWrap/>
            <w:hideMark/>
          </w:tcPr>
          <w:p w14:paraId="1FA5EE9E" w14:textId="77777777" w:rsidR="00D405E2" w:rsidRPr="00D405E2" w:rsidRDefault="00D405E2" w:rsidP="00D405E2">
            <w:pPr>
              <w:spacing w:line="240" w:lineRule="auto"/>
              <w:ind w:firstLine="0"/>
              <w:jc w:val="center"/>
              <w:rPr>
                <w:lang w:val="en-US"/>
              </w:rPr>
            </w:pPr>
            <w:r w:rsidRPr="00D405E2">
              <w:rPr>
                <w:lang w:val="en-US"/>
              </w:rPr>
              <w:t>2.715774</w:t>
            </w:r>
          </w:p>
        </w:tc>
      </w:tr>
      <w:tr w:rsidR="00D405E2" w:rsidRPr="00D405E2" w14:paraId="2D2DE799" w14:textId="77777777" w:rsidTr="00D405E2">
        <w:trPr>
          <w:trHeight w:val="300"/>
          <w:jc w:val="center"/>
        </w:trPr>
        <w:tc>
          <w:tcPr>
            <w:tcW w:w="2830" w:type="dxa"/>
            <w:noWrap/>
            <w:hideMark/>
          </w:tcPr>
          <w:p w14:paraId="4E99A7E2" w14:textId="77777777" w:rsidR="00D405E2" w:rsidRPr="00D405E2" w:rsidRDefault="00D405E2" w:rsidP="00D405E2">
            <w:pPr>
              <w:spacing w:line="240" w:lineRule="auto"/>
              <w:ind w:firstLine="0"/>
              <w:jc w:val="center"/>
              <w:rPr>
                <w:lang w:val="en-US"/>
              </w:rPr>
            </w:pPr>
            <w:r w:rsidRPr="00D405E2">
              <w:rPr>
                <w:lang w:val="en-US"/>
              </w:rPr>
              <w:t>3</w:t>
            </w:r>
          </w:p>
        </w:tc>
        <w:tc>
          <w:tcPr>
            <w:tcW w:w="2694" w:type="dxa"/>
            <w:noWrap/>
            <w:hideMark/>
          </w:tcPr>
          <w:p w14:paraId="77CA766B" w14:textId="77777777" w:rsidR="00D405E2" w:rsidRPr="00D405E2" w:rsidRDefault="00D405E2" w:rsidP="00D405E2">
            <w:pPr>
              <w:spacing w:line="240" w:lineRule="auto"/>
              <w:ind w:firstLine="0"/>
              <w:jc w:val="center"/>
              <w:rPr>
                <w:lang w:val="en-US"/>
              </w:rPr>
            </w:pPr>
            <w:r w:rsidRPr="00D405E2">
              <w:rPr>
                <w:lang w:val="en-US"/>
              </w:rPr>
              <w:t>2.505238</w:t>
            </w:r>
          </w:p>
        </w:tc>
      </w:tr>
      <w:tr w:rsidR="00D405E2" w:rsidRPr="00D405E2" w14:paraId="60E59C2C" w14:textId="77777777" w:rsidTr="00D405E2">
        <w:trPr>
          <w:trHeight w:val="300"/>
          <w:jc w:val="center"/>
        </w:trPr>
        <w:tc>
          <w:tcPr>
            <w:tcW w:w="2830" w:type="dxa"/>
            <w:noWrap/>
            <w:hideMark/>
          </w:tcPr>
          <w:p w14:paraId="551AB4D1" w14:textId="77777777" w:rsidR="00D405E2" w:rsidRPr="00D405E2" w:rsidRDefault="00D405E2" w:rsidP="00D405E2">
            <w:pPr>
              <w:spacing w:line="240" w:lineRule="auto"/>
              <w:ind w:firstLine="0"/>
              <w:jc w:val="center"/>
              <w:rPr>
                <w:lang w:val="en-US"/>
              </w:rPr>
            </w:pPr>
            <w:r w:rsidRPr="00D405E2">
              <w:rPr>
                <w:lang w:val="en-US"/>
              </w:rPr>
              <w:t>4</w:t>
            </w:r>
          </w:p>
        </w:tc>
        <w:tc>
          <w:tcPr>
            <w:tcW w:w="2694" w:type="dxa"/>
            <w:noWrap/>
            <w:hideMark/>
          </w:tcPr>
          <w:p w14:paraId="7C97A6C4" w14:textId="77777777" w:rsidR="00D405E2" w:rsidRPr="00D405E2" w:rsidRDefault="00D405E2" w:rsidP="00D405E2">
            <w:pPr>
              <w:spacing w:line="240" w:lineRule="auto"/>
              <w:ind w:firstLine="0"/>
              <w:jc w:val="center"/>
              <w:rPr>
                <w:lang w:val="en-US"/>
              </w:rPr>
            </w:pPr>
            <w:r w:rsidRPr="00D405E2">
              <w:rPr>
                <w:lang w:val="en-US"/>
              </w:rPr>
              <w:t>2.346025</w:t>
            </w:r>
          </w:p>
        </w:tc>
      </w:tr>
      <w:tr w:rsidR="00D405E2" w:rsidRPr="00D405E2" w14:paraId="6E9139E2" w14:textId="77777777" w:rsidTr="00D405E2">
        <w:trPr>
          <w:trHeight w:val="300"/>
          <w:jc w:val="center"/>
        </w:trPr>
        <w:tc>
          <w:tcPr>
            <w:tcW w:w="2830" w:type="dxa"/>
            <w:noWrap/>
            <w:hideMark/>
          </w:tcPr>
          <w:p w14:paraId="63A51E45" w14:textId="77777777" w:rsidR="00D405E2" w:rsidRPr="00D405E2" w:rsidRDefault="00D405E2" w:rsidP="00D405E2">
            <w:pPr>
              <w:spacing w:line="240" w:lineRule="auto"/>
              <w:ind w:firstLine="0"/>
              <w:jc w:val="center"/>
              <w:rPr>
                <w:lang w:val="en-US"/>
              </w:rPr>
            </w:pPr>
            <w:r w:rsidRPr="00D405E2">
              <w:rPr>
                <w:lang w:val="en-US"/>
              </w:rPr>
              <w:t>5</w:t>
            </w:r>
          </w:p>
        </w:tc>
        <w:tc>
          <w:tcPr>
            <w:tcW w:w="2694" w:type="dxa"/>
            <w:noWrap/>
            <w:hideMark/>
          </w:tcPr>
          <w:p w14:paraId="5087388C" w14:textId="77777777" w:rsidR="00D405E2" w:rsidRPr="00D405E2" w:rsidRDefault="00D405E2" w:rsidP="00D405E2">
            <w:pPr>
              <w:spacing w:line="240" w:lineRule="auto"/>
              <w:ind w:firstLine="0"/>
              <w:jc w:val="center"/>
              <w:rPr>
                <w:lang w:val="en-US"/>
              </w:rPr>
            </w:pPr>
            <w:r w:rsidRPr="00D405E2">
              <w:rPr>
                <w:lang w:val="en-US"/>
              </w:rPr>
              <w:t>2.223648</w:t>
            </w:r>
          </w:p>
        </w:tc>
      </w:tr>
      <w:tr w:rsidR="00D405E2" w:rsidRPr="00D405E2" w14:paraId="69F4D686" w14:textId="77777777" w:rsidTr="00D405E2">
        <w:trPr>
          <w:trHeight w:val="300"/>
          <w:jc w:val="center"/>
        </w:trPr>
        <w:tc>
          <w:tcPr>
            <w:tcW w:w="2830" w:type="dxa"/>
            <w:noWrap/>
            <w:hideMark/>
          </w:tcPr>
          <w:p w14:paraId="546689F0" w14:textId="77777777" w:rsidR="00D405E2" w:rsidRPr="00D405E2" w:rsidRDefault="00D405E2" w:rsidP="00D405E2">
            <w:pPr>
              <w:spacing w:line="240" w:lineRule="auto"/>
              <w:ind w:firstLine="0"/>
              <w:jc w:val="center"/>
              <w:rPr>
                <w:lang w:val="en-US"/>
              </w:rPr>
            </w:pPr>
            <w:r w:rsidRPr="00D405E2">
              <w:rPr>
                <w:lang w:val="en-US"/>
              </w:rPr>
              <w:t>6</w:t>
            </w:r>
          </w:p>
        </w:tc>
        <w:tc>
          <w:tcPr>
            <w:tcW w:w="2694" w:type="dxa"/>
            <w:noWrap/>
            <w:hideMark/>
          </w:tcPr>
          <w:p w14:paraId="7CC69952" w14:textId="77777777" w:rsidR="00D405E2" w:rsidRPr="00D405E2" w:rsidRDefault="00D405E2" w:rsidP="00D405E2">
            <w:pPr>
              <w:spacing w:line="240" w:lineRule="auto"/>
              <w:ind w:firstLine="0"/>
              <w:jc w:val="center"/>
              <w:rPr>
                <w:lang w:val="en-US"/>
              </w:rPr>
            </w:pPr>
            <w:r w:rsidRPr="00D405E2">
              <w:rPr>
                <w:lang w:val="en-US"/>
              </w:rPr>
              <w:t>2.134525</w:t>
            </w:r>
          </w:p>
        </w:tc>
      </w:tr>
      <w:tr w:rsidR="00D405E2" w:rsidRPr="00D405E2" w14:paraId="51637394" w14:textId="77777777" w:rsidTr="00D405E2">
        <w:trPr>
          <w:trHeight w:val="300"/>
          <w:jc w:val="center"/>
        </w:trPr>
        <w:tc>
          <w:tcPr>
            <w:tcW w:w="2830" w:type="dxa"/>
            <w:noWrap/>
            <w:hideMark/>
          </w:tcPr>
          <w:p w14:paraId="70D6B6B5" w14:textId="77777777" w:rsidR="00D405E2" w:rsidRPr="00D405E2" w:rsidRDefault="00D405E2" w:rsidP="00D405E2">
            <w:pPr>
              <w:spacing w:line="240" w:lineRule="auto"/>
              <w:ind w:firstLine="0"/>
              <w:jc w:val="center"/>
              <w:rPr>
                <w:lang w:val="en-US"/>
              </w:rPr>
            </w:pPr>
            <w:r w:rsidRPr="00D405E2">
              <w:rPr>
                <w:lang w:val="en-US"/>
              </w:rPr>
              <w:t>7</w:t>
            </w:r>
          </w:p>
        </w:tc>
        <w:tc>
          <w:tcPr>
            <w:tcW w:w="2694" w:type="dxa"/>
            <w:noWrap/>
            <w:hideMark/>
          </w:tcPr>
          <w:p w14:paraId="782C2A66" w14:textId="77777777" w:rsidR="00D405E2" w:rsidRPr="00D405E2" w:rsidRDefault="00D405E2" w:rsidP="00D405E2">
            <w:pPr>
              <w:spacing w:line="240" w:lineRule="auto"/>
              <w:ind w:firstLine="0"/>
              <w:jc w:val="center"/>
              <w:rPr>
                <w:lang w:val="en-US"/>
              </w:rPr>
            </w:pPr>
            <w:r w:rsidRPr="00D405E2">
              <w:rPr>
                <w:lang w:val="en-US"/>
              </w:rPr>
              <w:t>2.067169</w:t>
            </w:r>
          </w:p>
        </w:tc>
      </w:tr>
      <w:tr w:rsidR="00D405E2" w:rsidRPr="00D405E2" w14:paraId="6D63EDDA" w14:textId="77777777" w:rsidTr="00D405E2">
        <w:trPr>
          <w:trHeight w:val="300"/>
          <w:jc w:val="center"/>
        </w:trPr>
        <w:tc>
          <w:tcPr>
            <w:tcW w:w="2830" w:type="dxa"/>
            <w:noWrap/>
            <w:hideMark/>
          </w:tcPr>
          <w:p w14:paraId="6F55DD96" w14:textId="77777777" w:rsidR="00D405E2" w:rsidRPr="00D405E2" w:rsidRDefault="00D405E2" w:rsidP="00D405E2">
            <w:pPr>
              <w:spacing w:line="240" w:lineRule="auto"/>
              <w:ind w:firstLine="0"/>
              <w:jc w:val="center"/>
              <w:rPr>
                <w:lang w:val="en-US"/>
              </w:rPr>
            </w:pPr>
            <w:r w:rsidRPr="00D405E2">
              <w:rPr>
                <w:lang w:val="en-US"/>
              </w:rPr>
              <w:t>8</w:t>
            </w:r>
          </w:p>
        </w:tc>
        <w:tc>
          <w:tcPr>
            <w:tcW w:w="2694" w:type="dxa"/>
            <w:noWrap/>
            <w:hideMark/>
          </w:tcPr>
          <w:p w14:paraId="4C22C81D" w14:textId="77777777" w:rsidR="00D405E2" w:rsidRPr="00D405E2" w:rsidRDefault="00D405E2" w:rsidP="00D405E2">
            <w:pPr>
              <w:spacing w:line="240" w:lineRule="auto"/>
              <w:ind w:firstLine="0"/>
              <w:jc w:val="center"/>
              <w:rPr>
                <w:lang w:val="en-US"/>
              </w:rPr>
            </w:pPr>
            <w:r w:rsidRPr="00D405E2">
              <w:rPr>
                <w:lang w:val="en-US"/>
              </w:rPr>
              <w:t>2.015612</w:t>
            </w:r>
          </w:p>
        </w:tc>
      </w:tr>
      <w:tr w:rsidR="00D405E2" w:rsidRPr="00D405E2" w14:paraId="5262B3EF" w14:textId="77777777" w:rsidTr="00D405E2">
        <w:trPr>
          <w:trHeight w:val="300"/>
          <w:jc w:val="center"/>
        </w:trPr>
        <w:tc>
          <w:tcPr>
            <w:tcW w:w="2830" w:type="dxa"/>
            <w:noWrap/>
            <w:hideMark/>
          </w:tcPr>
          <w:p w14:paraId="2DA8C4EC" w14:textId="77777777" w:rsidR="00D405E2" w:rsidRPr="00D405E2" w:rsidRDefault="00D405E2" w:rsidP="00D405E2">
            <w:pPr>
              <w:spacing w:line="240" w:lineRule="auto"/>
              <w:ind w:firstLine="0"/>
              <w:jc w:val="center"/>
              <w:rPr>
                <w:lang w:val="en-US"/>
              </w:rPr>
            </w:pPr>
            <w:r w:rsidRPr="00D405E2">
              <w:rPr>
                <w:lang w:val="en-US"/>
              </w:rPr>
              <w:t>9</w:t>
            </w:r>
          </w:p>
        </w:tc>
        <w:tc>
          <w:tcPr>
            <w:tcW w:w="2694" w:type="dxa"/>
            <w:noWrap/>
            <w:hideMark/>
          </w:tcPr>
          <w:p w14:paraId="3E976DF9" w14:textId="77777777" w:rsidR="00D405E2" w:rsidRPr="00D405E2" w:rsidRDefault="00D405E2" w:rsidP="00D405E2">
            <w:pPr>
              <w:spacing w:line="240" w:lineRule="auto"/>
              <w:ind w:firstLine="0"/>
              <w:jc w:val="center"/>
              <w:rPr>
                <w:lang w:val="en-US"/>
              </w:rPr>
            </w:pPr>
            <w:r w:rsidRPr="00D405E2">
              <w:rPr>
                <w:lang w:val="en-US"/>
              </w:rPr>
              <w:t>1.986174</w:t>
            </w:r>
          </w:p>
        </w:tc>
      </w:tr>
      <w:tr w:rsidR="00D405E2" w:rsidRPr="00D405E2" w14:paraId="7E363284" w14:textId="77777777" w:rsidTr="00D405E2">
        <w:trPr>
          <w:trHeight w:val="300"/>
          <w:jc w:val="center"/>
        </w:trPr>
        <w:tc>
          <w:tcPr>
            <w:tcW w:w="2830" w:type="dxa"/>
            <w:noWrap/>
            <w:hideMark/>
          </w:tcPr>
          <w:p w14:paraId="2F9DC6CB" w14:textId="77777777" w:rsidR="00D405E2" w:rsidRPr="00D405E2" w:rsidRDefault="00D405E2" w:rsidP="00D405E2">
            <w:pPr>
              <w:spacing w:line="240" w:lineRule="auto"/>
              <w:ind w:firstLine="0"/>
              <w:jc w:val="center"/>
              <w:rPr>
                <w:lang w:val="en-US"/>
              </w:rPr>
            </w:pPr>
            <w:r w:rsidRPr="00D405E2">
              <w:rPr>
                <w:lang w:val="en-US"/>
              </w:rPr>
              <w:t>10</w:t>
            </w:r>
          </w:p>
        </w:tc>
        <w:tc>
          <w:tcPr>
            <w:tcW w:w="2694" w:type="dxa"/>
            <w:noWrap/>
            <w:hideMark/>
          </w:tcPr>
          <w:p w14:paraId="52E033F5" w14:textId="77777777" w:rsidR="00D405E2" w:rsidRPr="00D405E2" w:rsidRDefault="00D405E2" w:rsidP="00D405E2">
            <w:pPr>
              <w:spacing w:line="240" w:lineRule="auto"/>
              <w:ind w:firstLine="0"/>
              <w:jc w:val="center"/>
              <w:rPr>
                <w:lang w:val="en-US"/>
              </w:rPr>
            </w:pPr>
            <w:r w:rsidRPr="00D405E2">
              <w:rPr>
                <w:lang w:val="en-US"/>
              </w:rPr>
              <w:t>1.980428</w:t>
            </w:r>
          </w:p>
        </w:tc>
      </w:tr>
      <w:tr w:rsidR="00D405E2" w:rsidRPr="00D405E2" w14:paraId="6D09BABE" w14:textId="77777777" w:rsidTr="00D405E2">
        <w:trPr>
          <w:trHeight w:val="300"/>
          <w:jc w:val="center"/>
        </w:trPr>
        <w:tc>
          <w:tcPr>
            <w:tcW w:w="2830" w:type="dxa"/>
            <w:noWrap/>
            <w:hideMark/>
          </w:tcPr>
          <w:p w14:paraId="003CDD1B" w14:textId="77777777" w:rsidR="00D405E2" w:rsidRPr="00D405E2" w:rsidRDefault="00D405E2" w:rsidP="00D405E2">
            <w:pPr>
              <w:spacing w:line="240" w:lineRule="auto"/>
              <w:ind w:firstLine="0"/>
              <w:jc w:val="center"/>
              <w:rPr>
                <w:lang w:val="en-US"/>
              </w:rPr>
            </w:pPr>
            <w:r w:rsidRPr="00D405E2">
              <w:rPr>
                <w:lang w:val="en-US"/>
              </w:rPr>
              <w:t>11</w:t>
            </w:r>
          </w:p>
        </w:tc>
        <w:tc>
          <w:tcPr>
            <w:tcW w:w="2694" w:type="dxa"/>
            <w:noWrap/>
            <w:hideMark/>
          </w:tcPr>
          <w:p w14:paraId="39FAFEB2" w14:textId="77777777" w:rsidR="00D405E2" w:rsidRPr="00D405E2" w:rsidRDefault="00D405E2" w:rsidP="00D405E2">
            <w:pPr>
              <w:spacing w:line="240" w:lineRule="auto"/>
              <w:ind w:firstLine="0"/>
              <w:jc w:val="center"/>
              <w:rPr>
                <w:lang w:val="en-US"/>
              </w:rPr>
            </w:pPr>
            <w:r w:rsidRPr="00D405E2">
              <w:rPr>
                <w:lang w:val="en-US"/>
              </w:rPr>
              <w:t>1.988477</w:t>
            </w:r>
          </w:p>
        </w:tc>
      </w:tr>
      <w:tr w:rsidR="00D405E2" w:rsidRPr="00D405E2" w14:paraId="60A20CF1" w14:textId="77777777" w:rsidTr="00D405E2">
        <w:trPr>
          <w:trHeight w:val="300"/>
          <w:jc w:val="center"/>
        </w:trPr>
        <w:tc>
          <w:tcPr>
            <w:tcW w:w="2830" w:type="dxa"/>
            <w:noWrap/>
            <w:hideMark/>
          </w:tcPr>
          <w:p w14:paraId="294E0F93" w14:textId="77777777" w:rsidR="00D405E2" w:rsidRPr="00D405E2" w:rsidRDefault="00D405E2" w:rsidP="00D405E2">
            <w:pPr>
              <w:spacing w:line="240" w:lineRule="auto"/>
              <w:ind w:firstLine="0"/>
              <w:jc w:val="center"/>
              <w:rPr>
                <w:lang w:val="en-US"/>
              </w:rPr>
            </w:pPr>
            <w:r w:rsidRPr="00D405E2">
              <w:rPr>
                <w:lang w:val="en-US"/>
              </w:rPr>
              <w:t>12</w:t>
            </w:r>
          </w:p>
        </w:tc>
        <w:tc>
          <w:tcPr>
            <w:tcW w:w="2694" w:type="dxa"/>
            <w:noWrap/>
            <w:hideMark/>
          </w:tcPr>
          <w:p w14:paraId="32B83A51" w14:textId="77777777" w:rsidR="00D405E2" w:rsidRPr="00D405E2" w:rsidRDefault="00D405E2" w:rsidP="00D405E2">
            <w:pPr>
              <w:spacing w:line="240" w:lineRule="auto"/>
              <w:ind w:firstLine="0"/>
              <w:jc w:val="center"/>
              <w:rPr>
                <w:lang w:val="en-US"/>
              </w:rPr>
            </w:pPr>
            <w:r w:rsidRPr="00D405E2">
              <w:rPr>
                <w:lang w:val="en-US"/>
              </w:rPr>
              <w:t>1.994898</w:t>
            </w:r>
          </w:p>
        </w:tc>
      </w:tr>
      <w:tr w:rsidR="00D405E2" w:rsidRPr="00D405E2" w14:paraId="3412F1A5" w14:textId="77777777" w:rsidTr="00D405E2">
        <w:trPr>
          <w:trHeight w:val="300"/>
          <w:jc w:val="center"/>
        </w:trPr>
        <w:tc>
          <w:tcPr>
            <w:tcW w:w="2830" w:type="dxa"/>
            <w:noWrap/>
            <w:hideMark/>
          </w:tcPr>
          <w:p w14:paraId="43D75962" w14:textId="77777777" w:rsidR="00D405E2" w:rsidRPr="00D405E2" w:rsidRDefault="00D405E2" w:rsidP="00D405E2">
            <w:pPr>
              <w:spacing w:line="240" w:lineRule="auto"/>
              <w:ind w:firstLine="0"/>
              <w:jc w:val="center"/>
              <w:rPr>
                <w:lang w:val="en-US"/>
              </w:rPr>
            </w:pPr>
            <w:r w:rsidRPr="00D405E2">
              <w:rPr>
                <w:lang w:val="en-US"/>
              </w:rPr>
              <w:t>13</w:t>
            </w:r>
          </w:p>
        </w:tc>
        <w:tc>
          <w:tcPr>
            <w:tcW w:w="2694" w:type="dxa"/>
            <w:noWrap/>
            <w:hideMark/>
          </w:tcPr>
          <w:p w14:paraId="378CEAA8" w14:textId="77777777" w:rsidR="00D405E2" w:rsidRPr="00D405E2" w:rsidRDefault="00D405E2" w:rsidP="00D405E2">
            <w:pPr>
              <w:spacing w:line="240" w:lineRule="auto"/>
              <w:ind w:firstLine="0"/>
              <w:jc w:val="center"/>
              <w:rPr>
                <w:lang w:val="en-US"/>
              </w:rPr>
            </w:pPr>
            <w:r w:rsidRPr="00D405E2">
              <w:rPr>
                <w:lang w:val="en-US"/>
              </w:rPr>
              <w:t>2.000618</w:t>
            </w:r>
          </w:p>
        </w:tc>
      </w:tr>
      <w:tr w:rsidR="00D405E2" w:rsidRPr="00D405E2" w14:paraId="7EDE8118" w14:textId="77777777" w:rsidTr="00D405E2">
        <w:trPr>
          <w:trHeight w:val="300"/>
          <w:jc w:val="center"/>
        </w:trPr>
        <w:tc>
          <w:tcPr>
            <w:tcW w:w="2830" w:type="dxa"/>
            <w:noWrap/>
            <w:hideMark/>
          </w:tcPr>
          <w:p w14:paraId="55CD0CC6" w14:textId="77777777" w:rsidR="00D405E2" w:rsidRPr="00D405E2" w:rsidRDefault="00D405E2" w:rsidP="00D405E2">
            <w:pPr>
              <w:spacing w:line="240" w:lineRule="auto"/>
              <w:ind w:firstLine="0"/>
              <w:jc w:val="center"/>
              <w:rPr>
                <w:lang w:val="en-US"/>
              </w:rPr>
            </w:pPr>
            <w:r w:rsidRPr="00D405E2">
              <w:rPr>
                <w:lang w:val="en-US"/>
              </w:rPr>
              <w:t>14</w:t>
            </w:r>
          </w:p>
        </w:tc>
        <w:tc>
          <w:tcPr>
            <w:tcW w:w="2694" w:type="dxa"/>
            <w:noWrap/>
            <w:hideMark/>
          </w:tcPr>
          <w:p w14:paraId="366FECDC" w14:textId="77777777" w:rsidR="00D405E2" w:rsidRPr="00D405E2" w:rsidRDefault="00D405E2" w:rsidP="00D405E2">
            <w:pPr>
              <w:spacing w:line="240" w:lineRule="auto"/>
              <w:ind w:firstLine="0"/>
              <w:jc w:val="center"/>
              <w:rPr>
                <w:lang w:val="en-US"/>
              </w:rPr>
            </w:pPr>
            <w:r w:rsidRPr="00D405E2">
              <w:rPr>
                <w:lang w:val="en-US"/>
              </w:rPr>
              <w:t>2.005973</w:t>
            </w:r>
          </w:p>
        </w:tc>
      </w:tr>
      <w:tr w:rsidR="00D405E2" w:rsidRPr="00D405E2" w14:paraId="7DA14602" w14:textId="77777777" w:rsidTr="00D405E2">
        <w:trPr>
          <w:trHeight w:val="300"/>
          <w:jc w:val="center"/>
        </w:trPr>
        <w:tc>
          <w:tcPr>
            <w:tcW w:w="2830" w:type="dxa"/>
            <w:noWrap/>
            <w:hideMark/>
          </w:tcPr>
          <w:p w14:paraId="390B795E" w14:textId="77777777" w:rsidR="00D405E2" w:rsidRPr="00D405E2" w:rsidRDefault="00D405E2" w:rsidP="00D405E2">
            <w:pPr>
              <w:spacing w:line="240" w:lineRule="auto"/>
              <w:ind w:firstLine="0"/>
              <w:jc w:val="center"/>
              <w:rPr>
                <w:lang w:val="en-US"/>
              </w:rPr>
            </w:pPr>
            <w:r w:rsidRPr="00D405E2">
              <w:rPr>
                <w:lang w:val="en-US"/>
              </w:rPr>
              <w:t>15</w:t>
            </w:r>
          </w:p>
        </w:tc>
        <w:tc>
          <w:tcPr>
            <w:tcW w:w="2694" w:type="dxa"/>
            <w:noWrap/>
            <w:hideMark/>
          </w:tcPr>
          <w:p w14:paraId="083BEA89" w14:textId="77777777" w:rsidR="00D405E2" w:rsidRPr="00D405E2" w:rsidRDefault="00D405E2" w:rsidP="00D405E2">
            <w:pPr>
              <w:spacing w:line="240" w:lineRule="auto"/>
              <w:ind w:firstLine="0"/>
              <w:jc w:val="center"/>
              <w:rPr>
                <w:lang w:val="en-US"/>
              </w:rPr>
            </w:pPr>
            <w:r w:rsidRPr="00D405E2">
              <w:rPr>
                <w:lang w:val="en-US"/>
              </w:rPr>
              <w:t>2.010979</w:t>
            </w:r>
          </w:p>
        </w:tc>
      </w:tr>
      <w:tr w:rsidR="00D405E2" w:rsidRPr="00D405E2" w14:paraId="32FD2D6D" w14:textId="77777777" w:rsidTr="00D405E2">
        <w:trPr>
          <w:trHeight w:val="300"/>
          <w:jc w:val="center"/>
        </w:trPr>
        <w:tc>
          <w:tcPr>
            <w:tcW w:w="2830" w:type="dxa"/>
            <w:noWrap/>
            <w:hideMark/>
          </w:tcPr>
          <w:p w14:paraId="2F07BC6E" w14:textId="77777777" w:rsidR="00D405E2" w:rsidRPr="00D405E2" w:rsidRDefault="00D405E2" w:rsidP="00D405E2">
            <w:pPr>
              <w:spacing w:line="240" w:lineRule="auto"/>
              <w:ind w:firstLine="0"/>
              <w:jc w:val="center"/>
              <w:rPr>
                <w:lang w:val="en-US"/>
              </w:rPr>
            </w:pPr>
            <w:r w:rsidRPr="00D405E2">
              <w:rPr>
                <w:lang w:val="en-US"/>
              </w:rPr>
              <w:t>16</w:t>
            </w:r>
          </w:p>
        </w:tc>
        <w:tc>
          <w:tcPr>
            <w:tcW w:w="2694" w:type="dxa"/>
            <w:noWrap/>
            <w:hideMark/>
          </w:tcPr>
          <w:p w14:paraId="56D48B9F" w14:textId="77777777" w:rsidR="00D405E2" w:rsidRPr="00D405E2" w:rsidRDefault="00D405E2" w:rsidP="00D405E2">
            <w:pPr>
              <w:spacing w:line="240" w:lineRule="auto"/>
              <w:ind w:firstLine="0"/>
              <w:jc w:val="center"/>
              <w:rPr>
                <w:lang w:val="en-US"/>
              </w:rPr>
            </w:pPr>
            <w:r w:rsidRPr="00D405E2">
              <w:rPr>
                <w:lang w:val="en-US"/>
              </w:rPr>
              <w:t>2.015937</w:t>
            </w:r>
          </w:p>
        </w:tc>
      </w:tr>
      <w:tr w:rsidR="00D405E2" w:rsidRPr="00D405E2" w14:paraId="3F2CDCD7" w14:textId="77777777" w:rsidTr="00D405E2">
        <w:trPr>
          <w:trHeight w:val="300"/>
          <w:jc w:val="center"/>
        </w:trPr>
        <w:tc>
          <w:tcPr>
            <w:tcW w:w="2830" w:type="dxa"/>
            <w:noWrap/>
            <w:hideMark/>
          </w:tcPr>
          <w:p w14:paraId="35C48032" w14:textId="77777777" w:rsidR="00D405E2" w:rsidRPr="00D405E2" w:rsidRDefault="00D405E2" w:rsidP="00D405E2">
            <w:pPr>
              <w:spacing w:line="240" w:lineRule="auto"/>
              <w:ind w:firstLine="0"/>
              <w:jc w:val="center"/>
              <w:rPr>
                <w:lang w:val="en-US"/>
              </w:rPr>
            </w:pPr>
            <w:r w:rsidRPr="00D405E2">
              <w:rPr>
                <w:lang w:val="en-US"/>
              </w:rPr>
              <w:t>17</w:t>
            </w:r>
          </w:p>
        </w:tc>
        <w:tc>
          <w:tcPr>
            <w:tcW w:w="2694" w:type="dxa"/>
            <w:noWrap/>
            <w:hideMark/>
          </w:tcPr>
          <w:p w14:paraId="4E76D096" w14:textId="77777777" w:rsidR="00D405E2" w:rsidRPr="00D405E2" w:rsidRDefault="00D405E2" w:rsidP="00D405E2">
            <w:pPr>
              <w:spacing w:line="240" w:lineRule="auto"/>
              <w:ind w:firstLine="0"/>
              <w:jc w:val="center"/>
              <w:rPr>
                <w:lang w:val="en-US"/>
              </w:rPr>
            </w:pPr>
            <w:r w:rsidRPr="00D405E2">
              <w:rPr>
                <w:lang w:val="en-US"/>
              </w:rPr>
              <w:t>2.020817</w:t>
            </w:r>
          </w:p>
        </w:tc>
      </w:tr>
      <w:tr w:rsidR="00D405E2" w:rsidRPr="00D405E2" w14:paraId="08AFC4FD" w14:textId="77777777" w:rsidTr="00D405E2">
        <w:trPr>
          <w:trHeight w:val="300"/>
          <w:jc w:val="center"/>
        </w:trPr>
        <w:tc>
          <w:tcPr>
            <w:tcW w:w="2830" w:type="dxa"/>
            <w:noWrap/>
            <w:hideMark/>
          </w:tcPr>
          <w:p w14:paraId="3720EF7C" w14:textId="77777777" w:rsidR="00D405E2" w:rsidRPr="00D405E2" w:rsidRDefault="00D405E2" w:rsidP="00D405E2">
            <w:pPr>
              <w:spacing w:line="240" w:lineRule="auto"/>
              <w:ind w:firstLine="0"/>
              <w:jc w:val="center"/>
              <w:rPr>
                <w:lang w:val="en-US"/>
              </w:rPr>
            </w:pPr>
            <w:r w:rsidRPr="00D405E2">
              <w:rPr>
                <w:lang w:val="en-US"/>
              </w:rPr>
              <w:t>18</w:t>
            </w:r>
          </w:p>
        </w:tc>
        <w:tc>
          <w:tcPr>
            <w:tcW w:w="2694" w:type="dxa"/>
            <w:noWrap/>
            <w:hideMark/>
          </w:tcPr>
          <w:p w14:paraId="0590378D" w14:textId="77777777" w:rsidR="00D405E2" w:rsidRPr="00D405E2" w:rsidRDefault="00D405E2" w:rsidP="00D405E2">
            <w:pPr>
              <w:spacing w:line="240" w:lineRule="auto"/>
              <w:ind w:firstLine="0"/>
              <w:jc w:val="center"/>
              <w:rPr>
                <w:lang w:val="en-US"/>
              </w:rPr>
            </w:pPr>
            <w:r w:rsidRPr="00D405E2">
              <w:rPr>
                <w:lang w:val="en-US"/>
              </w:rPr>
              <w:t>2.025658</w:t>
            </w:r>
          </w:p>
        </w:tc>
      </w:tr>
      <w:tr w:rsidR="00D405E2" w:rsidRPr="00D405E2" w14:paraId="18C8551A" w14:textId="77777777" w:rsidTr="00D405E2">
        <w:trPr>
          <w:trHeight w:val="300"/>
          <w:jc w:val="center"/>
        </w:trPr>
        <w:tc>
          <w:tcPr>
            <w:tcW w:w="2830" w:type="dxa"/>
            <w:noWrap/>
            <w:hideMark/>
          </w:tcPr>
          <w:p w14:paraId="5A24CA31" w14:textId="77777777" w:rsidR="00D405E2" w:rsidRPr="00D405E2" w:rsidRDefault="00D405E2" w:rsidP="00D405E2">
            <w:pPr>
              <w:spacing w:line="240" w:lineRule="auto"/>
              <w:ind w:firstLine="0"/>
              <w:jc w:val="center"/>
              <w:rPr>
                <w:lang w:val="en-US"/>
              </w:rPr>
            </w:pPr>
            <w:r w:rsidRPr="00D405E2">
              <w:rPr>
                <w:lang w:val="en-US"/>
              </w:rPr>
              <w:t>19</w:t>
            </w:r>
          </w:p>
        </w:tc>
        <w:tc>
          <w:tcPr>
            <w:tcW w:w="2694" w:type="dxa"/>
            <w:noWrap/>
            <w:hideMark/>
          </w:tcPr>
          <w:p w14:paraId="506DA10D" w14:textId="77777777" w:rsidR="00D405E2" w:rsidRPr="00D405E2" w:rsidRDefault="00D405E2" w:rsidP="00D405E2">
            <w:pPr>
              <w:spacing w:line="240" w:lineRule="auto"/>
              <w:ind w:firstLine="0"/>
              <w:jc w:val="center"/>
              <w:rPr>
                <w:lang w:val="en-US"/>
              </w:rPr>
            </w:pPr>
            <w:r w:rsidRPr="00D405E2">
              <w:rPr>
                <w:lang w:val="en-US"/>
              </w:rPr>
              <w:t>2.02965</w:t>
            </w:r>
          </w:p>
        </w:tc>
      </w:tr>
      <w:tr w:rsidR="00D405E2" w:rsidRPr="00D405E2" w14:paraId="29276AA4" w14:textId="77777777" w:rsidTr="00D405E2">
        <w:trPr>
          <w:trHeight w:val="300"/>
          <w:jc w:val="center"/>
        </w:trPr>
        <w:tc>
          <w:tcPr>
            <w:tcW w:w="2830" w:type="dxa"/>
            <w:noWrap/>
            <w:hideMark/>
          </w:tcPr>
          <w:p w14:paraId="58759711" w14:textId="77777777" w:rsidR="00D405E2" w:rsidRPr="00D405E2" w:rsidRDefault="00D405E2" w:rsidP="00D405E2">
            <w:pPr>
              <w:spacing w:line="240" w:lineRule="auto"/>
              <w:ind w:firstLine="0"/>
              <w:jc w:val="center"/>
              <w:rPr>
                <w:lang w:val="en-US"/>
              </w:rPr>
            </w:pPr>
            <w:r w:rsidRPr="00D405E2">
              <w:rPr>
                <w:lang w:val="en-US"/>
              </w:rPr>
              <w:t>20</w:t>
            </w:r>
          </w:p>
        </w:tc>
        <w:tc>
          <w:tcPr>
            <w:tcW w:w="2694" w:type="dxa"/>
            <w:noWrap/>
            <w:hideMark/>
          </w:tcPr>
          <w:p w14:paraId="3231521A" w14:textId="77777777" w:rsidR="00D405E2" w:rsidRPr="00D405E2" w:rsidRDefault="00D405E2" w:rsidP="00D405E2">
            <w:pPr>
              <w:spacing w:line="240" w:lineRule="auto"/>
              <w:ind w:firstLine="0"/>
              <w:jc w:val="center"/>
              <w:rPr>
                <w:lang w:val="en-US"/>
              </w:rPr>
            </w:pPr>
            <w:r w:rsidRPr="00D405E2">
              <w:rPr>
                <w:lang w:val="en-US"/>
              </w:rPr>
              <w:t>2.032774</w:t>
            </w:r>
          </w:p>
        </w:tc>
      </w:tr>
      <w:tr w:rsidR="00D405E2" w:rsidRPr="00D405E2" w14:paraId="5572CF18" w14:textId="77777777" w:rsidTr="00D405E2">
        <w:trPr>
          <w:trHeight w:val="300"/>
          <w:jc w:val="center"/>
        </w:trPr>
        <w:tc>
          <w:tcPr>
            <w:tcW w:w="2830" w:type="dxa"/>
            <w:noWrap/>
            <w:hideMark/>
          </w:tcPr>
          <w:p w14:paraId="6832DC15" w14:textId="77777777" w:rsidR="00D405E2" w:rsidRPr="00D405E2" w:rsidRDefault="00D405E2" w:rsidP="00D405E2">
            <w:pPr>
              <w:spacing w:line="240" w:lineRule="auto"/>
              <w:ind w:firstLine="0"/>
              <w:jc w:val="center"/>
              <w:rPr>
                <w:lang w:val="en-US"/>
              </w:rPr>
            </w:pPr>
            <w:r w:rsidRPr="00D405E2">
              <w:rPr>
                <w:lang w:val="en-US"/>
              </w:rPr>
              <w:t>21</w:t>
            </w:r>
          </w:p>
        </w:tc>
        <w:tc>
          <w:tcPr>
            <w:tcW w:w="2694" w:type="dxa"/>
            <w:noWrap/>
            <w:hideMark/>
          </w:tcPr>
          <w:p w14:paraId="02320EEA" w14:textId="77777777" w:rsidR="00D405E2" w:rsidRPr="00D405E2" w:rsidRDefault="00D405E2" w:rsidP="00D405E2">
            <w:pPr>
              <w:spacing w:line="240" w:lineRule="auto"/>
              <w:ind w:firstLine="0"/>
              <w:jc w:val="center"/>
              <w:rPr>
                <w:lang w:val="en-US"/>
              </w:rPr>
            </w:pPr>
            <w:r w:rsidRPr="00D405E2">
              <w:rPr>
                <w:lang w:val="en-US"/>
              </w:rPr>
              <w:t>2.03642</w:t>
            </w:r>
          </w:p>
        </w:tc>
      </w:tr>
      <w:tr w:rsidR="00D405E2" w:rsidRPr="00D405E2" w14:paraId="2E733980" w14:textId="77777777" w:rsidTr="00D405E2">
        <w:trPr>
          <w:trHeight w:val="300"/>
          <w:jc w:val="center"/>
        </w:trPr>
        <w:tc>
          <w:tcPr>
            <w:tcW w:w="2830" w:type="dxa"/>
            <w:noWrap/>
            <w:hideMark/>
          </w:tcPr>
          <w:p w14:paraId="307FAC61" w14:textId="77777777" w:rsidR="00D405E2" w:rsidRPr="00D405E2" w:rsidRDefault="00D405E2" w:rsidP="00D405E2">
            <w:pPr>
              <w:spacing w:line="240" w:lineRule="auto"/>
              <w:ind w:firstLine="0"/>
              <w:jc w:val="center"/>
              <w:rPr>
                <w:lang w:val="en-US"/>
              </w:rPr>
            </w:pPr>
            <w:r w:rsidRPr="00D405E2">
              <w:rPr>
                <w:lang w:val="en-US"/>
              </w:rPr>
              <w:t>22</w:t>
            </w:r>
          </w:p>
        </w:tc>
        <w:tc>
          <w:tcPr>
            <w:tcW w:w="2694" w:type="dxa"/>
            <w:noWrap/>
            <w:hideMark/>
          </w:tcPr>
          <w:p w14:paraId="2D04DBDB" w14:textId="77777777" w:rsidR="00D405E2" w:rsidRPr="00D405E2" w:rsidRDefault="00D405E2" w:rsidP="00D405E2">
            <w:pPr>
              <w:spacing w:line="240" w:lineRule="auto"/>
              <w:ind w:firstLine="0"/>
              <w:jc w:val="center"/>
              <w:rPr>
                <w:lang w:val="en-US"/>
              </w:rPr>
            </w:pPr>
            <w:r w:rsidRPr="00D405E2">
              <w:rPr>
                <w:lang w:val="en-US"/>
              </w:rPr>
              <w:t>2.039901</w:t>
            </w:r>
          </w:p>
        </w:tc>
      </w:tr>
      <w:tr w:rsidR="00D405E2" w:rsidRPr="00D405E2" w14:paraId="068B4D2A" w14:textId="77777777" w:rsidTr="00D405E2">
        <w:trPr>
          <w:trHeight w:val="300"/>
          <w:jc w:val="center"/>
        </w:trPr>
        <w:tc>
          <w:tcPr>
            <w:tcW w:w="2830" w:type="dxa"/>
            <w:noWrap/>
            <w:hideMark/>
          </w:tcPr>
          <w:p w14:paraId="1571AE48" w14:textId="77777777" w:rsidR="00D405E2" w:rsidRPr="00D405E2" w:rsidRDefault="00D405E2" w:rsidP="00D405E2">
            <w:pPr>
              <w:spacing w:line="240" w:lineRule="auto"/>
              <w:ind w:firstLine="0"/>
              <w:jc w:val="center"/>
              <w:rPr>
                <w:lang w:val="en-US"/>
              </w:rPr>
            </w:pPr>
            <w:r w:rsidRPr="00D405E2">
              <w:rPr>
                <w:lang w:val="en-US"/>
              </w:rPr>
              <w:t>23</w:t>
            </w:r>
          </w:p>
        </w:tc>
        <w:tc>
          <w:tcPr>
            <w:tcW w:w="2694" w:type="dxa"/>
            <w:noWrap/>
            <w:hideMark/>
          </w:tcPr>
          <w:p w14:paraId="4537BE46" w14:textId="77777777" w:rsidR="00D405E2" w:rsidRPr="00D405E2" w:rsidRDefault="00D405E2" w:rsidP="00D405E2">
            <w:pPr>
              <w:spacing w:line="240" w:lineRule="auto"/>
              <w:ind w:firstLine="0"/>
              <w:jc w:val="center"/>
              <w:rPr>
                <w:lang w:val="en-US"/>
              </w:rPr>
            </w:pPr>
            <w:r w:rsidRPr="00D405E2">
              <w:rPr>
                <w:lang w:val="en-US"/>
              </w:rPr>
              <w:t>2.043448</w:t>
            </w:r>
          </w:p>
        </w:tc>
      </w:tr>
      <w:tr w:rsidR="00D405E2" w:rsidRPr="00D405E2" w14:paraId="2E8B9A5B" w14:textId="77777777" w:rsidTr="00D405E2">
        <w:trPr>
          <w:trHeight w:val="300"/>
          <w:jc w:val="center"/>
        </w:trPr>
        <w:tc>
          <w:tcPr>
            <w:tcW w:w="2830" w:type="dxa"/>
            <w:noWrap/>
            <w:hideMark/>
          </w:tcPr>
          <w:p w14:paraId="291BED8C" w14:textId="77777777" w:rsidR="00D405E2" w:rsidRPr="00D405E2" w:rsidRDefault="00D405E2" w:rsidP="00D405E2">
            <w:pPr>
              <w:spacing w:line="240" w:lineRule="auto"/>
              <w:ind w:firstLine="0"/>
              <w:jc w:val="center"/>
              <w:rPr>
                <w:lang w:val="en-US"/>
              </w:rPr>
            </w:pPr>
            <w:r w:rsidRPr="00D405E2">
              <w:rPr>
                <w:lang w:val="en-US"/>
              </w:rPr>
              <w:t>24</w:t>
            </w:r>
          </w:p>
        </w:tc>
        <w:tc>
          <w:tcPr>
            <w:tcW w:w="2694" w:type="dxa"/>
            <w:noWrap/>
            <w:hideMark/>
          </w:tcPr>
          <w:p w14:paraId="2F74CA8F" w14:textId="77777777" w:rsidR="00D405E2" w:rsidRPr="00D405E2" w:rsidRDefault="00D405E2" w:rsidP="00D405E2">
            <w:pPr>
              <w:spacing w:line="240" w:lineRule="auto"/>
              <w:ind w:firstLine="0"/>
              <w:jc w:val="center"/>
              <w:rPr>
                <w:lang w:val="en-US"/>
              </w:rPr>
            </w:pPr>
            <w:r w:rsidRPr="00D405E2">
              <w:rPr>
                <w:lang w:val="en-US"/>
              </w:rPr>
              <w:t>2.047009</w:t>
            </w:r>
          </w:p>
        </w:tc>
      </w:tr>
      <w:tr w:rsidR="00D405E2" w:rsidRPr="00D405E2" w14:paraId="1DA2D2C7" w14:textId="77777777" w:rsidTr="00D405E2">
        <w:trPr>
          <w:trHeight w:val="300"/>
          <w:jc w:val="center"/>
        </w:trPr>
        <w:tc>
          <w:tcPr>
            <w:tcW w:w="2830" w:type="dxa"/>
            <w:noWrap/>
            <w:hideMark/>
          </w:tcPr>
          <w:p w14:paraId="3CAD56B2" w14:textId="77777777" w:rsidR="00D405E2" w:rsidRPr="00D405E2" w:rsidRDefault="00D405E2" w:rsidP="00D405E2">
            <w:pPr>
              <w:spacing w:line="240" w:lineRule="auto"/>
              <w:ind w:firstLine="0"/>
              <w:jc w:val="center"/>
              <w:rPr>
                <w:lang w:val="en-US"/>
              </w:rPr>
            </w:pPr>
            <w:r w:rsidRPr="00D405E2">
              <w:rPr>
                <w:lang w:val="en-US"/>
              </w:rPr>
              <w:t>25</w:t>
            </w:r>
          </w:p>
        </w:tc>
        <w:tc>
          <w:tcPr>
            <w:tcW w:w="2694" w:type="dxa"/>
            <w:noWrap/>
            <w:hideMark/>
          </w:tcPr>
          <w:p w14:paraId="60E3C8FF" w14:textId="77777777" w:rsidR="00D405E2" w:rsidRPr="00D405E2" w:rsidRDefault="00D405E2" w:rsidP="00D405E2">
            <w:pPr>
              <w:spacing w:line="240" w:lineRule="auto"/>
              <w:ind w:firstLine="0"/>
              <w:jc w:val="center"/>
              <w:rPr>
                <w:lang w:val="en-US"/>
              </w:rPr>
            </w:pPr>
            <w:r w:rsidRPr="00D405E2">
              <w:rPr>
                <w:lang w:val="en-US"/>
              </w:rPr>
              <w:t>2.050604</w:t>
            </w:r>
          </w:p>
        </w:tc>
      </w:tr>
      <w:tr w:rsidR="00D405E2" w:rsidRPr="00D405E2" w14:paraId="54AA1D27" w14:textId="77777777" w:rsidTr="00D405E2">
        <w:trPr>
          <w:trHeight w:val="300"/>
          <w:jc w:val="center"/>
        </w:trPr>
        <w:tc>
          <w:tcPr>
            <w:tcW w:w="2830" w:type="dxa"/>
            <w:noWrap/>
            <w:hideMark/>
          </w:tcPr>
          <w:p w14:paraId="0A7CE49A" w14:textId="77777777" w:rsidR="00D405E2" w:rsidRPr="00D405E2" w:rsidRDefault="00D405E2" w:rsidP="00D405E2">
            <w:pPr>
              <w:spacing w:line="240" w:lineRule="auto"/>
              <w:ind w:firstLine="0"/>
              <w:jc w:val="center"/>
              <w:rPr>
                <w:lang w:val="en-US"/>
              </w:rPr>
            </w:pPr>
            <w:r w:rsidRPr="00D405E2">
              <w:rPr>
                <w:lang w:val="en-US"/>
              </w:rPr>
              <w:t>26</w:t>
            </w:r>
          </w:p>
        </w:tc>
        <w:tc>
          <w:tcPr>
            <w:tcW w:w="2694" w:type="dxa"/>
            <w:noWrap/>
            <w:hideMark/>
          </w:tcPr>
          <w:p w14:paraId="745AA648" w14:textId="77777777" w:rsidR="00D405E2" w:rsidRPr="00D405E2" w:rsidRDefault="00D405E2" w:rsidP="00D405E2">
            <w:pPr>
              <w:spacing w:line="240" w:lineRule="auto"/>
              <w:ind w:firstLine="0"/>
              <w:jc w:val="center"/>
              <w:rPr>
                <w:lang w:val="en-US"/>
              </w:rPr>
            </w:pPr>
            <w:r w:rsidRPr="00D405E2">
              <w:rPr>
                <w:lang w:val="en-US"/>
              </w:rPr>
              <w:t>2.054247</w:t>
            </w:r>
          </w:p>
        </w:tc>
      </w:tr>
      <w:tr w:rsidR="00D405E2" w:rsidRPr="00D405E2" w14:paraId="05B60C45" w14:textId="77777777" w:rsidTr="00D405E2">
        <w:trPr>
          <w:trHeight w:val="300"/>
          <w:jc w:val="center"/>
        </w:trPr>
        <w:tc>
          <w:tcPr>
            <w:tcW w:w="2830" w:type="dxa"/>
            <w:noWrap/>
            <w:hideMark/>
          </w:tcPr>
          <w:p w14:paraId="1D2D4AE5" w14:textId="77777777" w:rsidR="00D405E2" w:rsidRPr="00D405E2" w:rsidRDefault="00D405E2" w:rsidP="00D405E2">
            <w:pPr>
              <w:spacing w:line="240" w:lineRule="auto"/>
              <w:ind w:firstLine="0"/>
              <w:jc w:val="center"/>
              <w:rPr>
                <w:lang w:val="en-US"/>
              </w:rPr>
            </w:pPr>
            <w:r w:rsidRPr="00D405E2">
              <w:rPr>
                <w:lang w:val="en-US"/>
              </w:rPr>
              <w:t>27</w:t>
            </w:r>
          </w:p>
        </w:tc>
        <w:tc>
          <w:tcPr>
            <w:tcW w:w="2694" w:type="dxa"/>
            <w:noWrap/>
            <w:hideMark/>
          </w:tcPr>
          <w:p w14:paraId="6D9EF1FB" w14:textId="77777777" w:rsidR="00D405E2" w:rsidRPr="00D405E2" w:rsidRDefault="00D405E2" w:rsidP="00D405E2">
            <w:pPr>
              <w:spacing w:line="240" w:lineRule="auto"/>
              <w:ind w:firstLine="0"/>
              <w:jc w:val="center"/>
              <w:rPr>
                <w:lang w:val="en-US"/>
              </w:rPr>
            </w:pPr>
            <w:r w:rsidRPr="00D405E2">
              <w:rPr>
                <w:lang w:val="en-US"/>
              </w:rPr>
              <w:t>2.057856</w:t>
            </w:r>
          </w:p>
        </w:tc>
      </w:tr>
      <w:tr w:rsidR="00D405E2" w:rsidRPr="00D405E2" w14:paraId="17E2DFEA" w14:textId="77777777" w:rsidTr="00D405E2">
        <w:trPr>
          <w:trHeight w:val="300"/>
          <w:jc w:val="center"/>
        </w:trPr>
        <w:tc>
          <w:tcPr>
            <w:tcW w:w="2830" w:type="dxa"/>
            <w:noWrap/>
            <w:hideMark/>
          </w:tcPr>
          <w:p w14:paraId="34015DB4" w14:textId="77777777" w:rsidR="00D405E2" w:rsidRPr="00D405E2" w:rsidRDefault="00D405E2" w:rsidP="00D405E2">
            <w:pPr>
              <w:spacing w:line="240" w:lineRule="auto"/>
              <w:ind w:firstLine="0"/>
              <w:jc w:val="center"/>
              <w:rPr>
                <w:lang w:val="en-US"/>
              </w:rPr>
            </w:pPr>
            <w:r w:rsidRPr="00D405E2">
              <w:rPr>
                <w:lang w:val="en-US"/>
              </w:rPr>
              <w:t>28</w:t>
            </w:r>
          </w:p>
        </w:tc>
        <w:tc>
          <w:tcPr>
            <w:tcW w:w="2694" w:type="dxa"/>
            <w:noWrap/>
            <w:hideMark/>
          </w:tcPr>
          <w:p w14:paraId="3374836E" w14:textId="77777777" w:rsidR="00D405E2" w:rsidRPr="00D405E2" w:rsidRDefault="00D405E2" w:rsidP="00D405E2">
            <w:pPr>
              <w:spacing w:line="240" w:lineRule="auto"/>
              <w:ind w:firstLine="0"/>
              <w:jc w:val="center"/>
              <w:rPr>
                <w:lang w:val="en-US"/>
              </w:rPr>
            </w:pPr>
            <w:r w:rsidRPr="00D405E2">
              <w:rPr>
                <w:lang w:val="en-US"/>
              </w:rPr>
              <w:t>2.061417</w:t>
            </w:r>
          </w:p>
        </w:tc>
      </w:tr>
      <w:tr w:rsidR="00D405E2" w:rsidRPr="00D405E2" w14:paraId="284D20CE" w14:textId="77777777" w:rsidTr="00D405E2">
        <w:trPr>
          <w:trHeight w:val="300"/>
          <w:jc w:val="center"/>
        </w:trPr>
        <w:tc>
          <w:tcPr>
            <w:tcW w:w="2830" w:type="dxa"/>
            <w:noWrap/>
            <w:hideMark/>
          </w:tcPr>
          <w:p w14:paraId="75B4DC63" w14:textId="77777777" w:rsidR="00D405E2" w:rsidRPr="00D405E2" w:rsidRDefault="00D405E2" w:rsidP="00D405E2">
            <w:pPr>
              <w:spacing w:line="240" w:lineRule="auto"/>
              <w:ind w:firstLine="0"/>
              <w:jc w:val="center"/>
              <w:rPr>
                <w:lang w:val="en-US"/>
              </w:rPr>
            </w:pPr>
            <w:r w:rsidRPr="00D405E2">
              <w:rPr>
                <w:lang w:val="en-US"/>
              </w:rPr>
              <w:t>29</w:t>
            </w:r>
          </w:p>
        </w:tc>
        <w:tc>
          <w:tcPr>
            <w:tcW w:w="2694" w:type="dxa"/>
            <w:noWrap/>
            <w:hideMark/>
          </w:tcPr>
          <w:p w14:paraId="3677ADA3" w14:textId="77777777" w:rsidR="00D405E2" w:rsidRPr="00D405E2" w:rsidRDefault="00D405E2" w:rsidP="00D405E2">
            <w:pPr>
              <w:spacing w:line="240" w:lineRule="auto"/>
              <w:ind w:firstLine="0"/>
              <w:jc w:val="center"/>
              <w:rPr>
                <w:lang w:val="en-US"/>
              </w:rPr>
            </w:pPr>
            <w:r w:rsidRPr="00D405E2">
              <w:rPr>
                <w:lang w:val="en-US"/>
              </w:rPr>
              <w:t>2.064891</w:t>
            </w:r>
          </w:p>
        </w:tc>
      </w:tr>
      <w:tr w:rsidR="00D405E2" w:rsidRPr="00D405E2" w14:paraId="153EEDE7" w14:textId="77777777" w:rsidTr="00D405E2">
        <w:trPr>
          <w:trHeight w:val="300"/>
          <w:jc w:val="center"/>
        </w:trPr>
        <w:tc>
          <w:tcPr>
            <w:tcW w:w="2830" w:type="dxa"/>
            <w:noWrap/>
            <w:hideMark/>
          </w:tcPr>
          <w:p w14:paraId="31F04977" w14:textId="77777777" w:rsidR="00D405E2" w:rsidRPr="00D405E2" w:rsidRDefault="00D405E2" w:rsidP="00D405E2">
            <w:pPr>
              <w:spacing w:line="240" w:lineRule="auto"/>
              <w:ind w:firstLine="0"/>
              <w:jc w:val="center"/>
              <w:rPr>
                <w:lang w:val="en-US"/>
              </w:rPr>
            </w:pPr>
            <w:r w:rsidRPr="00D405E2">
              <w:rPr>
                <w:lang w:val="en-US"/>
              </w:rPr>
              <w:t>30</w:t>
            </w:r>
          </w:p>
        </w:tc>
        <w:tc>
          <w:tcPr>
            <w:tcW w:w="2694" w:type="dxa"/>
            <w:noWrap/>
            <w:hideMark/>
          </w:tcPr>
          <w:p w14:paraId="6A3F30C5" w14:textId="77777777" w:rsidR="00D405E2" w:rsidRPr="00D405E2" w:rsidRDefault="00D405E2" w:rsidP="00D405E2">
            <w:pPr>
              <w:spacing w:line="240" w:lineRule="auto"/>
              <w:ind w:firstLine="0"/>
              <w:jc w:val="center"/>
              <w:rPr>
                <w:lang w:val="en-US"/>
              </w:rPr>
            </w:pPr>
            <w:r w:rsidRPr="00D405E2">
              <w:rPr>
                <w:lang w:val="en-US"/>
              </w:rPr>
              <w:t>2.068303</w:t>
            </w:r>
          </w:p>
        </w:tc>
      </w:tr>
    </w:tbl>
    <w:p w14:paraId="777583C0" w14:textId="77777777" w:rsidR="00D405E2" w:rsidRDefault="00D405E2" w:rsidP="00707878">
      <w:pPr>
        <w:rPr>
          <w:lang w:val="en-US"/>
        </w:rPr>
      </w:pPr>
    </w:p>
    <w:p w14:paraId="5C09AC5A" w14:textId="30A81AD5" w:rsidR="00707878" w:rsidRDefault="00707878" w:rsidP="00707878">
      <w:pPr>
        <w:pStyle w:val="1"/>
        <w:numPr>
          <w:ilvl w:val="0"/>
          <w:numId w:val="0"/>
        </w:numPr>
        <w:jc w:val="center"/>
        <w:rPr>
          <w:lang w:val="en-US"/>
        </w:rPr>
      </w:pPr>
      <w:r>
        <w:rPr>
          <w:lang w:val="en-US"/>
        </w:rPr>
        <w:lastRenderedPageBreak/>
        <w:tab/>
      </w:r>
      <w:bookmarkStart w:id="1808" w:name="_Toc104985387"/>
      <w:r w:rsidRPr="00A367BA">
        <w:rPr>
          <w:lang w:val="en-US"/>
        </w:rPr>
        <w:t xml:space="preserve">Appendix </w:t>
      </w:r>
      <w:r w:rsidR="003138D2">
        <w:rPr>
          <w:lang w:val="en-US"/>
        </w:rPr>
        <w:t>H</w:t>
      </w:r>
      <w:r>
        <w:rPr>
          <w:lang w:val="en-US"/>
        </w:rPr>
        <w:t xml:space="preserve"> – </w:t>
      </w:r>
      <w:r>
        <w:rPr>
          <w:rFonts w:eastAsia="Calibri"/>
          <w:lang w:val="en-US"/>
        </w:rPr>
        <w:t>Chardara dam factor of safety values from 1</w:t>
      </w:r>
      <w:r w:rsidR="00D405E2">
        <w:rPr>
          <w:rFonts w:eastAsia="Calibri"/>
          <w:lang w:val="en-US"/>
        </w:rPr>
        <w:t xml:space="preserve">0 days </w:t>
      </w:r>
      <w:r>
        <w:rPr>
          <w:rFonts w:eastAsia="Calibri"/>
          <w:lang w:val="en-US"/>
        </w:rPr>
        <w:t>drawdown</w:t>
      </w:r>
      <w:bookmarkEnd w:id="1808"/>
    </w:p>
    <w:tbl>
      <w:tblPr>
        <w:tblStyle w:val="a8"/>
        <w:tblW w:w="0" w:type="auto"/>
        <w:jc w:val="center"/>
        <w:tblLook w:val="04A0" w:firstRow="1" w:lastRow="0" w:firstColumn="1" w:lastColumn="0" w:noHBand="0" w:noVBand="1"/>
      </w:tblPr>
      <w:tblGrid>
        <w:gridCol w:w="2122"/>
        <w:gridCol w:w="3260"/>
      </w:tblGrid>
      <w:tr w:rsidR="00707878" w:rsidRPr="00707878" w14:paraId="24310FE5" w14:textId="77777777" w:rsidTr="00707878">
        <w:trPr>
          <w:trHeight w:val="300"/>
          <w:jc w:val="center"/>
        </w:trPr>
        <w:tc>
          <w:tcPr>
            <w:tcW w:w="2122" w:type="dxa"/>
            <w:noWrap/>
            <w:hideMark/>
          </w:tcPr>
          <w:p w14:paraId="697720CF" w14:textId="77777777" w:rsidR="00707878" w:rsidRPr="00707878" w:rsidRDefault="00707878" w:rsidP="00707878">
            <w:pPr>
              <w:spacing w:line="240" w:lineRule="auto"/>
              <w:ind w:firstLine="0"/>
              <w:jc w:val="center"/>
              <w:rPr>
                <w:lang w:val="en-US"/>
              </w:rPr>
            </w:pPr>
          </w:p>
        </w:tc>
        <w:tc>
          <w:tcPr>
            <w:tcW w:w="3260" w:type="dxa"/>
            <w:noWrap/>
            <w:hideMark/>
          </w:tcPr>
          <w:p w14:paraId="1A32A6AE" w14:textId="77777777" w:rsidR="00707878" w:rsidRPr="00707878" w:rsidRDefault="00707878" w:rsidP="00707878">
            <w:pPr>
              <w:spacing w:line="240" w:lineRule="auto"/>
              <w:ind w:firstLine="0"/>
              <w:jc w:val="center"/>
              <w:rPr>
                <w:lang w:val="en-US"/>
              </w:rPr>
            </w:pPr>
            <w:r w:rsidRPr="00707878">
              <w:rPr>
                <w:lang w:val="en-US"/>
              </w:rPr>
              <w:t>Slip Surface 182</w:t>
            </w:r>
          </w:p>
        </w:tc>
      </w:tr>
      <w:tr w:rsidR="00707878" w:rsidRPr="00707878" w14:paraId="5D48160F" w14:textId="77777777" w:rsidTr="00707878">
        <w:trPr>
          <w:trHeight w:val="300"/>
          <w:jc w:val="center"/>
        </w:trPr>
        <w:tc>
          <w:tcPr>
            <w:tcW w:w="2122" w:type="dxa"/>
            <w:noWrap/>
            <w:hideMark/>
          </w:tcPr>
          <w:p w14:paraId="093B7DE4" w14:textId="77777777" w:rsidR="00707878" w:rsidRPr="00707878" w:rsidRDefault="00707878" w:rsidP="00707878">
            <w:pPr>
              <w:spacing w:line="240" w:lineRule="auto"/>
              <w:ind w:firstLine="0"/>
              <w:jc w:val="center"/>
              <w:rPr>
                <w:lang w:val="en-US"/>
              </w:rPr>
            </w:pPr>
            <w:r w:rsidRPr="00707878">
              <w:rPr>
                <w:lang w:val="en-US"/>
              </w:rPr>
              <w:t>Time (d)</w:t>
            </w:r>
          </w:p>
        </w:tc>
        <w:tc>
          <w:tcPr>
            <w:tcW w:w="3260" w:type="dxa"/>
            <w:noWrap/>
            <w:hideMark/>
          </w:tcPr>
          <w:p w14:paraId="4A59420F" w14:textId="77777777" w:rsidR="00707878" w:rsidRPr="00707878" w:rsidRDefault="00707878" w:rsidP="00707878">
            <w:pPr>
              <w:spacing w:line="240" w:lineRule="auto"/>
              <w:ind w:firstLine="0"/>
              <w:jc w:val="center"/>
              <w:rPr>
                <w:lang w:val="en-US"/>
              </w:rPr>
            </w:pPr>
            <w:r w:rsidRPr="00707878">
              <w:rPr>
                <w:lang w:val="en-US"/>
              </w:rPr>
              <w:t>Factor of Safety</w:t>
            </w:r>
          </w:p>
        </w:tc>
      </w:tr>
      <w:tr w:rsidR="00707878" w:rsidRPr="00707878" w14:paraId="4FAD038C" w14:textId="77777777" w:rsidTr="00707878">
        <w:trPr>
          <w:trHeight w:val="300"/>
          <w:jc w:val="center"/>
        </w:trPr>
        <w:tc>
          <w:tcPr>
            <w:tcW w:w="2122" w:type="dxa"/>
            <w:noWrap/>
            <w:hideMark/>
          </w:tcPr>
          <w:p w14:paraId="31832AC5" w14:textId="77777777" w:rsidR="00707878" w:rsidRPr="00707878" w:rsidRDefault="00707878" w:rsidP="00707878">
            <w:pPr>
              <w:spacing w:line="240" w:lineRule="auto"/>
              <w:ind w:firstLine="0"/>
              <w:jc w:val="center"/>
              <w:rPr>
                <w:lang w:val="en-US"/>
              </w:rPr>
            </w:pPr>
            <w:r w:rsidRPr="00707878">
              <w:rPr>
                <w:lang w:val="en-US"/>
              </w:rPr>
              <w:t>0</w:t>
            </w:r>
          </w:p>
        </w:tc>
        <w:tc>
          <w:tcPr>
            <w:tcW w:w="3260" w:type="dxa"/>
            <w:noWrap/>
            <w:hideMark/>
          </w:tcPr>
          <w:p w14:paraId="100CA1EF" w14:textId="77777777" w:rsidR="00707878" w:rsidRPr="00707878" w:rsidRDefault="00707878" w:rsidP="00707878">
            <w:pPr>
              <w:spacing w:line="240" w:lineRule="auto"/>
              <w:ind w:firstLine="0"/>
              <w:jc w:val="center"/>
              <w:rPr>
                <w:lang w:val="en-US"/>
              </w:rPr>
            </w:pPr>
            <w:r w:rsidRPr="00707878">
              <w:rPr>
                <w:lang w:val="en-US"/>
              </w:rPr>
              <w:t>4.016025</w:t>
            </w:r>
          </w:p>
        </w:tc>
      </w:tr>
      <w:tr w:rsidR="00707878" w:rsidRPr="00707878" w14:paraId="1EFAD030" w14:textId="77777777" w:rsidTr="00707878">
        <w:trPr>
          <w:trHeight w:val="300"/>
          <w:jc w:val="center"/>
        </w:trPr>
        <w:tc>
          <w:tcPr>
            <w:tcW w:w="2122" w:type="dxa"/>
            <w:noWrap/>
            <w:hideMark/>
          </w:tcPr>
          <w:p w14:paraId="3B6DF4C4" w14:textId="77777777" w:rsidR="00707878" w:rsidRPr="00707878" w:rsidRDefault="00707878" w:rsidP="00707878">
            <w:pPr>
              <w:spacing w:line="240" w:lineRule="auto"/>
              <w:ind w:firstLine="0"/>
              <w:jc w:val="center"/>
              <w:rPr>
                <w:lang w:val="en-US"/>
              </w:rPr>
            </w:pPr>
            <w:r w:rsidRPr="00707878">
              <w:rPr>
                <w:lang w:val="en-US"/>
              </w:rPr>
              <w:t>1</w:t>
            </w:r>
          </w:p>
        </w:tc>
        <w:tc>
          <w:tcPr>
            <w:tcW w:w="3260" w:type="dxa"/>
            <w:noWrap/>
            <w:hideMark/>
          </w:tcPr>
          <w:p w14:paraId="0453D40E" w14:textId="77777777" w:rsidR="00707878" w:rsidRPr="00707878" w:rsidRDefault="00707878" w:rsidP="00707878">
            <w:pPr>
              <w:spacing w:line="240" w:lineRule="auto"/>
              <w:ind w:firstLine="0"/>
              <w:jc w:val="center"/>
              <w:rPr>
                <w:lang w:val="en-US"/>
              </w:rPr>
            </w:pPr>
            <w:r w:rsidRPr="00707878">
              <w:rPr>
                <w:lang w:val="en-US"/>
              </w:rPr>
              <w:t>3.701572</w:t>
            </w:r>
          </w:p>
        </w:tc>
      </w:tr>
      <w:tr w:rsidR="00707878" w:rsidRPr="00707878" w14:paraId="7A363D65" w14:textId="77777777" w:rsidTr="00707878">
        <w:trPr>
          <w:trHeight w:val="300"/>
          <w:jc w:val="center"/>
        </w:trPr>
        <w:tc>
          <w:tcPr>
            <w:tcW w:w="2122" w:type="dxa"/>
            <w:noWrap/>
            <w:hideMark/>
          </w:tcPr>
          <w:p w14:paraId="171196A2" w14:textId="77777777" w:rsidR="00707878" w:rsidRPr="00707878" w:rsidRDefault="00707878" w:rsidP="00707878">
            <w:pPr>
              <w:spacing w:line="240" w:lineRule="auto"/>
              <w:ind w:firstLine="0"/>
              <w:jc w:val="center"/>
              <w:rPr>
                <w:lang w:val="en-US"/>
              </w:rPr>
            </w:pPr>
            <w:r w:rsidRPr="00707878">
              <w:rPr>
                <w:lang w:val="en-US"/>
              </w:rPr>
              <w:t>2</w:t>
            </w:r>
          </w:p>
        </w:tc>
        <w:tc>
          <w:tcPr>
            <w:tcW w:w="3260" w:type="dxa"/>
            <w:noWrap/>
            <w:hideMark/>
          </w:tcPr>
          <w:p w14:paraId="18CC8C7C" w14:textId="77777777" w:rsidR="00707878" w:rsidRPr="00707878" w:rsidRDefault="00707878" w:rsidP="00707878">
            <w:pPr>
              <w:spacing w:line="240" w:lineRule="auto"/>
              <w:ind w:firstLine="0"/>
              <w:jc w:val="center"/>
              <w:rPr>
                <w:lang w:val="en-US"/>
              </w:rPr>
            </w:pPr>
            <w:r w:rsidRPr="00707878">
              <w:rPr>
                <w:lang w:val="en-US"/>
              </w:rPr>
              <w:t>3.468909</w:t>
            </w:r>
          </w:p>
        </w:tc>
      </w:tr>
      <w:tr w:rsidR="00707878" w:rsidRPr="00707878" w14:paraId="2F346547" w14:textId="77777777" w:rsidTr="00707878">
        <w:trPr>
          <w:trHeight w:val="300"/>
          <w:jc w:val="center"/>
        </w:trPr>
        <w:tc>
          <w:tcPr>
            <w:tcW w:w="2122" w:type="dxa"/>
            <w:noWrap/>
            <w:hideMark/>
          </w:tcPr>
          <w:p w14:paraId="0DDE4F6B" w14:textId="77777777" w:rsidR="00707878" w:rsidRPr="00707878" w:rsidRDefault="00707878" w:rsidP="00707878">
            <w:pPr>
              <w:spacing w:line="240" w:lineRule="auto"/>
              <w:ind w:firstLine="0"/>
              <w:jc w:val="center"/>
              <w:rPr>
                <w:lang w:val="en-US"/>
              </w:rPr>
            </w:pPr>
            <w:r w:rsidRPr="00707878">
              <w:rPr>
                <w:lang w:val="en-US"/>
              </w:rPr>
              <w:t>3</w:t>
            </w:r>
          </w:p>
        </w:tc>
        <w:tc>
          <w:tcPr>
            <w:tcW w:w="3260" w:type="dxa"/>
            <w:noWrap/>
            <w:hideMark/>
          </w:tcPr>
          <w:p w14:paraId="24997BF0" w14:textId="77777777" w:rsidR="00707878" w:rsidRPr="00707878" w:rsidRDefault="00707878" w:rsidP="00707878">
            <w:pPr>
              <w:spacing w:line="240" w:lineRule="auto"/>
              <w:ind w:firstLine="0"/>
              <w:jc w:val="center"/>
              <w:rPr>
                <w:lang w:val="en-US"/>
              </w:rPr>
            </w:pPr>
            <w:r w:rsidRPr="00707878">
              <w:rPr>
                <w:lang w:val="en-US"/>
              </w:rPr>
              <w:t>3.267874</w:t>
            </w:r>
          </w:p>
        </w:tc>
      </w:tr>
      <w:tr w:rsidR="00707878" w:rsidRPr="00707878" w14:paraId="06925B5A" w14:textId="77777777" w:rsidTr="00707878">
        <w:trPr>
          <w:trHeight w:val="300"/>
          <w:jc w:val="center"/>
        </w:trPr>
        <w:tc>
          <w:tcPr>
            <w:tcW w:w="2122" w:type="dxa"/>
            <w:noWrap/>
            <w:hideMark/>
          </w:tcPr>
          <w:p w14:paraId="081E2C63" w14:textId="77777777" w:rsidR="00707878" w:rsidRPr="00707878" w:rsidRDefault="00707878" w:rsidP="00707878">
            <w:pPr>
              <w:spacing w:line="240" w:lineRule="auto"/>
              <w:ind w:firstLine="0"/>
              <w:jc w:val="center"/>
              <w:rPr>
                <w:lang w:val="en-US"/>
              </w:rPr>
            </w:pPr>
            <w:r w:rsidRPr="00707878">
              <w:rPr>
                <w:lang w:val="en-US"/>
              </w:rPr>
              <w:t>4</w:t>
            </w:r>
          </w:p>
        </w:tc>
        <w:tc>
          <w:tcPr>
            <w:tcW w:w="3260" w:type="dxa"/>
            <w:noWrap/>
            <w:hideMark/>
          </w:tcPr>
          <w:p w14:paraId="08999268" w14:textId="77777777" w:rsidR="00707878" w:rsidRPr="00707878" w:rsidRDefault="00707878" w:rsidP="00707878">
            <w:pPr>
              <w:spacing w:line="240" w:lineRule="auto"/>
              <w:ind w:firstLine="0"/>
              <w:jc w:val="center"/>
              <w:rPr>
                <w:lang w:val="en-US"/>
              </w:rPr>
            </w:pPr>
            <w:r w:rsidRPr="00707878">
              <w:rPr>
                <w:lang w:val="en-US"/>
              </w:rPr>
              <w:t>3.087711</w:t>
            </w:r>
          </w:p>
        </w:tc>
      </w:tr>
      <w:tr w:rsidR="00707878" w:rsidRPr="00707878" w14:paraId="63AC41C9" w14:textId="77777777" w:rsidTr="00707878">
        <w:trPr>
          <w:trHeight w:val="300"/>
          <w:jc w:val="center"/>
        </w:trPr>
        <w:tc>
          <w:tcPr>
            <w:tcW w:w="2122" w:type="dxa"/>
            <w:noWrap/>
            <w:hideMark/>
          </w:tcPr>
          <w:p w14:paraId="37C74EAF" w14:textId="77777777" w:rsidR="00707878" w:rsidRPr="00707878" w:rsidRDefault="00707878" w:rsidP="00707878">
            <w:pPr>
              <w:spacing w:line="240" w:lineRule="auto"/>
              <w:ind w:firstLine="0"/>
              <w:jc w:val="center"/>
              <w:rPr>
                <w:lang w:val="en-US"/>
              </w:rPr>
            </w:pPr>
            <w:r w:rsidRPr="00707878">
              <w:rPr>
                <w:lang w:val="en-US"/>
              </w:rPr>
              <w:t>5</w:t>
            </w:r>
          </w:p>
        </w:tc>
        <w:tc>
          <w:tcPr>
            <w:tcW w:w="3260" w:type="dxa"/>
            <w:noWrap/>
            <w:hideMark/>
          </w:tcPr>
          <w:p w14:paraId="742251E2" w14:textId="77777777" w:rsidR="00707878" w:rsidRPr="00707878" w:rsidRDefault="00707878" w:rsidP="00707878">
            <w:pPr>
              <w:spacing w:line="240" w:lineRule="auto"/>
              <w:ind w:firstLine="0"/>
              <w:jc w:val="center"/>
              <w:rPr>
                <w:lang w:val="en-US"/>
              </w:rPr>
            </w:pPr>
            <w:r w:rsidRPr="00707878">
              <w:rPr>
                <w:lang w:val="en-US"/>
              </w:rPr>
              <w:t>2.925586</w:t>
            </w:r>
          </w:p>
        </w:tc>
      </w:tr>
      <w:tr w:rsidR="00707878" w:rsidRPr="00707878" w14:paraId="79CDDA5E" w14:textId="77777777" w:rsidTr="00707878">
        <w:trPr>
          <w:trHeight w:val="300"/>
          <w:jc w:val="center"/>
        </w:trPr>
        <w:tc>
          <w:tcPr>
            <w:tcW w:w="2122" w:type="dxa"/>
            <w:noWrap/>
            <w:hideMark/>
          </w:tcPr>
          <w:p w14:paraId="6264B16E" w14:textId="77777777" w:rsidR="00707878" w:rsidRPr="00707878" w:rsidRDefault="00707878" w:rsidP="00707878">
            <w:pPr>
              <w:spacing w:line="240" w:lineRule="auto"/>
              <w:ind w:firstLine="0"/>
              <w:jc w:val="center"/>
              <w:rPr>
                <w:lang w:val="en-US"/>
              </w:rPr>
            </w:pPr>
            <w:r w:rsidRPr="00707878">
              <w:rPr>
                <w:lang w:val="en-US"/>
              </w:rPr>
              <w:t>6</w:t>
            </w:r>
          </w:p>
        </w:tc>
        <w:tc>
          <w:tcPr>
            <w:tcW w:w="3260" w:type="dxa"/>
            <w:noWrap/>
            <w:hideMark/>
          </w:tcPr>
          <w:p w14:paraId="4BF7BB00" w14:textId="77777777" w:rsidR="00707878" w:rsidRPr="00707878" w:rsidRDefault="00707878" w:rsidP="00707878">
            <w:pPr>
              <w:spacing w:line="240" w:lineRule="auto"/>
              <w:ind w:firstLine="0"/>
              <w:jc w:val="center"/>
              <w:rPr>
                <w:lang w:val="en-US"/>
              </w:rPr>
            </w:pPr>
            <w:r w:rsidRPr="00707878">
              <w:rPr>
                <w:lang w:val="en-US"/>
              </w:rPr>
              <w:t>2.780518</w:t>
            </w:r>
          </w:p>
        </w:tc>
      </w:tr>
      <w:tr w:rsidR="00707878" w:rsidRPr="00707878" w14:paraId="1D106F40" w14:textId="77777777" w:rsidTr="00707878">
        <w:trPr>
          <w:trHeight w:val="300"/>
          <w:jc w:val="center"/>
        </w:trPr>
        <w:tc>
          <w:tcPr>
            <w:tcW w:w="2122" w:type="dxa"/>
            <w:noWrap/>
            <w:hideMark/>
          </w:tcPr>
          <w:p w14:paraId="693F5383" w14:textId="77777777" w:rsidR="00707878" w:rsidRPr="00707878" w:rsidRDefault="00707878" w:rsidP="00707878">
            <w:pPr>
              <w:spacing w:line="240" w:lineRule="auto"/>
              <w:ind w:firstLine="0"/>
              <w:jc w:val="center"/>
              <w:rPr>
                <w:lang w:val="en-US"/>
              </w:rPr>
            </w:pPr>
            <w:r w:rsidRPr="00707878">
              <w:rPr>
                <w:lang w:val="en-US"/>
              </w:rPr>
              <w:t>7</w:t>
            </w:r>
          </w:p>
        </w:tc>
        <w:tc>
          <w:tcPr>
            <w:tcW w:w="3260" w:type="dxa"/>
            <w:noWrap/>
            <w:hideMark/>
          </w:tcPr>
          <w:p w14:paraId="3D73C319" w14:textId="77777777" w:rsidR="00707878" w:rsidRPr="00707878" w:rsidRDefault="00707878" w:rsidP="00707878">
            <w:pPr>
              <w:spacing w:line="240" w:lineRule="auto"/>
              <w:ind w:firstLine="0"/>
              <w:jc w:val="center"/>
              <w:rPr>
                <w:lang w:val="en-US"/>
              </w:rPr>
            </w:pPr>
            <w:r w:rsidRPr="00707878">
              <w:rPr>
                <w:lang w:val="en-US"/>
              </w:rPr>
              <w:t>2.652244</w:t>
            </w:r>
          </w:p>
        </w:tc>
      </w:tr>
      <w:tr w:rsidR="00707878" w:rsidRPr="00707878" w14:paraId="70C4F962" w14:textId="77777777" w:rsidTr="00707878">
        <w:trPr>
          <w:trHeight w:val="300"/>
          <w:jc w:val="center"/>
        </w:trPr>
        <w:tc>
          <w:tcPr>
            <w:tcW w:w="2122" w:type="dxa"/>
            <w:noWrap/>
            <w:hideMark/>
          </w:tcPr>
          <w:p w14:paraId="1A88A393" w14:textId="77777777" w:rsidR="00707878" w:rsidRPr="00707878" w:rsidRDefault="00707878" w:rsidP="00707878">
            <w:pPr>
              <w:spacing w:line="240" w:lineRule="auto"/>
              <w:ind w:firstLine="0"/>
              <w:jc w:val="center"/>
              <w:rPr>
                <w:lang w:val="en-US"/>
              </w:rPr>
            </w:pPr>
            <w:r w:rsidRPr="00707878">
              <w:rPr>
                <w:lang w:val="en-US"/>
              </w:rPr>
              <w:t>8</w:t>
            </w:r>
          </w:p>
        </w:tc>
        <w:tc>
          <w:tcPr>
            <w:tcW w:w="3260" w:type="dxa"/>
            <w:noWrap/>
            <w:hideMark/>
          </w:tcPr>
          <w:p w14:paraId="06F7F029" w14:textId="77777777" w:rsidR="00707878" w:rsidRPr="00707878" w:rsidRDefault="00707878" w:rsidP="00707878">
            <w:pPr>
              <w:spacing w:line="240" w:lineRule="auto"/>
              <w:ind w:firstLine="0"/>
              <w:jc w:val="center"/>
              <w:rPr>
                <w:lang w:val="en-US"/>
              </w:rPr>
            </w:pPr>
            <w:r w:rsidRPr="00707878">
              <w:rPr>
                <w:lang w:val="en-US"/>
              </w:rPr>
              <w:t>2.541119</w:t>
            </w:r>
          </w:p>
        </w:tc>
      </w:tr>
      <w:tr w:rsidR="00707878" w:rsidRPr="00707878" w14:paraId="3F44B4A5" w14:textId="77777777" w:rsidTr="00707878">
        <w:trPr>
          <w:trHeight w:val="300"/>
          <w:jc w:val="center"/>
        </w:trPr>
        <w:tc>
          <w:tcPr>
            <w:tcW w:w="2122" w:type="dxa"/>
            <w:noWrap/>
            <w:hideMark/>
          </w:tcPr>
          <w:p w14:paraId="4FA0100C" w14:textId="77777777" w:rsidR="00707878" w:rsidRPr="00707878" w:rsidRDefault="00707878" w:rsidP="00707878">
            <w:pPr>
              <w:spacing w:line="240" w:lineRule="auto"/>
              <w:ind w:firstLine="0"/>
              <w:jc w:val="center"/>
              <w:rPr>
                <w:lang w:val="en-US"/>
              </w:rPr>
            </w:pPr>
            <w:r w:rsidRPr="00707878">
              <w:rPr>
                <w:lang w:val="en-US"/>
              </w:rPr>
              <w:t>9</w:t>
            </w:r>
          </w:p>
        </w:tc>
        <w:tc>
          <w:tcPr>
            <w:tcW w:w="3260" w:type="dxa"/>
            <w:noWrap/>
            <w:hideMark/>
          </w:tcPr>
          <w:p w14:paraId="4A94887B" w14:textId="77777777" w:rsidR="00707878" w:rsidRPr="00707878" w:rsidRDefault="00707878" w:rsidP="00707878">
            <w:pPr>
              <w:spacing w:line="240" w:lineRule="auto"/>
              <w:ind w:firstLine="0"/>
              <w:jc w:val="center"/>
              <w:rPr>
                <w:lang w:val="en-US"/>
              </w:rPr>
            </w:pPr>
            <w:r w:rsidRPr="00707878">
              <w:rPr>
                <w:lang w:val="en-US"/>
              </w:rPr>
              <w:t>2.445255</w:t>
            </w:r>
          </w:p>
        </w:tc>
      </w:tr>
      <w:tr w:rsidR="00707878" w:rsidRPr="00707878" w14:paraId="3844995F" w14:textId="77777777" w:rsidTr="00707878">
        <w:trPr>
          <w:trHeight w:val="300"/>
          <w:jc w:val="center"/>
        </w:trPr>
        <w:tc>
          <w:tcPr>
            <w:tcW w:w="2122" w:type="dxa"/>
            <w:noWrap/>
            <w:hideMark/>
          </w:tcPr>
          <w:p w14:paraId="49D2EF3D" w14:textId="77777777" w:rsidR="00707878" w:rsidRPr="00707878" w:rsidRDefault="00707878" w:rsidP="00707878">
            <w:pPr>
              <w:spacing w:line="240" w:lineRule="auto"/>
              <w:ind w:firstLine="0"/>
              <w:jc w:val="center"/>
              <w:rPr>
                <w:lang w:val="en-US"/>
              </w:rPr>
            </w:pPr>
            <w:r w:rsidRPr="00707878">
              <w:rPr>
                <w:lang w:val="en-US"/>
              </w:rPr>
              <w:t>10</w:t>
            </w:r>
          </w:p>
        </w:tc>
        <w:tc>
          <w:tcPr>
            <w:tcW w:w="3260" w:type="dxa"/>
            <w:noWrap/>
            <w:hideMark/>
          </w:tcPr>
          <w:p w14:paraId="3C30D412" w14:textId="77777777" w:rsidR="00707878" w:rsidRPr="00707878" w:rsidRDefault="00707878" w:rsidP="00707878">
            <w:pPr>
              <w:spacing w:line="240" w:lineRule="auto"/>
              <w:ind w:firstLine="0"/>
              <w:jc w:val="center"/>
              <w:rPr>
                <w:lang w:val="en-US"/>
              </w:rPr>
            </w:pPr>
            <w:r w:rsidRPr="00707878">
              <w:rPr>
                <w:lang w:val="en-US"/>
              </w:rPr>
              <w:t>2.366843</w:t>
            </w:r>
          </w:p>
        </w:tc>
      </w:tr>
      <w:tr w:rsidR="00707878" w:rsidRPr="00707878" w14:paraId="18086DD4" w14:textId="77777777" w:rsidTr="00707878">
        <w:trPr>
          <w:trHeight w:val="300"/>
          <w:jc w:val="center"/>
        </w:trPr>
        <w:tc>
          <w:tcPr>
            <w:tcW w:w="2122" w:type="dxa"/>
            <w:noWrap/>
            <w:hideMark/>
          </w:tcPr>
          <w:p w14:paraId="3ABC9B64" w14:textId="77777777" w:rsidR="00707878" w:rsidRPr="00707878" w:rsidRDefault="00707878" w:rsidP="00707878">
            <w:pPr>
              <w:spacing w:line="240" w:lineRule="auto"/>
              <w:ind w:firstLine="0"/>
              <w:jc w:val="center"/>
              <w:rPr>
                <w:lang w:val="en-US"/>
              </w:rPr>
            </w:pPr>
            <w:r w:rsidRPr="00707878">
              <w:rPr>
                <w:lang w:val="en-US"/>
              </w:rPr>
              <w:t>11</w:t>
            </w:r>
          </w:p>
        </w:tc>
        <w:tc>
          <w:tcPr>
            <w:tcW w:w="3260" w:type="dxa"/>
            <w:noWrap/>
            <w:hideMark/>
          </w:tcPr>
          <w:p w14:paraId="70A228E9" w14:textId="77777777" w:rsidR="00707878" w:rsidRPr="00707878" w:rsidRDefault="00707878" w:rsidP="00707878">
            <w:pPr>
              <w:spacing w:line="240" w:lineRule="auto"/>
              <w:ind w:firstLine="0"/>
              <w:jc w:val="center"/>
              <w:rPr>
                <w:lang w:val="en-US"/>
              </w:rPr>
            </w:pPr>
            <w:r w:rsidRPr="00707878">
              <w:rPr>
                <w:lang w:val="en-US"/>
              </w:rPr>
              <w:t>2.303195</w:t>
            </w:r>
          </w:p>
        </w:tc>
      </w:tr>
      <w:tr w:rsidR="00707878" w:rsidRPr="00707878" w14:paraId="5FF30440" w14:textId="77777777" w:rsidTr="00707878">
        <w:trPr>
          <w:trHeight w:val="300"/>
          <w:jc w:val="center"/>
        </w:trPr>
        <w:tc>
          <w:tcPr>
            <w:tcW w:w="2122" w:type="dxa"/>
            <w:noWrap/>
            <w:hideMark/>
          </w:tcPr>
          <w:p w14:paraId="166A292C" w14:textId="77777777" w:rsidR="00707878" w:rsidRPr="00707878" w:rsidRDefault="00707878" w:rsidP="00707878">
            <w:pPr>
              <w:spacing w:line="240" w:lineRule="auto"/>
              <w:ind w:firstLine="0"/>
              <w:jc w:val="center"/>
              <w:rPr>
                <w:lang w:val="en-US"/>
              </w:rPr>
            </w:pPr>
            <w:r w:rsidRPr="00707878">
              <w:rPr>
                <w:lang w:val="en-US"/>
              </w:rPr>
              <w:t>12</w:t>
            </w:r>
          </w:p>
        </w:tc>
        <w:tc>
          <w:tcPr>
            <w:tcW w:w="3260" w:type="dxa"/>
            <w:noWrap/>
            <w:hideMark/>
          </w:tcPr>
          <w:p w14:paraId="01BA3795" w14:textId="77777777" w:rsidR="00707878" w:rsidRPr="00707878" w:rsidRDefault="00707878" w:rsidP="00707878">
            <w:pPr>
              <w:spacing w:line="240" w:lineRule="auto"/>
              <w:ind w:firstLine="0"/>
              <w:jc w:val="center"/>
              <w:rPr>
                <w:lang w:val="en-US"/>
              </w:rPr>
            </w:pPr>
            <w:r w:rsidRPr="00707878">
              <w:rPr>
                <w:lang w:val="en-US"/>
              </w:rPr>
              <w:t>2.254281</w:t>
            </w:r>
          </w:p>
        </w:tc>
      </w:tr>
      <w:tr w:rsidR="00707878" w:rsidRPr="00707878" w14:paraId="45B7BD63" w14:textId="77777777" w:rsidTr="00707878">
        <w:trPr>
          <w:trHeight w:val="300"/>
          <w:jc w:val="center"/>
        </w:trPr>
        <w:tc>
          <w:tcPr>
            <w:tcW w:w="2122" w:type="dxa"/>
            <w:noWrap/>
            <w:hideMark/>
          </w:tcPr>
          <w:p w14:paraId="08F70324" w14:textId="77777777" w:rsidR="00707878" w:rsidRPr="00707878" w:rsidRDefault="00707878" w:rsidP="00707878">
            <w:pPr>
              <w:spacing w:line="240" w:lineRule="auto"/>
              <w:ind w:firstLine="0"/>
              <w:jc w:val="center"/>
              <w:rPr>
                <w:lang w:val="en-US"/>
              </w:rPr>
            </w:pPr>
            <w:r w:rsidRPr="00707878">
              <w:rPr>
                <w:lang w:val="en-US"/>
              </w:rPr>
              <w:t>13</w:t>
            </w:r>
          </w:p>
        </w:tc>
        <w:tc>
          <w:tcPr>
            <w:tcW w:w="3260" w:type="dxa"/>
            <w:noWrap/>
            <w:hideMark/>
          </w:tcPr>
          <w:p w14:paraId="0740382D" w14:textId="77777777" w:rsidR="00707878" w:rsidRPr="00707878" w:rsidRDefault="00707878" w:rsidP="00707878">
            <w:pPr>
              <w:spacing w:line="240" w:lineRule="auto"/>
              <w:ind w:firstLine="0"/>
              <w:jc w:val="center"/>
              <w:rPr>
                <w:lang w:val="en-US"/>
              </w:rPr>
            </w:pPr>
            <w:r w:rsidRPr="00707878">
              <w:rPr>
                <w:lang w:val="en-US"/>
              </w:rPr>
              <w:t>2.220652</w:t>
            </w:r>
          </w:p>
        </w:tc>
      </w:tr>
      <w:tr w:rsidR="00707878" w:rsidRPr="00707878" w14:paraId="61DE030F" w14:textId="77777777" w:rsidTr="00707878">
        <w:trPr>
          <w:trHeight w:val="300"/>
          <w:jc w:val="center"/>
        </w:trPr>
        <w:tc>
          <w:tcPr>
            <w:tcW w:w="2122" w:type="dxa"/>
            <w:noWrap/>
            <w:hideMark/>
          </w:tcPr>
          <w:p w14:paraId="34E94ACB" w14:textId="77777777" w:rsidR="00707878" w:rsidRPr="00707878" w:rsidRDefault="00707878" w:rsidP="00707878">
            <w:pPr>
              <w:spacing w:line="240" w:lineRule="auto"/>
              <w:ind w:firstLine="0"/>
              <w:jc w:val="center"/>
              <w:rPr>
                <w:lang w:val="en-US"/>
              </w:rPr>
            </w:pPr>
            <w:r w:rsidRPr="00707878">
              <w:rPr>
                <w:lang w:val="en-US"/>
              </w:rPr>
              <w:t>14</w:t>
            </w:r>
          </w:p>
        </w:tc>
        <w:tc>
          <w:tcPr>
            <w:tcW w:w="3260" w:type="dxa"/>
            <w:noWrap/>
            <w:hideMark/>
          </w:tcPr>
          <w:p w14:paraId="74E720B0" w14:textId="77777777" w:rsidR="00707878" w:rsidRPr="00707878" w:rsidRDefault="00707878" w:rsidP="00707878">
            <w:pPr>
              <w:spacing w:line="240" w:lineRule="auto"/>
              <w:ind w:firstLine="0"/>
              <w:jc w:val="center"/>
              <w:rPr>
                <w:lang w:val="en-US"/>
              </w:rPr>
            </w:pPr>
            <w:r w:rsidRPr="00707878">
              <w:rPr>
                <w:lang w:val="en-US"/>
              </w:rPr>
              <w:t>2.243819</w:t>
            </w:r>
          </w:p>
        </w:tc>
      </w:tr>
      <w:tr w:rsidR="00707878" w:rsidRPr="00707878" w14:paraId="5A7867FE" w14:textId="77777777" w:rsidTr="00707878">
        <w:trPr>
          <w:trHeight w:val="300"/>
          <w:jc w:val="center"/>
        </w:trPr>
        <w:tc>
          <w:tcPr>
            <w:tcW w:w="2122" w:type="dxa"/>
            <w:noWrap/>
            <w:hideMark/>
          </w:tcPr>
          <w:p w14:paraId="1D2851DC" w14:textId="77777777" w:rsidR="00707878" w:rsidRPr="00707878" w:rsidRDefault="00707878" w:rsidP="00707878">
            <w:pPr>
              <w:spacing w:line="240" w:lineRule="auto"/>
              <w:ind w:firstLine="0"/>
              <w:jc w:val="center"/>
              <w:rPr>
                <w:lang w:val="en-US"/>
              </w:rPr>
            </w:pPr>
            <w:r w:rsidRPr="00707878">
              <w:rPr>
                <w:lang w:val="en-US"/>
              </w:rPr>
              <w:t>15</w:t>
            </w:r>
          </w:p>
        </w:tc>
        <w:tc>
          <w:tcPr>
            <w:tcW w:w="3260" w:type="dxa"/>
            <w:noWrap/>
            <w:hideMark/>
          </w:tcPr>
          <w:p w14:paraId="2ED91E9E" w14:textId="77777777" w:rsidR="00707878" w:rsidRPr="00707878" w:rsidRDefault="00707878" w:rsidP="00707878">
            <w:pPr>
              <w:spacing w:line="240" w:lineRule="auto"/>
              <w:ind w:firstLine="0"/>
              <w:jc w:val="center"/>
              <w:rPr>
                <w:lang w:val="en-US"/>
              </w:rPr>
            </w:pPr>
            <w:r w:rsidRPr="00707878">
              <w:rPr>
                <w:lang w:val="en-US"/>
              </w:rPr>
              <w:t>2.254653</w:t>
            </w:r>
          </w:p>
        </w:tc>
      </w:tr>
      <w:tr w:rsidR="00707878" w:rsidRPr="00707878" w14:paraId="2E481799" w14:textId="77777777" w:rsidTr="00707878">
        <w:trPr>
          <w:trHeight w:val="300"/>
          <w:jc w:val="center"/>
        </w:trPr>
        <w:tc>
          <w:tcPr>
            <w:tcW w:w="2122" w:type="dxa"/>
            <w:noWrap/>
            <w:hideMark/>
          </w:tcPr>
          <w:p w14:paraId="583A57E2" w14:textId="77777777" w:rsidR="00707878" w:rsidRPr="00707878" w:rsidRDefault="00707878" w:rsidP="00707878">
            <w:pPr>
              <w:spacing w:line="240" w:lineRule="auto"/>
              <w:ind w:firstLine="0"/>
              <w:jc w:val="center"/>
              <w:rPr>
                <w:lang w:val="en-US"/>
              </w:rPr>
            </w:pPr>
            <w:r w:rsidRPr="00707878">
              <w:rPr>
                <w:lang w:val="en-US"/>
              </w:rPr>
              <w:t>16</w:t>
            </w:r>
          </w:p>
        </w:tc>
        <w:tc>
          <w:tcPr>
            <w:tcW w:w="3260" w:type="dxa"/>
            <w:noWrap/>
            <w:hideMark/>
          </w:tcPr>
          <w:p w14:paraId="514A666C" w14:textId="77777777" w:rsidR="00707878" w:rsidRPr="00707878" w:rsidRDefault="00707878" w:rsidP="00707878">
            <w:pPr>
              <w:spacing w:line="240" w:lineRule="auto"/>
              <w:ind w:firstLine="0"/>
              <w:jc w:val="center"/>
              <w:rPr>
                <w:lang w:val="en-US"/>
              </w:rPr>
            </w:pPr>
            <w:r w:rsidRPr="00707878">
              <w:rPr>
                <w:lang w:val="en-US"/>
              </w:rPr>
              <w:t>2.261295</w:t>
            </w:r>
          </w:p>
        </w:tc>
      </w:tr>
      <w:tr w:rsidR="00707878" w:rsidRPr="00707878" w14:paraId="0F5BB865" w14:textId="77777777" w:rsidTr="00707878">
        <w:trPr>
          <w:trHeight w:val="300"/>
          <w:jc w:val="center"/>
        </w:trPr>
        <w:tc>
          <w:tcPr>
            <w:tcW w:w="2122" w:type="dxa"/>
            <w:noWrap/>
            <w:hideMark/>
          </w:tcPr>
          <w:p w14:paraId="1EBE24AC" w14:textId="77777777" w:rsidR="00707878" w:rsidRPr="00707878" w:rsidRDefault="00707878" w:rsidP="00707878">
            <w:pPr>
              <w:spacing w:line="240" w:lineRule="auto"/>
              <w:ind w:firstLine="0"/>
              <w:jc w:val="center"/>
              <w:rPr>
                <w:lang w:val="en-US"/>
              </w:rPr>
            </w:pPr>
            <w:r w:rsidRPr="00707878">
              <w:rPr>
                <w:lang w:val="en-US"/>
              </w:rPr>
              <w:t>17</w:t>
            </w:r>
          </w:p>
        </w:tc>
        <w:tc>
          <w:tcPr>
            <w:tcW w:w="3260" w:type="dxa"/>
            <w:noWrap/>
            <w:hideMark/>
          </w:tcPr>
          <w:p w14:paraId="7F919706" w14:textId="77777777" w:rsidR="00707878" w:rsidRPr="00707878" w:rsidRDefault="00707878" w:rsidP="00707878">
            <w:pPr>
              <w:spacing w:line="240" w:lineRule="auto"/>
              <w:ind w:firstLine="0"/>
              <w:jc w:val="center"/>
              <w:rPr>
                <w:lang w:val="en-US"/>
              </w:rPr>
            </w:pPr>
            <w:r w:rsidRPr="00707878">
              <w:rPr>
                <w:lang w:val="en-US"/>
              </w:rPr>
              <w:t>2.266364</w:t>
            </w:r>
          </w:p>
        </w:tc>
      </w:tr>
      <w:tr w:rsidR="00707878" w:rsidRPr="00707878" w14:paraId="30536413" w14:textId="77777777" w:rsidTr="00707878">
        <w:trPr>
          <w:trHeight w:val="300"/>
          <w:jc w:val="center"/>
        </w:trPr>
        <w:tc>
          <w:tcPr>
            <w:tcW w:w="2122" w:type="dxa"/>
            <w:noWrap/>
            <w:hideMark/>
          </w:tcPr>
          <w:p w14:paraId="4CBDADDE" w14:textId="77777777" w:rsidR="00707878" w:rsidRPr="00707878" w:rsidRDefault="00707878" w:rsidP="00707878">
            <w:pPr>
              <w:spacing w:line="240" w:lineRule="auto"/>
              <w:ind w:firstLine="0"/>
              <w:jc w:val="center"/>
              <w:rPr>
                <w:lang w:val="en-US"/>
              </w:rPr>
            </w:pPr>
            <w:r w:rsidRPr="00707878">
              <w:rPr>
                <w:lang w:val="en-US"/>
              </w:rPr>
              <w:t>18</w:t>
            </w:r>
          </w:p>
        </w:tc>
        <w:tc>
          <w:tcPr>
            <w:tcW w:w="3260" w:type="dxa"/>
            <w:noWrap/>
            <w:hideMark/>
          </w:tcPr>
          <w:p w14:paraId="23C3F9D0" w14:textId="77777777" w:rsidR="00707878" w:rsidRPr="00707878" w:rsidRDefault="00707878" w:rsidP="00707878">
            <w:pPr>
              <w:spacing w:line="240" w:lineRule="auto"/>
              <w:ind w:firstLine="0"/>
              <w:jc w:val="center"/>
              <w:rPr>
                <w:lang w:val="en-US"/>
              </w:rPr>
            </w:pPr>
            <w:r w:rsidRPr="00707878">
              <w:rPr>
                <w:lang w:val="en-US"/>
              </w:rPr>
              <w:t>2.270753</w:t>
            </w:r>
          </w:p>
        </w:tc>
      </w:tr>
      <w:tr w:rsidR="00707878" w:rsidRPr="00707878" w14:paraId="5F7EBB30" w14:textId="77777777" w:rsidTr="00707878">
        <w:trPr>
          <w:trHeight w:val="300"/>
          <w:jc w:val="center"/>
        </w:trPr>
        <w:tc>
          <w:tcPr>
            <w:tcW w:w="2122" w:type="dxa"/>
            <w:noWrap/>
            <w:hideMark/>
          </w:tcPr>
          <w:p w14:paraId="0A32F9A2" w14:textId="77777777" w:rsidR="00707878" w:rsidRPr="00707878" w:rsidRDefault="00707878" w:rsidP="00707878">
            <w:pPr>
              <w:spacing w:line="240" w:lineRule="auto"/>
              <w:ind w:firstLine="0"/>
              <w:jc w:val="center"/>
              <w:rPr>
                <w:lang w:val="en-US"/>
              </w:rPr>
            </w:pPr>
            <w:r w:rsidRPr="00707878">
              <w:rPr>
                <w:lang w:val="en-US"/>
              </w:rPr>
              <w:t>19</w:t>
            </w:r>
          </w:p>
        </w:tc>
        <w:tc>
          <w:tcPr>
            <w:tcW w:w="3260" w:type="dxa"/>
            <w:noWrap/>
            <w:hideMark/>
          </w:tcPr>
          <w:p w14:paraId="609F6F53" w14:textId="77777777" w:rsidR="00707878" w:rsidRPr="00707878" w:rsidRDefault="00707878" w:rsidP="00707878">
            <w:pPr>
              <w:spacing w:line="240" w:lineRule="auto"/>
              <w:ind w:firstLine="0"/>
              <w:jc w:val="center"/>
              <w:rPr>
                <w:lang w:val="en-US"/>
              </w:rPr>
            </w:pPr>
            <w:r w:rsidRPr="00707878">
              <w:rPr>
                <w:lang w:val="en-US"/>
              </w:rPr>
              <w:t>2.274603</w:t>
            </w:r>
          </w:p>
        </w:tc>
      </w:tr>
      <w:tr w:rsidR="00707878" w:rsidRPr="00707878" w14:paraId="1CC8FE47" w14:textId="77777777" w:rsidTr="00707878">
        <w:trPr>
          <w:trHeight w:val="300"/>
          <w:jc w:val="center"/>
        </w:trPr>
        <w:tc>
          <w:tcPr>
            <w:tcW w:w="2122" w:type="dxa"/>
            <w:noWrap/>
            <w:hideMark/>
          </w:tcPr>
          <w:p w14:paraId="1BDFF9D4" w14:textId="77777777" w:rsidR="00707878" w:rsidRPr="00707878" w:rsidRDefault="00707878" w:rsidP="00707878">
            <w:pPr>
              <w:spacing w:line="240" w:lineRule="auto"/>
              <w:ind w:firstLine="0"/>
              <w:jc w:val="center"/>
              <w:rPr>
                <w:lang w:val="en-US"/>
              </w:rPr>
            </w:pPr>
            <w:r w:rsidRPr="00707878">
              <w:rPr>
                <w:lang w:val="en-US"/>
              </w:rPr>
              <w:t>20</w:t>
            </w:r>
          </w:p>
        </w:tc>
        <w:tc>
          <w:tcPr>
            <w:tcW w:w="3260" w:type="dxa"/>
            <w:noWrap/>
            <w:hideMark/>
          </w:tcPr>
          <w:p w14:paraId="7A80083D" w14:textId="77777777" w:rsidR="00707878" w:rsidRPr="00707878" w:rsidRDefault="00707878" w:rsidP="00707878">
            <w:pPr>
              <w:spacing w:line="240" w:lineRule="auto"/>
              <w:ind w:firstLine="0"/>
              <w:jc w:val="center"/>
              <w:rPr>
                <w:lang w:val="en-US"/>
              </w:rPr>
            </w:pPr>
            <w:r w:rsidRPr="00707878">
              <w:rPr>
                <w:lang w:val="en-US"/>
              </w:rPr>
              <w:t>2.278122</w:t>
            </w:r>
          </w:p>
        </w:tc>
      </w:tr>
      <w:tr w:rsidR="00707878" w:rsidRPr="00707878" w14:paraId="06A5A531" w14:textId="77777777" w:rsidTr="00707878">
        <w:trPr>
          <w:trHeight w:val="300"/>
          <w:jc w:val="center"/>
        </w:trPr>
        <w:tc>
          <w:tcPr>
            <w:tcW w:w="2122" w:type="dxa"/>
            <w:noWrap/>
            <w:hideMark/>
          </w:tcPr>
          <w:p w14:paraId="65CFB5D8" w14:textId="77777777" w:rsidR="00707878" w:rsidRPr="00707878" w:rsidRDefault="00707878" w:rsidP="00707878">
            <w:pPr>
              <w:spacing w:line="240" w:lineRule="auto"/>
              <w:ind w:firstLine="0"/>
              <w:jc w:val="center"/>
              <w:rPr>
                <w:lang w:val="en-US"/>
              </w:rPr>
            </w:pPr>
            <w:r w:rsidRPr="00707878">
              <w:rPr>
                <w:lang w:val="en-US"/>
              </w:rPr>
              <w:t>21</w:t>
            </w:r>
          </w:p>
        </w:tc>
        <w:tc>
          <w:tcPr>
            <w:tcW w:w="3260" w:type="dxa"/>
            <w:noWrap/>
            <w:hideMark/>
          </w:tcPr>
          <w:p w14:paraId="6C800751" w14:textId="77777777" w:rsidR="00707878" w:rsidRPr="00707878" w:rsidRDefault="00707878" w:rsidP="00707878">
            <w:pPr>
              <w:spacing w:line="240" w:lineRule="auto"/>
              <w:ind w:firstLine="0"/>
              <w:jc w:val="center"/>
              <w:rPr>
                <w:lang w:val="en-US"/>
              </w:rPr>
            </w:pPr>
            <w:r w:rsidRPr="00707878">
              <w:rPr>
                <w:lang w:val="en-US"/>
              </w:rPr>
              <w:t>2.281493</w:t>
            </w:r>
          </w:p>
        </w:tc>
      </w:tr>
      <w:tr w:rsidR="00707878" w:rsidRPr="00707878" w14:paraId="31415D17" w14:textId="77777777" w:rsidTr="00707878">
        <w:trPr>
          <w:trHeight w:val="300"/>
          <w:jc w:val="center"/>
        </w:trPr>
        <w:tc>
          <w:tcPr>
            <w:tcW w:w="2122" w:type="dxa"/>
            <w:noWrap/>
            <w:hideMark/>
          </w:tcPr>
          <w:p w14:paraId="1BBEF888" w14:textId="77777777" w:rsidR="00707878" w:rsidRPr="00707878" w:rsidRDefault="00707878" w:rsidP="00707878">
            <w:pPr>
              <w:spacing w:line="240" w:lineRule="auto"/>
              <w:ind w:firstLine="0"/>
              <w:jc w:val="center"/>
              <w:rPr>
                <w:lang w:val="en-US"/>
              </w:rPr>
            </w:pPr>
            <w:r w:rsidRPr="00707878">
              <w:rPr>
                <w:lang w:val="en-US"/>
              </w:rPr>
              <w:t>22</w:t>
            </w:r>
          </w:p>
        </w:tc>
        <w:tc>
          <w:tcPr>
            <w:tcW w:w="3260" w:type="dxa"/>
            <w:noWrap/>
            <w:hideMark/>
          </w:tcPr>
          <w:p w14:paraId="085147EF" w14:textId="77777777" w:rsidR="00707878" w:rsidRPr="00707878" w:rsidRDefault="00707878" w:rsidP="00707878">
            <w:pPr>
              <w:spacing w:line="240" w:lineRule="auto"/>
              <w:ind w:firstLine="0"/>
              <w:jc w:val="center"/>
              <w:rPr>
                <w:lang w:val="en-US"/>
              </w:rPr>
            </w:pPr>
            <w:r w:rsidRPr="00707878">
              <w:rPr>
                <w:lang w:val="en-US"/>
              </w:rPr>
              <w:t>2.28475</w:t>
            </w:r>
          </w:p>
        </w:tc>
      </w:tr>
      <w:tr w:rsidR="00707878" w:rsidRPr="00707878" w14:paraId="29B8956A" w14:textId="77777777" w:rsidTr="00707878">
        <w:trPr>
          <w:trHeight w:val="300"/>
          <w:jc w:val="center"/>
        </w:trPr>
        <w:tc>
          <w:tcPr>
            <w:tcW w:w="2122" w:type="dxa"/>
            <w:noWrap/>
            <w:hideMark/>
          </w:tcPr>
          <w:p w14:paraId="339CF6DA" w14:textId="77777777" w:rsidR="00707878" w:rsidRPr="00707878" w:rsidRDefault="00707878" w:rsidP="00707878">
            <w:pPr>
              <w:spacing w:line="240" w:lineRule="auto"/>
              <w:ind w:firstLine="0"/>
              <w:jc w:val="center"/>
              <w:rPr>
                <w:lang w:val="en-US"/>
              </w:rPr>
            </w:pPr>
            <w:r w:rsidRPr="00707878">
              <w:rPr>
                <w:lang w:val="en-US"/>
              </w:rPr>
              <w:t>23</w:t>
            </w:r>
          </w:p>
        </w:tc>
        <w:tc>
          <w:tcPr>
            <w:tcW w:w="3260" w:type="dxa"/>
            <w:noWrap/>
            <w:hideMark/>
          </w:tcPr>
          <w:p w14:paraId="27B6C537" w14:textId="77777777" w:rsidR="00707878" w:rsidRPr="00707878" w:rsidRDefault="00707878" w:rsidP="00707878">
            <w:pPr>
              <w:spacing w:line="240" w:lineRule="auto"/>
              <w:ind w:firstLine="0"/>
              <w:jc w:val="center"/>
              <w:rPr>
                <w:lang w:val="en-US"/>
              </w:rPr>
            </w:pPr>
            <w:r w:rsidRPr="00707878">
              <w:rPr>
                <w:lang w:val="en-US"/>
              </w:rPr>
              <w:t>2.28801</w:t>
            </w:r>
          </w:p>
        </w:tc>
      </w:tr>
      <w:tr w:rsidR="00707878" w:rsidRPr="00707878" w14:paraId="118D7330" w14:textId="77777777" w:rsidTr="00707878">
        <w:trPr>
          <w:trHeight w:val="300"/>
          <w:jc w:val="center"/>
        </w:trPr>
        <w:tc>
          <w:tcPr>
            <w:tcW w:w="2122" w:type="dxa"/>
            <w:noWrap/>
            <w:hideMark/>
          </w:tcPr>
          <w:p w14:paraId="2948D375" w14:textId="77777777" w:rsidR="00707878" w:rsidRPr="00707878" w:rsidRDefault="00707878" w:rsidP="00707878">
            <w:pPr>
              <w:spacing w:line="240" w:lineRule="auto"/>
              <w:ind w:firstLine="0"/>
              <w:jc w:val="center"/>
              <w:rPr>
                <w:lang w:val="en-US"/>
              </w:rPr>
            </w:pPr>
            <w:r w:rsidRPr="00707878">
              <w:rPr>
                <w:lang w:val="en-US"/>
              </w:rPr>
              <w:t>24</w:t>
            </w:r>
          </w:p>
        </w:tc>
        <w:tc>
          <w:tcPr>
            <w:tcW w:w="3260" w:type="dxa"/>
            <w:noWrap/>
            <w:hideMark/>
          </w:tcPr>
          <w:p w14:paraId="69E50213" w14:textId="77777777" w:rsidR="00707878" w:rsidRPr="00707878" w:rsidRDefault="00707878" w:rsidP="00707878">
            <w:pPr>
              <w:spacing w:line="240" w:lineRule="auto"/>
              <w:ind w:firstLine="0"/>
              <w:jc w:val="center"/>
              <w:rPr>
                <w:lang w:val="en-US"/>
              </w:rPr>
            </w:pPr>
            <w:r w:rsidRPr="00707878">
              <w:rPr>
                <w:lang w:val="en-US"/>
              </w:rPr>
              <w:t>2.291238</w:t>
            </w:r>
          </w:p>
        </w:tc>
      </w:tr>
      <w:tr w:rsidR="00707878" w:rsidRPr="00707878" w14:paraId="4F21BCD3" w14:textId="77777777" w:rsidTr="00707878">
        <w:trPr>
          <w:trHeight w:val="300"/>
          <w:jc w:val="center"/>
        </w:trPr>
        <w:tc>
          <w:tcPr>
            <w:tcW w:w="2122" w:type="dxa"/>
            <w:noWrap/>
            <w:hideMark/>
          </w:tcPr>
          <w:p w14:paraId="7A88BB92" w14:textId="77777777" w:rsidR="00707878" w:rsidRPr="00707878" w:rsidRDefault="00707878" w:rsidP="00707878">
            <w:pPr>
              <w:spacing w:line="240" w:lineRule="auto"/>
              <w:ind w:firstLine="0"/>
              <w:jc w:val="center"/>
              <w:rPr>
                <w:lang w:val="en-US"/>
              </w:rPr>
            </w:pPr>
            <w:r w:rsidRPr="00707878">
              <w:rPr>
                <w:lang w:val="en-US"/>
              </w:rPr>
              <w:t>25</w:t>
            </w:r>
          </w:p>
        </w:tc>
        <w:tc>
          <w:tcPr>
            <w:tcW w:w="3260" w:type="dxa"/>
            <w:noWrap/>
            <w:hideMark/>
          </w:tcPr>
          <w:p w14:paraId="6A90C6A6" w14:textId="77777777" w:rsidR="00707878" w:rsidRPr="00707878" w:rsidRDefault="00707878" w:rsidP="00707878">
            <w:pPr>
              <w:spacing w:line="240" w:lineRule="auto"/>
              <w:ind w:firstLine="0"/>
              <w:jc w:val="center"/>
              <w:rPr>
                <w:lang w:val="en-US"/>
              </w:rPr>
            </w:pPr>
            <w:r w:rsidRPr="00707878">
              <w:rPr>
                <w:lang w:val="en-US"/>
              </w:rPr>
              <w:t>2.294342</w:t>
            </w:r>
          </w:p>
        </w:tc>
      </w:tr>
      <w:tr w:rsidR="00707878" w:rsidRPr="00707878" w14:paraId="0DF7E44A" w14:textId="77777777" w:rsidTr="00707878">
        <w:trPr>
          <w:trHeight w:val="300"/>
          <w:jc w:val="center"/>
        </w:trPr>
        <w:tc>
          <w:tcPr>
            <w:tcW w:w="2122" w:type="dxa"/>
            <w:noWrap/>
            <w:hideMark/>
          </w:tcPr>
          <w:p w14:paraId="5C55C16B" w14:textId="77777777" w:rsidR="00707878" w:rsidRPr="00707878" w:rsidRDefault="00707878" w:rsidP="00707878">
            <w:pPr>
              <w:spacing w:line="240" w:lineRule="auto"/>
              <w:ind w:firstLine="0"/>
              <w:jc w:val="center"/>
              <w:rPr>
                <w:lang w:val="en-US"/>
              </w:rPr>
            </w:pPr>
            <w:r w:rsidRPr="00707878">
              <w:rPr>
                <w:lang w:val="en-US"/>
              </w:rPr>
              <w:t>26</w:t>
            </w:r>
          </w:p>
        </w:tc>
        <w:tc>
          <w:tcPr>
            <w:tcW w:w="3260" w:type="dxa"/>
            <w:noWrap/>
            <w:hideMark/>
          </w:tcPr>
          <w:p w14:paraId="60EA0CBF" w14:textId="77777777" w:rsidR="00707878" w:rsidRPr="00707878" w:rsidRDefault="00707878" w:rsidP="00707878">
            <w:pPr>
              <w:spacing w:line="240" w:lineRule="auto"/>
              <w:ind w:firstLine="0"/>
              <w:jc w:val="center"/>
              <w:rPr>
                <w:lang w:val="en-US"/>
              </w:rPr>
            </w:pPr>
            <w:r w:rsidRPr="00707878">
              <w:rPr>
                <w:lang w:val="en-US"/>
              </w:rPr>
              <w:t>2.297501</w:t>
            </w:r>
          </w:p>
        </w:tc>
      </w:tr>
      <w:tr w:rsidR="00707878" w:rsidRPr="00707878" w14:paraId="4852AEA4" w14:textId="77777777" w:rsidTr="00707878">
        <w:trPr>
          <w:trHeight w:val="300"/>
          <w:jc w:val="center"/>
        </w:trPr>
        <w:tc>
          <w:tcPr>
            <w:tcW w:w="2122" w:type="dxa"/>
            <w:noWrap/>
            <w:hideMark/>
          </w:tcPr>
          <w:p w14:paraId="79FDA9BF" w14:textId="77777777" w:rsidR="00707878" w:rsidRPr="00707878" w:rsidRDefault="00707878" w:rsidP="00707878">
            <w:pPr>
              <w:spacing w:line="240" w:lineRule="auto"/>
              <w:ind w:firstLine="0"/>
              <w:jc w:val="center"/>
              <w:rPr>
                <w:lang w:val="en-US"/>
              </w:rPr>
            </w:pPr>
            <w:r w:rsidRPr="00707878">
              <w:rPr>
                <w:lang w:val="en-US"/>
              </w:rPr>
              <w:t>27</w:t>
            </w:r>
          </w:p>
        </w:tc>
        <w:tc>
          <w:tcPr>
            <w:tcW w:w="3260" w:type="dxa"/>
            <w:noWrap/>
            <w:hideMark/>
          </w:tcPr>
          <w:p w14:paraId="1365ED70" w14:textId="77777777" w:rsidR="00707878" w:rsidRPr="00707878" w:rsidRDefault="00707878" w:rsidP="00707878">
            <w:pPr>
              <w:spacing w:line="240" w:lineRule="auto"/>
              <w:ind w:firstLine="0"/>
              <w:jc w:val="center"/>
              <w:rPr>
                <w:lang w:val="en-US"/>
              </w:rPr>
            </w:pPr>
            <w:r w:rsidRPr="00707878">
              <w:rPr>
                <w:lang w:val="en-US"/>
              </w:rPr>
              <w:t>2.300579</w:t>
            </w:r>
          </w:p>
        </w:tc>
      </w:tr>
      <w:tr w:rsidR="00707878" w:rsidRPr="00707878" w14:paraId="0F4B7A5D" w14:textId="77777777" w:rsidTr="00707878">
        <w:trPr>
          <w:trHeight w:val="300"/>
          <w:jc w:val="center"/>
        </w:trPr>
        <w:tc>
          <w:tcPr>
            <w:tcW w:w="2122" w:type="dxa"/>
            <w:noWrap/>
            <w:hideMark/>
          </w:tcPr>
          <w:p w14:paraId="270291F6" w14:textId="77777777" w:rsidR="00707878" w:rsidRPr="00707878" w:rsidRDefault="00707878" w:rsidP="00707878">
            <w:pPr>
              <w:spacing w:line="240" w:lineRule="auto"/>
              <w:ind w:firstLine="0"/>
              <w:jc w:val="center"/>
              <w:rPr>
                <w:lang w:val="en-US"/>
              </w:rPr>
            </w:pPr>
            <w:r w:rsidRPr="00707878">
              <w:rPr>
                <w:lang w:val="en-US"/>
              </w:rPr>
              <w:t>28</w:t>
            </w:r>
          </w:p>
        </w:tc>
        <w:tc>
          <w:tcPr>
            <w:tcW w:w="3260" w:type="dxa"/>
            <w:noWrap/>
            <w:hideMark/>
          </w:tcPr>
          <w:p w14:paraId="28A64FAD" w14:textId="77777777" w:rsidR="00707878" w:rsidRPr="00707878" w:rsidRDefault="00707878" w:rsidP="00707878">
            <w:pPr>
              <w:spacing w:line="240" w:lineRule="auto"/>
              <w:ind w:firstLine="0"/>
              <w:jc w:val="center"/>
              <w:rPr>
                <w:lang w:val="en-US"/>
              </w:rPr>
            </w:pPr>
            <w:r w:rsidRPr="00707878">
              <w:rPr>
                <w:lang w:val="en-US"/>
              </w:rPr>
              <w:t>2.303609</w:t>
            </w:r>
          </w:p>
        </w:tc>
      </w:tr>
      <w:tr w:rsidR="00707878" w:rsidRPr="00707878" w14:paraId="4376EDDD" w14:textId="77777777" w:rsidTr="00707878">
        <w:trPr>
          <w:trHeight w:val="300"/>
          <w:jc w:val="center"/>
        </w:trPr>
        <w:tc>
          <w:tcPr>
            <w:tcW w:w="2122" w:type="dxa"/>
            <w:noWrap/>
            <w:hideMark/>
          </w:tcPr>
          <w:p w14:paraId="5DA20572" w14:textId="77777777" w:rsidR="00707878" w:rsidRPr="00707878" w:rsidRDefault="00707878" w:rsidP="00707878">
            <w:pPr>
              <w:spacing w:line="240" w:lineRule="auto"/>
              <w:ind w:firstLine="0"/>
              <w:jc w:val="center"/>
              <w:rPr>
                <w:lang w:val="en-US"/>
              </w:rPr>
            </w:pPr>
            <w:r w:rsidRPr="00707878">
              <w:rPr>
                <w:lang w:val="en-US"/>
              </w:rPr>
              <w:t>29</w:t>
            </w:r>
          </w:p>
        </w:tc>
        <w:tc>
          <w:tcPr>
            <w:tcW w:w="3260" w:type="dxa"/>
            <w:noWrap/>
            <w:hideMark/>
          </w:tcPr>
          <w:p w14:paraId="2BB7C114" w14:textId="77777777" w:rsidR="00707878" w:rsidRPr="00707878" w:rsidRDefault="00707878" w:rsidP="00707878">
            <w:pPr>
              <w:spacing w:line="240" w:lineRule="auto"/>
              <w:ind w:firstLine="0"/>
              <w:jc w:val="center"/>
              <w:rPr>
                <w:lang w:val="en-US"/>
              </w:rPr>
            </w:pPr>
            <w:r w:rsidRPr="00707878">
              <w:rPr>
                <w:lang w:val="en-US"/>
              </w:rPr>
              <w:t>2.306469</w:t>
            </w:r>
          </w:p>
        </w:tc>
      </w:tr>
      <w:tr w:rsidR="00707878" w:rsidRPr="00707878" w14:paraId="493BABD3" w14:textId="77777777" w:rsidTr="00707878">
        <w:trPr>
          <w:trHeight w:val="300"/>
          <w:jc w:val="center"/>
        </w:trPr>
        <w:tc>
          <w:tcPr>
            <w:tcW w:w="2122" w:type="dxa"/>
            <w:noWrap/>
            <w:hideMark/>
          </w:tcPr>
          <w:p w14:paraId="449009B5" w14:textId="77777777" w:rsidR="00707878" w:rsidRPr="00707878" w:rsidRDefault="00707878" w:rsidP="00707878">
            <w:pPr>
              <w:spacing w:line="240" w:lineRule="auto"/>
              <w:ind w:firstLine="0"/>
              <w:jc w:val="center"/>
              <w:rPr>
                <w:lang w:val="en-US"/>
              </w:rPr>
            </w:pPr>
            <w:r w:rsidRPr="00707878">
              <w:rPr>
                <w:lang w:val="en-US"/>
              </w:rPr>
              <w:t>30</w:t>
            </w:r>
          </w:p>
        </w:tc>
        <w:tc>
          <w:tcPr>
            <w:tcW w:w="3260" w:type="dxa"/>
            <w:noWrap/>
            <w:hideMark/>
          </w:tcPr>
          <w:p w14:paraId="64D13719" w14:textId="77777777" w:rsidR="00707878" w:rsidRPr="00707878" w:rsidRDefault="00707878" w:rsidP="00707878">
            <w:pPr>
              <w:spacing w:line="240" w:lineRule="auto"/>
              <w:ind w:firstLine="0"/>
              <w:jc w:val="center"/>
              <w:rPr>
                <w:lang w:val="en-US"/>
              </w:rPr>
            </w:pPr>
            <w:r w:rsidRPr="00707878">
              <w:rPr>
                <w:lang w:val="en-US"/>
              </w:rPr>
              <w:t>2.309298</w:t>
            </w:r>
          </w:p>
        </w:tc>
      </w:tr>
    </w:tbl>
    <w:p w14:paraId="7A925672" w14:textId="52F3CB6F" w:rsidR="00707878" w:rsidRPr="00707878" w:rsidRDefault="00707878" w:rsidP="00707878">
      <w:pPr>
        <w:tabs>
          <w:tab w:val="left" w:pos="4330"/>
        </w:tabs>
        <w:rPr>
          <w:lang w:val="en-US"/>
        </w:rPr>
      </w:pPr>
    </w:p>
    <w:sectPr w:rsidR="00707878" w:rsidRPr="00707878" w:rsidSect="00C06DFD">
      <w:footerReference w:type="default" r:id="rId293"/>
      <w:type w:val="continuous"/>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B04B60" w14:textId="77777777" w:rsidR="00536556" w:rsidRDefault="00536556" w:rsidP="00D74093">
      <w:pPr>
        <w:spacing w:line="240" w:lineRule="auto"/>
      </w:pPr>
      <w:r>
        <w:separator/>
      </w:r>
    </w:p>
  </w:endnote>
  <w:endnote w:type="continuationSeparator" w:id="0">
    <w:p w14:paraId="4E4E2428" w14:textId="77777777" w:rsidR="00536556" w:rsidRDefault="00536556" w:rsidP="00D7409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CC"/>
    <w:family w:val="swiss"/>
    <w:pitch w:val="variable"/>
    <w:sig w:usb0="E4002EFF" w:usb1="C000247B" w:usb2="00000009" w:usb3="00000000" w:csb0="000001FF" w:csb1="00000000"/>
  </w:font>
  <w:font w:name="Arial MT">
    <w:altName w:val="Arial"/>
    <w:charset w:val="01"/>
    <w:family w:val="swiss"/>
    <w:pitch w:val="variable"/>
  </w:font>
  <w:font w:name="Arial">
    <w:panose1 w:val="020B0604020202020204"/>
    <w:charset w:val="CC"/>
    <w:family w:val="swiss"/>
    <w:pitch w:val="variable"/>
    <w:sig w:usb0="E0002EFF" w:usb1="C000785B" w:usb2="00000009" w:usb3="00000000" w:csb0="000001FF" w:csb1="00000000"/>
  </w:font>
  <w:font w:name="Segoe Script">
    <w:panose1 w:val="030B0504020000000003"/>
    <w:charset w:val="CC"/>
    <w:family w:val="script"/>
    <w:pitch w:val="variable"/>
    <w:sig w:usb0="0000028F"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TimesNewRoman,Italic">
    <w:altName w:val="Yu Gothic"/>
    <w:panose1 w:val="00000000000000000000"/>
    <w:charset w:val="80"/>
    <w:family w:val="auto"/>
    <w:notTrueType/>
    <w:pitch w:val="default"/>
    <w:sig w:usb0="00000003" w:usb1="08070000" w:usb2="00000010" w:usb3="00000000" w:csb0="00020001" w:csb1="00000000"/>
  </w:font>
  <w:font w:name="SimSun">
    <w:altName w:val="宋体"/>
    <w:panose1 w:val="02010600030101010101"/>
    <w:charset w:val="86"/>
    <w:family w:val="auto"/>
    <w:pitch w:val="variable"/>
    <w:sig w:usb0="00000003" w:usb1="288F0000" w:usb2="00000016" w:usb3="00000000" w:csb0="00040001" w:csb1="00000000"/>
  </w:font>
  <w:font w:name="UniversalMath1BT">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9217118"/>
      <w:docPartObj>
        <w:docPartGallery w:val="Page Numbers (Bottom of Page)"/>
        <w:docPartUnique/>
      </w:docPartObj>
    </w:sdtPr>
    <w:sdtEndPr>
      <w:rPr>
        <w:noProof/>
      </w:rPr>
    </w:sdtEndPr>
    <w:sdtContent>
      <w:p w14:paraId="61975BC5" w14:textId="496471EC" w:rsidR="00D74093" w:rsidRDefault="00D74093" w:rsidP="00D74093">
        <w:pPr>
          <w:pStyle w:val="a5"/>
          <w:ind w:firstLine="0"/>
          <w:jc w:val="center"/>
        </w:pPr>
        <w:r>
          <w:fldChar w:fldCharType="begin"/>
        </w:r>
        <w:r>
          <w:instrText xml:space="preserve"> PAGE   \* MERGEFORMAT </w:instrText>
        </w:r>
        <w:r>
          <w:fldChar w:fldCharType="separate"/>
        </w:r>
        <w:r>
          <w:rPr>
            <w:noProof/>
          </w:rPr>
          <w:t>2</w:t>
        </w:r>
        <w:r>
          <w:rPr>
            <w:noProof/>
          </w:rPr>
          <w:fldChar w:fldCharType="end"/>
        </w:r>
      </w:p>
    </w:sdtContent>
  </w:sdt>
  <w:p w14:paraId="76B9A8F8" w14:textId="77777777" w:rsidR="00D74093" w:rsidRDefault="00D7409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935AB7" w14:textId="77777777" w:rsidR="00536556" w:rsidRDefault="00536556" w:rsidP="00D74093">
      <w:pPr>
        <w:spacing w:line="240" w:lineRule="auto"/>
      </w:pPr>
      <w:r>
        <w:separator/>
      </w:r>
    </w:p>
  </w:footnote>
  <w:footnote w:type="continuationSeparator" w:id="0">
    <w:p w14:paraId="3B07DC7F" w14:textId="77777777" w:rsidR="00536556" w:rsidRDefault="00536556" w:rsidP="00D7409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72866"/>
    <w:multiLevelType w:val="hybridMultilevel"/>
    <w:tmpl w:val="0C961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2B0B57"/>
    <w:multiLevelType w:val="hybridMultilevel"/>
    <w:tmpl w:val="8A58DE7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9065636"/>
    <w:multiLevelType w:val="multilevel"/>
    <w:tmpl w:val="5B842DD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BF093C"/>
    <w:multiLevelType w:val="hybridMultilevel"/>
    <w:tmpl w:val="EAEE7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1A425B"/>
    <w:multiLevelType w:val="hybridMultilevel"/>
    <w:tmpl w:val="B4D84D0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 w15:restartNumberingAfterBreak="0">
    <w:nsid w:val="0AC602A5"/>
    <w:multiLevelType w:val="multilevel"/>
    <w:tmpl w:val="C3E6C10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B893D20"/>
    <w:multiLevelType w:val="multilevel"/>
    <w:tmpl w:val="5B842DD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F653D1B"/>
    <w:multiLevelType w:val="hybridMultilevel"/>
    <w:tmpl w:val="DBF4A11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1E9518B"/>
    <w:multiLevelType w:val="hybridMultilevel"/>
    <w:tmpl w:val="EEE2FAC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12DF3AAC"/>
    <w:multiLevelType w:val="hybridMultilevel"/>
    <w:tmpl w:val="1C4AB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F51D9F"/>
    <w:multiLevelType w:val="hybridMultilevel"/>
    <w:tmpl w:val="241E11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E82227D"/>
    <w:multiLevelType w:val="multilevel"/>
    <w:tmpl w:val="845AFD7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109177B"/>
    <w:multiLevelType w:val="multilevel"/>
    <w:tmpl w:val="5B842DD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2C929CA"/>
    <w:multiLevelType w:val="hybridMultilevel"/>
    <w:tmpl w:val="EFB47A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B6D3A29"/>
    <w:multiLevelType w:val="multilevel"/>
    <w:tmpl w:val="C3E6C10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DCE7CA4"/>
    <w:multiLevelType w:val="hybridMultilevel"/>
    <w:tmpl w:val="F3D4A03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E4B28CE"/>
    <w:multiLevelType w:val="hybridMultilevel"/>
    <w:tmpl w:val="65CCC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BB2395"/>
    <w:multiLevelType w:val="hybridMultilevel"/>
    <w:tmpl w:val="26EEF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ED36A1"/>
    <w:multiLevelType w:val="hybridMultilevel"/>
    <w:tmpl w:val="D6E82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EA2DF1"/>
    <w:multiLevelType w:val="multilevel"/>
    <w:tmpl w:val="5B842DD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2FF1AA3"/>
    <w:multiLevelType w:val="hybridMultilevel"/>
    <w:tmpl w:val="03F2C10A"/>
    <w:lvl w:ilvl="0" w:tplc="0409001B">
      <w:start w:val="1"/>
      <w:numFmt w:val="lowerRoman"/>
      <w:lvlText w:val="%1."/>
      <w:lvlJc w:val="right"/>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D65F22"/>
    <w:multiLevelType w:val="hybridMultilevel"/>
    <w:tmpl w:val="EF60C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0971D8E"/>
    <w:multiLevelType w:val="hybridMultilevel"/>
    <w:tmpl w:val="9A06851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 w15:restartNumberingAfterBreak="0">
    <w:nsid w:val="412037B4"/>
    <w:multiLevelType w:val="multilevel"/>
    <w:tmpl w:val="5B842DD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1B215F6"/>
    <w:multiLevelType w:val="multilevel"/>
    <w:tmpl w:val="C458191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801106C"/>
    <w:multiLevelType w:val="multilevel"/>
    <w:tmpl w:val="76E49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D421682"/>
    <w:multiLevelType w:val="hybridMultilevel"/>
    <w:tmpl w:val="EE3C10C6"/>
    <w:lvl w:ilvl="0" w:tplc="0409001B">
      <w:start w:val="1"/>
      <w:numFmt w:val="lowerRoman"/>
      <w:lvlText w:val="%1."/>
      <w:lvlJc w:val="right"/>
      <w:pPr>
        <w:ind w:left="720" w:hanging="360"/>
      </w:p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E706144"/>
    <w:multiLevelType w:val="hybridMultilevel"/>
    <w:tmpl w:val="55AC3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875C35"/>
    <w:multiLevelType w:val="hybridMultilevel"/>
    <w:tmpl w:val="75F84F62"/>
    <w:lvl w:ilvl="0" w:tplc="0409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91528C"/>
    <w:multiLevelType w:val="hybridMultilevel"/>
    <w:tmpl w:val="2674953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1E6C84"/>
    <w:multiLevelType w:val="multilevel"/>
    <w:tmpl w:val="803CE8AE"/>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ind w:left="1455" w:hanging="375"/>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42305A5"/>
    <w:multiLevelType w:val="hybridMultilevel"/>
    <w:tmpl w:val="7DF6BA0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 w15:restartNumberingAfterBreak="0">
    <w:nsid w:val="56F07EF0"/>
    <w:multiLevelType w:val="multilevel"/>
    <w:tmpl w:val="5B842DD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A220FB5"/>
    <w:multiLevelType w:val="hybridMultilevel"/>
    <w:tmpl w:val="AB2413E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 w15:restartNumberingAfterBreak="0">
    <w:nsid w:val="5A564FDB"/>
    <w:multiLevelType w:val="hybridMultilevel"/>
    <w:tmpl w:val="8B129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B9D4E4D"/>
    <w:multiLevelType w:val="hybridMultilevel"/>
    <w:tmpl w:val="637849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 w15:restartNumberingAfterBreak="0">
    <w:nsid w:val="5EAB23B1"/>
    <w:multiLevelType w:val="multilevel"/>
    <w:tmpl w:val="F272BD24"/>
    <w:lvl w:ilvl="0">
      <w:start w:val="1"/>
      <w:numFmt w:val="decimal"/>
      <w:pStyle w:val="1"/>
      <w:suff w:val="space"/>
      <w:lvlText w:val="%1"/>
      <w:lvlJc w:val="left"/>
      <w:pPr>
        <w:ind w:left="0" w:firstLine="1800"/>
      </w:pPr>
      <w:rPr>
        <w:rFonts w:hint="default"/>
      </w:rPr>
    </w:lvl>
    <w:lvl w:ilvl="1">
      <w:start w:val="1"/>
      <w:numFmt w:val="decimal"/>
      <w:pStyle w:val="2"/>
      <w:suff w:val="space"/>
      <w:lvlText w:val="%1.%2"/>
      <w:lvlJc w:val="left"/>
      <w:pPr>
        <w:ind w:left="0" w:firstLine="1800"/>
      </w:pPr>
      <w:rPr>
        <w:rFonts w:hint="default"/>
      </w:rPr>
    </w:lvl>
    <w:lvl w:ilvl="2">
      <w:start w:val="1"/>
      <w:numFmt w:val="decimal"/>
      <w:pStyle w:val="3"/>
      <w:suff w:val="space"/>
      <w:lvlText w:val="%1.%2.%3"/>
      <w:lvlJc w:val="left"/>
      <w:pPr>
        <w:ind w:left="0" w:firstLine="1800"/>
      </w:pPr>
      <w:rPr>
        <w:rFonts w:hint="default"/>
      </w:rPr>
    </w:lvl>
    <w:lvl w:ilvl="3">
      <w:start w:val="1"/>
      <w:numFmt w:val="decimal"/>
      <w:pStyle w:val="4"/>
      <w:suff w:val="space"/>
      <w:lvlText w:val="%1.%2.%3.%4"/>
      <w:lvlJc w:val="left"/>
      <w:pPr>
        <w:ind w:left="0" w:firstLine="1800"/>
      </w:pPr>
      <w:rPr>
        <w:rFonts w:hint="default"/>
      </w:rPr>
    </w:lvl>
    <w:lvl w:ilvl="4">
      <w:start w:val="1"/>
      <w:numFmt w:val="decimal"/>
      <w:pStyle w:val="5"/>
      <w:suff w:val="space"/>
      <w:lvlText w:val="%1.%2.%3.%4.%5"/>
      <w:lvlJc w:val="left"/>
      <w:pPr>
        <w:ind w:left="0" w:firstLine="180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60FE48B0"/>
    <w:multiLevelType w:val="multilevel"/>
    <w:tmpl w:val="C3E6C10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50A741F"/>
    <w:multiLevelType w:val="multilevel"/>
    <w:tmpl w:val="5B842DD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8444C32"/>
    <w:multiLevelType w:val="multilevel"/>
    <w:tmpl w:val="5B842DD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99013AA"/>
    <w:multiLevelType w:val="multilevel"/>
    <w:tmpl w:val="5B842DD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6031EDF"/>
    <w:multiLevelType w:val="hybridMultilevel"/>
    <w:tmpl w:val="2E107C5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2" w15:restartNumberingAfterBreak="0">
    <w:nsid w:val="79C727AC"/>
    <w:multiLevelType w:val="hybridMultilevel"/>
    <w:tmpl w:val="E616A1B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ED2114E"/>
    <w:multiLevelType w:val="multilevel"/>
    <w:tmpl w:val="C3E6C10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FC15DB7"/>
    <w:multiLevelType w:val="hybridMultilevel"/>
    <w:tmpl w:val="ADA63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8"/>
  </w:num>
  <w:num w:numId="4">
    <w:abstractNumId w:val="25"/>
  </w:num>
  <w:num w:numId="5">
    <w:abstractNumId w:val="27"/>
  </w:num>
  <w:num w:numId="6">
    <w:abstractNumId w:val="29"/>
  </w:num>
  <w:num w:numId="7">
    <w:abstractNumId w:val="26"/>
  </w:num>
  <w:num w:numId="8">
    <w:abstractNumId w:val="0"/>
  </w:num>
  <w:num w:numId="9">
    <w:abstractNumId w:val="23"/>
  </w:num>
  <w:num w:numId="10">
    <w:abstractNumId w:val="19"/>
  </w:num>
  <w:num w:numId="11">
    <w:abstractNumId w:val="40"/>
  </w:num>
  <w:num w:numId="12">
    <w:abstractNumId w:val="38"/>
  </w:num>
  <w:num w:numId="13">
    <w:abstractNumId w:val="24"/>
  </w:num>
  <w:num w:numId="14">
    <w:abstractNumId w:val="42"/>
  </w:num>
  <w:num w:numId="15">
    <w:abstractNumId w:val="15"/>
  </w:num>
  <w:num w:numId="16">
    <w:abstractNumId w:val="21"/>
  </w:num>
  <w:num w:numId="17">
    <w:abstractNumId w:val="16"/>
  </w:num>
  <w:num w:numId="18">
    <w:abstractNumId w:val="3"/>
  </w:num>
  <w:num w:numId="19">
    <w:abstractNumId w:val="6"/>
  </w:num>
  <w:num w:numId="20">
    <w:abstractNumId w:val="2"/>
  </w:num>
  <w:num w:numId="21">
    <w:abstractNumId w:val="30"/>
  </w:num>
  <w:num w:numId="22">
    <w:abstractNumId w:val="12"/>
  </w:num>
  <w:num w:numId="23">
    <w:abstractNumId w:val="32"/>
  </w:num>
  <w:num w:numId="24">
    <w:abstractNumId w:val="39"/>
  </w:num>
  <w:num w:numId="25">
    <w:abstractNumId w:val="5"/>
  </w:num>
  <w:num w:numId="26">
    <w:abstractNumId w:val="43"/>
  </w:num>
  <w:num w:numId="27">
    <w:abstractNumId w:val="14"/>
  </w:num>
  <w:num w:numId="28">
    <w:abstractNumId w:val="37"/>
  </w:num>
  <w:num w:numId="29">
    <w:abstractNumId w:val="11"/>
  </w:num>
  <w:num w:numId="30">
    <w:abstractNumId w:val="44"/>
  </w:num>
  <w:num w:numId="31">
    <w:abstractNumId w:val="9"/>
  </w:num>
  <w:num w:numId="32">
    <w:abstractNumId w:val="20"/>
  </w:num>
  <w:num w:numId="33">
    <w:abstractNumId w:val="34"/>
  </w:num>
  <w:num w:numId="34">
    <w:abstractNumId w:val="17"/>
  </w:num>
  <w:num w:numId="35">
    <w:abstractNumId w:val="1"/>
  </w:num>
  <w:num w:numId="36">
    <w:abstractNumId w:val="13"/>
  </w:num>
  <w:num w:numId="37">
    <w:abstractNumId w:val="10"/>
  </w:num>
  <w:num w:numId="38">
    <w:abstractNumId w:val="4"/>
  </w:num>
  <w:num w:numId="39">
    <w:abstractNumId w:val="31"/>
  </w:num>
  <w:num w:numId="40">
    <w:abstractNumId w:val="35"/>
  </w:num>
  <w:num w:numId="41">
    <w:abstractNumId w:val="33"/>
  </w:num>
  <w:num w:numId="42">
    <w:abstractNumId w:val="41"/>
  </w:num>
  <w:num w:numId="43">
    <w:abstractNumId w:val="18"/>
  </w:num>
  <w:num w:numId="44">
    <w:abstractNumId w:val="8"/>
  </w:num>
  <w:num w:numId="45">
    <w:abstractNumId w:val="22"/>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Qzt7A0tbA0MDW2MDFV0lEKTi0uzszPAykwNqkFAF5XJ70tAAAA"/>
  </w:docVars>
  <w:rsids>
    <w:rsidRoot w:val="00351F60"/>
    <w:rsid w:val="0000261A"/>
    <w:rsid w:val="00002A30"/>
    <w:rsid w:val="000036DE"/>
    <w:rsid w:val="000056BE"/>
    <w:rsid w:val="000058AD"/>
    <w:rsid w:val="0000591B"/>
    <w:rsid w:val="000063D7"/>
    <w:rsid w:val="0000670F"/>
    <w:rsid w:val="000067DD"/>
    <w:rsid w:val="00007C1E"/>
    <w:rsid w:val="000125F1"/>
    <w:rsid w:val="00012950"/>
    <w:rsid w:val="000159F5"/>
    <w:rsid w:val="00020103"/>
    <w:rsid w:val="00020275"/>
    <w:rsid w:val="00020B05"/>
    <w:rsid w:val="00020D9A"/>
    <w:rsid w:val="000212F4"/>
    <w:rsid w:val="00021769"/>
    <w:rsid w:val="000222B2"/>
    <w:rsid w:val="000234A9"/>
    <w:rsid w:val="00023A37"/>
    <w:rsid w:val="000246D4"/>
    <w:rsid w:val="00025504"/>
    <w:rsid w:val="00027590"/>
    <w:rsid w:val="00027EEF"/>
    <w:rsid w:val="00027F68"/>
    <w:rsid w:val="00032215"/>
    <w:rsid w:val="000328E1"/>
    <w:rsid w:val="00040F11"/>
    <w:rsid w:val="00040FCB"/>
    <w:rsid w:val="00041313"/>
    <w:rsid w:val="00043349"/>
    <w:rsid w:val="00043758"/>
    <w:rsid w:val="000438CD"/>
    <w:rsid w:val="00045B25"/>
    <w:rsid w:val="00046027"/>
    <w:rsid w:val="0004691F"/>
    <w:rsid w:val="00046D48"/>
    <w:rsid w:val="0005095C"/>
    <w:rsid w:val="0005122A"/>
    <w:rsid w:val="00051297"/>
    <w:rsid w:val="00051D90"/>
    <w:rsid w:val="00052E45"/>
    <w:rsid w:val="00053109"/>
    <w:rsid w:val="0005350C"/>
    <w:rsid w:val="00053AE0"/>
    <w:rsid w:val="00057080"/>
    <w:rsid w:val="000574D5"/>
    <w:rsid w:val="0006050A"/>
    <w:rsid w:val="00060601"/>
    <w:rsid w:val="00061BBD"/>
    <w:rsid w:val="0006240B"/>
    <w:rsid w:val="0006250C"/>
    <w:rsid w:val="00065DE3"/>
    <w:rsid w:val="00071380"/>
    <w:rsid w:val="00072A56"/>
    <w:rsid w:val="000732BC"/>
    <w:rsid w:val="000734A8"/>
    <w:rsid w:val="00073904"/>
    <w:rsid w:val="00073AA9"/>
    <w:rsid w:val="000746A9"/>
    <w:rsid w:val="00074E76"/>
    <w:rsid w:val="000756B6"/>
    <w:rsid w:val="00075B74"/>
    <w:rsid w:val="000774F5"/>
    <w:rsid w:val="00080666"/>
    <w:rsid w:val="0008205D"/>
    <w:rsid w:val="000827A0"/>
    <w:rsid w:val="00082A3D"/>
    <w:rsid w:val="00087753"/>
    <w:rsid w:val="00090C07"/>
    <w:rsid w:val="00090E36"/>
    <w:rsid w:val="00093CC3"/>
    <w:rsid w:val="000959BC"/>
    <w:rsid w:val="00095BEE"/>
    <w:rsid w:val="00096216"/>
    <w:rsid w:val="0009667F"/>
    <w:rsid w:val="0009744E"/>
    <w:rsid w:val="000A05AA"/>
    <w:rsid w:val="000A0BBF"/>
    <w:rsid w:val="000A2325"/>
    <w:rsid w:val="000A5155"/>
    <w:rsid w:val="000A553F"/>
    <w:rsid w:val="000A673A"/>
    <w:rsid w:val="000A6847"/>
    <w:rsid w:val="000B05F4"/>
    <w:rsid w:val="000B4835"/>
    <w:rsid w:val="000B510C"/>
    <w:rsid w:val="000B5316"/>
    <w:rsid w:val="000B56C8"/>
    <w:rsid w:val="000B7CD2"/>
    <w:rsid w:val="000C1F59"/>
    <w:rsid w:val="000C2BFC"/>
    <w:rsid w:val="000C40BA"/>
    <w:rsid w:val="000C4D60"/>
    <w:rsid w:val="000C6600"/>
    <w:rsid w:val="000C6BDE"/>
    <w:rsid w:val="000D002C"/>
    <w:rsid w:val="000D0271"/>
    <w:rsid w:val="000D04E5"/>
    <w:rsid w:val="000D0E22"/>
    <w:rsid w:val="000D6E31"/>
    <w:rsid w:val="000E2155"/>
    <w:rsid w:val="000E26B3"/>
    <w:rsid w:val="000E7B87"/>
    <w:rsid w:val="000E7FD4"/>
    <w:rsid w:val="000F13AF"/>
    <w:rsid w:val="000F1966"/>
    <w:rsid w:val="000F3C9A"/>
    <w:rsid w:val="000F484D"/>
    <w:rsid w:val="000F5EC5"/>
    <w:rsid w:val="000F63C5"/>
    <w:rsid w:val="000F6A6C"/>
    <w:rsid w:val="000F735E"/>
    <w:rsid w:val="000F78FF"/>
    <w:rsid w:val="0010268C"/>
    <w:rsid w:val="00102B25"/>
    <w:rsid w:val="001054FB"/>
    <w:rsid w:val="001065A8"/>
    <w:rsid w:val="00110349"/>
    <w:rsid w:val="001103F7"/>
    <w:rsid w:val="00111703"/>
    <w:rsid w:val="001120F0"/>
    <w:rsid w:val="001123BD"/>
    <w:rsid w:val="001154EC"/>
    <w:rsid w:val="0011556C"/>
    <w:rsid w:val="0011706B"/>
    <w:rsid w:val="0012212B"/>
    <w:rsid w:val="001222AE"/>
    <w:rsid w:val="00122C89"/>
    <w:rsid w:val="00124C75"/>
    <w:rsid w:val="00125CA7"/>
    <w:rsid w:val="00127C1A"/>
    <w:rsid w:val="00130168"/>
    <w:rsid w:val="0013059B"/>
    <w:rsid w:val="00130FE2"/>
    <w:rsid w:val="001328F9"/>
    <w:rsid w:val="00132F9D"/>
    <w:rsid w:val="00134365"/>
    <w:rsid w:val="00134F62"/>
    <w:rsid w:val="0013530D"/>
    <w:rsid w:val="001354B0"/>
    <w:rsid w:val="00137295"/>
    <w:rsid w:val="00137728"/>
    <w:rsid w:val="00141AA5"/>
    <w:rsid w:val="00141AE9"/>
    <w:rsid w:val="00142D65"/>
    <w:rsid w:val="00143B52"/>
    <w:rsid w:val="00144606"/>
    <w:rsid w:val="0014524F"/>
    <w:rsid w:val="001461F3"/>
    <w:rsid w:val="00147974"/>
    <w:rsid w:val="00150AAD"/>
    <w:rsid w:val="001542F9"/>
    <w:rsid w:val="001544B8"/>
    <w:rsid w:val="0015493A"/>
    <w:rsid w:val="00154A0C"/>
    <w:rsid w:val="00154BC5"/>
    <w:rsid w:val="00160CAF"/>
    <w:rsid w:val="00161F0D"/>
    <w:rsid w:val="0016262F"/>
    <w:rsid w:val="00162A2B"/>
    <w:rsid w:val="00163EE8"/>
    <w:rsid w:val="0016709F"/>
    <w:rsid w:val="00167CB0"/>
    <w:rsid w:val="00175E13"/>
    <w:rsid w:val="001763F7"/>
    <w:rsid w:val="001764CB"/>
    <w:rsid w:val="00177957"/>
    <w:rsid w:val="00177C50"/>
    <w:rsid w:val="001807AF"/>
    <w:rsid w:val="00181215"/>
    <w:rsid w:val="00181E5C"/>
    <w:rsid w:val="00186880"/>
    <w:rsid w:val="00187D46"/>
    <w:rsid w:val="001944D0"/>
    <w:rsid w:val="001949BE"/>
    <w:rsid w:val="00194FD7"/>
    <w:rsid w:val="001957C6"/>
    <w:rsid w:val="00196417"/>
    <w:rsid w:val="001A122F"/>
    <w:rsid w:val="001A2456"/>
    <w:rsid w:val="001A26CB"/>
    <w:rsid w:val="001A7438"/>
    <w:rsid w:val="001B0A9F"/>
    <w:rsid w:val="001B1547"/>
    <w:rsid w:val="001B1D12"/>
    <w:rsid w:val="001B5249"/>
    <w:rsid w:val="001B5295"/>
    <w:rsid w:val="001B5AD0"/>
    <w:rsid w:val="001B68BC"/>
    <w:rsid w:val="001B6CEC"/>
    <w:rsid w:val="001B7048"/>
    <w:rsid w:val="001C02C0"/>
    <w:rsid w:val="001C1ED5"/>
    <w:rsid w:val="001C4775"/>
    <w:rsid w:val="001C59FC"/>
    <w:rsid w:val="001C6444"/>
    <w:rsid w:val="001C6988"/>
    <w:rsid w:val="001C74F7"/>
    <w:rsid w:val="001D1BB9"/>
    <w:rsid w:val="001D207B"/>
    <w:rsid w:val="001D3D22"/>
    <w:rsid w:val="001D4801"/>
    <w:rsid w:val="001D4E75"/>
    <w:rsid w:val="001D7806"/>
    <w:rsid w:val="001E144B"/>
    <w:rsid w:val="001E1E17"/>
    <w:rsid w:val="001E2AC7"/>
    <w:rsid w:val="001E3D5C"/>
    <w:rsid w:val="001F0033"/>
    <w:rsid w:val="001F036E"/>
    <w:rsid w:val="001F0F46"/>
    <w:rsid w:val="001F1727"/>
    <w:rsid w:val="001F21F8"/>
    <w:rsid w:val="001F4480"/>
    <w:rsid w:val="001F4AF1"/>
    <w:rsid w:val="001F502A"/>
    <w:rsid w:val="001F6F46"/>
    <w:rsid w:val="00201022"/>
    <w:rsid w:val="00203C29"/>
    <w:rsid w:val="00204FBD"/>
    <w:rsid w:val="002053C3"/>
    <w:rsid w:val="0020627E"/>
    <w:rsid w:val="00206AF1"/>
    <w:rsid w:val="00207203"/>
    <w:rsid w:val="0021110E"/>
    <w:rsid w:val="002136DF"/>
    <w:rsid w:val="00217731"/>
    <w:rsid w:val="00222AE4"/>
    <w:rsid w:val="00222B19"/>
    <w:rsid w:val="002236A7"/>
    <w:rsid w:val="0022420B"/>
    <w:rsid w:val="00224392"/>
    <w:rsid w:val="002254EF"/>
    <w:rsid w:val="00225A42"/>
    <w:rsid w:val="002262BC"/>
    <w:rsid w:val="0022755A"/>
    <w:rsid w:val="002311D8"/>
    <w:rsid w:val="00232336"/>
    <w:rsid w:val="00233407"/>
    <w:rsid w:val="00233604"/>
    <w:rsid w:val="00236029"/>
    <w:rsid w:val="0024068D"/>
    <w:rsid w:val="00240979"/>
    <w:rsid w:val="00242C27"/>
    <w:rsid w:val="00242D3B"/>
    <w:rsid w:val="002431B7"/>
    <w:rsid w:val="00244F0D"/>
    <w:rsid w:val="002515A1"/>
    <w:rsid w:val="0025169B"/>
    <w:rsid w:val="00252298"/>
    <w:rsid w:val="00252BC4"/>
    <w:rsid w:val="00254395"/>
    <w:rsid w:val="00254BBA"/>
    <w:rsid w:val="00254FEF"/>
    <w:rsid w:val="00262A5B"/>
    <w:rsid w:val="002636F2"/>
    <w:rsid w:val="002644D0"/>
    <w:rsid w:val="00264B23"/>
    <w:rsid w:val="00265168"/>
    <w:rsid w:val="00265D9D"/>
    <w:rsid w:val="00265ECE"/>
    <w:rsid w:val="00271E40"/>
    <w:rsid w:val="0027220E"/>
    <w:rsid w:val="00272563"/>
    <w:rsid w:val="0027299A"/>
    <w:rsid w:val="00275100"/>
    <w:rsid w:val="00280C17"/>
    <w:rsid w:val="002837AD"/>
    <w:rsid w:val="0028494F"/>
    <w:rsid w:val="00286EEA"/>
    <w:rsid w:val="0028745E"/>
    <w:rsid w:val="00290717"/>
    <w:rsid w:val="00291C7B"/>
    <w:rsid w:val="0029238F"/>
    <w:rsid w:val="00292B3E"/>
    <w:rsid w:val="00293959"/>
    <w:rsid w:val="002978F4"/>
    <w:rsid w:val="002A09FB"/>
    <w:rsid w:val="002A22C4"/>
    <w:rsid w:val="002A2C76"/>
    <w:rsid w:val="002A4707"/>
    <w:rsid w:val="002A497F"/>
    <w:rsid w:val="002A5AB1"/>
    <w:rsid w:val="002A766D"/>
    <w:rsid w:val="002B133D"/>
    <w:rsid w:val="002B147A"/>
    <w:rsid w:val="002B17A4"/>
    <w:rsid w:val="002B1888"/>
    <w:rsid w:val="002B1B83"/>
    <w:rsid w:val="002B266C"/>
    <w:rsid w:val="002B2C59"/>
    <w:rsid w:val="002B4923"/>
    <w:rsid w:val="002B621A"/>
    <w:rsid w:val="002B67A3"/>
    <w:rsid w:val="002B7830"/>
    <w:rsid w:val="002C1EDE"/>
    <w:rsid w:val="002C3267"/>
    <w:rsid w:val="002C5BCC"/>
    <w:rsid w:val="002C5D02"/>
    <w:rsid w:val="002D02B8"/>
    <w:rsid w:val="002D048F"/>
    <w:rsid w:val="002D7D5E"/>
    <w:rsid w:val="002D7F22"/>
    <w:rsid w:val="002E0302"/>
    <w:rsid w:val="002E1502"/>
    <w:rsid w:val="002E19DA"/>
    <w:rsid w:val="002E21A8"/>
    <w:rsid w:val="002E2B59"/>
    <w:rsid w:val="002E41AF"/>
    <w:rsid w:val="002E76A3"/>
    <w:rsid w:val="002F040E"/>
    <w:rsid w:val="002F092F"/>
    <w:rsid w:val="002F2506"/>
    <w:rsid w:val="002F25D1"/>
    <w:rsid w:val="002F30E1"/>
    <w:rsid w:val="002F3631"/>
    <w:rsid w:val="002F3639"/>
    <w:rsid w:val="002F5E13"/>
    <w:rsid w:val="002F74DA"/>
    <w:rsid w:val="002F7563"/>
    <w:rsid w:val="002F7AB4"/>
    <w:rsid w:val="003053BE"/>
    <w:rsid w:val="00305CAA"/>
    <w:rsid w:val="00311FBF"/>
    <w:rsid w:val="00312650"/>
    <w:rsid w:val="003138D2"/>
    <w:rsid w:val="00315280"/>
    <w:rsid w:val="00315352"/>
    <w:rsid w:val="003214C2"/>
    <w:rsid w:val="00322DCE"/>
    <w:rsid w:val="00324206"/>
    <w:rsid w:val="00325C73"/>
    <w:rsid w:val="0032684D"/>
    <w:rsid w:val="0032714F"/>
    <w:rsid w:val="00333FEE"/>
    <w:rsid w:val="00334707"/>
    <w:rsid w:val="00336A3B"/>
    <w:rsid w:val="0033737B"/>
    <w:rsid w:val="003402B6"/>
    <w:rsid w:val="00340568"/>
    <w:rsid w:val="003419B2"/>
    <w:rsid w:val="00343492"/>
    <w:rsid w:val="003436C5"/>
    <w:rsid w:val="00347D6D"/>
    <w:rsid w:val="0035145E"/>
    <w:rsid w:val="00351F60"/>
    <w:rsid w:val="003526DF"/>
    <w:rsid w:val="00356A32"/>
    <w:rsid w:val="00356E7D"/>
    <w:rsid w:val="0035736C"/>
    <w:rsid w:val="003612BC"/>
    <w:rsid w:val="0036537D"/>
    <w:rsid w:val="00365925"/>
    <w:rsid w:val="0036630E"/>
    <w:rsid w:val="00366371"/>
    <w:rsid w:val="003664CE"/>
    <w:rsid w:val="00372F18"/>
    <w:rsid w:val="00373911"/>
    <w:rsid w:val="003740DF"/>
    <w:rsid w:val="0037422E"/>
    <w:rsid w:val="0038037F"/>
    <w:rsid w:val="00381B0A"/>
    <w:rsid w:val="003850EE"/>
    <w:rsid w:val="00391366"/>
    <w:rsid w:val="00391973"/>
    <w:rsid w:val="00391B6F"/>
    <w:rsid w:val="00391CD1"/>
    <w:rsid w:val="00391CD5"/>
    <w:rsid w:val="00391E1C"/>
    <w:rsid w:val="00392150"/>
    <w:rsid w:val="0039297E"/>
    <w:rsid w:val="00392ACA"/>
    <w:rsid w:val="003A1321"/>
    <w:rsid w:val="003A2200"/>
    <w:rsid w:val="003A4EF6"/>
    <w:rsid w:val="003A5B78"/>
    <w:rsid w:val="003A5EB5"/>
    <w:rsid w:val="003A671D"/>
    <w:rsid w:val="003B0341"/>
    <w:rsid w:val="003B5B52"/>
    <w:rsid w:val="003B5F0D"/>
    <w:rsid w:val="003B62A0"/>
    <w:rsid w:val="003B7713"/>
    <w:rsid w:val="003C3C9F"/>
    <w:rsid w:val="003C4BC2"/>
    <w:rsid w:val="003C4EC0"/>
    <w:rsid w:val="003D1675"/>
    <w:rsid w:val="003D280E"/>
    <w:rsid w:val="003D292A"/>
    <w:rsid w:val="003D359A"/>
    <w:rsid w:val="003D3E41"/>
    <w:rsid w:val="003D4B45"/>
    <w:rsid w:val="003D4FB2"/>
    <w:rsid w:val="003D6EFE"/>
    <w:rsid w:val="003D70DB"/>
    <w:rsid w:val="003E0017"/>
    <w:rsid w:val="003E0589"/>
    <w:rsid w:val="003E1CB0"/>
    <w:rsid w:val="003E4F5A"/>
    <w:rsid w:val="003E5DF8"/>
    <w:rsid w:val="003F0105"/>
    <w:rsid w:val="003F3A00"/>
    <w:rsid w:val="003F6B49"/>
    <w:rsid w:val="00400081"/>
    <w:rsid w:val="00401112"/>
    <w:rsid w:val="0040620C"/>
    <w:rsid w:val="00406989"/>
    <w:rsid w:val="0041126D"/>
    <w:rsid w:val="004115B9"/>
    <w:rsid w:val="00414127"/>
    <w:rsid w:val="00421CC0"/>
    <w:rsid w:val="00423AFB"/>
    <w:rsid w:val="00423C67"/>
    <w:rsid w:val="0042488E"/>
    <w:rsid w:val="0042494E"/>
    <w:rsid w:val="00425C78"/>
    <w:rsid w:val="004277A6"/>
    <w:rsid w:val="00427D43"/>
    <w:rsid w:val="0043149A"/>
    <w:rsid w:val="00432B92"/>
    <w:rsid w:val="0043383C"/>
    <w:rsid w:val="0043505B"/>
    <w:rsid w:val="004362D1"/>
    <w:rsid w:val="00436DB6"/>
    <w:rsid w:val="004370EF"/>
    <w:rsid w:val="0044169F"/>
    <w:rsid w:val="00442314"/>
    <w:rsid w:val="00442415"/>
    <w:rsid w:val="00442F3D"/>
    <w:rsid w:val="0044426E"/>
    <w:rsid w:val="00446AD7"/>
    <w:rsid w:val="004474D7"/>
    <w:rsid w:val="004507F2"/>
    <w:rsid w:val="0045120A"/>
    <w:rsid w:val="00451565"/>
    <w:rsid w:val="00452D1F"/>
    <w:rsid w:val="00454149"/>
    <w:rsid w:val="004561F6"/>
    <w:rsid w:val="00456347"/>
    <w:rsid w:val="0045702C"/>
    <w:rsid w:val="0045756F"/>
    <w:rsid w:val="004575F6"/>
    <w:rsid w:val="00457649"/>
    <w:rsid w:val="00461C80"/>
    <w:rsid w:val="00461EED"/>
    <w:rsid w:val="004622DD"/>
    <w:rsid w:val="00462488"/>
    <w:rsid w:val="00462975"/>
    <w:rsid w:val="0046560D"/>
    <w:rsid w:val="00465BD1"/>
    <w:rsid w:val="0046722F"/>
    <w:rsid w:val="00470F89"/>
    <w:rsid w:val="00470FE4"/>
    <w:rsid w:val="00477FDD"/>
    <w:rsid w:val="004828E9"/>
    <w:rsid w:val="004829F8"/>
    <w:rsid w:val="00482DF6"/>
    <w:rsid w:val="00482E0C"/>
    <w:rsid w:val="00483852"/>
    <w:rsid w:val="00483C99"/>
    <w:rsid w:val="00484B31"/>
    <w:rsid w:val="004868A3"/>
    <w:rsid w:val="004870F1"/>
    <w:rsid w:val="00490390"/>
    <w:rsid w:val="00493284"/>
    <w:rsid w:val="0049391D"/>
    <w:rsid w:val="004940F9"/>
    <w:rsid w:val="0049528D"/>
    <w:rsid w:val="00495443"/>
    <w:rsid w:val="00495A0F"/>
    <w:rsid w:val="004A08DF"/>
    <w:rsid w:val="004A1275"/>
    <w:rsid w:val="004A15C1"/>
    <w:rsid w:val="004A280F"/>
    <w:rsid w:val="004A3CAA"/>
    <w:rsid w:val="004A58FE"/>
    <w:rsid w:val="004A706F"/>
    <w:rsid w:val="004A7B3E"/>
    <w:rsid w:val="004A7B9D"/>
    <w:rsid w:val="004B05B2"/>
    <w:rsid w:val="004B3085"/>
    <w:rsid w:val="004B5BDB"/>
    <w:rsid w:val="004B607B"/>
    <w:rsid w:val="004B6D6A"/>
    <w:rsid w:val="004C16F0"/>
    <w:rsid w:val="004C1C71"/>
    <w:rsid w:val="004C1F0C"/>
    <w:rsid w:val="004C39B8"/>
    <w:rsid w:val="004C59A5"/>
    <w:rsid w:val="004C62AD"/>
    <w:rsid w:val="004C75F9"/>
    <w:rsid w:val="004C7B67"/>
    <w:rsid w:val="004C7CFE"/>
    <w:rsid w:val="004D0D0F"/>
    <w:rsid w:val="004D411E"/>
    <w:rsid w:val="004D5EC2"/>
    <w:rsid w:val="004D6876"/>
    <w:rsid w:val="004D70B0"/>
    <w:rsid w:val="004D760F"/>
    <w:rsid w:val="004E22D1"/>
    <w:rsid w:val="004E347D"/>
    <w:rsid w:val="004E3D3B"/>
    <w:rsid w:val="004E4C96"/>
    <w:rsid w:val="004E63E3"/>
    <w:rsid w:val="004E6937"/>
    <w:rsid w:val="004F099C"/>
    <w:rsid w:val="004F2568"/>
    <w:rsid w:val="004F2C80"/>
    <w:rsid w:val="004F5E48"/>
    <w:rsid w:val="005012CD"/>
    <w:rsid w:val="00502F73"/>
    <w:rsid w:val="005037DC"/>
    <w:rsid w:val="005038E3"/>
    <w:rsid w:val="00510FBB"/>
    <w:rsid w:val="00511FD2"/>
    <w:rsid w:val="00515CD9"/>
    <w:rsid w:val="00517A01"/>
    <w:rsid w:val="00517ACA"/>
    <w:rsid w:val="00520251"/>
    <w:rsid w:val="00520E9B"/>
    <w:rsid w:val="00520F2C"/>
    <w:rsid w:val="00522DF0"/>
    <w:rsid w:val="00523B57"/>
    <w:rsid w:val="00526C91"/>
    <w:rsid w:val="00527861"/>
    <w:rsid w:val="005311F8"/>
    <w:rsid w:val="005312E2"/>
    <w:rsid w:val="0053248B"/>
    <w:rsid w:val="00533644"/>
    <w:rsid w:val="00536344"/>
    <w:rsid w:val="00536556"/>
    <w:rsid w:val="005366E4"/>
    <w:rsid w:val="00537943"/>
    <w:rsid w:val="00540399"/>
    <w:rsid w:val="005409FB"/>
    <w:rsid w:val="00540F13"/>
    <w:rsid w:val="00543F65"/>
    <w:rsid w:val="00544D81"/>
    <w:rsid w:val="0054509A"/>
    <w:rsid w:val="00547E88"/>
    <w:rsid w:val="00551BB4"/>
    <w:rsid w:val="005528F2"/>
    <w:rsid w:val="0055407C"/>
    <w:rsid w:val="00554E6C"/>
    <w:rsid w:val="005576CA"/>
    <w:rsid w:val="00560FDD"/>
    <w:rsid w:val="00563752"/>
    <w:rsid w:val="00570A58"/>
    <w:rsid w:val="005740D1"/>
    <w:rsid w:val="00574232"/>
    <w:rsid w:val="00574EC8"/>
    <w:rsid w:val="005751E7"/>
    <w:rsid w:val="00576400"/>
    <w:rsid w:val="005765CC"/>
    <w:rsid w:val="00580FB9"/>
    <w:rsid w:val="00581027"/>
    <w:rsid w:val="005821D1"/>
    <w:rsid w:val="00582AA6"/>
    <w:rsid w:val="00582C5E"/>
    <w:rsid w:val="00583393"/>
    <w:rsid w:val="00584C96"/>
    <w:rsid w:val="00585891"/>
    <w:rsid w:val="005866C6"/>
    <w:rsid w:val="0058786D"/>
    <w:rsid w:val="00595F50"/>
    <w:rsid w:val="00597371"/>
    <w:rsid w:val="00597A71"/>
    <w:rsid w:val="005A4383"/>
    <w:rsid w:val="005B11E8"/>
    <w:rsid w:val="005B1D1D"/>
    <w:rsid w:val="005B1E08"/>
    <w:rsid w:val="005B2855"/>
    <w:rsid w:val="005B5982"/>
    <w:rsid w:val="005B6FE0"/>
    <w:rsid w:val="005B73A7"/>
    <w:rsid w:val="005B796E"/>
    <w:rsid w:val="005B7BAF"/>
    <w:rsid w:val="005C16E5"/>
    <w:rsid w:val="005C3B91"/>
    <w:rsid w:val="005C4062"/>
    <w:rsid w:val="005C4EE8"/>
    <w:rsid w:val="005C52FC"/>
    <w:rsid w:val="005C7900"/>
    <w:rsid w:val="005C7D51"/>
    <w:rsid w:val="005C7FD6"/>
    <w:rsid w:val="005D2357"/>
    <w:rsid w:val="005D2527"/>
    <w:rsid w:val="005D41C7"/>
    <w:rsid w:val="005D453B"/>
    <w:rsid w:val="005D4DD9"/>
    <w:rsid w:val="005D51E4"/>
    <w:rsid w:val="005D5721"/>
    <w:rsid w:val="005D6EF2"/>
    <w:rsid w:val="005D72CA"/>
    <w:rsid w:val="005D76B1"/>
    <w:rsid w:val="005E257D"/>
    <w:rsid w:val="005E2D18"/>
    <w:rsid w:val="005E5434"/>
    <w:rsid w:val="005E58A9"/>
    <w:rsid w:val="005E6680"/>
    <w:rsid w:val="005F4638"/>
    <w:rsid w:val="005F47A5"/>
    <w:rsid w:val="005F4B6A"/>
    <w:rsid w:val="005F5229"/>
    <w:rsid w:val="006019D1"/>
    <w:rsid w:val="00604FD8"/>
    <w:rsid w:val="006052A1"/>
    <w:rsid w:val="00610DA4"/>
    <w:rsid w:val="0061254B"/>
    <w:rsid w:val="006133CD"/>
    <w:rsid w:val="006152C6"/>
    <w:rsid w:val="0061555C"/>
    <w:rsid w:val="0061668C"/>
    <w:rsid w:val="00617538"/>
    <w:rsid w:val="00624F77"/>
    <w:rsid w:val="00625148"/>
    <w:rsid w:val="00626642"/>
    <w:rsid w:val="006269A8"/>
    <w:rsid w:val="0062748A"/>
    <w:rsid w:val="00631072"/>
    <w:rsid w:val="0063195C"/>
    <w:rsid w:val="006349F0"/>
    <w:rsid w:val="00634A2F"/>
    <w:rsid w:val="0063626F"/>
    <w:rsid w:val="006377C3"/>
    <w:rsid w:val="00642468"/>
    <w:rsid w:val="006437C5"/>
    <w:rsid w:val="006449C8"/>
    <w:rsid w:val="006459C2"/>
    <w:rsid w:val="00650505"/>
    <w:rsid w:val="0065084A"/>
    <w:rsid w:val="00651546"/>
    <w:rsid w:val="00654159"/>
    <w:rsid w:val="0065426C"/>
    <w:rsid w:val="006542B0"/>
    <w:rsid w:val="00655813"/>
    <w:rsid w:val="00655BCE"/>
    <w:rsid w:val="006568E4"/>
    <w:rsid w:val="006568FB"/>
    <w:rsid w:val="00660C94"/>
    <w:rsid w:val="00660E0B"/>
    <w:rsid w:val="006642E5"/>
    <w:rsid w:val="00664FEE"/>
    <w:rsid w:val="00665FB4"/>
    <w:rsid w:val="006667D2"/>
    <w:rsid w:val="0066747B"/>
    <w:rsid w:val="006674EE"/>
    <w:rsid w:val="00667E09"/>
    <w:rsid w:val="00670A57"/>
    <w:rsid w:val="00672E9E"/>
    <w:rsid w:val="0067376B"/>
    <w:rsid w:val="006746B1"/>
    <w:rsid w:val="006747B4"/>
    <w:rsid w:val="0067585E"/>
    <w:rsid w:val="006761D1"/>
    <w:rsid w:val="00677811"/>
    <w:rsid w:val="00680076"/>
    <w:rsid w:val="006807D4"/>
    <w:rsid w:val="00680E3C"/>
    <w:rsid w:val="0068405E"/>
    <w:rsid w:val="00684FAE"/>
    <w:rsid w:val="00685C21"/>
    <w:rsid w:val="00686422"/>
    <w:rsid w:val="006916B6"/>
    <w:rsid w:val="006936D6"/>
    <w:rsid w:val="006939FF"/>
    <w:rsid w:val="00694D86"/>
    <w:rsid w:val="0069792B"/>
    <w:rsid w:val="006A1106"/>
    <w:rsid w:val="006A2187"/>
    <w:rsid w:val="006A35C2"/>
    <w:rsid w:val="006A37CD"/>
    <w:rsid w:val="006A3FED"/>
    <w:rsid w:val="006A40B4"/>
    <w:rsid w:val="006A417E"/>
    <w:rsid w:val="006A5174"/>
    <w:rsid w:val="006A724B"/>
    <w:rsid w:val="006B1FBE"/>
    <w:rsid w:val="006B2040"/>
    <w:rsid w:val="006B7D51"/>
    <w:rsid w:val="006C0B77"/>
    <w:rsid w:val="006C1425"/>
    <w:rsid w:val="006C5241"/>
    <w:rsid w:val="006C59CF"/>
    <w:rsid w:val="006C7189"/>
    <w:rsid w:val="006C776C"/>
    <w:rsid w:val="006C7B76"/>
    <w:rsid w:val="006D01F5"/>
    <w:rsid w:val="006D073A"/>
    <w:rsid w:val="006D1A3C"/>
    <w:rsid w:val="006D2E3D"/>
    <w:rsid w:val="006D7DFD"/>
    <w:rsid w:val="006E1E27"/>
    <w:rsid w:val="006E2112"/>
    <w:rsid w:val="006E3FA6"/>
    <w:rsid w:val="006E4A70"/>
    <w:rsid w:val="006E6D5D"/>
    <w:rsid w:val="006F1076"/>
    <w:rsid w:val="006F5579"/>
    <w:rsid w:val="006F6524"/>
    <w:rsid w:val="006F6A2E"/>
    <w:rsid w:val="006F6A37"/>
    <w:rsid w:val="006F71E5"/>
    <w:rsid w:val="00700EAA"/>
    <w:rsid w:val="00701E28"/>
    <w:rsid w:val="00702D95"/>
    <w:rsid w:val="0070342B"/>
    <w:rsid w:val="00703CF5"/>
    <w:rsid w:val="00704315"/>
    <w:rsid w:val="00704D19"/>
    <w:rsid w:val="00704F58"/>
    <w:rsid w:val="007061D8"/>
    <w:rsid w:val="0070714C"/>
    <w:rsid w:val="00707878"/>
    <w:rsid w:val="00713062"/>
    <w:rsid w:val="00714C68"/>
    <w:rsid w:val="00715C63"/>
    <w:rsid w:val="007170A3"/>
    <w:rsid w:val="00720F03"/>
    <w:rsid w:val="00730B73"/>
    <w:rsid w:val="00731A43"/>
    <w:rsid w:val="007327A7"/>
    <w:rsid w:val="007336E0"/>
    <w:rsid w:val="007350F9"/>
    <w:rsid w:val="00736947"/>
    <w:rsid w:val="00736BBF"/>
    <w:rsid w:val="00737DA9"/>
    <w:rsid w:val="0074097C"/>
    <w:rsid w:val="00741931"/>
    <w:rsid w:val="00742564"/>
    <w:rsid w:val="00743119"/>
    <w:rsid w:val="00744457"/>
    <w:rsid w:val="00746989"/>
    <w:rsid w:val="00747067"/>
    <w:rsid w:val="007507E2"/>
    <w:rsid w:val="00754CEA"/>
    <w:rsid w:val="0076166B"/>
    <w:rsid w:val="0076189C"/>
    <w:rsid w:val="00761993"/>
    <w:rsid w:val="007619E2"/>
    <w:rsid w:val="00762A29"/>
    <w:rsid w:val="0076471A"/>
    <w:rsid w:val="00765471"/>
    <w:rsid w:val="00767F75"/>
    <w:rsid w:val="0077054A"/>
    <w:rsid w:val="00770E89"/>
    <w:rsid w:val="00774E9F"/>
    <w:rsid w:val="007766BC"/>
    <w:rsid w:val="0077676B"/>
    <w:rsid w:val="00776A1E"/>
    <w:rsid w:val="00776CA9"/>
    <w:rsid w:val="00781E9C"/>
    <w:rsid w:val="007830D5"/>
    <w:rsid w:val="00783A0E"/>
    <w:rsid w:val="0079183E"/>
    <w:rsid w:val="00792DC0"/>
    <w:rsid w:val="00793728"/>
    <w:rsid w:val="00794897"/>
    <w:rsid w:val="00794EA6"/>
    <w:rsid w:val="00794F91"/>
    <w:rsid w:val="0079595C"/>
    <w:rsid w:val="00796815"/>
    <w:rsid w:val="00796B54"/>
    <w:rsid w:val="007A1B18"/>
    <w:rsid w:val="007A41D9"/>
    <w:rsid w:val="007B2553"/>
    <w:rsid w:val="007B5983"/>
    <w:rsid w:val="007B6C3F"/>
    <w:rsid w:val="007B792C"/>
    <w:rsid w:val="007C058B"/>
    <w:rsid w:val="007C4FB5"/>
    <w:rsid w:val="007C6264"/>
    <w:rsid w:val="007C6F91"/>
    <w:rsid w:val="007C7DD0"/>
    <w:rsid w:val="007D0766"/>
    <w:rsid w:val="007D2CB0"/>
    <w:rsid w:val="007E0EAC"/>
    <w:rsid w:val="007E1D78"/>
    <w:rsid w:val="007E223C"/>
    <w:rsid w:val="007E4273"/>
    <w:rsid w:val="007E47E9"/>
    <w:rsid w:val="007E5BE3"/>
    <w:rsid w:val="007E6763"/>
    <w:rsid w:val="007E7386"/>
    <w:rsid w:val="007F01D6"/>
    <w:rsid w:val="007F0A03"/>
    <w:rsid w:val="007F1027"/>
    <w:rsid w:val="007F14CA"/>
    <w:rsid w:val="007F2D68"/>
    <w:rsid w:val="007F568A"/>
    <w:rsid w:val="007F69D3"/>
    <w:rsid w:val="00800B6E"/>
    <w:rsid w:val="008046F1"/>
    <w:rsid w:val="00805354"/>
    <w:rsid w:val="0081009F"/>
    <w:rsid w:val="00812168"/>
    <w:rsid w:val="0081248E"/>
    <w:rsid w:val="0081459E"/>
    <w:rsid w:val="008147B6"/>
    <w:rsid w:val="00814BEA"/>
    <w:rsid w:val="00815614"/>
    <w:rsid w:val="00815DA9"/>
    <w:rsid w:val="00815F39"/>
    <w:rsid w:val="00815FFF"/>
    <w:rsid w:val="00817AF8"/>
    <w:rsid w:val="00820345"/>
    <w:rsid w:val="00820445"/>
    <w:rsid w:val="00821353"/>
    <w:rsid w:val="00822FCA"/>
    <w:rsid w:val="00823814"/>
    <w:rsid w:val="00823F98"/>
    <w:rsid w:val="008240A1"/>
    <w:rsid w:val="008242FF"/>
    <w:rsid w:val="0082449C"/>
    <w:rsid w:val="008267D5"/>
    <w:rsid w:val="00827048"/>
    <w:rsid w:val="008277D0"/>
    <w:rsid w:val="008307D4"/>
    <w:rsid w:val="00831E9D"/>
    <w:rsid w:val="00831EF5"/>
    <w:rsid w:val="008327AA"/>
    <w:rsid w:val="00832E42"/>
    <w:rsid w:val="0083451F"/>
    <w:rsid w:val="008348DE"/>
    <w:rsid w:val="008371C7"/>
    <w:rsid w:val="0084153E"/>
    <w:rsid w:val="00842651"/>
    <w:rsid w:val="008432B4"/>
    <w:rsid w:val="008443BC"/>
    <w:rsid w:val="00844CCE"/>
    <w:rsid w:val="0084506C"/>
    <w:rsid w:val="008452A5"/>
    <w:rsid w:val="008458A6"/>
    <w:rsid w:val="00852F9A"/>
    <w:rsid w:val="00853129"/>
    <w:rsid w:val="00853FD1"/>
    <w:rsid w:val="008550DD"/>
    <w:rsid w:val="00855949"/>
    <w:rsid w:val="00855EE5"/>
    <w:rsid w:val="00856150"/>
    <w:rsid w:val="00856D6C"/>
    <w:rsid w:val="008604B5"/>
    <w:rsid w:val="008634FE"/>
    <w:rsid w:val="008643BA"/>
    <w:rsid w:val="00865CAA"/>
    <w:rsid w:val="00867105"/>
    <w:rsid w:val="00867D6B"/>
    <w:rsid w:val="00870751"/>
    <w:rsid w:val="00872E55"/>
    <w:rsid w:val="00873A4C"/>
    <w:rsid w:val="008746B0"/>
    <w:rsid w:val="00875A04"/>
    <w:rsid w:val="00881431"/>
    <w:rsid w:val="00885F5C"/>
    <w:rsid w:val="00890495"/>
    <w:rsid w:val="008908E6"/>
    <w:rsid w:val="00891C50"/>
    <w:rsid w:val="00893CF9"/>
    <w:rsid w:val="00895579"/>
    <w:rsid w:val="00897B24"/>
    <w:rsid w:val="00897EBE"/>
    <w:rsid w:val="008A2BA4"/>
    <w:rsid w:val="008A6B3D"/>
    <w:rsid w:val="008A7DC9"/>
    <w:rsid w:val="008B0674"/>
    <w:rsid w:val="008B06CD"/>
    <w:rsid w:val="008B0A04"/>
    <w:rsid w:val="008B1021"/>
    <w:rsid w:val="008B1772"/>
    <w:rsid w:val="008B1AA9"/>
    <w:rsid w:val="008C42CD"/>
    <w:rsid w:val="008C4F37"/>
    <w:rsid w:val="008C50A0"/>
    <w:rsid w:val="008C5525"/>
    <w:rsid w:val="008C61A8"/>
    <w:rsid w:val="008D0776"/>
    <w:rsid w:val="008D10BF"/>
    <w:rsid w:val="008D406E"/>
    <w:rsid w:val="008D4092"/>
    <w:rsid w:val="008D42F5"/>
    <w:rsid w:val="008E018C"/>
    <w:rsid w:val="008E02FA"/>
    <w:rsid w:val="008E054A"/>
    <w:rsid w:val="008E059F"/>
    <w:rsid w:val="008E6172"/>
    <w:rsid w:val="008E73E7"/>
    <w:rsid w:val="008F39AD"/>
    <w:rsid w:val="008F433E"/>
    <w:rsid w:val="008F540B"/>
    <w:rsid w:val="008F5686"/>
    <w:rsid w:val="008F5B90"/>
    <w:rsid w:val="008F5FC0"/>
    <w:rsid w:val="008F7478"/>
    <w:rsid w:val="0090174C"/>
    <w:rsid w:val="00902745"/>
    <w:rsid w:val="0090371D"/>
    <w:rsid w:val="00904013"/>
    <w:rsid w:val="0090611F"/>
    <w:rsid w:val="00906F71"/>
    <w:rsid w:val="00907CDF"/>
    <w:rsid w:val="009118D6"/>
    <w:rsid w:val="00911DDF"/>
    <w:rsid w:val="00915A83"/>
    <w:rsid w:val="00916401"/>
    <w:rsid w:val="00917F9A"/>
    <w:rsid w:val="0092058C"/>
    <w:rsid w:val="00922C48"/>
    <w:rsid w:val="00923C5B"/>
    <w:rsid w:val="00926336"/>
    <w:rsid w:val="009269AE"/>
    <w:rsid w:val="009271F5"/>
    <w:rsid w:val="00930AFA"/>
    <w:rsid w:val="009314D5"/>
    <w:rsid w:val="00931BC6"/>
    <w:rsid w:val="0093200D"/>
    <w:rsid w:val="009330D7"/>
    <w:rsid w:val="00933C2A"/>
    <w:rsid w:val="00933F0C"/>
    <w:rsid w:val="00934CD1"/>
    <w:rsid w:val="00935749"/>
    <w:rsid w:val="00935BE4"/>
    <w:rsid w:val="00940287"/>
    <w:rsid w:val="00941EEA"/>
    <w:rsid w:val="00942369"/>
    <w:rsid w:val="00944292"/>
    <w:rsid w:val="00945790"/>
    <w:rsid w:val="00945C30"/>
    <w:rsid w:val="00950B3B"/>
    <w:rsid w:val="00952702"/>
    <w:rsid w:val="00954530"/>
    <w:rsid w:val="009552C0"/>
    <w:rsid w:val="00955F43"/>
    <w:rsid w:val="009562E9"/>
    <w:rsid w:val="00956E2B"/>
    <w:rsid w:val="00962D32"/>
    <w:rsid w:val="00963E32"/>
    <w:rsid w:val="00964032"/>
    <w:rsid w:val="0096420F"/>
    <w:rsid w:val="00967FCF"/>
    <w:rsid w:val="00970378"/>
    <w:rsid w:val="00970933"/>
    <w:rsid w:val="009713DB"/>
    <w:rsid w:val="00971EB7"/>
    <w:rsid w:val="00971F3D"/>
    <w:rsid w:val="009734CF"/>
    <w:rsid w:val="00973C1E"/>
    <w:rsid w:val="00974998"/>
    <w:rsid w:val="009764D4"/>
    <w:rsid w:val="00977ABD"/>
    <w:rsid w:val="00977E63"/>
    <w:rsid w:val="00984CCF"/>
    <w:rsid w:val="0098534F"/>
    <w:rsid w:val="00986DB4"/>
    <w:rsid w:val="0099025F"/>
    <w:rsid w:val="00990E5B"/>
    <w:rsid w:val="00992076"/>
    <w:rsid w:val="00992C7B"/>
    <w:rsid w:val="00993B6A"/>
    <w:rsid w:val="009946A9"/>
    <w:rsid w:val="009A1CF6"/>
    <w:rsid w:val="009A32BA"/>
    <w:rsid w:val="009A37E3"/>
    <w:rsid w:val="009A3942"/>
    <w:rsid w:val="009A3F9F"/>
    <w:rsid w:val="009B0559"/>
    <w:rsid w:val="009B4607"/>
    <w:rsid w:val="009B58CF"/>
    <w:rsid w:val="009B7126"/>
    <w:rsid w:val="009B7C80"/>
    <w:rsid w:val="009C076A"/>
    <w:rsid w:val="009C2501"/>
    <w:rsid w:val="009C34CC"/>
    <w:rsid w:val="009C7A03"/>
    <w:rsid w:val="009D2C8F"/>
    <w:rsid w:val="009D338D"/>
    <w:rsid w:val="009D4198"/>
    <w:rsid w:val="009D7668"/>
    <w:rsid w:val="009D76FB"/>
    <w:rsid w:val="009D7C10"/>
    <w:rsid w:val="009E135D"/>
    <w:rsid w:val="009E13FE"/>
    <w:rsid w:val="009E17C5"/>
    <w:rsid w:val="009E1C53"/>
    <w:rsid w:val="009E35A7"/>
    <w:rsid w:val="009E73A8"/>
    <w:rsid w:val="009E7CF5"/>
    <w:rsid w:val="009E7D32"/>
    <w:rsid w:val="009F08F7"/>
    <w:rsid w:val="009F3493"/>
    <w:rsid w:val="009F523B"/>
    <w:rsid w:val="00A01314"/>
    <w:rsid w:val="00A021A7"/>
    <w:rsid w:val="00A0307A"/>
    <w:rsid w:val="00A0626B"/>
    <w:rsid w:val="00A07A84"/>
    <w:rsid w:val="00A10704"/>
    <w:rsid w:val="00A10AD2"/>
    <w:rsid w:val="00A115F1"/>
    <w:rsid w:val="00A1265D"/>
    <w:rsid w:val="00A17E32"/>
    <w:rsid w:val="00A209CA"/>
    <w:rsid w:val="00A21F3E"/>
    <w:rsid w:val="00A224BB"/>
    <w:rsid w:val="00A22E9C"/>
    <w:rsid w:val="00A249D6"/>
    <w:rsid w:val="00A26406"/>
    <w:rsid w:val="00A26DDC"/>
    <w:rsid w:val="00A2770B"/>
    <w:rsid w:val="00A31AC5"/>
    <w:rsid w:val="00A32063"/>
    <w:rsid w:val="00A32DE9"/>
    <w:rsid w:val="00A34600"/>
    <w:rsid w:val="00A35FAD"/>
    <w:rsid w:val="00A367BA"/>
    <w:rsid w:val="00A37A96"/>
    <w:rsid w:val="00A410AF"/>
    <w:rsid w:val="00A41DBE"/>
    <w:rsid w:val="00A422FA"/>
    <w:rsid w:val="00A42991"/>
    <w:rsid w:val="00A44A2E"/>
    <w:rsid w:val="00A459C1"/>
    <w:rsid w:val="00A45DC0"/>
    <w:rsid w:val="00A46B5E"/>
    <w:rsid w:val="00A47F43"/>
    <w:rsid w:val="00A50D72"/>
    <w:rsid w:val="00A516B9"/>
    <w:rsid w:val="00A51AB6"/>
    <w:rsid w:val="00A53216"/>
    <w:rsid w:val="00A5360E"/>
    <w:rsid w:val="00A555C3"/>
    <w:rsid w:val="00A57D6E"/>
    <w:rsid w:val="00A60BD2"/>
    <w:rsid w:val="00A64A69"/>
    <w:rsid w:val="00A6682F"/>
    <w:rsid w:val="00A70461"/>
    <w:rsid w:val="00A71E68"/>
    <w:rsid w:val="00A7340B"/>
    <w:rsid w:val="00A75CBD"/>
    <w:rsid w:val="00A77207"/>
    <w:rsid w:val="00A807C1"/>
    <w:rsid w:val="00A80A3D"/>
    <w:rsid w:val="00A81F32"/>
    <w:rsid w:val="00A83D75"/>
    <w:rsid w:val="00A844DD"/>
    <w:rsid w:val="00A8519B"/>
    <w:rsid w:val="00A90885"/>
    <w:rsid w:val="00A908AA"/>
    <w:rsid w:val="00A9127C"/>
    <w:rsid w:val="00A9149C"/>
    <w:rsid w:val="00A9234E"/>
    <w:rsid w:val="00A92FAF"/>
    <w:rsid w:val="00A9302E"/>
    <w:rsid w:val="00A95BB6"/>
    <w:rsid w:val="00A97BC9"/>
    <w:rsid w:val="00A97DD3"/>
    <w:rsid w:val="00AA0104"/>
    <w:rsid w:val="00AA100B"/>
    <w:rsid w:val="00AA269D"/>
    <w:rsid w:val="00AA7264"/>
    <w:rsid w:val="00AB044B"/>
    <w:rsid w:val="00AB2717"/>
    <w:rsid w:val="00AB2965"/>
    <w:rsid w:val="00AB2CEA"/>
    <w:rsid w:val="00AB2D9F"/>
    <w:rsid w:val="00AB329C"/>
    <w:rsid w:val="00AB3645"/>
    <w:rsid w:val="00AB3921"/>
    <w:rsid w:val="00AB4A49"/>
    <w:rsid w:val="00AB4FE5"/>
    <w:rsid w:val="00AB7CB7"/>
    <w:rsid w:val="00AC0D5E"/>
    <w:rsid w:val="00AC13CB"/>
    <w:rsid w:val="00AC20B2"/>
    <w:rsid w:val="00AC465C"/>
    <w:rsid w:val="00AC77EF"/>
    <w:rsid w:val="00AD1911"/>
    <w:rsid w:val="00AD1EA7"/>
    <w:rsid w:val="00AD2900"/>
    <w:rsid w:val="00AD4CDA"/>
    <w:rsid w:val="00AD776B"/>
    <w:rsid w:val="00AD7B01"/>
    <w:rsid w:val="00AD7D4A"/>
    <w:rsid w:val="00AE11E2"/>
    <w:rsid w:val="00AE13DC"/>
    <w:rsid w:val="00AE1F81"/>
    <w:rsid w:val="00AE3A41"/>
    <w:rsid w:val="00AE410D"/>
    <w:rsid w:val="00AE481B"/>
    <w:rsid w:val="00AE4822"/>
    <w:rsid w:val="00AE725D"/>
    <w:rsid w:val="00AF2121"/>
    <w:rsid w:val="00AF2603"/>
    <w:rsid w:val="00AF5487"/>
    <w:rsid w:val="00AF7550"/>
    <w:rsid w:val="00B003BC"/>
    <w:rsid w:val="00B03D9E"/>
    <w:rsid w:val="00B07294"/>
    <w:rsid w:val="00B10FAA"/>
    <w:rsid w:val="00B1175F"/>
    <w:rsid w:val="00B14987"/>
    <w:rsid w:val="00B16281"/>
    <w:rsid w:val="00B167E1"/>
    <w:rsid w:val="00B16C0A"/>
    <w:rsid w:val="00B175F3"/>
    <w:rsid w:val="00B20047"/>
    <w:rsid w:val="00B2027C"/>
    <w:rsid w:val="00B23BDE"/>
    <w:rsid w:val="00B2463E"/>
    <w:rsid w:val="00B24F72"/>
    <w:rsid w:val="00B25E8A"/>
    <w:rsid w:val="00B26144"/>
    <w:rsid w:val="00B262CC"/>
    <w:rsid w:val="00B265A5"/>
    <w:rsid w:val="00B30BE3"/>
    <w:rsid w:val="00B323D4"/>
    <w:rsid w:val="00B33129"/>
    <w:rsid w:val="00B3337D"/>
    <w:rsid w:val="00B35FC2"/>
    <w:rsid w:val="00B36592"/>
    <w:rsid w:val="00B3748B"/>
    <w:rsid w:val="00B37F5E"/>
    <w:rsid w:val="00B415ED"/>
    <w:rsid w:val="00B42087"/>
    <w:rsid w:val="00B44876"/>
    <w:rsid w:val="00B449A5"/>
    <w:rsid w:val="00B459CF"/>
    <w:rsid w:val="00B46756"/>
    <w:rsid w:val="00B5209B"/>
    <w:rsid w:val="00B52312"/>
    <w:rsid w:val="00B52473"/>
    <w:rsid w:val="00B5405E"/>
    <w:rsid w:val="00B56508"/>
    <w:rsid w:val="00B6109B"/>
    <w:rsid w:val="00B62E79"/>
    <w:rsid w:val="00B63DA9"/>
    <w:rsid w:val="00B64D62"/>
    <w:rsid w:val="00B66391"/>
    <w:rsid w:val="00B66A65"/>
    <w:rsid w:val="00B66E53"/>
    <w:rsid w:val="00B67F0B"/>
    <w:rsid w:val="00B71444"/>
    <w:rsid w:val="00B72089"/>
    <w:rsid w:val="00B727FB"/>
    <w:rsid w:val="00B739F6"/>
    <w:rsid w:val="00B73A65"/>
    <w:rsid w:val="00B745E0"/>
    <w:rsid w:val="00B74D53"/>
    <w:rsid w:val="00B758BD"/>
    <w:rsid w:val="00B825D4"/>
    <w:rsid w:val="00B858B8"/>
    <w:rsid w:val="00B90DBD"/>
    <w:rsid w:val="00B9112B"/>
    <w:rsid w:val="00B915B7"/>
    <w:rsid w:val="00B9722B"/>
    <w:rsid w:val="00B974AB"/>
    <w:rsid w:val="00BA1A95"/>
    <w:rsid w:val="00BA2050"/>
    <w:rsid w:val="00BA2919"/>
    <w:rsid w:val="00BA4806"/>
    <w:rsid w:val="00BA4A6B"/>
    <w:rsid w:val="00BA5021"/>
    <w:rsid w:val="00BA5651"/>
    <w:rsid w:val="00BA6B1F"/>
    <w:rsid w:val="00BB0B3B"/>
    <w:rsid w:val="00BB6A4A"/>
    <w:rsid w:val="00BC00E9"/>
    <w:rsid w:val="00BC05C4"/>
    <w:rsid w:val="00BC1455"/>
    <w:rsid w:val="00BC1808"/>
    <w:rsid w:val="00BC1DA4"/>
    <w:rsid w:val="00BC3734"/>
    <w:rsid w:val="00BC3C7B"/>
    <w:rsid w:val="00BC636E"/>
    <w:rsid w:val="00BC7A6F"/>
    <w:rsid w:val="00BC7CF3"/>
    <w:rsid w:val="00BD08BB"/>
    <w:rsid w:val="00BD19E6"/>
    <w:rsid w:val="00BD76BA"/>
    <w:rsid w:val="00BD77DD"/>
    <w:rsid w:val="00BE0403"/>
    <w:rsid w:val="00BE2A0C"/>
    <w:rsid w:val="00BE3229"/>
    <w:rsid w:val="00BE441B"/>
    <w:rsid w:val="00BE44BD"/>
    <w:rsid w:val="00BF00BC"/>
    <w:rsid w:val="00BF03E8"/>
    <w:rsid w:val="00BF05F7"/>
    <w:rsid w:val="00BF13DD"/>
    <w:rsid w:val="00BF19B1"/>
    <w:rsid w:val="00BF1FDE"/>
    <w:rsid w:val="00BF274F"/>
    <w:rsid w:val="00BF2A42"/>
    <w:rsid w:val="00BF2D91"/>
    <w:rsid w:val="00BF3324"/>
    <w:rsid w:val="00BF3C37"/>
    <w:rsid w:val="00BF3F5C"/>
    <w:rsid w:val="00BF64A3"/>
    <w:rsid w:val="00BF702C"/>
    <w:rsid w:val="00BF7557"/>
    <w:rsid w:val="00BF7827"/>
    <w:rsid w:val="00BF7E7C"/>
    <w:rsid w:val="00C02778"/>
    <w:rsid w:val="00C02B20"/>
    <w:rsid w:val="00C06DFD"/>
    <w:rsid w:val="00C0781F"/>
    <w:rsid w:val="00C11A66"/>
    <w:rsid w:val="00C15360"/>
    <w:rsid w:val="00C1730C"/>
    <w:rsid w:val="00C1744E"/>
    <w:rsid w:val="00C177F2"/>
    <w:rsid w:val="00C208B8"/>
    <w:rsid w:val="00C231DE"/>
    <w:rsid w:val="00C2496D"/>
    <w:rsid w:val="00C26AD8"/>
    <w:rsid w:val="00C271AB"/>
    <w:rsid w:val="00C31BBC"/>
    <w:rsid w:val="00C32B85"/>
    <w:rsid w:val="00C333EC"/>
    <w:rsid w:val="00C34AE0"/>
    <w:rsid w:val="00C35073"/>
    <w:rsid w:val="00C35DC0"/>
    <w:rsid w:val="00C36D8E"/>
    <w:rsid w:val="00C40D5F"/>
    <w:rsid w:val="00C419C7"/>
    <w:rsid w:val="00C42310"/>
    <w:rsid w:val="00C42A25"/>
    <w:rsid w:val="00C45E5F"/>
    <w:rsid w:val="00C46B21"/>
    <w:rsid w:val="00C51F7E"/>
    <w:rsid w:val="00C522DD"/>
    <w:rsid w:val="00C527BC"/>
    <w:rsid w:val="00C54627"/>
    <w:rsid w:val="00C5519D"/>
    <w:rsid w:val="00C55431"/>
    <w:rsid w:val="00C6076E"/>
    <w:rsid w:val="00C61989"/>
    <w:rsid w:val="00C624F8"/>
    <w:rsid w:val="00C66611"/>
    <w:rsid w:val="00C668FC"/>
    <w:rsid w:val="00C66E55"/>
    <w:rsid w:val="00C67040"/>
    <w:rsid w:val="00C70264"/>
    <w:rsid w:val="00C704F8"/>
    <w:rsid w:val="00C705BC"/>
    <w:rsid w:val="00C70E77"/>
    <w:rsid w:val="00C73236"/>
    <w:rsid w:val="00C733A5"/>
    <w:rsid w:val="00C742AD"/>
    <w:rsid w:val="00C75B2E"/>
    <w:rsid w:val="00C765D0"/>
    <w:rsid w:val="00C76C35"/>
    <w:rsid w:val="00C77C61"/>
    <w:rsid w:val="00C77FA9"/>
    <w:rsid w:val="00C86748"/>
    <w:rsid w:val="00C87AA5"/>
    <w:rsid w:val="00C90A36"/>
    <w:rsid w:val="00C9152B"/>
    <w:rsid w:val="00C925D9"/>
    <w:rsid w:val="00C92A34"/>
    <w:rsid w:val="00C93B83"/>
    <w:rsid w:val="00C965C5"/>
    <w:rsid w:val="00CA5287"/>
    <w:rsid w:val="00CA612B"/>
    <w:rsid w:val="00CA62C3"/>
    <w:rsid w:val="00CA7845"/>
    <w:rsid w:val="00CB09C2"/>
    <w:rsid w:val="00CB6AEE"/>
    <w:rsid w:val="00CB6BBA"/>
    <w:rsid w:val="00CB6FCF"/>
    <w:rsid w:val="00CC0897"/>
    <w:rsid w:val="00CC0E6F"/>
    <w:rsid w:val="00CC0ECC"/>
    <w:rsid w:val="00CC0F92"/>
    <w:rsid w:val="00CC42C0"/>
    <w:rsid w:val="00CC5B35"/>
    <w:rsid w:val="00CD6B8C"/>
    <w:rsid w:val="00CD749A"/>
    <w:rsid w:val="00CE122E"/>
    <w:rsid w:val="00CE14A1"/>
    <w:rsid w:val="00CE299A"/>
    <w:rsid w:val="00CE4ADC"/>
    <w:rsid w:val="00CE4E84"/>
    <w:rsid w:val="00CE5DA2"/>
    <w:rsid w:val="00CE7E14"/>
    <w:rsid w:val="00CF2B2B"/>
    <w:rsid w:val="00CF3BED"/>
    <w:rsid w:val="00D009EB"/>
    <w:rsid w:val="00D03616"/>
    <w:rsid w:val="00D04B2C"/>
    <w:rsid w:val="00D051FE"/>
    <w:rsid w:val="00D05F69"/>
    <w:rsid w:val="00D0614C"/>
    <w:rsid w:val="00D10148"/>
    <w:rsid w:val="00D126CB"/>
    <w:rsid w:val="00D16E25"/>
    <w:rsid w:val="00D170F5"/>
    <w:rsid w:val="00D171AE"/>
    <w:rsid w:val="00D17572"/>
    <w:rsid w:val="00D21D16"/>
    <w:rsid w:val="00D229BA"/>
    <w:rsid w:val="00D230D3"/>
    <w:rsid w:val="00D2398A"/>
    <w:rsid w:val="00D24359"/>
    <w:rsid w:val="00D25FB1"/>
    <w:rsid w:val="00D267A4"/>
    <w:rsid w:val="00D270E1"/>
    <w:rsid w:val="00D27C06"/>
    <w:rsid w:val="00D321AF"/>
    <w:rsid w:val="00D37C0E"/>
    <w:rsid w:val="00D37DD2"/>
    <w:rsid w:val="00D4040C"/>
    <w:rsid w:val="00D405E2"/>
    <w:rsid w:val="00D418DE"/>
    <w:rsid w:val="00D41F88"/>
    <w:rsid w:val="00D42673"/>
    <w:rsid w:val="00D4348E"/>
    <w:rsid w:val="00D44ED5"/>
    <w:rsid w:val="00D44F7A"/>
    <w:rsid w:val="00D450A4"/>
    <w:rsid w:val="00D51BC4"/>
    <w:rsid w:val="00D51C53"/>
    <w:rsid w:val="00D5204B"/>
    <w:rsid w:val="00D54264"/>
    <w:rsid w:val="00D542B8"/>
    <w:rsid w:val="00D54985"/>
    <w:rsid w:val="00D54E40"/>
    <w:rsid w:val="00D55F5D"/>
    <w:rsid w:val="00D56825"/>
    <w:rsid w:val="00D5692D"/>
    <w:rsid w:val="00D56E3A"/>
    <w:rsid w:val="00D576D2"/>
    <w:rsid w:val="00D62EBE"/>
    <w:rsid w:val="00D63B7E"/>
    <w:rsid w:val="00D645CE"/>
    <w:rsid w:val="00D64A7A"/>
    <w:rsid w:val="00D64C54"/>
    <w:rsid w:val="00D663C2"/>
    <w:rsid w:val="00D7005F"/>
    <w:rsid w:val="00D70785"/>
    <w:rsid w:val="00D70A59"/>
    <w:rsid w:val="00D70C8B"/>
    <w:rsid w:val="00D726B0"/>
    <w:rsid w:val="00D72CD5"/>
    <w:rsid w:val="00D733BD"/>
    <w:rsid w:val="00D73BFA"/>
    <w:rsid w:val="00D74093"/>
    <w:rsid w:val="00D74137"/>
    <w:rsid w:val="00D76A3C"/>
    <w:rsid w:val="00D77091"/>
    <w:rsid w:val="00D803B0"/>
    <w:rsid w:val="00D80CA5"/>
    <w:rsid w:val="00D81081"/>
    <w:rsid w:val="00D81F0E"/>
    <w:rsid w:val="00D82184"/>
    <w:rsid w:val="00D845DC"/>
    <w:rsid w:val="00D84993"/>
    <w:rsid w:val="00D858CF"/>
    <w:rsid w:val="00D8606B"/>
    <w:rsid w:val="00D91102"/>
    <w:rsid w:val="00D93536"/>
    <w:rsid w:val="00D9413F"/>
    <w:rsid w:val="00D96344"/>
    <w:rsid w:val="00D96517"/>
    <w:rsid w:val="00D96F21"/>
    <w:rsid w:val="00DA0ED8"/>
    <w:rsid w:val="00DA5E35"/>
    <w:rsid w:val="00DB1BCD"/>
    <w:rsid w:val="00DB2BE6"/>
    <w:rsid w:val="00DB2CA9"/>
    <w:rsid w:val="00DB4598"/>
    <w:rsid w:val="00DB6A0A"/>
    <w:rsid w:val="00DB6B76"/>
    <w:rsid w:val="00DC5E94"/>
    <w:rsid w:val="00DD0E9B"/>
    <w:rsid w:val="00DD1358"/>
    <w:rsid w:val="00DD208C"/>
    <w:rsid w:val="00DD37D7"/>
    <w:rsid w:val="00DD539E"/>
    <w:rsid w:val="00DD63E3"/>
    <w:rsid w:val="00DD7316"/>
    <w:rsid w:val="00DD77EF"/>
    <w:rsid w:val="00DD7F78"/>
    <w:rsid w:val="00DE0773"/>
    <w:rsid w:val="00DE4B6C"/>
    <w:rsid w:val="00DF0D17"/>
    <w:rsid w:val="00DF16EE"/>
    <w:rsid w:val="00DF21D1"/>
    <w:rsid w:val="00DF31B8"/>
    <w:rsid w:val="00DF682C"/>
    <w:rsid w:val="00DF6C77"/>
    <w:rsid w:val="00E00728"/>
    <w:rsid w:val="00E00DF3"/>
    <w:rsid w:val="00E019C6"/>
    <w:rsid w:val="00E039DA"/>
    <w:rsid w:val="00E039E9"/>
    <w:rsid w:val="00E0517E"/>
    <w:rsid w:val="00E05BC0"/>
    <w:rsid w:val="00E07C8B"/>
    <w:rsid w:val="00E10C66"/>
    <w:rsid w:val="00E12018"/>
    <w:rsid w:val="00E141CE"/>
    <w:rsid w:val="00E142DB"/>
    <w:rsid w:val="00E1691D"/>
    <w:rsid w:val="00E1767F"/>
    <w:rsid w:val="00E17702"/>
    <w:rsid w:val="00E224E4"/>
    <w:rsid w:val="00E226B6"/>
    <w:rsid w:val="00E23481"/>
    <w:rsid w:val="00E2382B"/>
    <w:rsid w:val="00E24988"/>
    <w:rsid w:val="00E26E32"/>
    <w:rsid w:val="00E27B98"/>
    <w:rsid w:val="00E305E2"/>
    <w:rsid w:val="00E3065D"/>
    <w:rsid w:val="00E30768"/>
    <w:rsid w:val="00E318CC"/>
    <w:rsid w:val="00E335B5"/>
    <w:rsid w:val="00E35048"/>
    <w:rsid w:val="00E350B9"/>
    <w:rsid w:val="00E35BC3"/>
    <w:rsid w:val="00E363F5"/>
    <w:rsid w:val="00E36C48"/>
    <w:rsid w:val="00E37FC7"/>
    <w:rsid w:val="00E42CB3"/>
    <w:rsid w:val="00E4376D"/>
    <w:rsid w:val="00E47B6B"/>
    <w:rsid w:val="00E500D2"/>
    <w:rsid w:val="00E509D3"/>
    <w:rsid w:val="00E52113"/>
    <w:rsid w:val="00E52880"/>
    <w:rsid w:val="00E547C0"/>
    <w:rsid w:val="00E56432"/>
    <w:rsid w:val="00E56E1B"/>
    <w:rsid w:val="00E571B4"/>
    <w:rsid w:val="00E57730"/>
    <w:rsid w:val="00E629BB"/>
    <w:rsid w:val="00E639D5"/>
    <w:rsid w:val="00E63B51"/>
    <w:rsid w:val="00E64FF5"/>
    <w:rsid w:val="00E66F7A"/>
    <w:rsid w:val="00E677E8"/>
    <w:rsid w:val="00E701EB"/>
    <w:rsid w:val="00E70D90"/>
    <w:rsid w:val="00E722C1"/>
    <w:rsid w:val="00E72386"/>
    <w:rsid w:val="00E72BDA"/>
    <w:rsid w:val="00E73D3C"/>
    <w:rsid w:val="00E73E1F"/>
    <w:rsid w:val="00E74E36"/>
    <w:rsid w:val="00E75C69"/>
    <w:rsid w:val="00E7763A"/>
    <w:rsid w:val="00E8140B"/>
    <w:rsid w:val="00E826CC"/>
    <w:rsid w:val="00E83E82"/>
    <w:rsid w:val="00E844EF"/>
    <w:rsid w:val="00E85B13"/>
    <w:rsid w:val="00E85C34"/>
    <w:rsid w:val="00E85C99"/>
    <w:rsid w:val="00E862D3"/>
    <w:rsid w:val="00E87921"/>
    <w:rsid w:val="00E87BB7"/>
    <w:rsid w:val="00E90589"/>
    <w:rsid w:val="00E9360C"/>
    <w:rsid w:val="00E944A0"/>
    <w:rsid w:val="00E950EF"/>
    <w:rsid w:val="00E957A3"/>
    <w:rsid w:val="00E96F7C"/>
    <w:rsid w:val="00E979BA"/>
    <w:rsid w:val="00E979E3"/>
    <w:rsid w:val="00EA1C39"/>
    <w:rsid w:val="00EA2791"/>
    <w:rsid w:val="00EA4B69"/>
    <w:rsid w:val="00EA4BDF"/>
    <w:rsid w:val="00EA59DF"/>
    <w:rsid w:val="00EA6239"/>
    <w:rsid w:val="00EB01FD"/>
    <w:rsid w:val="00EB0376"/>
    <w:rsid w:val="00EB2977"/>
    <w:rsid w:val="00EB6573"/>
    <w:rsid w:val="00EC08E3"/>
    <w:rsid w:val="00EC1748"/>
    <w:rsid w:val="00EC26E1"/>
    <w:rsid w:val="00EC36AD"/>
    <w:rsid w:val="00EC3DD7"/>
    <w:rsid w:val="00EC4A2A"/>
    <w:rsid w:val="00EC5864"/>
    <w:rsid w:val="00EC59A3"/>
    <w:rsid w:val="00EC5E20"/>
    <w:rsid w:val="00EC65FB"/>
    <w:rsid w:val="00ED29B8"/>
    <w:rsid w:val="00ED2A95"/>
    <w:rsid w:val="00ED50E2"/>
    <w:rsid w:val="00ED721C"/>
    <w:rsid w:val="00EE0494"/>
    <w:rsid w:val="00EE1BBF"/>
    <w:rsid w:val="00EE4070"/>
    <w:rsid w:val="00EE5601"/>
    <w:rsid w:val="00EE5A5D"/>
    <w:rsid w:val="00EE5A65"/>
    <w:rsid w:val="00EE5A7B"/>
    <w:rsid w:val="00EE5D35"/>
    <w:rsid w:val="00EE6714"/>
    <w:rsid w:val="00EE691F"/>
    <w:rsid w:val="00EE6DAC"/>
    <w:rsid w:val="00EE7BED"/>
    <w:rsid w:val="00EE7E05"/>
    <w:rsid w:val="00EF3BAB"/>
    <w:rsid w:val="00EF422B"/>
    <w:rsid w:val="00EF446A"/>
    <w:rsid w:val="00EF6D79"/>
    <w:rsid w:val="00EF6DDE"/>
    <w:rsid w:val="00F0150D"/>
    <w:rsid w:val="00F01965"/>
    <w:rsid w:val="00F01F30"/>
    <w:rsid w:val="00F0342D"/>
    <w:rsid w:val="00F04C20"/>
    <w:rsid w:val="00F052BC"/>
    <w:rsid w:val="00F05AE3"/>
    <w:rsid w:val="00F1104B"/>
    <w:rsid w:val="00F1171B"/>
    <w:rsid w:val="00F1266D"/>
    <w:rsid w:val="00F12C76"/>
    <w:rsid w:val="00F1328A"/>
    <w:rsid w:val="00F13BE3"/>
    <w:rsid w:val="00F15E72"/>
    <w:rsid w:val="00F161A1"/>
    <w:rsid w:val="00F17B22"/>
    <w:rsid w:val="00F20872"/>
    <w:rsid w:val="00F2310A"/>
    <w:rsid w:val="00F2355A"/>
    <w:rsid w:val="00F238FC"/>
    <w:rsid w:val="00F23E54"/>
    <w:rsid w:val="00F245D7"/>
    <w:rsid w:val="00F247FA"/>
    <w:rsid w:val="00F24C98"/>
    <w:rsid w:val="00F24E2C"/>
    <w:rsid w:val="00F24FA5"/>
    <w:rsid w:val="00F257D3"/>
    <w:rsid w:val="00F26021"/>
    <w:rsid w:val="00F263BC"/>
    <w:rsid w:val="00F27CA1"/>
    <w:rsid w:val="00F321D9"/>
    <w:rsid w:val="00F33DBA"/>
    <w:rsid w:val="00F366C9"/>
    <w:rsid w:val="00F402D6"/>
    <w:rsid w:val="00F44191"/>
    <w:rsid w:val="00F45261"/>
    <w:rsid w:val="00F51D48"/>
    <w:rsid w:val="00F52348"/>
    <w:rsid w:val="00F534C2"/>
    <w:rsid w:val="00F57871"/>
    <w:rsid w:val="00F57A94"/>
    <w:rsid w:val="00F60A52"/>
    <w:rsid w:val="00F6123A"/>
    <w:rsid w:val="00F61909"/>
    <w:rsid w:val="00F65E4C"/>
    <w:rsid w:val="00F66E50"/>
    <w:rsid w:val="00F70B10"/>
    <w:rsid w:val="00F70C00"/>
    <w:rsid w:val="00F71478"/>
    <w:rsid w:val="00F727E3"/>
    <w:rsid w:val="00F74716"/>
    <w:rsid w:val="00F74F90"/>
    <w:rsid w:val="00F75708"/>
    <w:rsid w:val="00F7604F"/>
    <w:rsid w:val="00F8027E"/>
    <w:rsid w:val="00F815C2"/>
    <w:rsid w:val="00F82554"/>
    <w:rsid w:val="00F82C3D"/>
    <w:rsid w:val="00F834AF"/>
    <w:rsid w:val="00F84999"/>
    <w:rsid w:val="00F84FD9"/>
    <w:rsid w:val="00F85D12"/>
    <w:rsid w:val="00F86039"/>
    <w:rsid w:val="00F9037D"/>
    <w:rsid w:val="00F9097D"/>
    <w:rsid w:val="00F92538"/>
    <w:rsid w:val="00F92EA6"/>
    <w:rsid w:val="00F93FDB"/>
    <w:rsid w:val="00F97DFC"/>
    <w:rsid w:val="00FA19C8"/>
    <w:rsid w:val="00FA3419"/>
    <w:rsid w:val="00FA5896"/>
    <w:rsid w:val="00FA7DF4"/>
    <w:rsid w:val="00FB2463"/>
    <w:rsid w:val="00FB2AD9"/>
    <w:rsid w:val="00FB36FD"/>
    <w:rsid w:val="00FB3F63"/>
    <w:rsid w:val="00FB3FCB"/>
    <w:rsid w:val="00FB48A2"/>
    <w:rsid w:val="00FB4A3F"/>
    <w:rsid w:val="00FB71EB"/>
    <w:rsid w:val="00FB7953"/>
    <w:rsid w:val="00FC1173"/>
    <w:rsid w:val="00FC50A8"/>
    <w:rsid w:val="00FC63FB"/>
    <w:rsid w:val="00FC6A11"/>
    <w:rsid w:val="00FC6EFD"/>
    <w:rsid w:val="00FC7084"/>
    <w:rsid w:val="00FD0154"/>
    <w:rsid w:val="00FD1B56"/>
    <w:rsid w:val="00FE2F22"/>
    <w:rsid w:val="00FE322C"/>
    <w:rsid w:val="00FE3F8A"/>
    <w:rsid w:val="00FE4B8F"/>
    <w:rsid w:val="00FE515A"/>
    <w:rsid w:val="00FE6B9D"/>
    <w:rsid w:val="00FE760B"/>
    <w:rsid w:val="00FF2592"/>
    <w:rsid w:val="00FF2B90"/>
    <w:rsid w:val="00FF7C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5DA1D15"/>
  <w15:chartTrackingRefBased/>
  <w15:docId w15:val="{CFB9E298-07D6-458D-AE32-BF959BD37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96F7C"/>
    <w:pPr>
      <w:spacing w:after="0" w:line="360" w:lineRule="auto"/>
      <w:ind w:firstLine="709"/>
      <w:jc w:val="both"/>
    </w:pPr>
    <w:rPr>
      <w:rFonts w:ascii="Times New Roman" w:hAnsi="Times New Roman"/>
      <w:sz w:val="24"/>
    </w:rPr>
  </w:style>
  <w:style w:type="paragraph" w:styleId="1">
    <w:name w:val="heading 1"/>
    <w:basedOn w:val="a"/>
    <w:next w:val="a"/>
    <w:link w:val="10"/>
    <w:uiPriority w:val="9"/>
    <w:qFormat/>
    <w:rsid w:val="005C16E5"/>
    <w:pPr>
      <w:keepNext/>
      <w:keepLines/>
      <w:pageBreakBefore/>
      <w:numPr>
        <w:numId w:val="1"/>
      </w:numPr>
      <w:ind w:firstLine="709"/>
      <w:outlineLvl w:val="0"/>
    </w:pPr>
    <w:rPr>
      <w:rFonts w:eastAsiaTheme="majorEastAsia" w:cstheme="majorBidi"/>
      <w:b/>
      <w:szCs w:val="32"/>
    </w:rPr>
  </w:style>
  <w:style w:type="paragraph" w:styleId="2">
    <w:name w:val="heading 2"/>
    <w:basedOn w:val="a"/>
    <w:next w:val="a"/>
    <w:link w:val="20"/>
    <w:uiPriority w:val="9"/>
    <w:unhideWhenUsed/>
    <w:qFormat/>
    <w:rsid w:val="005C16E5"/>
    <w:pPr>
      <w:keepNext/>
      <w:keepLines/>
      <w:numPr>
        <w:ilvl w:val="1"/>
        <w:numId w:val="1"/>
      </w:numPr>
      <w:ind w:firstLine="709"/>
      <w:outlineLvl w:val="1"/>
    </w:pPr>
    <w:rPr>
      <w:rFonts w:eastAsiaTheme="majorEastAsia" w:cstheme="majorBidi"/>
      <w:b/>
      <w:szCs w:val="26"/>
    </w:rPr>
  </w:style>
  <w:style w:type="paragraph" w:styleId="3">
    <w:name w:val="heading 3"/>
    <w:basedOn w:val="a"/>
    <w:next w:val="a"/>
    <w:link w:val="30"/>
    <w:uiPriority w:val="9"/>
    <w:unhideWhenUsed/>
    <w:qFormat/>
    <w:rsid w:val="005C16E5"/>
    <w:pPr>
      <w:keepNext/>
      <w:keepLines/>
      <w:numPr>
        <w:ilvl w:val="2"/>
        <w:numId w:val="1"/>
      </w:numPr>
      <w:ind w:firstLine="709"/>
      <w:outlineLvl w:val="2"/>
    </w:pPr>
    <w:rPr>
      <w:rFonts w:eastAsiaTheme="majorEastAsia" w:cstheme="majorBidi"/>
      <w:szCs w:val="24"/>
    </w:rPr>
  </w:style>
  <w:style w:type="paragraph" w:styleId="4">
    <w:name w:val="heading 4"/>
    <w:basedOn w:val="a"/>
    <w:next w:val="a"/>
    <w:link w:val="40"/>
    <w:uiPriority w:val="9"/>
    <w:unhideWhenUsed/>
    <w:qFormat/>
    <w:rsid w:val="005C16E5"/>
    <w:pPr>
      <w:keepNext/>
      <w:keepLines/>
      <w:numPr>
        <w:ilvl w:val="3"/>
        <w:numId w:val="1"/>
      </w:numPr>
      <w:ind w:firstLine="709"/>
      <w:outlineLvl w:val="3"/>
    </w:pPr>
    <w:rPr>
      <w:rFonts w:eastAsiaTheme="majorEastAsia" w:cstheme="majorBidi"/>
      <w:iCs/>
    </w:rPr>
  </w:style>
  <w:style w:type="paragraph" w:styleId="5">
    <w:name w:val="heading 5"/>
    <w:basedOn w:val="a"/>
    <w:next w:val="a"/>
    <w:link w:val="50"/>
    <w:uiPriority w:val="9"/>
    <w:unhideWhenUsed/>
    <w:qFormat/>
    <w:rsid w:val="005C16E5"/>
    <w:pPr>
      <w:keepNext/>
      <w:keepLines/>
      <w:numPr>
        <w:ilvl w:val="4"/>
        <w:numId w:val="1"/>
      </w:numPr>
      <w:ind w:firstLine="709"/>
      <w:outlineLvl w:val="4"/>
    </w:pPr>
    <w:rPr>
      <w:rFonts w:eastAsiaTheme="majorEastAsia" w:cstheme="majorBidi"/>
    </w:rPr>
  </w:style>
  <w:style w:type="paragraph" w:styleId="6">
    <w:name w:val="heading 6"/>
    <w:basedOn w:val="a"/>
    <w:next w:val="a"/>
    <w:link w:val="60"/>
    <w:uiPriority w:val="9"/>
    <w:unhideWhenUsed/>
    <w:qFormat/>
    <w:rsid w:val="00D270E1"/>
    <w:pPr>
      <w:keepNext/>
      <w:keepLines/>
      <w:ind w:firstLine="0"/>
      <w:jc w:val="center"/>
      <w:outlineLvl w:val="5"/>
    </w:pPr>
    <w:rPr>
      <w:rFonts w:eastAsiaTheme="majorEastAsia"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C16E5"/>
    <w:rPr>
      <w:rFonts w:ascii="Times New Roman" w:eastAsiaTheme="majorEastAsia" w:hAnsi="Times New Roman" w:cstheme="majorBidi"/>
      <w:b/>
      <w:sz w:val="24"/>
      <w:szCs w:val="32"/>
    </w:rPr>
  </w:style>
  <w:style w:type="character" w:customStyle="1" w:styleId="20">
    <w:name w:val="Заголовок 2 Знак"/>
    <w:basedOn w:val="a0"/>
    <w:link w:val="2"/>
    <w:uiPriority w:val="9"/>
    <w:rsid w:val="005C16E5"/>
    <w:rPr>
      <w:rFonts w:ascii="Times New Roman" w:eastAsiaTheme="majorEastAsia" w:hAnsi="Times New Roman" w:cstheme="majorBidi"/>
      <w:b/>
      <w:sz w:val="24"/>
      <w:szCs w:val="26"/>
    </w:rPr>
  </w:style>
  <w:style w:type="character" w:customStyle="1" w:styleId="30">
    <w:name w:val="Заголовок 3 Знак"/>
    <w:basedOn w:val="a0"/>
    <w:link w:val="3"/>
    <w:uiPriority w:val="9"/>
    <w:rsid w:val="005C16E5"/>
    <w:rPr>
      <w:rFonts w:ascii="Times New Roman" w:eastAsiaTheme="majorEastAsia" w:hAnsi="Times New Roman" w:cstheme="majorBidi"/>
      <w:sz w:val="24"/>
      <w:szCs w:val="24"/>
    </w:rPr>
  </w:style>
  <w:style w:type="character" w:customStyle="1" w:styleId="40">
    <w:name w:val="Заголовок 4 Знак"/>
    <w:basedOn w:val="a0"/>
    <w:link w:val="4"/>
    <w:uiPriority w:val="9"/>
    <w:rsid w:val="005C16E5"/>
    <w:rPr>
      <w:rFonts w:ascii="Times New Roman" w:eastAsiaTheme="majorEastAsia" w:hAnsi="Times New Roman" w:cstheme="majorBidi"/>
      <w:iCs/>
      <w:sz w:val="24"/>
    </w:rPr>
  </w:style>
  <w:style w:type="character" w:customStyle="1" w:styleId="50">
    <w:name w:val="Заголовок 5 Знак"/>
    <w:basedOn w:val="a0"/>
    <w:link w:val="5"/>
    <w:uiPriority w:val="9"/>
    <w:rsid w:val="005C16E5"/>
    <w:rPr>
      <w:rFonts w:ascii="Times New Roman" w:eastAsiaTheme="majorEastAsia" w:hAnsi="Times New Roman" w:cstheme="majorBidi"/>
      <w:sz w:val="24"/>
    </w:rPr>
  </w:style>
  <w:style w:type="paragraph" w:styleId="a3">
    <w:name w:val="header"/>
    <w:basedOn w:val="a"/>
    <w:link w:val="a4"/>
    <w:uiPriority w:val="99"/>
    <w:unhideWhenUsed/>
    <w:rsid w:val="00D74093"/>
    <w:pPr>
      <w:tabs>
        <w:tab w:val="center" w:pos="4677"/>
        <w:tab w:val="right" w:pos="9355"/>
      </w:tabs>
      <w:spacing w:line="240" w:lineRule="auto"/>
    </w:pPr>
  </w:style>
  <w:style w:type="character" w:customStyle="1" w:styleId="a4">
    <w:name w:val="Верхний колонтитул Знак"/>
    <w:basedOn w:val="a0"/>
    <w:link w:val="a3"/>
    <w:uiPriority w:val="99"/>
    <w:rsid w:val="00D74093"/>
    <w:rPr>
      <w:rFonts w:ascii="Times New Roman" w:hAnsi="Times New Roman"/>
      <w:sz w:val="24"/>
    </w:rPr>
  </w:style>
  <w:style w:type="paragraph" w:styleId="a5">
    <w:name w:val="footer"/>
    <w:basedOn w:val="a"/>
    <w:link w:val="a6"/>
    <w:uiPriority w:val="99"/>
    <w:unhideWhenUsed/>
    <w:rsid w:val="00D74093"/>
    <w:pPr>
      <w:tabs>
        <w:tab w:val="center" w:pos="4677"/>
        <w:tab w:val="right" w:pos="9355"/>
      </w:tabs>
      <w:spacing w:line="240" w:lineRule="auto"/>
    </w:pPr>
  </w:style>
  <w:style w:type="character" w:customStyle="1" w:styleId="a6">
    <w:name w:val="Нижний колонтитул Знак"/>
    <w:basedOn w:val="a0"/>
    <w:link w:val="a5"/>
    <w:uiPriority w:val="99"/>
    <w:rsid w:val="00D74093"/>
    <w:rPr>
      <w:rFonts w:ascii="Times New Roman" w:hAnsi="Times New Roman"/>
      <w:sz w:val="24"/>
    </w:rPr>
  </w:style>
  <w:style w:type="character" w:styleId="a7">
    <w:name w:val="Hyperlink"/>
    <w:basedOn w:val="a0"/>
    <w:uiPriority w:val="99"/>
    <w:unhideWhenUsed/>
    <w:rsid w:val="00747067"/>
    <w:rPr>
      <w:color w:val="0563C1" w:themeColor="hyperlink"/>
      <w:u w:val="single"/>
    </w:rPr>
  </w:style>
  <w:style w:type="paragraph" w:styleId="11">
    <w:name w:val="toc 1"/>
    <w:basedOn w:val="a"/>
    <w:next w:val="a"/>
    <w:autoRedefine/>
    <w:uiPriority w:val="39"/>
    <w:unhideWhenUsed/>
    <w:qFormat/>
    <w:rsid w:val="00CD6B8C"/>
    <w:pPr>
      <w:tabs>
        <w:tab w:val="right" w:leader="dot" w:pos="9344"/>
      </w:tabs>
      <w:ind w:firstLine="0"/>
    </w:pPr>
    <w:rPr>
      <w:caps/>
    </w:rPr>
  </w:style>
  <w:style w:type="paragraph" w:styleId="21">
    <w:name w:val="toc 2"/>
    <w:basedOn w:val="a"/>
    <w:next w:val="a"/>
    <w:autoRedefine/>
    <w:uiPriority w:val="39"/>
    <w:unhideWhenUsed/>
    <w:qFormat/>
    <w:rsid w:val="00D270E1"/>
    <w:pPr>
      <w:tabs>
        <w:tab w:val="right" w:leader="dot" w:pos="9344"/>
      </w:tabs>
      <w:ind w:left="113" w:firstLine="0"/>
    </w:pPr>
  </w:style>
  <w:style w:type="paragraph" w:styleId="31">
    <w:name w:val="toc 3"/>
    <w:basedOn w:val="a"/>
    <w:next w:val="a"/>
    <w:autoRedefine/>
    <w:uiPriority w:val="39"/>
    <w:unhideWhenUsed/>
    <w:qFormat/>
    <w:rsid w:val="00747067"/>
    <w:pPr>
      <w:ind w:left="227" w:firstLine="0"/>
    </w:pPr>
  </w:style>
  <w:style w:type="paragraph" w:styleId="41">
    <w:name w:val="toc 4"/>
    <w:basedOn w:val="a"/>
    <w:next w:val="a"/>
    <w:autoRedefine/>
    <w:uiPriority w:val="39"/>
    <w:unhideWhenUsed/>
    <w:qFormat/>
    <w:rsid w:val="00747067"/>
    <w:pPr>
      <w:ind w:left="340" w:firstLine="0"/>
    </w:pPr>
  </w:style>
  <w:style w:type="paragraph" w:styleId="51">
    <w:name w:val="toc 5"/>
    <w:basedOn w:val="a"/>
    <w:next w:val="a"/>
    <w:autoRedefine/>
    <w:uiPriority w:val="39"/>
    <w:unhideWhenUsed/>
    <w:qFormat/>
    <w:rsid w:val="00747067"/>
    <w:pPr>
      <w:ind w:left="454" w:firstLine="0"/>
    </w:pPr>
  </w:style>
  <w:style w:type="table" w:styleId="a8">
    <w:name w:val="Table Grid"/>
    <w:basedOn w:val="a1"/>
    <w:uiPriority w:val="39"/>
    <w:rsid w:val="003D29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3D292A"/>
    <w:pPr>
      <w:ind w:left="720"/>
      <w:contextualSpacing/>
    </w:pPr>
  </w:style>
  <w:style w:type="character" w:customStyle="1" w:styleId="60">
    <w:name w:val="Заголовок 6 Знак"/>
    <w:basedOn w:val="a0"/>
    <w:link w:val="6"/>
    <w:uiPriority w:val="9"/>
    <w:rsid w:val="00D270E1"/>
    <w:rPr>
      <w:rFonts w:ascii="Times New Roman" w:eastAsiaTheme="majorEastAsia" w:hAnsi="Times New Roman" w:cstheme="majorBidi"/>
      <w:b/>
      <w:sz w:val="24"/>
    </w:rPr>
  </w:style>
  <w:style w:type="paragraph" w:styleId="61">
    <w:name w:val="toc 6"/>
    <w:basedOn w:val="a"/>
    <w:next w:val="a"/>
    <w:autoRedefine/>
    <w:uiPriority w:val="39"/>
    <w:unhideWhenUsed/>
    <w:rsid w:val="00E56432"/>
    <w:pPr>
      <w:tabs>
        <w:tab w:val="right" w:leader="dot" w:pos="9344"/>
      </w:tabs>
      <w:ind w:firstLine="0"/>
    </w:pPr>
    <w:rPr>
      <w:rFonts w:eastAsiaTheme="majorEastAsia" w:cstheme="majorBidi"/>
      <w:noProof/>
      <w:lang w:val="en-US"/>
    </w:rPr>
  </w:style>
  <w:style w:type="table" w:customStyle="1" w:styleId="TableGrid1">
    <w:name w:val="Table Grid1"/>
    <w:basedOn w:val="a1"/>
    <w:uiPriority w:val="39"/>
    <w:rsid w:val="000F484D"/>
    <w:pPr>
      <w:spacing w:after="0" w:line="240" w:lineRule="auto"/>
    </w:pPr>
    <w:rPr>
      <w:rFonts w:ascii="Calibri" w:eastAsia="Calibri" w:hAnsi="Calibri" w:cs="Times New Roman"/>
      <w:lang w:val="pl-PL" w:eastAsia="pl-P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a1"/>
    <w:next w:val="a8"/>
    <w:uiPriority w:val="39"/>
    <w:rsid w:val="000F484D"/>
    <w:pPr>
      <w:spacing w:after="0" w:line="240" w:lineRule="auto"/>
    </w:pPr>
    <w:rPr>
      <w:rFonts w:eastAsia="Calibri"/>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8"/>
    <w:uiPriority w:val="39"/>
    <w:rsid w:val="000F484D"/>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a1"/>
    <w:next w:val="a8"/>
    <w:uiPriority w:val="39"/>
    <w:rsid w:val="000F484D"/>
    <w:pPr>
      <w:spacing w:after="0" w:line="240" w:lineRule="auto"/>
    </w:pPr>
    <w:rPr>
      <w:rFonts w:eastAsia="Calibri"/>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8"/>
    <w:uiPriority w:val="39"/>
    <w:rsid w:val="000F48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8"/>
    <w:uiPriority w:val="59"/>
    <w:rsid w:val="000F484D"/>
    <w:pPr>
      <w:spacing w:after="0" w:line="240" w:lineRule="auto"/>
      <w:jc w:val="both"/>
    </w:pPr>
    <w:rPr>
      <w:rFonts w:eastAsia="Malgun Gothic"/>
      <w:kern w:val="2"/>
      <w:sz w:val="20"/>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a1"/>
    <w:next w:val="a8"/>
    <w:uiPriority w:val="39"/>
    <w:rsid w:val="000F484D"/>
    <w:pPr>
      <w:spacing w:after="0" w:line="240" w:lineRule="auto"/>
    </w:pPr>
    <w:rPr>
      <w:rFonts w:eastAsia="Calibri"/>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a1"/>
    <w:next w:val="a8"/>
    <w:uiPriority w:val="39"/>
    <w:rsid w:val="000F484D"/>
    <w:pPr>
      <w:spacing w:after="0" w:line="240" w:lineRule="auto"/>
    </w:pPr>
    <w:rPr>
      <w:rFonts w:eastAsia="Calibri"/>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8"/>
    <w:uiPriority w:val="39"/>
    <w:rsid w:val="000F48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1"/>
    <w:next w:val="a8"/>
    <w:uiPriority w:val="39"/>
    <w:rsid w:val="000F484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0F484D"/>
    <w:rPr>
      <w:color w:val="808080"/>
    </w:rPr>
  </w:style>
  <w:style w:type="paragraph" w:styleId="ab">
    <w:name w:val="TOC Heading"/>
    <w:basedOn w:val="1"/>
    <w:next w:val="a"/>
    <w:uiPriority w:val="39"/>
    <w:unhideWhenUsed/>
    <w:qFormat/>
    <w:rsid w:val="000F484D"/>
    <w:pPr>
      <w:pageBreakBefore w:val="0"/>
      <w:numPr>
        <w:numId w:val="0"/>
      </w:numPr>
      <w:spacing w:before="360" w:after="120" w:line="259" w:lineRule="auto"/>
      <w:jc w:val="left"/>
      <w:outlineLvl w:val="9"/>
    </w:pPr>
    <w:rPr>
      <w:rFonts w:asciiTheme="majorHAnsi" w:hAnsiTheme="majorHAnsi"/>
      <w:b w:val="0"/>
      <w:sz w:val="32"/>
      <w:lang w:val="en-US"/>
    </w:rPr>
  </w:style>
  <w:style w:type="paragraph" w:styleId="ac">
    <w:name w:val="caption"/>
    <w:basedOn w:val="a"/>
    <w:next w:val="a"/>
    <w:uiPriority w:val="35"/>
    <w:unhideWhenUsed/>
    <w:qFormat/>
    <w:rsid w:val="000F484D"/>
    <w:pPr>
      <w:spacing w:after="200" w:line="240" w:lineRule="auto"/>
      <w:ind w:firstLine="0"/>
    </w:pPr>
    <w:rPr>
      <w:i/>
      <w:iCs/>
      <w:color w:val="44546A" w:themeColor="text2"/>
      <w:sz w:val="18"/>
      <w:szCs w:val="18"/>
      <w:lang w:val="en-US"/>
    </w:rPr>
  </w:style>
  <w:style w:type="character" w:customStyle="1" w:styleId="HeaderChar1">
    <w:name w:val="Header Char1"/>
    <w:basedOn w:val="a0"/>
    <w:uiPriority w:val="99"/>
    <w:semiHidden/>
    <w:rsid w:val="000F484D"/>
  </w:style>
  <w:style w:type="character" w:customStyle="1" w:styleId="FooterChar1">
    <w:name w:val="Footer Char1"/>
    <w:basedOn w:val="a0"/>
    <w:uiPriority w:val="99"/>
    <w:semiHidden/>
    <w:rsid w:val="000F484D"/>
  </w:style>
  <w:style w:type="paragraph" w:styleId="ad">
    <w:name w:val="Body Text"/>
    <w:basedOn w:val="a"/>
    <w:link w:val="ae"/>
    <w:uiPriority w:val="1"/>
    <w:qFormat/>
    <w:rsid w:val="000F484D"/>
    <w:pPr>
      <w:widowControl w:val="0"/>
      <w:autoSpaceDE w:val="0"/>
      <w:autoSpaceDN w:val="0"/>
      <w:spacing w:line="240" w:lineRule="auto"/>
      <w:ind w:firstLine="0"/>
    </w:pPr>
    <w:rPr>
      <w:rFonts w:ascii="Arial MT" w:eastAsia="Arial MT" w:hAnsi="Arial MT" w:cs="Arial MT"/>
      <w:sz w:val="20"/>
      <w:szCs w:val="20"/>
      <w:lang w:val="en-US"/>
    </w:rPr>
  </w:style>
  <w:style w:type="character" w:customStyle="1" w:styleId="ae">
    <w:name w:val="Основной текст Знак"/>
    <w:basedOn w:val="a0"/>
    <w:link w:val="ad"/>
    <w:uiPriority w:val="1"/>
    <w:rsid w:val="000F484D"/>
    <w:rPr>
      <w:rFonts w:ascii="Arial MT" w:eastAsia="Arial MT" w:hAnsi="Arial MT" w:cs="Arial MT"/>
      <w:sz w:val="20"/>
      <w:szCs w:val="20"/>
      <w:lang w:val="en-US"/>
    </w:rPr>
  </w:style>
  <w:style w:type="numbering" w:customStyle="1" w:styleId="NoList1">
    <w:name w:val="No List1"/>
    <w:next w:val="a2"/>
    <w:uiPriority w:val="99"/>
    <w:semiHidden/>
    <w:unhideWhenUsed/>
    <w:rsid w:val="000F484D"/>
  </w:style>
  <w:style w:type="paragraph" w:styleId="af">
    <w:name w:val="Title"/>
    <w:basedOn w:val="a"/>
    <w:link w:val="af0"/>
    <w:uiPriority w:val="10"/>
    <w:qFormat/>
    <w:rsid w:val="000F484D"/>
    <w:pPr>
      <w:widowControl w:val="0"/>
      <w:autoSpaceDE w:val="0"/>
      <w:autoSpaceDN w:val="0"/>
      <w:spacing w:before="247" w:line="240" w:lineRule="auto"/>
      <w:ind w:left="361" w:right="359" w:firstLine="0"/>
      <w:jc w:val="center"/>
    </w:pPr>
    <w:rPr>
      <w:rFonts w:ascii="Arial" w:eastAsia="Arial" w:hAnsi="Arial" w:cs="Arial"/>
      <w:b/>
      <w:bCs/>
      <w:sz w:val="32"/>
      <w:szCs w:val="32"/>
      <w:lang w:val="en-US"/>
    </w:rPr>
  </w:style>
  <w:style w:type="character" w:customStyle="1" w:styleId="af0">
    <w:name w:val="Заголовок Знак"/>
    <w:basedOn w:val="a0"/>
    <w:link w:val="af"/>
    <w:uiPriority w:val="10"/>
    <w:rsid w:val="000F484D"/>
    <w:rPr>
      <w:rFonts w:ascii="Arial" w:eastAsia="Arial" w:hAnsi="Arial" w:cs="Arial"/>
      <w:b/>
      <w:bCs/>
      <w:sz w:val="32"/>
      <w:szCs w:val="32"/>
      <w:lang w:val="en-US"/>
    </w:rPr>
  </w:style>
  <w:style w:type="paragraph" w:customStyle="1" w:styleId="TableParagraph">
    <w:name w:val="Table Paragraph"/>
    <w:basedOn w:val="a"/>
    <w:uiPriority w:val="1"/>
    <w:qFormat/>
    <w:rsid w:val="000F484D"/>
    <w:pPr>
      <w:widowControl w:val="0"/>
      <w:autoSpaceDE w:val="0"/>
      <w:autoSpaceDN w:val="0"/>
      <w:spacing w:line="208" w:lineRule="exact"/>
      <w:ind w:firstLine="0"/>
      <w:jc w:val="center"/>
    </w:pPr>
    <w:rPr>
      <w:rFonts w:ascii="Arial MT" w:eastAsia="Arial MT" w:hAnsi="Arial MT" w:cs="Arial MT"/>
      <w:lang w:val="en-US"/>
    </w:rPr>
  </w:style>
  <w:style w:type="character" w:styleId="af1">
    <w:name w:val="annotation reference"/>
    <w:basedOn w:val="a0"/>
    <w:uiPriority w:val="99"/>
    <w:semiHidden/>
    <w:unhideWhenUsed/>
    <w:rsid w:val="000F484D"/>
    <w:rPr>
      <w:sz w:val="16"/>
      <w:szCs w:val="16"/>
    </w:rPr>
  </w:style>
  <w:style w:type="paragraph" w:styleId="af2">
    <w:name w:val="annotation text"/>
    <w:basedOn w:val="a"/>
    <w:link w:val="af3"/>
    <w:uiPriority w:val="99"/>
    <w:semiHidden/>
    <w:unhideWhenUsed/>
    <w:rsid w:val="000F484D"/>
    <w:pPr>
      <w:spacing w:after="160" w:line="240" w:lineRule="auto"/>
      <w:ind w:firstLine="0"/>
    </w:pPr>
    <w:rPr>
      <w:sz w:val="20"/>
      <w:szCs w:val="20"/>
      <w:lang w:val="en-US"/>
    </w:rPr>
  </w:style>
  <w:style w:type="character" w:customStyle="1" w:styleId="af3">
    <w:name w:val="Текст примечания Знак"/>
    <w:basedOn w:val="a0"/>
    <w:link w:val="af2"/>
    <w:uiPriority w:val="99"/>
    <w:semiHidden/>
    <w:rsid w:val="000F484D"/>
    <w:rPr>
      <w:rFonts w:ascii="Times New Roman" w:hAnsi="Times New Roman"/>
      <w:sz w:val="20"/>
      <w:szCs w:val="20"/>
      <w:lang w:val="en-US"/>
    </w:rPr>
  </w:style>
  <w:style w:type="paragraph" w:styleId="af4">
    <w:name w:val="annotation subject"/>
    <w:basedOn w:val="af2"/>
    <w:next w:val="af2"/>
    <w:link w:val="af5"/>
    <w:uiPriority w:val="99"/>
    <w:semiHidden/>
    <w:unhideWhenUsed/>
    <w:rsid w:val="000F484D"/>
    <w:rPr>
      <w:b/>
      <w:bCs/>
    </w:rPr>
  </w:style>
  <w:style w:type="character" w:customStyle="1" w:styleId="af5">
    <w:name w:val="Тема примечания Знак"/>
    <w:basedOn w:val="af3"/>
    <w:link w:val="af4"/>
    <w:uiPriority w:val="99"/>
    <w:semiHidden/>
    <w:rsid w:val="000F484D"/>
    <w:rPr>
      <w:rFonts w:ascii="Times New Roman" w:hAnsi="Times New Roman"/>
      <w:b/>
      <w:bCs/>
      <w:sz w:val="20"/>
      <w:szCs w:val="20"/>
      <w:lang w:val="en-US"/>
    </w:rPr>
  </w:style>
  <w:style w:type="character" w:styleId="af6">
    <w:name w:val="Unresolved Mention"/>
    <w:basedOn w:val="a0"/>
    <w:uiPriority w:val="99"/>
    <w:semiHidden/>
    <w:unhideWhenUsed/>
    <w:rsid w:val="000F484D"/>
    <w:rPr>
      <w:color w:val="605E5C"/>
      <w:shd w:val="clear" w:color="auto" w:fill="E1DFDD"/>
    </w:rPr>
  </w:style>
  <w:style w:type="table" w:customStyle="1" w:styleId="TableGrid7">
    <w:name w:val="Table Grid7"/>
    <w:basedOn w:val="a1"/>
    <w:next w:val="a8"/>
    <w:uiPriority w:val="39"/>
    <w:rsid w:val="000F484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a1"/>
    <w:next w:val="a8"/>
    <w:uiPriority w:val="39"/>
    <w:rsid w:val="000F484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a1"/>
    <w:uiPriority w:val="39"/>
    <w:rsid w:val="000F484D"/>
    <w:pPr>
      <w:spacing w:after="0" w:line="240" w:lineRule="auto"/>
    </w:pPr>
    <w:rPr>
      <w:rFonts w:ascii="Calibri" w:eastAsia="Calibri" w:hAnsi="Calibri" w:cs="Times New Roman"/>
      <w:lang w:val="pl-PL" w:eastAsia="pl-P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a1"/>
    <w:next w:val="a8"/>
    <w:uiPriority w:val="39"/>
    <w:rsid w:val="000F484D"/>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a1"/>
    <w:next w:val="a8"/>
    <w:uiPriority w:val="39"/>
    <w:rsid w:val="000F484D"/>
    <w:pPr>
      <w:spacing w:after="0" w:line="240" w:lineRule="auto"/>
    </w:pPr>
    <w:rPr>
      <w:rFonts w:eastAsia="Calibri"/>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a1"/>
    <w:next w:val="a8"/>
    <w:uiPriority w:val="39"/>
    <w:rsid w:val="000F484D"/>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7">
    <w:name w:val="toc 7"/>
    <w:basedOn w:val="a"/>
    <w:next w:val="a"/>
    <w:autoRedefine/>
    <w:uiPriority w:val="39"/>
    <w:unhideWhenUsed/>
    <w:rsid w:val="000F484D"/>
    <w:pPr>
      <w:spacing w:after="100" w:line="259" w:lineRule="auto"/>
      <w:ind w:left="1320" w:firstLine="0"/>
    </w:pPr>
    <w:rPr>
      <w:rFonts w:eastAsiaTheme="minorEastAsia"/>
      <w:lang w:val="en-US"/>
    </w:rPr>
  </w:style>
  <w:style w:type="paragraph" w:styleId="8">
    <w:name w:val="toc 8"/>
    <w:basedOn w:val="a"/>
    <w:next w:val="a"/>
    <w:autoRedefine/>
    <w:uiPriority w:val="39"/>
    <w:unhideWhenUsed/>
    <w:rsid w:val="000F484D"/>
    <w:pPr>
      <w:spacing w:after="100" w:line="259" w:lineRule="auto"/>
      <w:ind w:left="1540" w:firstLine="0"/>
    </w:pPr>
    <w:rPr>
      <w:rFonts w:eastAsiaTheme="minorEastAsia"/>
      <w:lang w:val="en-US"/>
    </w:rPr>
  </w:style>
  <w:style w:type="paragraph" w:styleId="9">
    <w:name w:val="toc 9"/>
    <w:basedOn w:val="a"/>
    <w:next w:val="a"/>
    <w:autoRedefine/>
    <w:uiPriority w:val="39"/>
    <w:unhideWhenUsed/>
    <w:rsid w:val="000F484D"/>
    <w:pPr>
      <w:spacing w:after="100" w:line="259" w:lineRule="auto"/>
      <w:ind w:left="1760" w:firstLine="0"/>
    </w:pPr>
    <w:rPr>
      <w:rFonts w:eastAsiaTheme="minorEastAsia"/>
      <w:lang w:val="en-US"/>
    </w:rPr>
  </w:style>
  <w:style w:type="paragraph" w:styleId="af7">
    <w:name w:val="table of figures"/>
    <w:basedOn w:val="a"/>
    <w:next w:val="a"/>
    <w:uiPriority w:val="99"/>
    <w:unhideWhenUsed/>
    <w:rsid w:val="000C6600"/>
    <w:pPr>
      <w:ind w:firstLine="0"/>
    </w:pPr>
    <w:rPr>
      <w:lang w:val="en-US"/>
    </w:rPr>
  </w:style>
  <w:style w:type="numbering" w:customStyle="1" w:styleId="NoList2">
    <w:name w:val="No List2"/>
    <w:next w:val="a2"/>
    <w:uiPriority w:val="99"/>
    <w:semiHidden/>
    <w:unhideWhenUsed/>
    <w:rsid w:val="000F484D"/>
  </w:style>
  <w:style w:type="character" w:styleId="af8">
    <w:name w:val="FollowedHyperlink"/>
    <w:basedOn w:val="a0"/>
    <w:uiPriority w:val="99"/>
    <w:semiHidden/>
    <w:unhideWhenUsed/>
    <w:rsid w:val="000F484D"/>
    <w:rPr>
      <w:color w:val="954F72"/>
      <w:u w:val="single"/>
    </w:rPr>
  </w:style>
  <w:style w:type="paragraph" w:customStyle="1" w:styleId="msonormal0">
    <w:name w:val="msonormal"/>
    <w:basedOn w:val="a"/>
    <w:rsid w:val="000F484D"/>
    <w:pPr>
      <w:spacing w:before="100" w:beforeAutospacing="1" w:after="100" w:afterAutospacing="1" w:line="240" w:lineRule="auto"/>
      <w:ind w:firstLine="0"/>
      <w:jc w:val="left"/>
    </w:pPr>
    <w:rPr>
      <w:rFonts w:eastAsia="Times New Roman" w:cs="Times New Roman"/>
      <w:szCs w:val="24"/>
      <w:lang w:eastAsia="ru-RU"/>
    </w:rPr>
  </w:style>
  <w:style w:type="table" w:customStyle="1" w:styleId="TableGrid10">
    <w:name w:val="Table Grid10"/>
    <w:basedOn w:val="a1"/>
    <w:next w:val="a8"/>
    <w:uiPriority w:val="39"/>
    <w:rsid w:val="000F48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Revision"/>
    <w:hidden/>
    <w:uiPriority w:val="99"/>
    <w:semiHidden/>
    <w:rsid w:val="00265168"/>
    <w:pPr>
      <w:spacing w:after="0" w:line="240" w:lineRule="auto"/>
    </w:pPr>
    <w:rPr>
      <w:rFonts w:ascii="Times New Roman" w:hAnsi="Times New Roman"/>
      <w:sz w:val="24"/>
    </w:rPr>
  </w:style>
  <w:style w:type="numbering" w:customStyle="1" w:styleId="NoList3">
    <w:name w:val="No List3"/>
    <w:next w:val="a2"/>
    <w:uiPriority w:val="99"/>
    <w:semiHidden/>
    <w:unhideWhenUsed/>
    <w:rsid w:val="000D04E5"/>
  </w:style>
  <w:style w:type="paragraph" w:styleId="afa">
    <w:name w:val="Bibliography"/>
    <w:basedOn w:val="a"/>
    <w:next w:val="a"/>
    <w:uiPriority w:val="37"/>
    <w:unhideWhenUsed/>
    <w:rsid w:val="000D04E5"/>
    <w:pPr>
      <w:spacing w:after="160" w:line="240" w:lineRule="auto"/>
      <w:ind w:firstLine="0"/>
      <w:jc w:val="left"/>
    </w:pPr>
    <w:rPr>
      <w:rFonts w:eastAsia="Calibri" w:cs="Times New Roman"/>
      <w:sz w:val="28"/>
    </w:rPr>
  </w:style>
  <w:style w:type="numbering" w:customStyle="1" w:styleId="NoList4">
    <w:name w:val="No List4"/>
    <w:next w:val="a2"/>
    <w:uiPriority w:val="99"/>
    <w:semiHidden/>
    <w:unhideWhenUsed/>
    <w:rsid w:val="00B449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975985">
      <w:bodyDiv w:val="1"/>
      <w:marLeft w:val="0"/>
      <w:marRight w:val="0"/>
      <w:marTop w:val="0"/>
      <w:marBottom w:val="0"/>
      <w:divBdr>
        <w:top w:val="none" w:sz="0" w:space="0" w:color="auto"/>
        <w:left w:val="none" w:sz="0" w:space="0" w:color="auto"/>
        <w:bottom w:val="none" w:sz="0" w:space="0" w:color="auto"/>
        <w:right w:val="none" w:sz="0" w:space="0" w:color="auto"/>
      </w:divBdr>
    </w:div>
    <w:div w:id="222105980">
      <w:bodyDiv w:val="1"/>
      <w:marLeft w:val="0"/>
      <w:marRight w:val="0"/>
      <w:marTop w:val="0"/>
      <w:marBottom w:val="0"/>
      <w:divBdr>
        <w:top w:val="none" w:sz="0" w:space="0" w:color="auto"/>
        <w:left w:val="none" w:sz="0" w:space="0" w:color="auto"/>
        <w:bottom w:val="none" w:sz="0" w:space="0" w:color="auto"/>
        <w:right w:val="none" w:sz="0" w:space="0" w:color="auto"/>
      </w:divBdr>
    </w:div>
    <w:div w:id="265428307">
      <w:bodyDiv w:val="1"/>
      <w:marLeft w:val="0"/>
      <w:marRight w:val="0"/>
      <w:marTop w:val="0"/>
      <w:marBottom w:val="0"/>
      <w:divBdr>
        <w:top w:val="none" w:sz="0" w:space="0" w:color="auto"/>
        <w:left w:val="none" w:sz="0" w:space="0" w:color="auto"/>
        <w:bottom w:val="none" w:sz="0" w:space="0" w:color="auto"/>
        <w:right w:val="none" w:sz="0" w:space="0" w:color="auto"/>
      </w:divBdr>
    </w:div>
    <w:div w:id="283123277">
      <w:bodyDiv w:val="1"/>
      <w:marLeft w:val="0"/>
      <w:marRight w:val="0"/>
      <w:marTop w:val="0"/>
      <w:marBottom w:val="0"/>
      <w:divBdr>
        <w:top w:val="none" w:sz="0" w:space="0" w:color="auto"/>
        <w:left w:val="none" w:sz="0" w:space="0" w:color="auto"/>
        <w:bottom w:val="none" w:sz="0" w:space="0" w:color="auto"/>
        <w:right w:val="none" w:sz="0" w:space="0" w:color="auto"/>
      </w:divBdr>
    </w:div>
    <w:div w:id="360010555">
      <w:bodyDiv w:val="1"/>
      <w:marLeft w:val="0"/>
      <w:marRight w:val="0"/>
      <w:marTop w:val="0"/>
      <w:marBottom w:val="0"/>
      <w:divBdr>
        <w:top w:val="none" w:sz="0" w:space="0" w:color="auto"/>
        <w:left w:val="none" w:sz="0" w:space="0" w:color="auto"/>
        <w:bottom w:val="none" w:sz="0" w:space="0" w:color="auto"/>
        <w:right w:val="none" w:sz="0" w:space="0" w:color="auto"/>
      </w:divBdr>
    </w:div>
    <w:div w:id="431361295">
      <w:bodyDiv w:val="1"/>
      <w:marLeft w:val="0"/>
      <w:marRight w:val="0"/>
      <w:marTop w:val="0"/>
      <w:marBottom w:val="0"/>
      <w:divBdr>
        <w:top w:val="none" w:sz="0" w:space="0" w:color="auto"/>
        <w:left w:val="none" w:sz="0" w:space="0" w:color="auto"/>
        <w:bottom w:val="none" w:sz="0" w:space="0" w:color="auto"/>
        <w:right w:val="none" w:sz="0" w:space="0" w:color="auto"/>
      </w:divBdr>
      <w:divsChild>
        <w:div w:id="1089890469">
          <w:marLeft w:val="0"/>
          <w:marRight w:val="0"/>
          <w:marTop w:val="0"/>
          <w:marBottom w:val="0"/>
          <w:divBdr>
            <w:top w:val="none" w:sz="0" w:space="0" w:color="BDBDBD"/>
            <w:left w:val="none" w:sz="0" w:space="0" w:color="BDBDBD"/>
            <w:bottom w:val="single" w:sz="6" w:space="0" w:color="BDBDBD"/>
            <w:right w:val="none" w:sz="0" w:space="0" w:color="BDBDBD"/>
          </w:divBdr>
          <w:divsChild>
            <w:div w:id="1201552860">
              <w:marLeft w:val="0"/>
              <w:marRight w:val="0"/>
              <w:marTop w:val="0"/>
              <w:marBottom w:val="0"/>
              <w:divBdr>
                <w:top w:val="none" w:sz="0" w:space="0" w:color="auto"/>
                <w:left w:val="none" w:sz="0" w:space="0" w:color="auto"/>
                <w:bottom w:val="none" w:sz="0" w:space="0" w:color="auto"/>
                <w:right w:val="none" w:sz="0" w:space="0" w:color="auto"/>
              </w:divBdr>
            </w:div>
          </w:divsChild>
        </w:div>
        <w:div w:id="890579718">
          <w:marLeft w:val="0"/>
          <w:marRight w:val="0"/>
          <w:marTop w:val="0"/>
          <w:marBottom w:val="0"/>
          <w:divBdr>
            <w:top w:val="none" w:sz="0" w:space="0" w:color="auto"/>
            <w:left w:val="none" w:sz="0" w:space="0" w:color="auto"/>
            <w:bottom w:val="none" w:sz="0" w:space="0" w:color="auto"/>
            <w:right w:val="none" w:sz="0" w:space="0" w:color="auto"/>
          </w:divBdr>
          <w:divsChild>
            <w:div w:id="1909073307">
              <w:marLeft w:val="0"/>
              <w:marRight w:val="0"/>
              <w:marTop w:val="0"/>
              <w:marBottom w:val="0"/>
              <w:divBdr>
                <w:top w:val="none" w:sz="0" w:space="0" w:color="auto"/>
                <w:left w:val="none" w:sz="0" w:space="0" w:color="auto"/>
                <w:bottom w:val="none" w:sz="0" w:space="0" w:color="auto"/>
                <w:right w:val="none" w:sz="0" w:space="0" w:color="auto"/>
              </w:divBdr>
              <w:divsChild>
                <w:div w:id="1021324007">
                  <w:marLeft w:val="0"/>
                  <w:marRight w:val="0"/>
                  <w:marTop w:val="0"/>
                  <w:marBottom w:val="0"/>
                  <w:divBdr>
                    <w:top w:val="none" w:sz="0" w:space="0" w:color="auto"/>
                    <w:left w:val="none" w:sz="0" w:space="0" w:color="auto"/>
                    <w:bottom w:val="none" w:sz="0" w:space="0" w:color="auto"/>
                    <w:right w:val="none" w:sz="0" w:space="0" w:color="auto"/>
                  </w:divBdr>
                  <w:divsChild>
                    <w:div w:id="673999067">
                      <w:marLeft w:val="0"/>
                      <w:marRight w:val="0"/>
                      <w:marTop w:val="0"/>
                      <w:marBottom w:val="0"/>
                      <w:divBdr>
                        <w:top w:val="none" w:sz="0" w:space="0" w:color="auto"/>
                        <w:left w:val="none" w:sz="0" w:space="0" w:color="auto"/>
                        <w:bottom w:val="none" w:sz="0" w:space="0" w:color="auto"/>
                        <w:right w:val="none" w:sz="0" w:space="0" w:color="auto"/>
                      </w:divBdr>
                      <w:divsChild>
                        <w:div w:id="468472384">
                          <w:marLeft w:val="0"/>
                          <w:marRight w:val="0"/>
                          <w:marTop w:val="0"/>
                          <w:marBottom w:val="0"/>
                          <w:divBdr>
                            <w:top w:val="none" w:sz="0" w:space="0" w:color="auto"/>
                            <w:left w:val="none" w:sz="0" w:space="0" w:color="auto"/>
                            <w:bottom w:val="none" w:sz="0" w:space="0" w:color="auto"/>
                            <w:right w:val="none" w:sz="0" w:space="0" w:color="auto"/>
                          </w:divBdr>
                        </w:div>
                        <w:div w:id="220943743">
                          <w:marLeft w:val="0"/>
                          <w:marRight w:val="0"/>
                          <w:marTop w:val="0"/>
                          <w:marBottom w:val="0"/>
                          <w:divBdr>
                            <w:top w:val="none" w:sz="0" w:space="0" w:color="auto"/>
                            <w:left w:val="none" w:sz="0" w:space="0" w:color="auto"/>
                            <w:bottom w:val="none" w:sz="0" w:space="0" w:color="auto"/>
                            <w:right w:val="none" w:sz="0" w:space="0" w:color="auto"/>
                          </w:divBdr>
                        </w:div>
                        <w:div w:id="184905447">
                          <w:marLeft w:val="0"/>
                          <w:marRight w:val="0"/>
                          <w:marTop w:val="0"/>
                          <w:marBottom w:val="0"/>
                          <w:divBdr>
                            <w:top w:val="none" w:sz="0" w:space="0" w:color="auto"/>
                            <w:left w:val="none" w:sz="0" w:space="0" w:color="auto"/>
                            <w:bottom w:val="none" w:sz="0" w:space="0" w:color="auto"/>
                            <w:right w:val="none" w:sz="0" w:space="0" w:color="auto"/>
                          </w:divBdr>
                        </w:div>
                        <w:div w:id="1287153710">
                          <w:marLeft w:val="0"/>
                          <w:marRight w:val="0"/>
                          <w:marTop w:val="0"/>
                          <w:marBottom w:val="0"/>
                          <w:divBdr>
                            <w:top w:val="none" w:sz="0" w:space="0" w:color="auto"/>
                            <w:left w:val="none" w:sz="0" w:space="0" w:color="auto"/>
                            <w:bottom w:val="none" w:sz="0" w:space="0" w:color="auto"/>
                            <w:right w:val="none" w:sz="0" w:space="0" w:color="auto"/>
                          </w:divBdr>
                        </w:div>
                        <w:div w:id="165151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5258627">
      <w:bodyDiv w:val="1"/>
      <w:marLeft w:val="0"/>
      <w:marRight w:val="0"/>
      <w:marTop w:val="0"/>
      <w:marBottom w:val="0"/>
      <w:divBdr>
        <w:top w:val="none" w:sz="0" w:space="0" w:color="auto"/>
        <w:left w:val="none" w:sz="0" w:space="0" w:color="auto"/>
        <w:bottom w:val="none" w:sz="0" w:space="0" w:color="auto"/>
        <w:right w:val="none" w:sz="0" w:space="0" w:color="auto"/>
      </w:divBdr>
    </w:div>
    <w:div w:id="624852664">
      <w:bodyDiv w:val="1"/>
      <w:marLeft w:val="0"/>
      <w:marRight w:val="0"/>
      <w:marTop w:val="0"/>
      <w:marBottom w:val="0"/>
      <w:divBdr>
        <w:top w:val="none" w:sz="0" w:space="0" w:color="auto"/>
        <w:left w:val="none" w:sz="0" w:space="0" w:color="auto"/>
        <w:bottom w:val="none" w:sz="0" w:space="0" w:color="auto"/>
        <w:right w:val="none" w:sz="0" w:space="0" w:color="auto"/>
      </w:divBdr>
    </w:div>
    <w:div w:id="650670718">
      <w:bodyDiv w:val="1"/>
      <w:marLeft w:val="0"/>
      <w:marRight w:val="0"/>
      <w:marTop w:val="0"/>
      <w:marBottom w:val="0"/>
      <w:divBdr>
        <w:top w:val="none" w:sz="0" w:space="0" w:color="auto"/>
        <w:left w:val="none" w:sz="0" w:space="0" w:color="auto"/>
        <w:bottom w:val="none" w:sz="0" w:space="0" w:color="auto"/>
        <w:right w:val="none" w:sz="0" w:space="0" w:color="auto"/>
      </w:divBdr>
    </w:div>
    <w:div w:id="769155529">
      <w:bodyDiv w:val="1"/>
      <w:marLeft w:val="0"/>
      <w:marRight w:val="0"/>
      <w:marTop w:val="0"/>
      <w:marBottom w:val="0"/>
      <w:divBdr>
        <w:top w:val="none" w:sz="0" w:space="0" w:color="auto"/>
        <w:left w:val="none" w:sz="0" w:space="0" w:color="auto"/>
        <w:bottom w:val="none" w:sz="0" w:space="0" w:color="auto"/>
        <w:right w:val="none" w:sz="0" w:space="0" w:color="auto"/>
      </w:divBdr>
      <w:divsChild>
        <w:div w:id="1398285730">
          <w:marLeft w:val="0"/>
          <w:marRight w:val="0"/>
          <w:marTop w:val="0"/>
          <w:marBottom w:val="0"/>
          <w:divBdr>
            <w:top w:val="none" w:sz="0" w:space="0" w:color="BDBDBD"/>
            <w:left w:val="none" w:sz="0" w:space="0" w:color="BDBDBD"/>
            <w:bottom w:val="single" w:sz="6" w:space="0" w:color="BDBDBD"/>
            <w:right w:val="none" w:sz="0" w:space="0" w:color="BDBDBD"/>
          </w:divBdr>
          <w:divsChild>
            <w:div w:id="1681544844">
              <w:marLeft w:val="0"/>
              <w:marRight w:val="0"/>
              <w:marTop w:val="0"/>
              <w:marBottom w:val="0"/>
              <w:divBdr>
                <w:top w:val="none" w:sz="0" w:space="0" w:color="auto"/>
                <w:left w:val="none" w:sz="0" w:space="0" w:color="auto"/>
                <w:bottom w:val="none" w:sz="0" w:space="0" w:color="auto"/>
                <w:right w:val="none" w:sz="0" w:space="0" w:color="auto"/>
              </w:divBdr>
            </w:div>
          </w:divsChild>
        </w:div>
        <w:div w:id="1313756521">
          <w:marLeft w:val="0"/>
          <w:marRight w:val="0"/>
          <w:marTop w:val="0"/>
          <w:marBottom w:val="0"/>
          <w:divBdr>
            <w:top w:val="none" w:sz="0" w:space="0" w:color="auto"/>
            <w:left w:val="none" w:sz="0" w:space="0" w:color="auto"/>
            <w:bottom w:val="none" w:sz="0" w:space="0" w:color="auto"/>
            <w:right w:val="none" w:sz="0" w:space="0" w:color="auto"/>
          </w:divBdr>
          <w:divsChild>
            <w:div w:id="1496410158">
              <w:marLeft w:val="0"/>
              <w:marRight w:val="0"/>
              <w:marTop w:val="0"/>
              <w:marBottom w:val="0"/>
              <w:divBdr>
                <w:top w:val="none" w:sz="0" w:space="0" w:color="auto"/>
                <w:left w:val="none" w:sz="0" w:space="0" w:color="auto"/>
                <w:bottom w:val="none" w:sz="0" w:space="0" w:color="auto"/>
                <w:right w:val="none" w:sz="0" w:space="0" w:color="auto"/>
              </w:divBdr>
              <w:divsChild>
                <w:div w:id="1770857680">
                  <w:marLeft w:val="0"/>
                  <w:marRight w:val="0"/>
                  <w:marTop w:val="0"/>
                  <w:marBottom w:val="0"/>
                  <w:divBdr>
                    <w:top w:val="none" w:sz="0" w:space="0" w:color="auto"/>
                    <w:left w:val="none" w:sz="0" w:space="0" w:color="auto"/>
                    <w:bottom w:val="none" w:sz="0" w:space="0" w:color="auto"/>
                    <w:right w:val="none" w:sz="0" w:space="0" w:color="auto"/>
                  </w:divBdr>
                  <w:divsChild>
                    <w:div w:id="1250043366">
                      <w:marLeft w:val="0"/>
                      <w:marRight w:val="0"/>
                      <w:marTop w:val="0"/>
                      <w:marBottom w:val="0"/>
                      <w:divBdr>
                        <w:top w:val="none" w:sz="0" w:space="0" w:color="auto"/>
                        <w:left w:val="none" w:sz="0" w:space="0" w:color="auto"/>
                        <w:bottom w:val="none" w:sz="0" w:space="0" w:color="auto"/>
                        <w:right w:val="none" w:sz="0" w:space="0" w:color="auto"/>
                      </w:divBdr>
                      <w:divsChild>
                        <w:div w:id="1509908219">
                          <w:marLeft w:val="0"/>
                          <w:marRight w:val="0"/>
                          <w:marTop w:val="0"/>
                          <w:marBottom w:val="0"/>
                          <w:divBdr>
                            <w:top w:val="none" w:sz="0" w:space="0" w:color="auto"/>
                            <w:left w:val="none" w:sz="0" w:space="0" w:color="auto"/>
                            <w:bottom w:val="none" w:sz="0" w:space="0" w:color="auto"/>
                            <w:right w:val="none" w:sz="0" w:space="0" w:color="auto"/>
                          </w:divBdr>
                        </w:div>
                        <w:div w:id="1611627565">
                          <w:marLeft w:val="0"/>
                          <w:marRight w:val="0"/>
                          <w:marTop w:val="0"/>
                          <w:marBottom w:val="0"/>
                          <w:divBdr>
                            <w:top w:val="none" w:sz="0" w:space="0" w:color="auto"/>
                            <w:left w:val="none" w:sz="0" w:space="0" w:color="auto"/>
                            <w:bottom w:val="none" w:sz="0" w:space="0" w:color="auto"/>
                            <w:right w:val="none" w:sz="0" w:space="0" w:color="auto"/>
                          </w:divBdr>
                        </w:div>
                        <w:div w:id="32001147">
                          <w:marLeft w:val="0"/>
                          <w:marRight w:val="0"/>
                          <w:marTop w:val="0"/>
                          <w:marBottom w:val="0"/>
                          <w:divBdr>
                            <w:top w:val="none" w:sz="0" w:space="0" w:color="auto"/>
                            <w:left w:val="none" w:sz="0" w:space="0" w:color="auto"/>
                            <w:bottom w:val="none" w:sz="0" w:space="0" w:color="auto"/>
                            <w:right w:val="none" w:sz="0" w:space="0" w:color="auto"/>
                          </w:divBdr>
                        </w:div>
                        <w:div w:id="921061043">
                          <w:marLeft w:val="0"/>
                          <w:marRight w:val="0"/>
                          <w:marTop w:val="0"/>
                          <w:marBottom w:val="0"/>
                          <w:divBdr>
                            <w:top w:val="none" w:sz="0" w:space="0" w:color="auto"/>
                            <w:left w:val="none" w:sz="0" w:space="0" w:color="auto"/>
                            <w:bottom w:val="none" w:sz="0" w:space="0" w:color="auto"/>
                            <w:right w:val="none" w:sz="0" w:space="0" w:color="auto"/>
                          </w:divBdr>
                        </w:div>
                        <w:div w:id="174444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3113358">
      <w:bodyDiv w:val="1"/>
      <w:marLeft w:val="0"/>
      <w:marRight w:val="0"/>
      <w:marTop w:val="0"/>
      <w:marBottom w:val="0"/>
      <w:divBdr>
        <w:top w:val="none" w:sz="0" w:space="0" w:color="auto"/>
        <w:left w:val="none" w:sz="0" w:space="0" w:color="auto"/>
        <w:bottom w:val="none" w:sz="0" w:space="0" w:color="auto"/>
        <w:right w:val="none" w:sz="0" w:space="0" w:color="auto"/>
      </w:divBdr>
    </w:div>
    <w:div w:id="789250289">
      <w:bodyDiv w:val="1"/>
      <w:marLeft w:val="0"/>
      <w:marRight w:val="0"/>
      <w:marTop w:val="0"/>
      <w:marBottom w:val="0"/>
      <w:divBdr>
        <w:top w:val="none" w:sz="0" w:space="0" w:color="auto"/>
        <w:left w:val="none" w:sz="0" w:space="0" w:color="auto"/>
        <w:bottom w:val="none" w:sz="0" w:space="0" w:color="auto"/>
        <w:right w:val="none" w:sz="0" w:space="0" w:color="auto"/>
      </w:divBdr>
    </w:div>
    <w:div w:id="818036397">
      <w:bodyDiv w:val="1"/>
      <w:marLeft w:val="0"/>
      <w:marRight w:val="0"/>
      <w:marTop w:val="0"/>
      <w:marBottom w:val="0"/>
      <w:divBdr>
        <w:top w:val="none" w:sz="0" w:space="0" w:color="auto"/>
        <w:left w:val="none" w:sz="0" w:space="0" w:color="auto"/>
        <w:bottom w:val="none" w:sz="0" w:space="0" w:color="auto"/>
        <w:right w:val="none" w:sz="0" w:space="0" w:color="auto"/>
      </w:divBdr>
    </w:div>
    <w:div w:id="826629694">
      <w:bodyDiv w:val="1"/>
      <w:marLeft w:val="0"/>
      <w:marRight w:val="0"/>
      <w:marTop w:val="0"/>
      <w:marBottom w:val="0"/>
      <w:divBdr>
        <w:top w:val="none" w:sz="0" w:space="0" w:color="auto"/>
        <w:left w:val="none" w:sz="0" w:space="0" w:color="auto"/>
        <w:bottom w:val="none" w:sz="0" w:space="0" w:color="auto"/>
        <w:right w:val="none" w:sz="0" w:space="0" w:color="auto"/>
      </w:divBdr>
    </w:div>
    <w:div w:id="868450104">
      <w:bodyDiv w:val="1"/>
      <w:marLeft w:val="0"/>
      <w:marRight w:val="0"/>
      <w:marTop w:val="0"/>
      <w:marBottom w:val="0"/>
      <w:divBdr>
        <w:top w:val="none" w:sz="0" w:space="0" w:color="auto"/>
        <w:left w:val="none" w:sz="0" w:space="0" w:color="auto"/>
        <w:bottom w:val="none" w:sz="0" w:space="0" w:color="auto"/>
        <w:right w:val="none" w:sz="0" w:space="0" w:color="auto"/>
      </w:divBdr>
      <w:divsChild>
        <w:div w:id="1035813413">
          <w:marLeft w:val="0"/>
          <w:marRight w:val="0"/>
          <w:marTop w:val="0"/>
          <w:marBottom w:val="0"/>
          <w:divBdr>
            <w:top w:val="none" w:sz="0" w:space="0" w:color="BDBDBD"/>
            <w:left w:val="none" w:sz="0" w:space="0" w:color="BDBDBD"/>
            <w:bottom w:val="single" w:sz="6" w:space="0" w:color="BDBDBD"/>
            <w:right w:val="none" w:sz="0" w:space="0" w:color="BDBDBD"/>
          </w:divBdr>
          <w:divsChild>
            <w:div w:id="1549876914">
              <w:marLeft w:val="0"/>
              <w:marRight w:val="0"/>
              <w:marTop w:val="0"/>
              <w:marBottom w:val="0"/>
              <w:divBdr>
                <w:top w:val="none" w:sz="0" w:space="0" w:color="auto"/>
                <w:left w:val="none" w:sz="0" w:space="0" w:color="auto"/>
                <w:bottom w:val="none" w:sz="0" w:space="0" w:color="auto"/>
                <w:right w:val="none" w:sz="0" w:space="0" w:color="auto"/>
              </w:divBdr>
            </w:div>
          </w:divsChild>
        </w:div>
        <w:div w:id="126779165">
          <w:marLeft w:val="0"/>
          <w:marRight w:val="0"/>
          <w:marTop w:val="0"/>
          <w:marBottom w:val="0"/>
          <w:divBdr>
            <w:top w:val="none" w:sz="0" w:space="0" w:color="auto"/>
            <w:left w:val="none" w:sz="0" w:space="0" w:color="auto"/>
            <w:bottom w:val="none" w:sz="0" w:space="0" w:color="auto"/>
            <w:right w:val="none" w:sz="0" w:space="0" w:color="auto"/>
          </w:divBdr>
          <w:divsChild>
            <w:div w:id="1016535682">
              <w:marLeft w:val="0"/>
              <w:marRight w:val="0"/>
              <w:marTop w:val="0"/>
              <w:marBottom w:val="0"/>
              <w:divBdr>
                <w:top w:val="none" w:sz="0" w:space="0" w:color="auto"/>
                <w:left w:val="none" w:sz="0" w:space="0" w:color="auto"/>
                <w:bottom w:val="none" w:sz="0" w:space="0" w:color="auto"/>
                <w:right w:val="none" w:sz="0" w:space="0" w:color="auto"/>
              </w:divBdr>
              <w:divsChild>
                <w:div w:id="626618541">
                  <w:marLeft w:val="0"/>
                  <w:marRight w:val="0"/>
                  <w:marTop w:val="0"/>
                  <w:marBottom w:val="0"/>
                  <w:divBdr>
                    <w:top w:val="none" w:sz="0" w:space="0" w:color="auto"/>
                    <w:left w:val="none" w:sz="0" w:space="0" w:color="auto"/>
                    <w:bottom w:val="none" w:sz="0" w:space="0" w:color="auto"/>
                    <w:right w:val="none" w:sz="0" w:space="0" w:color="auto"/>
                  </w:divBdr>
                  <w:divsChild>
                    <w:div w:id="1028681940">
                      <w:marLeft w:val="0"/>
                      <w:marRight w:val="0"/>
                      <w:marTop w:val="0"/>
                      <w:marBottom w:val="0"/>
                      <w:divBdr>
                        <w:top w:val="none" w:sz="0" w:space="0" w:color="auto"/>
                        <w:left w:val="none" w:sz="0" w:space="0" w:color="auto"/>
                        <w:bottom w:val="none" w:sz="0" w:space="0" w:color="auto"/>
                        <w:right w:val="none" w:sz="0" w:space="0" w:color="auto"/>
                      </w:divBdr>
                      <w:divsChild>
                        <w:div w:id="371081889">
                          <w:marLeft w:val="0"/>
                          <w:marRight w:val="0"/>
                          <w:marTop w:val="0"/>
                          <w:marBottom w:val="0"/>
                          <w:divBdr>
                            <w:top w:val="none" w:sz="0" w:space="0" w:color="auto"/>
                            <w:left w:val="none" w:sz="0" w:space="0" w:color="auto"/>
                            <w:bottom w:val="none" w:sz="0" w:space="0" w:color="auto"/>
                            <w:right w:val="none" w:sz="0" w:space="0" w:color="auto"/>
                          </w:divBdr>
                        </w:div>
                        <w:div w:id="1178959176">
                          <w:marLeft w:val="0"/>
                          <w:marRight w:val="0"/>
                          <w:marTop w:val="0"/>
                          <w:marBottom w:val="0"/>
                          <w:divBdr>
                            <w:top w:val="none" w:sz="0" w:space="0" w:color="auto"/>
                            <w:left w:val="none" w:sz="0" w:space="0" w:color="auto"/>
                            <w:bottom w:val="none" w:sz="0" w:space="0" w:color="auto"/>
                            <w:right w:val="none" w:sz="0" w:space="0" w:color="auto"/>
                          </w:divBdr>
                        </w:div>
                        <w:div w:id="1384672585">
                          <w:marLeft w:val="0"/>
                          <w:marRight w:val="0"/>
                          <w:marTop w:val="0"/>
                          <w:marBottom w:val="0"/>
                          <w:divBdr>
                            <w:top w:val="none" w:sz="0" w:space="0" w:color="auto"/>
                            <w:left w:val="none" w:sz="0" w:space="0" w:color="auto"/>
                            <w:bottom w:val="none" w:sz="0" w:space="0" w:color="auto"/>
                            <w:right w:val="none" w:sz="0" w:space="0" w:color="auto"/>
                          </w:divBdr>
                        </w:div>
                        <w:div w:id="735468249">
                          <w:marLeft w:val="0"/>
                          <w:marRight w:val="0"/>
                          <w:marTop w:val="0"/>
                          <w:marBottom w:val="0"/>
                          <w:divBdr>
                            <w:top w:val="none" w:sz="0" w:space="0" w:color="auto"/>
                            <w:left w:val="none" w:sz="0" w:space="0" w:color="auto"/>
                            <w:bottom w:val="none" w:sz="0" w:space="0" w:color="auto"/>
                            <w:right w:val="none" w:sz="0" w:space="0" w:color="auto"/>
                          </w:divBdr>
                        </w:div>
                        <w:div w:id="183051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0657004">
      <w:bodyDiv w:val="1"/>
      <w:marLeft w:val="0"/>
      <w:marRight w:val="0"/>
      <w:marTop w:val="0"/>
      <w:marBottom w:val="0"/>
      <w:divBdr>
        <w:top w:val="none" w:sz="0" w:space="0" w:color="auto"/>
        <w:left w:val="none" w:sz="0" w:space="0" w:color="auto"/>
        <w:bottom w:val="none" w:sz="0" w:space="0" w:color="auto"/>
        <w:right w:val="none" w:sz="0" w:space="0" w:color="auto"/>
      </w:divBdr>
    </w:div>
    <w:div w:id="909271145">
      <w:bodyDiv w:val="1"/>
      <w:marLeft w:val="0"/>
      <w:marRight w:val="0"/>
      <w:marTop w:val="0"/>
      <w:marBottom w:val="0"/>
      <w:divBdr>
        <w:top w:val="none" w:sz="0" w:space="0" w:color="auto"/>
        <w:left w:val="none" w:sz="0" w:space="0" w:color="auto"/>
        <w:bottom w:val="none" w:sz="0" w:space="0" w:color="auto"/>
        <w:right w:val="none" w:sz="0" w:space="0" w:color="auto"/>
      </w:divBdr>
    </w:div>
    <w:div w:id="983243275">
      <w:bodyDiv w:val="1"/>
      <w:marLeft w:val="0"/>
      <w:marRight w:val="0"/>
      <w:marTop w:val="0"/>
      <w:marBottom w:val="0"/>
      <w:divBdr>
        <w:top w:val="none" w:sz="0" w:space="0" w:color="auto"/>
        <w:left w:val="none" w:sz="0" w:space="0" w:color="auto"/>
        <w:bottom w:val="none" w:sz="0" w:space="0" w:color="auto"/>
        <w:right w:val="none" w:sz="0" w:space="0" w:color="auto"/>
      </w:divBdr>
      <w:divsChild>
        <w:div w:id="1370951627">
          <w:marLeft w:val="0"/>
          <w:marRight w:val="0"/>
          <w:marTop w:val="0"/>
          <w:marBottom w:val="0"/>
          <w:divBdr>
            <w:top w:val="none" w:sz="0" w:space="0" w:color="BDBDBD"/>
            <w:left w:val="none" w:sz="0" w:space="0" w:color="BDBDBD"/>
            <w:bottom w:val="single" w:sz="6" w:space="0" w:color="BDBDBD"/>
            <w:right w:val="none" w:sz="0" w:space="0" w:color="BDBDBD"/>
          </w:divBdr>
          <w:divsChild>
            <w:div w:id="1685936386">
              <w:marLeft w:val="0"/>
              <w:marRight w:val="0"/>
              <w:marTop w:val="0"/>
              <w:marBottom w:val="0"/>
              <w:divBdr>
                <w:top w:val="none" w:sz="0" w:space="0" w:color="auto"/>
                <w:left w:val="none" w:sz="0" w:space="0" w:color="auto"/>
                <w:bottom w:val="none" w:sz="0" w:space="0" w:color="auto"/>
                <w:right w:val="none" w:sz="0" w:space="0" w:color="auto"/>
              </w:divBdr>
            </w:div>
          </w:divsChild>
        </w:div>
        <w:div w:id="1354263654">
          <w:marLeft w:val="0"/>
          <w:marRight w:val="0"/>
          <w:marTop w:val="0"/>
          <w:marBottom w:val="0"/>
          <w:divBdr>
            <w:top w:val="none" w:sz="0" w:space="0" w:color="auto"/>
            <w:left w:val="none" w:sz="0" w:space="0" w:color="auto"/>
            <w:bottom w:val="none" w:sz="0" w:space="0" w:color="auto"/>
            <w:right w:val="none" w:sz="0" w:space="0" w:color="auto"/>
          </w:divBdr>
          <w:divsChild>
            <w:div w:id="735207903">
              <w:marLeft w:val="0"/>
              <w:marRight w:val="0"/>
              <w:marTop w:val="0"/>
              <w:marBottom w:val="0"/>
              <w:divBdr>
                <w:top w:val="none" w:sz="0" w:space="0" w:color="auto"/>
                <w:left w:val="none" w:sz="0" w:space="0" w:color="auto"/>
                <w:bottom w:val="none" w:sz="0" w:space="0" w:color="auto"/>
                <w:right w:val="none" w:sz="0" w:space="0" w:color="auto"/>
              </w:divBdr>
              <w:divsChild>
                <w:div w:id="1042628797">
                  <w:marLeft w:val="0"/>
                  <w:marRight w:val="0"/>
                  <w:marTop w:val="0"/>
                  <w:marBottom w:val="0"/>
                  <w:divBdr>
                    <w:top w:val="none" w:sz="0" w:space="0" w:color="auto"/>
                    <w:left w:val="none" w:sz="0" w:space="0" w:color="auto"/>
                    <w:bottom w:val="none" w:sz="0" w:space="0" w:color="auto"/>
                    <w:right w:val="none" w:sz="0" w:space="0" w:color="auto"/>
                  </w:divBdr>
                  <w:divsChild>
                    <w:div w:id="110905057">
                      <w:marLeft w:val="0"/>
                      <w:marRight w:val="0"/>
                      <w:marTop w:val="0"/>
                      <w:marBottom w:val="0"/>
                      <w:divBdr>
                        <w:top w:val="none" w:sz="0" w:space="0" w:color="auto"/>
                        <w:left w:val="none" w:sz="0" w:space="0" w:color="auto"/>
                        <w:bottom w:val="none" w:sz="0" w:space="0" w:color="auto"/>
                        <w:right w:val="none" w:sz="0" w:space="0" w:color="auto"/>
                      </w:divBdr>
                      <w:divsChild>
                        <w:div w:id="183514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6190585">
      <w:bodyDiv w:val="1"/>
      <w:marLeft w:val="0"/>
      <w:marRight w:val="0"/>
      <w:marTop w:val="0"/>
      <w:marBottom w:val="0"/>
      <w:divBdr>
        <w:top w:val="none" w:sz="0" w:space="0" w:color="auto"/>
        <w:left w:val="none" w:sz="0" w:space="0" w:color="auto"/>
        <w:bottom w:val="none" w:sz="0" w:space="0" w:color="auto"/>
        <w:right w:val="none" w:sz="0" w:space="0" w:color="auto"/>
      </w:divBdr>
    </w:div>
    <w:div w:id="1280989028">
      <w:bodyDiv w:val="1"/>
      <w:marLeft w:val="0"/>
      <w:marRight w:val="0"/>
      <w:marTop w:val="0"/>
      <w:marBottom w:val="0"/>
      <w:divBdr>
        <w:top w:val="none" w:sz="0" w:space="0" w:color="auto"/>
        <w:left w:val="none" w:sz="0" w:space="0" w:color="auto"/>
        <w:bottom w:val="none" w:sz="0" w:space="0" w:color="auto"/>
        <w:right w:val="none" w:sz="0" w:space="0" w:color="auto"/>
      </w:divBdr>
    </w:div>
    <w:div w:id="1295672209">
      <w:bodyDiv w:val="1"/>
      <w:marLeft w:val="0"/>
      <w:marRight w:val="0"/>
      <w:marTop w:val="0"/>
      <w:marBottom w:val="0"/>
      <w:divBdr>
        <w:top w:val="none" w:sz="0" w:space="0" w:color="auto"/>
        <w:left w:val="none" w:sz="0" w:space="0" w:color="auto"/>
        <w:bottom w:val="none" w:sz="0" w:space="0" w:color="auto"/>
        <w:right w:val="none" w:sz="0" w:space="0" w:color="auto"/>
      </w:divBdr>
    </w:div>
    <w:div w:id="1438672269">
      <w:bodyDiv w:val="1"/>
      <w:marLeft w:val="0"/>
      <w:marRight w:val="0"/>
      <w:marTop w:val="0"/>
      <w:marBottom w:val="0"/>
      <w:divBdr>
        <w:top w:val="none" w:sz="0" w:space="0" w:color="auto"/>
        <w:left w:val="none" w:sz="0" w:space="0" w:color="auto"/>
        <w:bottom w:val="none" w:sz="0" w:space="0" w:color="auto"/>
        <w:right w:val="none" w:sz="0" w:space="0" w:color="auto"/>
      </w:divBdr>
    </w:div>
    <w:div w:id="1494177240">
      <w:bodyDiv w:val="1"/>
      <w:marLeft w:val="0"/>
      <w:marRight w:val="0"/>
      <w:marTop w:val="0"/>
      <w:marBottom w:val="0"/>
      <w:divBdr>
        <w:top w:val="none" w:sz="0" w:space="0" w:color="auto"/>
        <w:left w:val="none" w:sz="0" w:space="0" w:color="auto"/>
        <w:bottom w:val="none" w:sz="0" w:space="0" w:color="auto"/>
        <w:right w:val="none" w:sz="0" w:space="0" w:color="auto"/>
      </w:divBdr>
      <w:divsChild>
        <w:div w:id="1640649973">
          <w:marLeft w:val="0"/>
          <w:marRight w:val="0"/>
          <w:marTop w:val="0"/>
          <w:marBottom w:val="0"/>
          <w:divBdr>
            <w:top w:val="none" w:sz="0" w:space="0" w:color="BDBDBD"/>
            <w:left w:val="none" w:sz="0" w:space="0" w:color="BDBDBD"/>
            <w:bottom w:val="single" w:sz="6" w:space="0" w:color="BDBDBD"/>
            <w:right w:val="none" w:sz="0" w:space="0" w:color="BDBDBD"/>
          </w:divBdr>
          <w:divsChild>
            <w:div w:id="1806773971">
              <w:marLeft w:val="0"/>
              <w:marRight w:val="0"/>
              <w:marTop w:val="0"/>
              <w:marBottom w:val="0"/>
              <w:divBdr>
                <w:top w:val="none" w:sz="0" w:space="0" w:color="auto"/>
                <w:left w:val="none" w:sz="0" w:space="0" w:color="auto"/>
                <w:bottom w:val="none" w:sz="0" w:space="0" w:color="auto"/>
                <w:right w:val="none" w:sz="0" w:space="0" w:color="auto"/>
              </w:divBdr>
            </w:div>
          </w:divsChild>
        </w:div>
        <w:div w:id="714694008">
          <w:marLeft w:val="0"/>
          <w:marRight w:val="0"/>
          <w:marTop w:val="0"/>
          <w:marBottom w:val="0"/>
          <w:divBdr>
            <w:top w:val="none" w:sz="0" w:space="0" w:color="auto"/>
            <w:left w:val="none" w:sz="0" w:space="0" w:color="auto"/>
            <w:bottom w:val="none" w:sz="0" w:space="0" w:color="auto"/>
            <w:right w:val="none" w:sz="0" w:space="0" w:color="auto"/>
          </w:divBdr>
          <w:divsChild>
            <w:div w:id="945619565">
              <w:marLeft w:val="0"/>
              <w:marRight w:val="0"/>
              <w:marTop w:val="0"/>
              <w:marBottom w:val="0"/>
              <w:divBdr>
                <w:top w:val="none" w:sz="0" w:space="0" w:color="auto"/>
                <w:left w:val="none" w:sz="0" w:space="0" w:color="auto"/>
                <w:bottom w:val="none" w:sz="0" w:space="0" w:color="auto"/>
                <w:right w:val="none" w:sz="0" w:space="0" w:color="auto"/>
              </w:divBdr>
              <w:divsChild>
                <w:div w:id="809326032">
                  <w:marLeft w:val="0"/>
                  <w:marRight w:val="0"/>
                  <w:marTop w:val="0"/>
                  <w:marBottom w:val="0"/>
                  <w:divBdr>
                    <w:top w:val="none" w:sz="0" w:space="0" w:color="auto"/>
                    <w:left w:val="none" w:sz="0" w:space="0" w:color="auto"/>
                    <w:bottom w:val="none" w:sz="0" w:space="0" w:color="auto"/>
                    <w:right w:val="none" w:sz="0" w:space="0" w:color="auto"/>
                  </w:divBdr>
                  <w:divsChild>
                    <w:div w:id="951596684">
                      <w:marLeft w:val="0"/>
                      <w:marRight w:val="0"/>
                      <w:marTop w:val="0"/>
                      <w:marBottom w:val="0"/>
                      <w:divBdr>
                        <w:top w:val="none" w:sz="0" w:space="0" w:color="auto"/>
                        <w:left w:val="none" w:sz="0" w:space="0" w:color="auto"/>
                        <w:bottom w:val="none" w:sz="0" w:space="0" w:color="auto"/>
                        <w:right w:val="none" w:sz="0" w:space="0" w:color="auto"/>
                      </w:divBdr>
                      <w:divsChild>
                        <w:div w:id="1836338028">
                          <w:marLeft w:val="0"/>
                          <w:marRight w:val="0"/>
                          <w:marTop w:val="0"/>
                          <w:marBottom w:val="0"/>
                          <w:divBdr>
                            <w:top w:val="none" w:sz="0" w:space="0" w:color="auto"/>
                            <w:left w:val="none" w:sz="0" w:space="0" w:color="auto"/>
                            <w:bottom w:val="none" w:sz="0" w:space="0" w:color="auto"/>
                            <w:right w:val="none" w:sz="0" w:space="0" w:color="auto"/>
                          </w:divBdr>
                        </w:div>
                        <w:div w:id="2146197431">
                          <w:marLeft w:val="0"/>
                          <w:marRight w:val="0"/>
                          <w:marTop w:val="0"/>
                          <w:marBottom w:val="0"/>
                          <w:divBdr>
                            <w:top w:val="none" w:sz="0" w:space="0" w:color="auto"/>
                            <w:left w:val="none" w:sz="0" w:space="0" w:color="auto"/>
                            <w:bottom w:val="none" w:sz="0" w:space="0" w:color="auto"/>
                            <w:right w:val="none" w:sz="0" w:space="0" w:color="auto"/>
                          </w:divBdr>
                        </w:div>
                        <w:div w:id="2702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3714834">
      <w:bodyDiv w:val="1"/>
      <w:marLeft w:val="0"/>
      <w:marRight w:val="0"/>
      <w:marTop w:val="0"/>
      <w:marBottom w:val="0"/>
      <w:divBdr>
        <w:top w:val="none" w:sz="0" w:space="0" w:color="auto"/>
        <w:left w:val="none" w:sz="0" w:space="0" w:color="auto"/>
        <w:bottom w:val="none" w:sz="0" w:space="0" w:color="auto"/>
        <w:right w:val="none" w:sz="0" w:space="0" w:color="auto"/>
      </w:divBdr>
    </w:div>
    <w:div w:id="1566722751">
      <w:bodyDiv w:val="1"/>
      <w:marLeft w:val="0"/>
      <w:marRight w:val="0"/>
      <w:marTop w:val="0"/>
      <w:marBottom w:val="0"/>
      <w:divBdr>
        <w:top w:val="none" w:sz="0" w:space="0" w:color="auto"/>
        <w:left w:val="none" w:sz="0" w:space="0" w:color="auto"/>
        <w:bottom w:val="none" w:sz="0" w:space="0" w:color="auto"/>
        <w:right w:val="none" w:sz="0" w:space="0" w:color="auto"/>
      </w:divBdr>
    </w:div>
    <w:div w:id="1592424989">
      <w:bodyDiv w:val="1"/>
      <w:marLeft w:val="0"/>
      <w:marRight w:val="0"/>
      <w:marTop w:val="0"/>
      <w:marBottom w:val="0"/>
      <w:divBdr>
        <w:top w:val="none" w:sz="0" w:space="0" w:color="auto"/>
        <w:left w:val="none" w:sz="0" w:space="0" w:color="auto"/>
        <w:bottom w:val="none" w:sz="0" w:space="0" w:color="auto"/>
        <w:right w:val="none" w:sz="0" w:space="0" w:color="auto"/>
      </w:divBdr>
    </w:div>
    <w:div w:id="1635595124">
      <w:bodyDiv w:val="1"/>
      <w:marLeft w:val="0"/>
      <w:marRight w:val="0"/>
      <w:marTop w:val="0"/>
      <w:marBottom w:val="0"/>
      <w:divBdr>
        <w:top w:val="none" w:sz="0" w:space="0" w:color="auto"/>
        <w:left w:val="none" w:sz="0" w:space="0" w:color="auto"/>
        <w:bottom w:val="none" w:sz="0" w:space="0" w:color="auto"/>
        <w:right w:val="none" w:sz="0" w:space="0" w:color="auto"/>
      </w:divBdr>
    </w:div>
    <w:div w:id="1681347489">
      <w:bodyDiv w:val="1"/>
      <w:marLeft w:val="0"/>
      <w:marRight w:val="0"/>
      <w:marTop w:val="0"/>
      <w:marBottom w:val="0"/>
      <w:divBdr>
        <w:top w:val="none" w:sz="0" w:space="0" w:color="auto"/>
        <w:left w:val="none" w:sz="0" w:space="0" w:color="auto"/>
        <w:bottom w:val="none" w:sz="0" w:space="0" w:color="auto"/>
        <w:right w:val="none" w:sz="0" w:space="0" w:color="auto"/>
      </w:divBdr>
      <w:divsChild>
        <w:div w:id="739672029">
          <w:marLeft w:val="0"/>
          <w:marRight w:val="0"/>
          <w:marTop w:val="0"/>
          <w:marBottom w:val="0"/>
          <w:divBdr>
            <w:top w:val="none" w:sz="0" w:space="0" w:color="BDBDBD"/>
            <w:left w:val="none" w:sz="0" w:space="0" w:color="BDBDBD"/>
            <w:bottom w:val="single" w:sz="6" w:space="0" w:color="BDBDBD"/>
            <w:right w:val="none" w:sz="0" w:space="0" w:color="BDBDBD"/>
          </w:divBdr>
          <w:divsChild>
            <w:div w:id="140656402">
              <w:marLeft w:val="0"/>
              <w:marRight w:val="0"/>
              <w:marTop w:val="0"/>
              <w:marBottom w:val="0"/>
              <w:divBdr>
                <w:top w:val="none" w:sz="0" w:space="0" w:color="auto"/>
                <w:left w:val="none" w:sz="0" w:space="0" w:color="auto"/>
                <w:bottom w:val="none" w:sz="0" w:space="0" w:color="auto"/>
                <w:right w:val="none" w:sz="0" w:space="0" w:color="auto"/>
              </w:divBdr>
            </w:div>
          </w:divsChild>
        </w:div>
        <w:div w:id="2123263486">
          <w:marLeft w:val="0"/>
          <w:marRight w:val="0"/>
          <w:marTop w:val="0"/>
          <w:marBottom w:val="0"/>
          <w:divBdr>
            <w:top w:val="none" w:sz="0" w:space="0" w:color="auto"/>
            <w:left w:val="none" w:sz="0" w:space="0" w:color="auto"/>
            <w:bottom w:val="none" w:sz="0" w:space="0" w:color="auto"/>
            <w:right w:val="none" w:sz="0" w:space="0" w:color="auto"/>
          </w:divBdr>
          <w:divsChild>
            <w:div w:id="1800999146">
              <w:marLeft w:val="0"/>
              <w:marRight w:val="0"/>
              <w:marTop w:val="0"/>
              <w:marBottom w:val="0"/>
              <w:divBdr>
                <w:top w:val="none" w:sz="0" w:space="0" w:color="auto"/>
                <w:left w:val="none" w:sz="0" w:space="0" w:color="auto"/>
                <w:bottom w:val="none" w:sz="0" w:space="0" w:color="auto"/>
                <w:right w:val="none" w:sz="0" w:space="0" w:color="auto"/>
              </w:divBdr>
              <w:divsChild>
                <w:div w:id="1072000327">
                  <w:marLeft w:val="0"/>
                  <w:marRight w:val="0"/>
                  <w:marTop w:val="0"/>
                  <w:marBottom w:val="0"/>
                  <w:divBdr>
                    <w:top w:val="none" w:sz="0" w:space="0" w:color="auto"/>
                    <w:left w:val="none" w:sz="0" w:space="0" w:color="auto"/>
                    <w:bottom w:val="none" w:sz="0" w:space="0" w:color="auto"/>
                    <w:right w:val="none" w:sz="0" w:space="0" w:color="auto"/>
                  </w:divBdr>
                  <w:divsChild>
                    <w:div w:id="249847973">
                      <w:marLeft w:val="0"/>
                      <w:marRight w:val="0"/>
                      <w:marTop w:val="0"/>
                      <w:marBottom w:val="0"/>
                      <w:divBdr>
                        <w:top w:val="none" w:sz="0" w:space="0" w:color="auto"/>
                        <w:left w:val="none" w:sz="0" w:space="0" w:color="auto"/>
                        <w:bottom w:val="none" w:sz="0" w:space="0" w:color="auto"/>
                        <w:right w:val="none" w:sz="0" w:space="0" w:color="auto"/>
                      </w:divBdr>
                      <w:divsChild>
                        <w:div w:id="179929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9018225">
      <w:bodyDiv w:val="1"/>
      <w:marLeft w:val="0"/>
      <w:marRight w:val="0"/>
      <w:marTop w:val="0"/>
      <w:marBottom w:val="0"/>
      <w:divBdr>
        <w:top w:val="none" w:sz="0" w:space="0" w:color="auto"/>
        <w:left w:val="none" w:sz="0" w:space="0" w:color="auto"/>
        <w:bottom w:val="none" w:sz="0" w:space="0" w:color="auto"/>
        <w:right w:val="none" w:sz="0" w:space="0" w:color="auto"/>
      </w:divBdr>
    </w:div>
    <w:div w:id="1831942904">
      <w:bodyDiv w:val="1"/>
      <w:marLeft w:val="0"/>
      <w:marRight w:val="0"/>
      <w:marTop w:val="0"/>
      <w:marBottom w:val="0"/>
      <w:divBdr>
        <w:top w:val="none" w:sz="0" w:space="0" w:color="auto"/>
        <w:left w:val="none" w:sz="0" w:space="0" w:color="auto"/>
        <w:bottom w:val="none" w:sz="0" w:space="0" w:color="auto"/>
        <w:right w:val="none" w:sz="0" w:space="0" w:color="auto"/>
      </w:divBdr>
    </w:div>
    <w:div w:id="1838114527">
      <w:bodyDiv w:val="1"/>
      <w:marLeft w:val="0"/>
      <w:marRight w:val="0"/>
      <w:marTop w:val="0"/>
      <w:marBottom w:val="0"/>
      <w:divBdr>
        <w:top w:val="none" w:sz="0" w:space="0" w:color="auto"/>
        <w:left w:val="none" w:sz="0" w:space="0" w:color="auto"/>
        <w:bottom w:val="none" w:sz="0" w:space="0" w:color="auto"/>
        <w:right w:val="none" w:sz="0" w:space="0" w:color="auto"/>
      </w:divBdr>
      <w:divsChild>
        <w:div w:id="611547260">
          <w:marLeft w:val="0"/>
          <w:marRight w:val="0"/>
          <w:marTop w:val="0"/>
          <w:marBottom w:val="0"/>
          <w:divBdr>
            <w:top w:val="none" w:sz="0" w:space="0" w:color="BDBDBD"/>
            <w:left w:val="none" w:sz="0" w:space="0" w:color="BDBDBD"/>
            <w:bottom w:val="single" w:sz="6" w:space="0" w:color="BDBDBD"/>
            <w:right w:val="none" w:sz="0" w:space="0" w:color="BDBDBD"/>
          </w:divBdr>
          <w:divsChild>
            <w:div w:id="1093942087">
              <w:marLeft w:val="0"/>
              <w:marRight w:val="0"/>
              <w:marTop w:val="0"/>
              <w:marBottom w:val="0"/>
              <w:divBdr>
                <w:top w:val="none" w:sz="0" w:space="0" w:color="auto"/>
                <w:left w:val="none" w:sz="0" w:space="0" w:color="auto"/>
                <w:bottom w:val="none" w:sz="0" w:space="0" w:color="auto"/>
                <w:right w:val="none" w:sz="0" w:space="0" w:color="auto"/>
              </w:divBdr>
            </w:div>
          </w:divsChild>
        </w:div>
        <w:div w:id="1830976804">
          <w:marLeft w:val="0"/>
          <w:marRight w:val="0"/>
          <w:marTop w:val="0"/>
          <w:marBottom w:val="0"/>
          <w:divBdr>
            <w:top w:val="none" w:sz="0" w:space="0" w:color="auto"/>
            <w:left w:val="none" w:sz="0" w:space="0" w:color="auto"/>
            <w:bottom w:val="none" w:sz="0" w:space="0" w:color="auto"/>
            <w:right w:val="none" w:sz="0" w:space="0" w:color="auto"/>
          </w:divBdr>
          <w:divsChild>
            <w:div w:id="1924604576">
              <w:marLeft w:val="0"/>
              <w:marRight w:val="0"/>
              <w:marTop w:val="0"/>
              <w:marBottom w:val="0"/>
              <w:divBdr>
                <w:top w:val="none" w:sz="0" w:space="0" w:color="auto"/>
                <w:left w:val="none" w:sz="0" w:space="0" w:color="auto"/>
                <w:bottom w:val="none" w:sz="0" w:space="0" w:color="auto"/>
                <w:right w:val="none" w:sz="0" w:space="0" w:color="auto"/>
              </w:divBdr>
              <w:divsChild>
                <w:div w:id="737947661">
                  <w:marLeft w:val="0"/>
                  <w:marRight w:val="0"/>
                  <w:marTop w:val="0"/>
                  <w:marBottom w:val="0"/>
                  <w:divBdr>
                    <w:top w:val="none" w:sz="0" w:space="0" w:color="auto"/>
                    <w:left w:val="none" w:sz="0" w:space="0" w:color="auto"/>
                    <w:bottom w:val="none" w:sz="0" w:space="0" w:color="auto"/>
                    <w:right w:val="none" w:sz="0" w:space="0" w:color="auto"/>
                  </w:divBdr>
                  <w:divsChild>
                    <w:div w:id="259727290">
                      <w:marLeft w:val="0"/>
                      <w:marRight w:val="0"/>
                      <w:marTop w:val="0"/>
                      <w:marBottom w:val="0"/>
                      <w:divBdr>
                        <w:top w:val="none" w:sz="0" w:space="0" w:color="auto"/>
                        <w:left w:val="none" w:sz="0" w:space="0" w:color="auto"/>
                        <w:bottom w:val="none" w:sz="0" w:space="0" w:color="auto"/>
                        <w:right w:val="none" w:sz="0" w:space="0" w:color="auto"/>
                      </w:divBdr>
                      <w:divsChild>
                        <w:div w:id="1703245605">
                          <w:marLeft w:val="0"/>
                          <w:marRight w:val="0"/>
                          <w:marTop w:val="0"/>
                          <w:marBottom w:val="0"/>
                          <w:divBdr>
                            <w:top w:val="none" w:sz="0" w:space="0" w:color="auto"/>
                            <w:left w:val="none" w:sz="0" w:space="0" w:color="auto"/>
                            <w:bottom w:val="none" w:sz="0" w:space="0" w:color="auto"/>
                            <w:right w:val="none" w:sz="0" w:space="0" w:color="auto"/>
                          </w:divBdr>
                        </w:div>
                        <w:div w:id="1752701346">
                          <w:marLeft w:val="0"/>
                          <w:marRight w:val="0"/>
                          <w:marTop w:val="0"/>
                          <w:marBottom w:val="0"/>
                          <w:divBdr>
                            <w:top w:val="none" w:sz="0" w:space="0" w:color="auto"/>
                            <w:left w:val="none" w:sz="0" w:space="0" w:color="auto"/>
                            <w:bottom w:val="none" w:sz="0" w:space="0" w:color="auto"/>
                            <w:right w:val="none" w:sz="0" w:space="0" w:color="auto"/>
                          </w:divBdr>
                        </w:div>
                        <w:div w:id="196707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1698434">
      <w:bodyDiv w:val="1"/>
      <w:marLeft w:val="0"/>
      <w:marRight w:val="0"/>
      <w:marTop w:val="0"/>
      <w:marBottom w:val="0"/>
      <w:divBdr>
        <w:top w:val="none" w:sz="0" w:space="0" w:color="auto"/>
        <w:left w:val="none" w:sz="0" w:space="0" w:color="auto"/>
        <w:bottom w:val="none" w:sz="0" w:space="0" w:color="auto"/>
        <w:right w:val="none" w:sz="0" w:space="0" w:color="auto"/>
      </w:divBdr>
      <w:divsChild>
        <w:div w:id="638192480">
          <w:marLeft w:val="0"/>
          <w:marRight w:val="0"/>
          <w:marTop w:val="0"/>
          <w:marBottom w:val="0"/>
          <w:divBdr>
            <w:top w:val="none" w:sz="0" w:space="0" w:color="BDBDBD"/>
            <w:left w:val="none" w:sz="0" w:space="0" w:color="BDBDBD"/>
            <w:bottom w:val="single" w:sz="6" w:space="0" w:color="BDBDBD"/>
            <w:right w:val="none" w:sz="0" w:space="0" w:color="BDBDBD"/>
          </w:divBdr>
          <w:divsChild>
            <w:div w:id="1591306705">
              <w:marLeft w:val="0"/>
              <w:marRight w:val="0"/>
              <w:marTop w:val="0"/>
              <w:marBottom w:val="0"/>
              <w:divBdr>
                <w:top w:val="none" w:sz="0" w:space="0" w:color="auto"/>
                <w:left w:val="none" w:sz="0" w:space="0" w:color="auto"/>
                <w:bottom w:val="none" w:sz="0" w:space="0" w:color="auto"/>
                <w:right w:val="none" w:sz="0" w:space="0" w:color="auto"/>
              </w:divBdr>
            </w:div>
          </w:divsChild>
        </w:div>
        <w:div w:id="350574284">
          <w:marLeft w:val="0"/>
          <w:marRight w:val="0"/>
          <w:marTop w:val="0"/>
          <w:marBottom w:val="0"/>
          <w:divBdr>
            <w:top w:val="none" w:sz="0" w:space="0" w:color="auto"/>
            <w:left w:val="none" w:sz="0" w:space="0" w:color="auto"/>
            <w:bottom w:val="none" w:sz="0" w:space="0" w:color="auto"/>
            <w:right w:val="none" w:sz="0" w:space="0" w:color="auto"/>
          </w:divBdr>
          <w:divsChild>
            <w:div w:id="4862626">
              <w:marLeft w:val="0"/>
              <w:marRight w:val="0"/>
              <w:marTop w:val="0"/>
              <w:marBottom w:val="0"/>
              <w:divBdr>
                <w:top w:val="none" w:sz="0" w:space="0" w:color="auto"/>
                <w:left w:val="none" w:sz="0" w:space="0" w:color="auto"/>
                <w:bottom w:val="none" w:sz="0" w:space="0" w:color="auto"/>
                <w:right w:val="none" w:sz="0" w:space="0" w:color="auto"/>
              </w:divBdr>
              <w:divsChild>
                <w:div w:id="1561209705">
                  <w:marLeft w:val="0"/>
                  <w:marRight w:val="0"/>
                  <w:marTop w:val="0"/>
                  <w:marBottom w:val="0"/>
                  <w:divBdr>
                    <w:top w:val="none" w:sz="0" w:space="0" w:color="auto"/>
                    <w:left w:val="none" w:sz="0" w:space="0" w:color="auto"/>
                    <w:bottom w:val="none" w:sz="0" w:space="0" w:color="auto"/>
                    <w:right w:val="none" w:sz="0" w:space="0" w:color="auto"/>
                  </w:divBdr>
                  <w:divsChild>
                    <w:div w:id="1114667633">
                      <w:marLeft w:val="0"/>
                      <w:marRight w:val="0"/>
                      <w:marTop w:val="0"/>
                      <w:marBottom w:val="0"/>
                      <w:divBdr>
                        <w:top w:val="none" w:sz="0" w:space="0" w:color="auto"/>
                        <w:left w:val="none" w:sz="0" w:space="0" w:color="auto"/>
                        <w:bottom w:val="none" w:sz="0" w:space="0" w:color="auto"/>
                        <w:right w:val="none" w:sz="0" w:space="0" w:color="auto"/>
                      </w:divBdr>
                      <w:divsChild>
                        <w:div w:id="1510365529">
                          <w:marLeft w:val="0"/>
                          <w:marRight w:val="0"/>
                          <w:marTop w:val="0"/>
                          <w:marBottom w:val="0"/>
                          <w:divBdr>
                            <w:top w:val="none" w:sz="0" w:space="0" w:color="auto"/>
                            <w:left w:val="none" w:sz="0" w:space="0" w:color="auto"/>
                            <w:bottom w:val="none" w:sz="0" w:space="0" w:color="auto"/>
                            <w:right w:val="none" w:sz="0" w:space="0" w:color="auto"/>
                          </w:divBdr>
                        </w:div>
                        <w:div w:id="1287662186">
                          <w:marLeft w:val="0"/>
                          <w:marRight w:val="0"/>
                          <w:marTop w:val="0"/>
                          <w:marBottom w:val="0"/>
                          <w:divBdr>
                            <w:top w:val="none" w:sz="0" w:space="0" w:color="auto"/>
                            <w:left w:val="none" w:sz="0" w:space="0" w:color="auto"/>
                            <w:bottom w:val="none" w:sz="0" w:space="0" w:color="auto"/>
                            <w:right w:val="none" w:sz="0" w:space="0" w:color="auto"/>
                          </w:divBdr>
                        </w:div>
                        <w:div w:id="70487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5512358">
      <w:bodyDiv w:val="1"/>
      <w:marLeft w:val="0"/>
      <w:marRight w:val="0"/>
      <w:marTop w:val="0"/>
      <w:marBottom w:val="0"/>
      <w:divBdr>
        <w:top w:val="none" w:sz="0" w:space="0" w:color="auto"/>
        <w:left w:val="none" w:sz="0" w:space="0" w:color="auto"/>
        <w:bottom w:val="none" w:sz="0" w:space="0" w:color="auto"/>
        <w:right w:val="none" w:sz="0" w:space="0" w:color="auto"/>
      </w:divBdr>
    </w:div>
    <w:div w:id="1866209873">
      <w:bodyDiv w:val="1"/>
      <w:marLeft w:val="0"/>
      <w:marRight w:val="0"/>
      <w:marTop w:val="0"/>
      <w:marBottom w:val="0"/>
      <w:divBdr>
        <w:top w:val="none" w:sz="0" w:space="0" w:color="auto"/>
        <w:left w:val="none" w:sz="0" w:space="0" w:color="auto"/>
        <w:bottom w:val="none" w:sz="0" w:space="0" w:color="auto"/>
        <w:right w:val="none" w:sz="0" w:space="0" w:color="auto"/>
      </w:divBdr>
    </w:div>
    <w:div w:id="1868131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4.png"/><Relationship Id="rId42" Type="http://schemas.openxmlformats.org/officeDocument/2006/relationships/image" Target="media/image30.png"/><Relationship Id="rId63" Type="http://schemas.openxmlformats.org/officeDocument/2006/relationships/chart" Target="charts/chart3.xml"/><Relationship Id="rId84" Type="http://schemas.openxmlformats.org/officeDocument/2006/relationships/image" Target="media/image65.png"/><Relationship Id="rId138" Type="http://schemas.openxmlformats.org/officeDocument/2006/relationships/image" Target="media/image113.emf"/><Relationship Id="rId159" Type="http://schemas.openxmlformats.org/officeDocument/2006/relationships/image" Target="media/image133.png"/><Relationship Id="rId170" Type="http://schemas.openxmlformats.org/officeDocument/2006/relationships/image" Target="media/image144.png"/><Relationship Id="rId191" Type="http://schemas.openxmlformats.org/officeDocument/2006/relationships/image" Target="media/image164.png"/><Relationship Id="rId205" Type="http://schemas.openxmlformats.org/officeDocument/2006/relationships/image" Target="media/image178.png"/><Relationship Id="rId226" Type="http://schemas.openxmlformats.org/officeDocument/2006/relationships/image" Target="media/image199.png"/><Relationship Id="rId247" Type="http://schemas.openxmlformats.org/officeDocument/2006/relationships/image" Target="media/image219.png"/><Relationship Id="rId107" Type="http://schemas.openxmlformats.org/officeDocument/2006/relationships/image" Target="media/image88.emf"/><Relationship Id="rId268" Type="http://schemas.openxmlformats.org/officeDocument/2006/relationships/image" Target="media/image240.emf"/><Relationship Id="rId289" Type="http://schemas.openxmlformats.org/officeDocument/2006/relationships/image" Target="media/image261.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0.png"/><Relationship Id="rId74" Type="http://schemas.openxmlformats.org/officeDocument/2006/relationships/image" Target="media/image56.png"/><Relationship Id="rId128" Type="http://schemas.openxmlformats.org/officeDocument/2006/relationships/image" Target="media/image103.png"/><Relationship Id="rId149" Type="http://schemas.openxmlformats.org/officeDocument/2006/relationships/image" Target="media/image123.emf"/><Relationship Id="rId5" Type="http://schemas.openxmlformats.org/officeDocument/2006/relationships/webSettings" Target="webSettings.xml"/><Relationship Id="rId95" Type="http://schemas.openxmlformats.org/officeDocument/2006/relationships/image" Target="media/image76.emf"/><Relationship Id="rId160" Type="http://schemas.openxmlformats.org/officeDocument/2006/relationships/image" Target="media/image134.png"/><Relationship Id="rId181" Type="http://schemas.openxmlformats.org/officeDocument/2006/relationships/image" Target="media/image154.emf"/><Relationship Id="rId216" Type="http://schemas.openxmlformats.org/officeDocument/2006/relationships/image" Target="media/image189.png"/><Relationship Id="rId237" Type="http://schemas.openxmlformats.org/officeDocument/2006/relationships/image" Target="media/image209.png"/><Relationship Id="rId258" Type="http://schemas.openxmlformats.org/officeDocument/2006/relationships/image" Target="media/image230.png"/><Relationship Id="rId279" Type="http://schemas.openxmlformats.org/officeDocument/2006/relationships/image" Target="media/image251.png"/><Relationship Id="rId22" Type="http://schemas.microsoft.com/office/2007/relationships/hdphoto" Target="media/hdphoto1.wdp"/><Relationship Id="rId43" Type="http://schemas.openxmlformats.org/officeDocument/2006/relationships/image" Target="media/image31.png"/><Relationship Id="rId64" Type="http://schemas.openxmlformats.org/officeDocument/2006/relationships/image" Target="media/image48.png"/><Relationship Id="rId118" Type="http://schemas.openxmlformats.org/officeDocument/2006/relationships/image" Target="media/image96.png"/><Relationship Id="rId139" Type="http://schemas.openxmlformats.org/officeDocument/2006/relationships/image" Target="media/image114.png"/><Relationship Id="rId290" Type="http://schemas.openxmlformats.org/officeDocument/2006/relationships/image" Target="media/image262.emf"/><Relationship Id="rId85" Type="http://schemas.openxmlformats.org/officeDocument/2006/relationships/image" Target="media/image66.png"/><Relationship Id="rId150" Type="http://schemas.openxmlformats.org/officeDocument/2006/relationships/image" Target="media/image124.emf"/><Relationship Id="rId171" Type="http://schemas.openxmlformats.org/officeDocument/2006/relationships/image" Target="media/image145.emf"/><Relationship Id="rId192" Type="http://schemas.openxmlformats.org/officeDocument/2006/relationships/image" Target="media/image165.png"/><Relationship Id="rId206" Type="http://schemas.openxmlformats.org/officeDocument/2006/relationships/image" Target="media/image179.png"/><Relationship Id="rId227" Type="http://schemas.openxmlformats.org/officeDocument/2006/relationships/image" Target="media/image200.png"/><Relationship Id="rId248" Type="http://schemas.openxmlformats.org/officeDocument/2006/relationships/image" Target="media/image220.png"/><Relationship Id="rId269" Type="http://schemas.openxmlformats.org/officeDocument/2006/relationships/image" Target="media/image241.png"/><Relationship Id="rId12" Type="http://schemas.openxmlformats.org/officeDocument/2006/relationships/image" Target="media/image5.png"/><Relationship Id="rId33" Type="http://schemas.openxmlformats.org/officeDocument/2006/relationships/image" Target="media/image23.png"/><Relationship Id="rId108" Type="http://schemas.openxmlformats.org/officeDocument/2006/relationships/image" Target="media/image89.png"/><Relationship Id="rId129" Type="http://schemas.openxmlformats.org/officeDocument/2006/relationships/image" Target="media/image104.emf"/><Relationship Id="rId280" Type="http://schemas.openxmlformats.org/officeDocument/2006/relationships/image" Target="media/image252.emf"/><Relationship Id="rId54" Type="http://schemas.openxmlformats.org/officeDocument/2006/relationships/image" Target="media/image41.png"/><Relationship Id="rId75" Type="http://schemas.openxmlformats.org/officeDocument/2006/relationships/image" Target="media/image57.png"/><Relationship Id="rId96" Type="http://schemas.openxmlformats.org/officeDocument/2006/relationships/image" Target="media/image77.png"/><Relationship Id="rId140" Type="http://schemas.openxmlformats.org/officeDocument/2006/relationships/image" Target="media/image115.emf"/><Relationship Id="rId161" Type="http://schemas.openxmlformats.org/officeDocument/2006/relationships/image" Target="media/image135.emf"/><Relationship Id="rId182" Type="http://schemas.openxmlformats.org/officeDocument/2006/relationships/image" Target="media/image155.png"/><Relationship Id="rId217" Type="http://schemas.openxmlformats.org/officeDocument/2006/relationships/image" Target="media/image190.png"/><Relationship Id="rId6" Type="http://schemas.openxmlformats.org/officeDocument/2006/relationships/footnotes" Target="footnotes.xml"/><Relationship Id="rId238" Type="http://schemas.openxmlformats.org/officeDocument/2006/relationships/image" Target="media/image210.png"/><Relationship Id="rId259" Type="http://schemas.openxmlformats.org/officeDocument/2006/relationships/image" Target="media/image231.png"/><Relationship Id="rId23" Type="http://schemas.openxmlformats.org/officeDocument/2006/relationships/image" Target="media/image15.png"/><Relationship Id="rId119" Type="http://schemas.openxmlformats.org/officeDocument/2006/relationships/image" Target="media/image97.png"/><Relationship Id="rId270" Type="http://schemas.openxmlformats.org/officeDocument/2006/relationships/image" Target="media/image242.emf"/><Relationship Id="rId291" Type="http://schemas.openxmlformats.org/officeDocument/2006/relationships/image" Target="media/image263.png"/><Relationship Id="rId44" Type="http://schemas.openxmlformats.org/officeDocument/2006/relationships/image" Target="media/image32.png"/><Relationship Id="rId65" Type="http://schemas.openxmlformats.org/officeDocument/2006/relationships/image" Target="media/image49.png"/><Relationship Id="rId86" Type="http://schemas.openxmlformats.org/officeDocument/2006/relationships/image" Target="media/image67.png"/><Relationship Id="rId130" Type="http://schemas.openxmlformats.org/officeDocument/2006/relationships/image" Target="media/image105.emf"/><Relationship Id="rId151" Type="http://schemas.openxmlformats.org/officeDocument/2006/relationships/image" Target="media/image125.png"/><Relationship Id="rId172" Type="http://schemas.openxmlformats.org/officeDocument/2006/relationships/chart" Target="charts/chart14.xml"/><Relationship Id="rId193" Type="http://schemas.openxmlformats.org/officeDocument/2006/relationships/image" Target="media/image166.png"/><Relationship Id="rId207" Type="http://schemas.openxmlformats.org/officeDocument/2006/relationships/image" Target="media/image180.png"/><Relationship Id="rId228" Type="http://schemas.openxmlformats.org/officeDocument/2006/relationships/image" Target="media/image201.png"/><Relationship Id="rId249" Type="http://schemas.openxmlformats.org/officeDocument/2006/relationships/image" Target="media/image221.png"/><Relationship Id="rId13" Type="http://schemas.openxmlformats.org/officeDocument/2006/relationships/image" Target="media/image6.png"/><Relationship Id="rId109" Type="http://schemas.openxmlformats.org/officeDocument/2006/relationships/chart" Target="charts/chart7.xml"/><Relationship Id="rId260" Type="http://schemas.openxmlformats.org/officeDocument/2006/relationships/image" Target="media/image232.png"/><Relationship Id="rId281" Type="http://schemas.openxmlformats.org/officeDocument/2006/relationships/image" Target="media/image253.png"/><Relationship Id="rId34" Type="http://schemas.openxmlformats.org/officeDocument/2006/relationships/image" Target="media/image24.png"/><Relationship Id="rId55" Type="http://schemas.openxmlformats.org/officeDocument/2006/relationships/image" Target="media/image42.png"/><Relationship Id="rId76" Type="http://schemas.openxmlformats.org/officeDocument/2006/relationships/image" Target="media/image58.png"/><Relationship Id="rId97" Type="http://schemas.openxmlformats.org/officeDocument/2006/relationships/image" Target="media/image78.emf"/><Relationship Id="rId120" Type="http://schemas.openxmlformats.org/officeDocument/2006/relationships/image" Target="media/image98.png"/><Relationship Id="rId141" Type="http://schemas.openxmlformats.org/officeDocument/2006/relationships/image" Target="media/image116.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3.png"/><Relationship Id="rId162" Type="http://schemas.openxmlformats.org/officeDocument/2006/relationships/image" Target="media/image136.png"/><Relationship Id="rId183" Type="http://schemas.openxmlformats.org/officeDocument/2006/relationships/image" Target="media/image156.png"/><Relationship Id="rId213" Type="http://schemas.openxmlformats.org/officeDocument/2006/relationships/image" Target="media/image186.emf"/><Relationship Id="rId218" Type="http://schemas.openxmlformats.org/officeDocument/2006/relationships/image" Target="media/image191.png"/><Relationship Id="rId234" Type="http://schemas.openxmlformats.org/officeDocument/2006/relationships/image" Target="media/image207.png"/><Relationship Id="rId239" Type="http://schemas.openxmlformats.org/officeDocument/2006/relationships/image" Target="media/image211.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22.png"/><Relationship Id="rId255" Type="http://schemas.openxmlformats.org/officeDocument/2006/relationships/image" Target="media/image227.png"/><Relationship Id="rId271" Type="http://schemas.openxmlformats.org/officeDocument/2006/relationships/image" Target="media/image243.png"/><Relationship Id="rId276" Type="http://schemas.openxmlformats.org/officeDocument/2006/relationships/image" Target="media/image248.emf"/><Relationship Id="rId292" Type="http://schemas.openxmlformats.org/officeDocument/2006/relationships/image" Target="media/image264.emf"/><Relationship Id="rId24" Type="http://schemas.openxmlformats.org/officeDocument/2006/relationships/hyperlink" Target="https://www.geoengineer.org/storage/education/2404/editor_photos/19622/Picture2_17.jpg" TargetMode="External"/><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chart" Target="charts/chart4.xml"/><Relationship Id="rId87" Type="http://schemas.openxmlformats.org/officeDocument/2006/relationships/image" Target="media/image68.png"/><Relationship Id="rId110" Type="http://schemas.openxmlformats.org/officeDocument/2006/relationships/chart" Target="charts/chart8.xml"/><Relationship Id="rId115" Type="http://schemas.openxmlformats.org/officeDocument/2006/relationships/image" Target="media/image93.png"/><Relationship Id="rId131" Type="http://schemas.openxmlformats.org/officeDocument/2006/relationships/image" Target="media/image106.png"/><Relationship Id="rId136" Type="http://schemas.openxmlformats.org/officeDocument/2006/relationships/image" Target="media/image111.png"/><Relationship Id="rId157" Type="http://schemas.openxmlformats.org/officeDocument/2006/relationships/image" Target="media/image131.png"/><Relationship Id="rId178" Type="http://schemas.openxmlformats.org/officeDocument/2006/relationships/image" Target="media/image151.png"/><Relationship Id="rId61" Type="http://schemas.openxmlformats.org/officeDocument/2006/relationships/chart" Target="charts/chart2.xml"/><Relationship Id="rId82" Type="http://schemas.openxmlformats.org/officeDocument/2006/relationships/image" Target="media/image63.emf"/><Relationship Id="rId152" Type="http://schemas.openxmlformats.org/officeDocument/2006/relationships/image" Target="media/image126.png"/><Relationship Id="rId173" Type="http://schemas.openxmlformats.org/officeDocument/2006/relationships/image" Target="media/image146.png"/><Relationship Id="rId194" Type="http://schemas.openxmlformats.org/officeDocument/2006/relationships/image" Target="media/image167.png"/><Relationship Id="rId199" Type="http://schemas.openxmlformats.org/officeDocument/2006/relationships/image" Target="media/image172.emf"/><Relationship Id="rId203" Type="http://schemas.openxmlformats.org/officeDocument/2006/relationships/image" Target="media/image176.emf"/><Relationship Id="rId208" Type="http://schemas.openxmlformats.org/officeDocument/2006/relationships/image" Target="media/image181.png"/><Relationship Id="rId229" Type="http://schemas.openxmlformats.org/officeDocument/2006/relationships/image" Target="media/image202.png"/><Relationship Id="rId19" Type="http://schemas.openxmlformats.org/officeDocument/2006/relationships/image" Target="media/image12.jpeg"/><Relationship Id="rId224" Type="http://schemas.openxmlformats.org/officeDocument/2006/relationships/image" Target="media/image197.emf"/><Relationship Id="rId240" Type="http://schemas.openxmlformats.org/officeDocument/2006/relationships/image" Target="media/image212.png"/><Relationship Id="rId245" Type="http://schemas.openxmlformats.org/officeDocument/2006/relationships/image" Target="media/image217.png"/><Relationship Id="rId261" Type="http://schemas.openxmlformats.org/officeDocument/2006/relationships/image" Target="media/image233.png"/><Relationship Id="rId266" Type="http://schemas.openxmlformats.org/officeDocument/2006/relationships/image" Target="media/image238.emf"/><Relationship Id="rId287" Type="http://schemas.openxmlformats.org/officeDocument/2006/relationships/image" Target="media/image259.png"/><Relationship Id="rId14" Type="http://schemas.openxmlformats.org/officeDocument/2006/relationships/image" Target="media/image7.jpeg"/><Relationship Id="rId30" Type="http://schemas.openxmlformats.org/officeDocument/2006/relationships/image" Target="media/image20.png"/><Relationship Id="rId35" Type="http://schemas.openxmlformats.org/officeDocument/2006/relationships/image" Target="media/image25.emf"/><Relationship Id="rId56" Type="http://schemas.openxmlformats.org/officeDocument/2006/relationships/image" Target="media/image43.png"/><Relationship Id="rId77" Type="http://schemas.openxmlformats.org/officeDocument/2006/relationships/chart" Target="charts/chart6.xml"/><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chart" Target="charts/chart11.xml"/><Relationship Id="rId147" Type="http://schemas.openxmlformats.org/officeDocument/2006/relationships/image" Target="media/image121.png"/><Relationship Id="rId168" Type="http://schemas.openxmlformats.org/officeDocument/2006/relationships/image" Target="media/image142.png"/><Relationship Id="rId282" Type="http://schemas.openxmlformats.org/officeDocument/2006/relationships/image" Target="media/image254.emf"/><Relationship Id="rId8" Type="http://schemas.openxmlformats.org/officeDocument/2006/relationships/image" Target="media/image1.png"/><Relationship Id="rId51" Type="http://schemas.openxmlformats.org/officeDocument/2006/relationships/image" Target="media/image380.png"/><Relationship Id="rId72" Type="http://schemas.openxmlformats.org/officeDocument/2006/relationships/image" Target="media/image55.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99.emf"/><Relationship Id="rId142" Type="http://schemas.openxmlformats.org/officeDocument/2006/relationships/image" Target="media/image117.emf"/><Relationship Id="rId163" Type="http://schemas.openxmlformats.org/officeDocument/2006/relationships/image" Target="media/image137.emf"/><Relationship Id="rId184" Type="http://schemas.openxmlformats.org/officeDocument/2006/relationships/image" Target="media/image157.png"/><Relationship Id="rId189" Type="http://schemas.openxmlformats.org/officeDocument/2006/relationships/image" Target="media/image162.png"/><Relationship Id="rId219" Type="http://schemas.openxmlformats.org/officeDocument/2006/relationships/image" Target="media/image192.png"/><Relationship Id="rId3" Type="http://schemas.openxmlformats.org/officeDocument/2006/relationships/styles" Target="styles.xml"/><Relationship Id="rId214" Type="http://schemas.openxmlformats.org/officeDocument/2006/relationships/image" Target="media/image187.png"/><Relationship Id="rId230" Type="http://schemas.openxmlformats.org/officeDocument/2006/relationships/image" Target="media/image203.emf"/><Relationship Id="rId235" Type="http://schemas.openxmlformats.org/officeDocument/2006/relationships/image" Target="media/image208.emf"/><Relationship Id="rId251" Type="http://schemas.openxmlformats.org/officeDocument/2006/relationships/image" Target="media/image223.png"/><Relationship Id="rId256" Type="http://schemas.openxmlformats.org/officeDocument/2006/relationships/image" Target="media/image228.png"/><Relationship Id="rId277" Type="http://schemas.openxmlformats.org/officeDocument/2006/relationships/image" Target="media/image249.png"/><Relationship Id="rId25" Type="http://schemas.openxmlformats.org/officeDocument/2006/relationships/image" Target="media/image16.jpeg"/><Relationship Id="rId46" Type="http://schemas.openxmlformats.org/officeDocument/2006/relationships/image" Target="media/image34.png"/><Relationship Id="rId67" Type="http://schemas.openxmlformats.org/officeDocument/2006/relationships/image" Target="media/image50.png"/><Relationship Id="rId116" Type="http://schemas.openxmlformats.org/officeDocument/2006/relationships/image" Target="media/image94.png"/><Relationship Id="rId137" Type="http://schemas.openxmlformats.org/officeDocument/2006/relationships/image" Target="media/image112.png"/><Relationship Id="rId158" Type="http://schemas.openxmlformats.org/officeDocument/2006/relationships/image" Target="media/image132.png"/><Relationship Id="rId272" Type="http://schemas.openxmlformats.org/officeDocument/2006/relationships/image" Target="media/image244.emf"/><Relationship Id="rId293" Type="http://schemas.openxmlformats.org/officeDocument/2006/relationships/footer" Target="footer1.xml"/><Relationship Id="rId20" Type="http://schemas.openxmlformats.org/officeDocument/2006/relationships/image" Target="media/image13.gif"/><Relationship Id="rId41" Type="http://schemas.openxmlformats.org/officeDocument/2006/relationships/image" Target="media/image29.png"/><Relationship Id="rId62" Type="http://schemas.openxmlformats.org/officeDocument/2006/relationships/image" Target="media/image47.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0.png"/><Relationship Id="rId132" Type="http://schemas.openxmlformats.org/officeDocument/2006/relationships/image" Target="media/image107.png"/><Relationship Id="rId153" Type="http://schemas.openxmlformats.org/officeDocument/2006/relationships/image" Target="media/image127.png"/><Relationship Id="rId174" Type="http://schemas.openxmlformats.org/officeDocument/2006/relationships/image" Target="media/image147.png"/><Relationship Id="rId179" Type="http://schemas.openxmlformats.org/officeDocument/2006/relationships/image" Target="media/image152.png"/><Relationship Id="rId195" Type="http://schemas.openxmlformats.org/officeDocument/2006/relationships/image" Target="media/image168.png"/><Relationship Id="rId209" Type="http://schemas.openxmlformats.org/officeDocument/2006/relationships/image" Target="media/image182.emf"/><Relationship Id="rId190" Type="http://schemas.openxmlformats.org/officeDocument/2006/relationships/image" Target="media/image163.png"/><Relationship Id="rId204" Type="http://schemas.openxmlformats.org/officeDocument/2006/relationships/image" Target="media/image177.emf"/><Relationship Id="rId220" Type="http://schemas.openxmlformats.org/officeDocument/2006/relationships/image" Target="media/image193.png"/><Relationship Id="rId225" Type="http://schemas.openxmlformats.org/officeDocument/2006/relationships/image" Target="media/image198.png"/><Relationship Id="rId241" Type="http://schemas.openxmlformats.org/officeDocument/2006/relationships/image" Target="media/image213.png"/><Relationship Id="rId246" Type="http://schemas.openxmlformats.org/officeDocument/2006/relationships/image" Target="media/image218.png"/><Relationship Id="rId267" Type="http://schemas.openxmlformats.org/officeDocument/2006/relationships/image" Target="media/image239.png"/><Relationship Id="rId288" Type="http://schemas.openxmlformats.org/officeDocument/2006/relationships/image" Target="media/image260.emf"/><Relationship Id="rId15" Type="http://schemas.openxmlformats.org/officeDocument/2006/relationships/image" Target="media/image8.jpeg"/><Relationship Id="rId36" Type="http://schemas.openxmlformats.org/officeDocument/2006/relationships/package" Target="embeddings/Microsoft_Visio_Drawing.vsdx"/><Relationship Id="rId57" Type="http://schemas.openxmlformats.org/officeDocument/2006/relationships/image" Target="media/image44.png"/><Relationship Id="rId106" Type="http://schemas.openxmlformats.org/officeDocument/2006/relationships/image" Target="media/image87.emf"/><Relationship Id="rId127" Type="http://schemas.openxmlformats.org/officeDocument/2006/relationships/chart" Target="charts/chart12.xml"/><Relationship Id="rId262" Type="http://schemas.openxmlformats.org/officeDocument/2006/relationships/image" Target="media/image234.png"/><Relationship Id="rId283" Type="http://schemas.openxmlformats.org/officeDocument/2006/relationships/image" Target="media/image255.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39.png"/><Relationship Id="rId73" Type="http://schemas.openxmlformats.org/officeDocument/2006/relationships/chart" Target="charts/chart5.xml"/><Relationship Id="rId78" Type="http://schemas.openxmlformats.org/officeDocument/2006/relationships/image" Target="media/image59.png"/><Relationship Id="rId94" Type="http://schemas.openxmlformats.org/officeDocument/2006/relationships/image" Target="media/image75.emf"/><Relationship Id="rId99" Type="http://schemas.openxmlformats.org/officeDocument/2006/relationships/image" Target="media/image80.png"/><Relationship Id="rId101" Type="http://schemas.openxmlformats.org/officeDocument/2006/relationships/image" Target="media/image82.emf"/><Relationship Id="rId122" Type="http://schemas.openxmlformats.org/officeDocument/2006/relationships/image" Target="media/image100.emf"/><Relationship Id="rId143" Type="http://schemas.openxmlformats.org/officeDocument/2006/relationships/image" Target="media/image118.png"/><Relationship Id="rId148" Type="http://schemas.openxmlformats.org/officeDocument/2006/relationships/image" Target="media/image122.png"/><Relationship Id="rId164" Type="http://schemas.openxmlformats.org/officeDocument/2006/relationships/image" Target="media/image138.png"/><Relationship Id="rId169" Type="http://schemas.openxmlformats.org/officeDocument/2006/relationships/image" Target="media/image143.emf"/><Relationship Id="rId185" Type="http://schemas.openxmlformats.org/officeDocument/2006/relationships/image" Target="media/image15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3.png"/><Relationship Id="rId210" Type="http://schemas.openxmlformats.org/officeDocument/2006/relationships/image" Target="media/image183.png"/><Relationship Id="rId215" Type="http://schemas.openxmlformats.org/officeDocument/2006/relationships/image" Target="media/image188.emf"/><Relationship Id="rId236" Type="http://schemas.openxmlformats.org/officeDocument/2006/relationships/package" Target="embeddings/Microsoft_Visio_Drawing8.vsdx"/><Relationship Id="rId257" Type="http://schemas.openxmlformats.org/officeDocument/2006/relationships/image" Target="media/image229.png"/><Relationship Id="rId278" Type="http://schemas.openxmlformats.org/officeDocument/2006/relationships/image" Target="media/image250.emf"/><Relationship Id="rId26" Type="http://schemas.openxmlformats.org/officeDocument/2006/relationships/image" Target="media/image17.png"/><Relationship Id="rId231" Type="http://schemas.openxmlformats.org/officeDocument/2006/relationships/image" Target="media/image204.emf"/><Relationship Id="rId252" Type="http://schemas.openxmlformats.org/officeDocument/2006/relationships/image" Target="media/image224.png"/><Relationship Id="rId273" Type="http://schemas.openxmlformats.org/officeDocument/2006/relationships/image" Target="media/image245.png"/><Relationship Id="rId294" Type="http://schemas.openxmlformats.org/officeDocument/2006/relationships/fontTable" Target="fontTable.xml"/><Relationship Id="rId47" Type="http://schemas.openxmlformats.org/officeDocument/2006/relationships/image" Target="media/image35.png"/><Relationship Id="rId68" Type="http://schemas.openxmlformats.org/officeDocument/2006/relationships/image" Target="media/image51.pn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media/image108.png"/><Relationship Id="rId154" Type="http://schemas.openxmlformats.org/officeDocument/2006/relationships/image" Target="media/image128.png"/><Relationship Id="rId175" Type="http://schemas.openxmlformats.org/officeDocument/2006/relationships/image" Target="media/image148.png"/><Relationship Id="rId196" Type="http://schemas.openxmlformats.org/officeDocument/2006/relationships/image" Target="media/image169.png"/><Relationship Id="rId200" Type="http://schemas.openxmlformats.org/officeDocument/2006/relationships/image" Target="media/image173.emf"/><Relationship Id="rId16" Type="http://schemas.openxmlformats.org/officeDocument/2006/relationships/image" Target="media/image9.jpeg"/><Relationship Id="rId221" Type="http://schemas.openxmlformats.org/officeDocument/2006/relationships/image" Target="media/image194.emf"/><Relationship Id="rId242" Type="http://schemas.openxmlformats.org/officeDocument/2006/relationships/image" Target="media/image214.png"/><Relationship Id="rId263" Type="http://schemas.openxmlformats.org/officeDocument/2006/relationships/image" Target="media/image235.png"/><Relationship Id="rId284" Type="http://schemas.openxmlformats.org/officeDocument/2006/relationships/image" Target="media/image256.emf"/><Relationship Id="rId37" Type="http://schemas.openxmlformats.org/officeDocument/2006/relationships/image" Target="media/image26.png"/><Relationship Id="rId58" Type="http://schemas.openxmlformats.org/officeDocument/2006/relationships/image" Target="media/image45.png"/><Relationship Id="rId79" Type="http://schemas.openxmlformats.org/officeDocument/2006/relationships/image" Target="media/image60.png"/><Relationship Id="rId102" Type="http://schemas.openxmlformats.org/officeDocument/2006/relationships/image" Target="media/image83.emf"/><Relationship Id="rId123" Type="http://schemas.openxmlformats.org/officeDocument/2006/relationships/image" Target="media/image101.emf"/><Relationship Id="rId144" Type="http://schemas.openxmlformats.org/officeDocument/2006/relationships/image" Target="media/image119.emf"/><Relationship Id="rId90" Type="http://schemas.openxmlformats.org/officeDocument/2006/relationships/image" Target="media/image71.png"/><Relationship Id="rId165" Type="http://schemas.openxmlformats.org/officeDocument/2006/relationships/image" Target="media/image139.emf"/><Relationship Id="rId186" Type="http://schemas.openxmlformats.org/officeDocument/2006/relationships/image" Target="media/image159.png"/><Relationship Id="rId211" Type="http://schemas.openxmlformats.org/officeDocument/2006/relationships/image" Target="media/image184.emf"/><Relationship Id="rId232" Type="http://schemas.openxmlformats.org/officeDocument/2006/relationships/image" Target="media/image205.emf"/><Relationship Id="rId253" Type="http://schemas.openxmlformats.org/officeDocument/2006/relationships/image" Target="media/image225.png"/><Relationship Id="rId274" Type="http://schemas.openxmlformats.org/officeDocument/2006/relationships/image" Target="media/image246.emf"/><Relationship Id="rId295" Type="http://schemas.openxmlformats.org/officeDocument/2006/relationships/theme" Target="theme/theme1.xml"/><Relationship Id="rId27" Type="http://schemas.microsoft.com/office/2007/relationships/hdphoto" Target="media/hdphoto2.wdp"/><Relationship Id="rId48" Type="http://schemas.openxmlformats.org/officeDocument/2006/relationships/image" Target="media/image36.png"/><Relationship Id="rId69" Type="http://schemas.openxmlformats.org/officeDocument/2006/relationships/image" Target="media/image52.png"/><Relationship Id="rId113" Type="http://schemas.openxmlformats.org/officeDocument/2006/relationships/image" Target="media/image92.png"/><Relationship Id="rId134" Type="http://schemas.openxmlformats.org/officeDocument/2006/relationships/image" Target="media/image109.png"/><Relationship Id="rId80" Type="http://schemas.openxmlformats.org/officeDocument/2006/relationships/image" Target="media/image61.emf"/><Relationship Id="rId155" Type="http://schemas.openxmlformats.org/officeDocument/2006/relationships/image" Target="media/image129.png"/><Relationship Id="rId176" Type="http://schemas.openxmlformats.org/officeDocument/2006/relationships/image" Target="media/image149.png"/><Relationship Id="rId197" Type="http://schemas.openxmlformats.org/officeDocument/2006/relationships/image" Target="media/image170.png"/><Relationship Id="rId201" Type="http://schemas.openxmlformats.org/officeDocument/2006/relationships/image" Target="media/image174.emf"/><Relationship Id="rId222" Type="http://schemas.openxmlformats.org/officeDocument/2006/relationships/image" Target="media/image195.emf"/><Relationship Id="rId243" Type="http://schemas.openxmlformats.org/officeDocument/2006/relationships/image" Target="media/image215.png"/><Relationship Id="rId264" Type="http://schemas.openxmlformats.org/officeDocument/2006/relationships/image" Target="media/image236.emf"/><Relationship Id="rId285" Type="http://schemas.openxmlformats.org/officeDocument/2006/relationships/image" Target="media/image257.png"/><Relationship Id="rId17" Type="http://schemas.openxmlformats.org/officeDocument/2006/relationships/image" Target="media/image10.jpeg"/><Relationship Id="rId38" Type="http://schemas.openxmlformats.org/officeDocument/2006/relationships/image" Target="media/image27.emf"/><Relationship Id="rId59" Type="http://schemas.openxmlformats.org/officeDocument/2006/relationships/chart" Target="charts/chart1.xml"/><Relationship Id="rId103" Type="http://schemas.openxmlformats.org/officeDocument/2006/relationships/image" Target="media/image84.png"/><Relationship Id="rId124" Type="http://schemas.openxmlformats.org/officeDocument/2006/relationships/image" Target="media/image102.emf"/><Relationship Id="rId70" Type="http://schemas.openxmlformats.org/officeDocument/2006/relationships/image" Target="media/image53.png"/><Relationship Id="rId91" Type="http://schemas.openxmlformats.org/officeDocument/2006/relationships/image" Target="media/image72.png"/><Relationship Id="rId145" Type="http://schemas.openxmlformats.org/officeDocument/2006/relationships/chart" Target="charts/chart13.xml"/><Relationship Id="rId166" Type="http://schemas.openxmlformats.org/officeDocument/2006/relationships/image" Target="media/image140.png"/><Relationship Id="rId187" Type="http://schemas.openxmlformats.org/officeDocument/2006/relationships/image" Target="media/image160.png"/><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image" Target="media/image206.emf"/><Relationship Id="rId254" Type="http://schemas.openxmlformats.org/officeDocument/2006/relationships/image" Target="media/image226.png"/><Relationship Id="rId28" Type="http://schemas.openxmlformats.org/officeDocument/2006/relationships/image" Target="media/image18.gif"/><Relationship Id="rId49" Type="http://schemas.openxmlformats.org/officeDocument/2006/relationships/image" Target="media/image37.png"/><Relationship Id="rId114" Type="http://schemas.openxmlformats.org/officeDocument/2006/relationships/chart" Target="charts/chart9.xml"/><Relationship Id="rId275" Type="http://schemas.openxmlformats.org/officeDocument/2006/relationships/image" Target="media/image247.png"/><Relationship Id="rId60" Type="http://schemas.openxmlformats.org/officeDocument/2006/relationships/image" Target="media/image46.png"/><Relationship Id="rId81" Type="http://schemas.openxmlformats.org/officeDocument/2006/relationships/image" Target="media/image62.emf"/><Relationship Id="rId135" Type="http://schemas.openxmlformats.org/officeDocument/2006/relationships/image" Target="media/image110.png"/><Relationship Id="rId156" Type="http://schemas.openxmlformats.org/officeDocument/2006/relationships/image" Target="media/image130.png"/><Relationship Id="rId177" Type="http://schemas.openxmlformats.org/officeDocument/2006/relationships/image" Target="media/image150.png"/><Relationship Id="rId198" Type="http://schemas.openxmlformats.org/officeDocument/2006/relationships/image" Target="media/image171.png"/><Relationship Id="rId202" Type="http://schemas.openxmlformats.org/officeDocument/2006/relationships/image" Target="media/image175.emf"/><Relationship Id="rId223" Type="http://schemas.openxmlformats.org/officeDocument/2006/relationships/image" Target="media/image196.emf"/><Relationship Id="rId244" Type="http://schemas.openxmlformats.org/officeDocument/2006/relationships/image" Target="media/image216.png"/><Relationship Id="rId18" Type="http://schemas.openxmlformats.org/officeDocument/2006/relationships/image" Target="media/image11.jpeg"/><Relationship Id="rId39" Type="http://schemas.openxmlformats.org/officeDocument/2006/relationships/package" Target="embeddings/Microsoft_Visio_Drawing1.vsdx"/><Relationship Id="rId265" Type="http://schemas.openxmlformats.org/officeDocument/2006/relationships/image" Target="media/image237.png"/><Relationship Id="rId286" Type="http://schemas.openxmlformats.org/officeDocument/2006/relationships/image" Target="media/image258.emf"/><Relationship Id="rId50" Type="http://schemas.openxmlformats.org/officeDocument/2006/relationships/image" Target="media/image38.png"/><Relationship Id="rId104" Type="http://schemas.openxmlformats.org/officeDocument/2006/relationships/image" Target="media/image85.png"/><Relationship Id="rId125" Type="http://schemas.openxmlformats.org/officeDocument/2006/relationships/chart" Target="charts/chart10.xml"/><Relationship Id="rId146" Type="http://schemas.openxmlformats.org/officeDocument/2006/relationships/image" Target="media/image120.png"/><Relationship Id="rId167" Type="http://schemas.openxmlformats.org/officeDocument/2006/relationships/image" Target="media/image141.emf"/><Relationship Id="rId188" Type="http://schemas.openxmlformats.org/officeDocument/2006/relationships/image" Target="media/image16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Chart%20in%20Microsoft%20Word"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Chart%20in%20Microsoft%20Word"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NULL"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7.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Chart%20in%20Microsoft%20Word"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'1990'!$A$1:$A$6</c:f>
              <c:strCache>
                <c:ptCount val="6"/>
                <c:pt idx="0">
                  <c:v>Developed, low intensity</c:v>
                </c:pt>
                <c:pt idx="1">
                  <c:v>Developed, medium intensity</c:v>
                </c:pt>
                <c:pt idx="2">
                  <c:v>Developed, high intensity</c:v>
                </c:pt>
                <c:pt idx="3">
                  <c:v>Wetland</c:v>
                </c:pt>
                <c:pt idx="4">
                  <c:v>Water</c:v>
                </c:pt>
                <c:pt idx="5">
                  <c:v>Dense forest</c:v>
                </c:pt>
              </c:strCache>
            </c:strRef>
          </c:cat>
          <c:val>
            <c:numRef>
              <c:f>'1990'!$C$1:$C$6</c:f>
              <c:numCache>
                <c:formatCode>General</c:formatCode>
                <c:ptCount val="6"/>
                <c:pt idx="0">
                  <c:v>25.334674589999999</c:v>
                </c:pt>
                <c:pt idx="1">
                  <c:v>13.92127998</c:v>
                </c:pt>
                <c:pt idx="2">
                  <c:v>0.85757933799999997</c:v>
                </c:pt>
                <c:pt idx="3">
                  <c:v>56.574251340000004</c:v>
                </c:pt>
                <c:pt idx="4">
                  <c:v>0.31487494900000002</c:v>
                </c:pt>
                <c:pt idx="5">
                  <c:v>2.9973398050000002</c:v>
                </c:pt>
              </c:numCache>
            </c:numRef>
          </c:val>
          <c:extLst>
            <c:ext xmlns:c16="http://schemas.microsoft.com/office/drawing/2014/chart" uri="{C3380CC4-5D6E-409C-BE32-E72D297353CC}">
              <c16:uniqueId val="{00000000-26E9-4198-B78F-4373B7D36353}"/>
            </c:ext>
          </c:extLst>
        </c:ser>
        <c:dLbls>
          <c:showLegendKey val="0"/>
          <c:showVal val="0"/>
          <c:showCatName val="0"/>
          <c:showSerName val="0"/>
          <c:showPercent val="0"/>
          <c:showBubbleSize val="0"/>
        </c:dLbls>
        <c:gapWidth val="219"/>
        <c:overlap val="-27"/>
        <c:axId val="1666197600"/>
        <c:axId val="1666200096"/>
      </c:barChart>
      <c:catAx>
        <c:axId val="1666197600"/>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t>Land</a:t>
                </a:r>
                <a:r>
                  <a:rPr lang="en-US" sz="1200" baseline="0"/>
                  <a:t> use/land cover class</a:t>
                </a:r>
                <a:endParaRPr lang="en-US" sz="1200"/>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66200096"/>
        <c:crosses val="autoZero"/>
        <c:auto val="1"/>
        <c:lblAlgn val="ctr"/>
        <c:lblOffset val="100"/>
        <c:noMultiLvlLbl val="0"/>
      </c:catAx>
      <c:valAx>
        <c:axId val="1666200096"/>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t>Coverage</a:t>
                </a:r>
                <a:r>
                  <a:rPr lang="en-US" sz="1200" baseline="0"/>
                  <a:t> (%)</a:t>
                </a:r>
                <a:endParaRPr lang="en-US" sz="1200"/>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66197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682828282828284"/>
          <c:y val="4.836984162026476E-2"/>
          <c:w val="0.80738047138047142"/>
          <c:h val="0.68215108625440513"/>
        </c:manualLayout>
      </c:layout>
      <c:scatterChart>
        <c:scatterStyle val="smoothMarker"/>
        <c:varyColors val="0"/>
        <c:ser>
          <c:idx val="4"/>
          <c:order val="0"/>
          <c:tx>
            <c:strRef>
              <c:f>'[Chart in Microsoft Word]Sheet9'!$B$2</c:f>
              <c:strCache>
                <c:ptCount val="1"/>
                <c:pt idx="0">
                  <c:v>20 degrees</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'[Chart in Microsoft Word]Sheet9'!$A$3:$A$33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'[Chart in Microsoft Word]Sheet9'!$B$3:$B$33</c:f>
              <c:numCache>
                <c:formatCode>General</c:formatCode>
                <c:ptCount val="31"/>
                <c:pt idx="0">
                  <c:v>1.2284428000000001</c:v>
                </c:pt>
                <c:pt idx="1">
                  <c:v>0.64620482999999995</c:v>
                </c:pt>
                <c:pt idx="2">
                  <c:v>0.71689077000000001</c:v>
                </c:pt>
                <c:pt idx="3">
                  <c:v>0.74127018</c:v>
                </c:pt>
                <c:pt idx="4">
                  <c:v>0.75508602999999996</c:v>
                </c:pt>
                <c:pt idx="5">
                  <c:v>0.76495179999999996</c:v>
                </c:pt>
                <c:pt idx="6">
                  <c:v>0.77310692000000003</c:v>
                </c:pt>
                <c:pt idx="7">
                  <c:v>0.78035504</c:v>
                </c:pt>
                <c:pt idx="8">
                  <c:v>0.78677209999999997</c:v>
                </c:pt>
                <c:pt idx="9">
                  <c:v>0.79232899000000001</c:v>
                </c:pt>
                <c:pt idx="10">
                  <c:v>0.79733936000000005</c:v>
                </c:pt>
                <c:pt idx="11">
                  <c:v>0.80202266</c:v>
                </c:pt>
                <c:pt idx="12">
                  <c:v>0.80645981</c:v>
                </c:pt>
                <c:pt idx="13">
                  <c:v>0.81064510000000001</c:v>
                </c:pt>
                <c:pt idx="14">
                  <c:v>0.81466073999999999</c:v>
                </c:pt>
                <c:pt idx="15">
                  <c:v>0.81849488000000004</c:v>
                </c:pt>
                <c:pt idx="16">
                  <c:v>0.82215384000000002</c:v>
                </c:pt>
                <c:pt idx="17">
                  <c:v>0.82554954000000003</c:v>
                </c:pt>
                <c:pt idx="18">
                  <c:v>0.82869793000000003</c:v>
                </c:pt>
                <c:pt idx="19">
                  <c:v>0.83173039000000004</c:v>
                </c:pt>
                <c:pt idx="20">
                  <c:v>0.83464764000000002</c:v>
                </c:pt>
                <c:pt idx="21">
                  <c:v>0.83751178999999998</c:v>
                </c:pt>
                <c:pt idx="22">
                  <c:v>0.84029595000000001</c:v>
                </c:pt>
                <c:pt idx="23">
                  <c:v>0.84299668000000005</c:v>
                </c:pt>
                <c:pt idx="24">
                  <c:v>0.84561253999999997</c:v>
                </c:pt>
                <c:pt idx="25">
                  <c:v>0.84816011999999996</c:v>
                </c:pt>
                <c:pt idx="26">
                  <c:v>0.85067300999999995</c:v>
                </c:pt>
                <c:pt idx="27">
                  <c:v>0.85312874000000005</c:v>
                </c:pt>
                <c:pt idx="28">
                  <c:v>0.85552121999999997</c:v>
                </c:pt>
                <c:pt idx="29">
                  <c:v>0.85766986000000001</c:v>
                </c:pt>
                <c:pt idx="30">
                  <c:v>0.85976240999999998</c:v>
                </c:pt>
              </c:numCache>
            </c:numRef>
          </c:yVal>
          <c:smooth val="1"/>
          <c:extLst>
            <c:ext xmlns:c16="http://schemas.microsoft.com/office/drawing/2014/chart" uri="{C3380CC4-5D6E-409C-BE32-E72D297353CC}">
              <c16:uniqueId val="{00000000-B949-4283-ADC9-EB2A0F2233FA}"/>
            </c:ext>
          </c:extLst>
        </c:ser>
        <c:ser>
          <c:idx val="5"/>
          <c:order val="1"/>
          <c:tx>
            <c:strRef>
              <c:f>'[Chart in Microsoft Word]Sheet9'!$C$2</c:f>
              <c:strCache>
                <c:ptCount val="1"/>
                <c:pt idx="0">
                  <c:v>25 degrees</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'[Chart in Microsoft Word]Sheet9'!$A$3:$A$33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'[Chart in Microsoft Word]Sheet9'!$C$3:$C$33</c:f>
              <c:numCache>
                <c:formatCode>General</c:formatCode>
                <c:ptCount val="31"/>
                <c:pt idx="0">
                  <c:v>1.510982</c:v>
                </c:pt>
                <c:pt idx="1">
                  <c:v>0.75601373999999999</c:v>
                </c:pt>
                <c:pt idx="2">
                  <c:v>0.85316577999999998</c:v>
                </c:pt>
                <c:pt idx="3">
                  <c:v>0.88583151999999998</c:v>
                </c:pt>
                <c:pt idx="4">
                  <c:v>0.90426282999999996</c:v>
                </c:pt>
                <c:pt idx="5">
                  <c:v>0.91735723000000002</c:v>
                </c:pt>
                <c:pt idx="6">
                  <c:v>0.92819289000000005</c:v>
                </c:pt>
                <c:pt idx="7">
                  <c:v>0.93763735000000004</c:v>
                </c:pt>
                <c:pt idx="8">
                  <c:v>0.94620356999999999</c:v>
                </c:pt>
                <c:pt idx="9">
                  <c:v>0.95339432999999996</c:v>
                </c:pt>
                <c:pt idx="10">
                  <c:v>0.96001669000000001</c:v>
                </c:pt>
                <c:pt idx="11">
                  <c:v>0.96612235000000002</c:v>
                </c:pt>
                <c:pt idx="12">
                  <c:v>0.97199157999999997</c:v>
                </c:pt>
                <c:pt idx="13">
                  <c:v>0.97752607000000002</c:v>
                </c:pt>
                <c:pt idx="14">
                  <c:v>0.98284190999999999</c:v>
                </c:pt>
                <c:pt idx="15">
                  <c:v>0.98791925000000003</c:v>
                </c:pt>
                <c:pt idx="16">
                  <c:v>0.99257172000000005</c:v>
                </c:pt>
                <c:pt idx="17">
                  <c:v>0.99686589999999997</c:v>
                </c:pt>
                <c:pt idx="18">
                  <c:v>1.0010171000000001</c:v>
                </c:pt>
                <c:pt idx="19">
                  <c:v>1.0050158</c:v>
                </c:pt>
                <c:pt idx="20">
                  <c:v>1.0088626999999999</c:v>
                </c:pt>
                <c:pt idx="21">
                  <c:v>1.0126438</c:v>
                </c:pt>
                <c:pt idx="22">
                  <c:v>1.0163214</c:v>
                </c:pt>
                <c:pt idx="23">
                  <c:v>1.0198881</c:v>
                </c:pt>
                <c:pt idx="24">
                  <c:v>1.0233424</c:v>
                </c:pt>
                <c:pt idx="25">
                  <c:v>1.0267089</c:v>
                </c:pt>
                <c:pt idx="26">
                  <c:v>1.0300326</c:v>
                </c:pt>
                <c:pt idx="27">
                  <c:v>1.0331538</c:v>
                </c:pt>
                <c:pt idx="28">
                  <c:v>1.0360503000000001</c:v>
                </c:pt>
                <c:pt idx="29">
                  <c:v>1.0388763999999999</c:v>
                </c:pt>
                <c:pt idx="30">
                  <c:v>1.0416303</c:v>
                </c:pt>
              </c:numCache>
            </c:numRef>
          </c:yVal>
          <c:smooth val="1"/>
          <c:extLst>
            <c:ext xmlns:c16="http://schemas.microsoft.com/office/drawing/2014/chart" uri="{C3380CC4-5D6E-409C-BE32-E72D297353CC}">
              <c16:uniqueId val="{00000001-B949-4283-ADC9-EB2A0F2233FA}"/>
            </c:ext>
          </c:extLst>
        </c:ser>
        <c:ser>
          <c:idx val="6"/>
          <c:order val="2"/>
          <c:tx>
            <c:strRef>
              <c:f>'[Chart in Microsoft Word]Sheet9'!$D$2</c:f>
              <c:strCache>
                <c:ptCount val="1"/>
                <c:pt idx="0">
                  <c:v>30 degrees</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'[Chart in Microsoft Word]Sheet9'!$A$3:$A$33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'[Chart in Microsoft Word]Sheet9'!$D$3:$D$33</c:f>
              <c:numCache>
                <c:formatCode>General</c:formatCode>
                <c:ptCount val="31"/>
                <c:pt idx="0">
                  <c:v>1.7805150999999999</c:v>
                </c:pt>
                <c:pt idx="1">
                  <c:v>0.88452898999999996</c:v>
                </c:pt>
                <c:pt idx="2">
                  <c:v>1.0048352</c:v>
                </c:pt>
                <c:pt idx="3">
                  <c:v>1.0449668000000001</c:v>
                </c:pt>
                <c:pt idx="4">
                  <c:v>1.0676015000000001</c:v>
                </c:pt>
                <c:pt idx="5">
                  <c:v>1.0840326</c:v>
                </c:pt>
                <c:pt idx="6">
                  <c:v>1.0973274</c:v>
                </c:pt>
                <c:pt idx="7">
                  <c:v>1.1089305</c:v>
                </c:pt>
                <c:pt idx="8">
                  <c:v>1.1194554999999999</c:v>
                </c:pt>
                <c:pt idx="9">
                  <c:v>1.1283398</c:v>
                </c:pt>
                <c:pt idx="10">
                  <c:v>1.1365232999999999</c:v>
                </c:pt>
                <c:pt idx="11">
                  <c:v>1.1441785</c:v>
                </c:pt>
                <c:pt idx="12">
                  <c:v>1.1513621000000001</c:v>
                </c:pt>
                <c:pt idx="13">
                  <c:v>1.1582044</c:v>
                </c:pt>
                <c:pt idx="14">
                  <c:v>1.1647772000000001</c:v>
                </c:pt>
                <c:pt idx="15">
                  <c:v>1.1710555</c:v>
                </c:pt>
                <c:pt idx="16">
                  <c:v>1.1768099000000001</c:v>
                </c:pt>
                <c:pt idx="17">
                  <c:v>1.1821233</c:v>
                </c:pt>
                <c:pt idx="18">
                  <c:v>1.1872602000000001</c:v>
                </c:pt>
                <c:pt idx="19">
                  <c:v>1.1922082000000001</c:v>
                </c:pt>
                <c:pt idx="20">
                  <c:v>1.1969687</c:v>
                </c:pt>
                <c:pt idx="21">
                  <c:v>1.2016481000000001</c:v>
                </c:pt>
                <c:pt idx="22">
                  <c:v>1.2061995999999999</c:v>
                </c:pt>
                <c:pt idx="23">
                  <c:v>1.2106140000000001</c:v>
                </c:pt>
                <c:pt idx="24">
                  <c:v>1.2148892</c:v>
                </c:pt>
                <c:pt idx="25">
                  <c:v>1.2190559999999999</c:v>
                </c:pt>
                <c:pt idx="26">
                  <c:v>1.2231700999999999</c:v>
                </c:pt>
                <c:pt idx="27">
                  <c:v>1.2270345</c:v>
                </c:pt>
                <c:pt idx="28">
                  <c:v>1.2306216000000001</c:v>
                </c:pt>
                <c:pt idx="29">
                  <c:v>1.2341215999999999</c:v>
                </c:pt>
                <c:pt idx="30">
                  <c:v>1.2375320999999999</c:v>
                </c:pt>
              </c:numCache>
            </c:numRef>
          </c:yVal>
          <c:smooth val="1"/>
          <c:extLst>
            <c:ext xmlns:c16="http://schemas.microsoft.com/office/drawing/2014/chart" uri="{C3380CC4-5D6E-409C-BE32-E72D297353CC}">
              <c16:uniqueId val="{00000002-B949-4283-ADC9-EB2A0F2233FA}"/>
            </c:ext>
          </c:extLst>
        </c:ser>
        <c:ser>
          <c:idx val="7"/>
          <c:order val="3"/>
          <c:tx>
            <c:strRef>
              <c:f>'[Chart in Microsoft Word]Sheet9'!$E$2</c:f>
              <c:strCache>
                <c:ptCount val="1"/>
                <c:pt idx="0">
                  <c:v>35 degrees</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'[Chart in Microsoft Word]Sheet9'!$A$3:$A$33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'[Chart in Microsoft Word]Sheet9'!$E$3:$E$33</c:f>
              <c:numCache>
                <c:formatCode>General</c:formatCode>
                <c:ptCount val="31"/>
                <c:pt idx="0">
                  <c:v>2.0787703999999998</c:v>
                </c:pt>
                <c:pt idx="1">
                  <c:v>1.0271235000000001</c:v>
                </c:pt>
                <c:pt idx="2">
                  <c:v>1.1721182999999999</c:v>
                </c:pt>
                <c:pt idx="3">
                  <c:v>1.2215225999999999</c:v>
                </c:pt>
                <c:pt idx="4">
                  <c:v>1.2483434</c:v>
                </c:pt>
                <c:pt idx="5">
                  <c:v>1.2681404999999999</c:v>
                </c:pt>
                <c:pt idx="6">
                  <c:v>1.2843233999999999</c:v>
                </c:pt>
                <c:pt idx="7">
                  <c:v>1.2984332999999999</c:v>
                </c:pt>
                <c:pt idx="8">
                  <c:v>1.3111702999999999</c:v>
                </c:pt>
                <c:pt idx="9">
                  <c:v>1.3219276</c:v>
                </c:pt>
                <c:pt idx="10">
                  <c:v>1.3318380000000001</c:v>
                </c:pt>
                <c:pt idx="11">
                  <c:v>1.3411093999999999</c:v>
                </c:pt>
                <c:pt idx="12">
                  <c:v>1.3499007000000001</c:v>
                </c:pt>
                <c:pt idx="13">
                  <c:v>1.3580315999999999</c:v>
                </c:pt>
                <c:pt idx="14">
                  <c:v>1.3660029</c:v>
                </c:pt>
                <c:pt idx="15">
                  <c:v>1.3735322999999999</c:v>
                </c:pt>
                <c:pt idx="16">
                  <c:v>1.3807362999999999</c:v>
                </c:pt>
                <c:pt idx="17">
                  <c:v>1.3871749</c:v>
                </c:pt>
                <c:pt idx="18">
                  <c:v>1.3933997</c:v>
                </c:pt>
                <c:pt idx="19">
                  <c:v>1.3993215000000001</c:v>
                </c:pt>
                <c:pt idx="20">
                  <c:v>1.4050925000000001</c:v>
                </c:pt>
                <c:pt idx="21">
                  <c:v>1.4107657</c:v>
                </c:pt>
                <c:pt idx="22">
                  <c:v>1.4162840000000001</c:v>
                </c:pt>
                <c:pt idx="23">
                  <c:v>1.4216361</c:v>
                </c:pt>
                <c:pt idx="24">
                  <c:v>1.4268196</c:v>
                </c:pt>
                <c:pt idx="25">
                  <c:v>1.4318717000000001</c:v>
                </c:pt>
                <c:pt idx="26">
                  <c:v>1.4368601999999999</c:v>
                </c:pt>
                <c:pt idx="27">
                  <c:v>1.4415469000000001</c:v>
                </c:pt>
                <c:pt idx="28">
                  <c:v>1.4458982</c:v>
                </c:pt>
                <c:pt idx="29">
                  <c:v>1.4501438</c:v>
                </c:pt>
                <c:pt idx="30">
                  <c:v>1.4542808</c:v>
                </c:pt>
              </c:numCache>
            </c:numRef>
          </c:yVal>
          <c:smooth val="1"/>
          <c:extLst>
            <c:ext xmlns:c16="http://schemas.microsoft.com/office/drawing/2014/chart" uri="{C3380CC4-5D6E-409C-BE32-E72D297353CC}">
              <c16:uniqueId val="{00000003-B949-4283-ADC9-EB2A0F2233FA}"/>
            </c:ext>
          </c:extLst>
        </c:ser>
        <c:dLbls>
          <c:showLegendKey val="0"/>
          <c:showVal val="0"/>
          <c:showCatName val="0"/>
          <c:showSerName val="0"/>
          <c:showPercent val="0"/>
          <c:showBubbleSize val="0"/>
        </c:dLbls>
        <c:axId val="1117936607"/>
        <c:axId val="1117937023"/>
      </c:scatterChart>
      <c:valAx>
        <c:axId val="1117936607"/>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Time (days)</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17937023"/>
        <c:crosses val="autoZero"/>
        <c:crossBetween val="midCat"/>
      </c:valAx>
      <c:valAx>
        <c:axId val="1117937023"/>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Factor of safety</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17936607"/>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4"/>
          <c:order val="0"/>
          <c:tx>
            <c:strRef>
              <c:f>'[Chart in Microsoft Word]Sheet9'!$B$2</c:f>
              <c:strCache>
                <c:ptCount val="1"/>
                <c:pt idx="0">
                  <c:v>20 degrees</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'[Chart in Microsoft Word]Sheet9'!$A$3:$A$33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'[Chart in Microsoft Word]Sheet9'!$B$3:$B$33</c:f>
              <c:numCache>
                <c:formatCode>General</c:formatCode>
                <c:ptCount val="31"/>
                <c:pt idx="0">
                  <c:v>1.2626371000000001</c:v>
                </c:pt>
                <c:pt idx="1">
                  <c:v>1.0170134</c:v>
                </c:pt>
                <c:pt idx="2">
                  <c:v>0.87560187</c:v>
                </c:pt>
                <c:pt idx="3">
                  <c:v>0.79415314999999997</c:v>
                </c:pt>
                <c:pt idx="4">
                  <c:v>0.75631411000000004</c:v>
                </c:pt>
                <c:pt idx="5">
                  <c:v>0.75555981999999999</c:v>
                </c:pt>
                <c:pt idx="6">
                  <c:v>0.76666606999999998</c:v>
                </c:pt>
                <c:pt idx="7">
                  <c:v>0.77513947000000005</c:v>
                </c:pt>
                <c:pt idx="8">
                  <c:v>0.78243172000000005</c:v>
                </c:pt>
                <c:pt idx="9">
                  <c:v>0.78877092999999998</c:v>
                </c:pt>
                <c:pt idx="10">
                  <c:v>0.79424980000000001</c:v>
                </c:pt>
                <c:pt idx="11">
                  <c:v>0.79932250000000005</c:v>
                </c:pt>
                <c:pt idx="12">
                  <c:v>0.80410177999999999</c:v>
                </c:pt>
                <c:pt idx="13">
                  <c:v>0.80875145000000004</c:v>
                </c:pt>
                <c:pt idx="14">
                  <c:v>0.81302187999999997</c:v>
                </c:pt>
                <c:pt idx="15">
                  <c:v>0.81701073000000002</c:v>
                </c:pt>
                <c:pt idx="16">
                  <c:v>0.82091188000000004</c:v>
                </c:pt>
                <c:pt idx="17">
                  <c:v>0.82434689999999999</c:v>
                </c:pt>
                <c:pt idx="18">
                  <c:v>0.82766388999999996</c:v>
                </c:pt>
                <c:pt idx="19">
                  <c:v>0.83086073999999999</c:v>
                </c:pt>
                <c:pt idx="20">
                  <c:v>0.83393766999999996</c:v>
                </c:pt>
                <c:pt idx="21">
                  <c:v>0.83692158000000005</c:v>
                </c:pt>
                <c:pt idx="22">
                  <c:v>0.83984391000000003</c:v>
                </c:pt>
                <c:pt idx="23">
                  <c:v>0.84267970999999997</c:v>
                </c:pt>
                <c:pt idx="24">
                  <c:v>0.84542824999999999</c:v>
                </c:pt>
                <c:pt idx="25">
                  <c:v>0.84809108</c:v>
                </c:pt>
                <c:pt idx="26">
                  <c:v>0.85071094999999997</c:v>
                </c:pt>
                <c:pt idx="27">
                  <c:v>0.85328176</c:v>
                </c:pt>
                <c:pt idx="28">
                  <c:v>0.85558540000000005</c:v>
                </c:pt>
                <c:pt idx="29">
                  <c:v>0.85782024000000001</c:v>
                </c:pt>
                <c:pt idx="30">
                  <c:v>0.86000167000000005</c:v>
                </c:pt>
              </c:numCache>
            </c:numRef>
          </c:yVal>
          <c:smooth val="1"/>
          <c:extLst>
            <c:ext xmlns:c16="http://schemas.microsoft.com/office/drawing/2014/chart" uri="{C3380CC4-5D6E-409C-BE32-E72D297353CC}">
              <c16:uniqueId val="{00000000-5486-49D6-83EB-7C5243550016}"/>
            </c:ext>
          </c:extLst>
        </c:ser>
        <c:ser>
          <c:idx val="5"/>
          <c:order val="1"/>
          <c:tx>
            <c:strRef>
              <c:f>'[Chart in Microsoft Word]Sheet9'!$C$2</c:f>
              <c:strCache>
                <c:ptCount val="1"/>
                <c:pt idx="0">
                  <c:v>25 degrees</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'[Chart in Microsoft Word]Sheet9'!$A$3:$A$33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'[Chart in Microsoft Word]Sheet9'!$C$3:$C$33</c:f>
              <c:numCache>
                <c:formatCode>General</c:formatCode>
                <c:ptCount val="31"/>
                <c:pt idx="0">
                  <c:v>1.510982</c:v>
                </c:pt>
                <c:pt idx="1">
                  <c:v>1.2119046</c:v>
                </c:pt>
                <c:pt idx="2">
                  <c:v>1.0438707</c:v>
                </c:pt>
                <c:pt idx="3">
                  <c:v>0.94883868000000005</c:v>
                </c:pt>
                <c:pt idx="4">
                  <c:v>0.90594558000000003</c:v>
                </c:pt>
                <c:pt idx="5">
                  <c:v>0.90673197000000005</c:v>
                </c:pt>
                <c:pt idx="6">
                  <c:v>0.92092611999999996</c:v>
                </c:pt>
                <c:pt idx="7">
                  <c:v>0.93174763999999999</c:v>
                </c:pt>
                <c:pt idx="8">
                  <c:v>0.94106173000000004</c:v>
                </c:pt>
                <c:pt idx="9">
                  <c:v>0.94920649999999995</c:v>
                </c:pt>
                <c:pt idx="10">
                  <c:v>0.95621394999999998</c:v>
                </c:pt>
                <c:pt idx="11">
                  <c:v>0.96261591999999996</c:v>
                </c:pt>
                <c:pt idx="12">
                  <c:v>0.968727</c:v>
                </c:pt>
                <c:pt idx="13">
                  <c:v>0.9744893</c:v>
                </c:pt>
                <c:pt idx="14">
                  <c:v>0.97994663000000004</c:v>
                </c:pt>
                <c:pt idx="15">
                  <c:v>0.98518302000000002</c:v>
                </c:pt>
                <c:pt idx="16">
                  <c:v>0.99017270000000002</c:v>
                </c:pt>
                <c:pt idx="17">
                  <c:v>0.99456933999999997</c:v>
                </c:pt>
                <c:pt idx="18">
                  <c:v>0.99881569000000003</c:v>
                </c:pt>
                <c:pt idx="19">
                  <c:v>1.0029083999999999</c:v>
                </c:pt>
                <c:pt idx="20">
                  <c:v>1.0068476</c:v>
                </c:pt>
                <c:pt idx="21">
                  <c:v>1.0106679999999999</c:v>
                </c:pt>
                <c:pt idx="22">
                  <c:v>1.01441</c:v>
                </c:pt>
                <c:pt idx="23">
                  <c:v>1.0180412999999999</c:v>
                </c:pt>
                <c:pt idx="24">
                  <c:v>1.0215608</c:v>
                </c:pt>
                <c:pt idx="25">
                  <c:v>1.0249706999999999</c:v>
                </c:pt>
                <c:pt idx="26">
                  <c:v>1.0283259</c:v>
                </c:pt>
                <c:pt idx="27">
                  <c:v>1.0316185</c:v>
                </c:pt>
                <c:pt idx="28">
                  <c:v>1.0345707</c:v>
                </c:pt>
                <c:pt idx="29">
                  <c:v>1.0374348</c:v>
                </c:pt>
                <c:pt idx="30">
                  <c:v>1.0402305000000001</c:v>
                </c:pt>
              </c:numCache>
            </c:numRef>
          </c:yVal>
          <c:smooth val="1"/>
          <c:extLst>
            <c:ext xmlns:c16="http://schemas.microsoft.com/office/drawing/2014/chart" uri="{C3380CC4-5D6E-409C-BE32-E72D297353CC}">
              <c16:uniqueId val="{00000001-5486-49D6-83EB-7C5243550016}"/>
            </c:ext>
          </c:extLst>
        </c:ser>
        <c:ser>
          <c:idx val="6"/>
          <c:order val="2"/>
          <c:tx>
            <c:strRef>
              <c:f>'[Chart in Microsoft Word]Sheet9'!$D$2</c:f>
              <c:strCache>
                <c:ptCount val="1"/>
                <c:pt idx="0">
                  <c:v>30 degrees</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'[Chart in Microsoft Word]Sheet9'!$A$3:$A$33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'[Chart in Microsoft Word]Sheet9'!$D$3:$D$33</c:f>
              <c:numCache>
                <c:formatCode>General</c:formatCode>
                <c:ptCount val="31"/>
                <c:pt idx="0">
                  <c:v>1.7805150999999999</c:v>
                </c:pt>
                <c:pt idx="1">
                  <c:v>1.4234486</c:v>
                </c:pt>
                <c:pt idx="2">
                  <c:v>1.2265181000000001</c:v>
                </c:pt>
                <c:pt idx="3">
                  <c:v>1.1168659000000001</c:v>
                </c:pt>
                <c:pt idx="4">
                  <c:v>1.0681605000000001</c:v>
                </c:pt>
                <c:pt idx="5">
                  <c:v>1.0706321999999999</c:v>
                </c:pt>
                <c:pt idx="6">
                  <c:v>1.0884339999999999</c:v>
                </c:pt>
                <c:pt idx="7">
                  <c:v>1.101656</c:v>
                </c:pt>
                <c:pt idx="8">
                  <c:v>1.1131582</c:v>
                </c:pt>
                <c:pt idx="9">
                  <c:v>1.1231644999999999</c:v>
                </c:pt>
                <c:pt idx="10">
                  <c:v>1.1318235999999999</c:v>
                </c:pt>
                <c:pt idx="11">
                  <c:v>1.1398421999999999</c:v>
                </c:pt>
                <c:pt idx="12">
                  <c:v>1.1473260000000001</c:v>
                </c:pt>
                <c:pt idx="13">
                  <c:v>1.1544498000000001</c:v>
                </c:pt>
                <c:pt idx="14">
                  <c:v>1.161197</c:v>
                </c:pt>
                <c:pt idx="15">
                  <c:v>1.1676717999999999</c:v>
                </c:pt>
                <c:pt idx="16">
                  <c:v>1.1738419</c:v>
                </c:pt>
                <c:pt idx="17">
                  <c:v>1.1792815000000001</c:v>
                </c:pt>
                <c:pt idx="18">
                  <c:v>1.1845359</c:v>
                </c:pt>
                <c:pt idx="19">
                  <c:v>1.1896004</c:v>
                </c:pt>
                <c:pt idx="20">
                  <c:v>1.194475</c:v>
                </c:pt>
                <c:pt idx="21">
                  <c:v>1.1992027999999999</c:v>
                </c:pt>
                <c:pt idx="22">
                  <c:v>1.2038340000000001</c:v>
                </c:pt>
                <c:pt idx="23">
                  <c:v>1.2083282</c:v>
                </c:pt>
                <c:pt idx="24">
                  <c:v>1.2126842</c:v>
                </c:pt>
                <c:pt idx="25">
                  <c:v>1.2169045000000001</c:v>
                </c:pt>
                <c:pt idx="26">
                  <c:v>1.2210574999999999</c:v>
                </c:pt>
                <c:pt idx="27">
                  <c:v>1.2251331000000001</c:v>
                </c:pt>
                <c:pt idx="28">
                  <c:v>1.2287892</c:v>
                </c:pt>
                <c:pt idx="29">
                  <c:v>1.2323363000000001</c:v>
                </c:pt>
                <c:pt idx="30">
                  <c:v>1.2357986000000001</c:v>
                </c:pt>
              </c:numCache>
            </c:numRef>
          </c:yVal>
          <c:smooth val="1"/>
          <c:extLst>
            <c:ext xmlns:c16="http://schemas.microsoft.com/office/drawing/2014/chart" uri="{C3380CC4-5D6E-409C-BE32-E72D297353CC}">
              <c16:uniqueId val="{00000002-5486-49D6-83EB-7C5243550016}"/>
            </c:ext>
          </c:extLst>
        </c:ser>
        <c:ser>
          <c:idx val="7"/>
          <c:order val="3"/>
          <c:tx>
            <c:strRef>
              <c:f>'[Chart in Microsoft Word]Sheet9'!$E$2</c:f>
              <c:strCache>
                <c:ptCount val="1"/>
                <c:pt idx="0">
                  <c:v>35 degrees</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'[Chart in Microsoft Word]Sheet9'!$A$3:$A$33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'[Chart in Microsoft Word]Sheet9'!$E$3:$E$33</c:f>
              <c:numCache>
                <c:formatCode>General</c:formatCode>
                <c:ptCount val="31"/>
                <c:pt idx="0">
                  <c:v>2.0787703999999998</c:v>
                </c:pt>
                <c:pt idx="1">
                  <c:v>1.6581427</c:v>
                </c:pt>
                <c:pt idx="2">
                  <c:v>1.4293623</c:v>
                </c:pt>
                <c:pt idx="3">
                  <c:v>1.3025796999999999</c:v>
                </c:pt>
                <c:pt idx="4">
                  <c:v>1.2476544000000001</c:v>
                </c:pt>
                <c:pt idx="5">
                  <c:v>1.2519857999999999</c:v>
                </c:pt>
                <c:pt idx="6">
                  <c:v>1.273461</c:v>
                </c:pt>
                <c:pt idx="7">
                  <c:v>1.2896293999999999</c:v>
                </c:pt>
                <c:pt idx="8">
                  <c:v>1.3035481</c:v>
                </c:pt>
                <c:pt idx="9">
                  <c:v>1.3156601000000001</c:v>
                </c:pt>
                <c:pt idx="10">
                  <c:v>1.326146</c:v>
                </c:pt>
                <c:pt idx="11">
                  <c:v>1.3358570999999999</c:v>
                </c:pt>
                <c:pt idx="12">
                  <c:v>1.34501</c:v>
                </c:pt>
                <c:pt idx="13">
                  <c:v>1.3534782000000001</c:v>
                </c:pt>
                <c:pt idx="14">
                  <c:v>1.3616607000000001</c:v>
                </c:pt>
                <c:pt idx="15">
                  <c:v>1.3694297</c:v>
                </c:pt>
                <c:pt idx="16">
                  <c:v>1.3771401999999999</c:v>
                </c:pt>
                <c:pt idx="17">
                  <c:v>1.3837311000000001</c:v>
                </c:pt>
                <c:pt idx="18">
                  <c:v>1.3900984000000001</c:v>
                </c:pt>
                <c:pt idx="19">
                  <c:v>1.3961600000000001</c:v>
                </c:pt>
                <c:pt idx="20">
                  <c:v>1.4020694</c:v>
                </c:pt>
                <c:pt idx="21">
                  <c:v>1.4078010000000001</c:v>
                </c:pt>
                <c:pt idx="22">
                  <c:v>1.4134158000000001</c:v>
                </c:pt>
                <c:pt idx="23">
                  <c:v>1.4188647000000001</c:v>
                </c:pt>
                <c:pt idx="24">
                  <c:v>1.4241461</c:v>
                </c:pt>
                <c:pt idx="25">
                  <c:v>1.4292628999999999</c:v>
                </c:pt>
                <c:pt idx="26">
                  <c:v>1.4342984999999999</c:v>
                </c:pt>
                <c:pt idx="27">
                  <c:v>1.4392404999999999</c:v>
                </c:pt>
                <c:pt idx="28">
                  <c:v>1.4436754000000001</c:v>
                </c:pt>
                <c:pt idx="29">
                  <c:v>1.4479781</c:v>
                </c:pt>
                <c:pt idx="30">
                  <c:v>1.452178</c:v>
                </c:pt>
              </c:numCache>
            </c:numRef>
          </c:yVal>
          <c:smooth val="1"/>
          <c:extLst>
            <c:ext xmlns:c16="http://schemas.microsoft.com/office/drawing/2014/chart" uri="{C3380CC4-5D6E-409C-BE32-E72D297353CC}">
              <c16:uniqueId val="{00000003-5486-49D6-83EB-7C5243550016}"/>
            </c:ext>
          </c:extLst>
        </c:ser>
        <c:dLbls>
          <c:showLegendKey val="0"/>
          <c:showVal val="0"/>
          <c:showCatName val="0"/>
          <c:showSerName val="0"/>
          <c:showPercent val="0"/>
          <c:showBubbleSize val="0"/>
        </c:dLbls>
        <c:axId val="1194232239"/>
        <c:axId val="1117944927"/>
      </c:scatterChart>
      <c:valAx>
        <c:axId val="1194232239"/>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Time (days)</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17944927"/>
        <c:crosses val="autoZero"/>
        <c:crossBetween val="midCat"/>
      </c:valAx>
      <c:valAx>
        <c:axId val="1117944927"/>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Factor of safety</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94232239"/>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Sheet10!$A$2</c:f>
              <c:strCache>
                <c:ptCount val="1"/>
                <c:pt idx="0">
                  <c:v>Instantaneous</c:v>
                </c:pt>
              </c:strCache>
            </c:strRef>
          </c:tx>
          <c:spPr>
            <a:solidFill>
              <a:schemeClr val="accent1"/>
            </a:solidFill>
            <a:ln>
              <a:noFill/>
            </a:ln>
            <a:effectLst/>
          </c:spPr>
          <c:invertIfNegative val="0"/>
          <c:cat>
            <c:numRef>
              <c:f>Sheet10!$B$1:$E$1</c:f>
              <c:numCache>
                <c:formatCode>General</c:formatCode>
                <c:ptCount val="4"/>
                <c:pt idx="0">
                  <c:v>20</c:v>
                </c:pt>
                <c:pt idx="1">
                  <c:v>25</c:v>
                </c:pt>
                <c:pt idx="2">
                  <c:v>30</c:v>
                </c:pt>
                <c:pt idx="3">
                  <c:v>35</c:v>
                </c:pt>
              </c:numCache>
            </c:numRef>
          </c:cat>
          <c:val>
            <c:numRef>
              <c:f>Sheet10!$B$2:$E$2</c:f>
              <c:numCache>
                <c:formatCode>General</c:formatCode>
                <c:ptCount val="4"/>
                <c:pt idx="0">
                  <c:v>0.64620482999999995</c:v>
                </c:pt>
                <c:pt idx="1">
                  <c:v>0.75601373999999999</c:v>
                </c:pt>
                <c:pt idx="2">
                  <c:v>0.88452898999999996</c:v>
                </c:pt>
                <c:pt idx="3">
                  <c:v>1.0271235000000001</c:v>
                </c:pt>
              </c:numCache>
            </c:numRef>
          </c:val>
          <c:extLst>
            <c:ext xmlns:c16="http://schemas.microsoft.com/office/drawing/2014/chart" uri="{C3380CC4-5D6E-409C-BE32-E72D297353CC}">
              <c16:uniqueId val="{00000000-48D7-499C-8D6F-1FCFF055C85A}"/>
            </c:ext>
          </c:extLst>
        </c:ser>
        <c:ser>
          <c:idx val="1"/>
          <c:order val="1"/>
          <c:tx>
            <c:strRef>
              <c:f>Sheet10!$A$3</c:f>
              <c:strCache>
                <c:ptCount val="1"/>
                <c:pt idx="0">
                  <c:v>5 days drawdown</c:v>
                </c:pt>
              </c:strCache>
            </c:strRef>
          </c:tx>
          <c:spPr>
            <a:solidFill>
              <a:schemeClr val="accent2"/>
            </a:solidFill>
            <a:ln>
              <a:noFill/>
            </a:ln>
            <a:effectLst/>
          </c:spPr>
          <c:invertIfNegative val="0"/>
          <c:cat>
            <c:numRef>
              <c:f>Sheet10!$B$1:$E$1</c:f>
              <c:numCache>
                <c:formatCode>General</c:formatCode>
                <c:ptCount val="4"/>
                <c:pt idx="0">
                  <c:v>20</c:v>
                </c:pt>
                <c:pt idx="1">
                  <c:v>25</c:v>
                </c:pt>
                <c:pt idx="2">
                  <c:v>30</c:v>
                </c:pt>
                <c:pt idx="3">
                  <c:v>35</c:v>
                </c:pt>
              </c:numCache>
            </c:numRef>
          </c:cat>
          <c:val>
            <c:numRef>
              <c:f>Sheet10!$B$3:$E$3</c:f>
              <c:numCache>
                <c:formatCode>General</c:formatCode>
                <c:ptCount val="4"/>
                <c:pt idx="0">
                  <c:v>0.75555981999999999</c:v>
                </c:pt>
                <c:pt idx="1">
                  <c:v>0.90594558000000003</c:v>
                </c:pt>
                <c:pt idx="2">
                  <c:v>1.0681605000000001</c:v>
                </c:pt>
                <c:pt idx="3">
                  <c:v>1.2476544000000001</c:v>
                </c:pt>
              </c:numCache>
            </c:numRef>
          </c:val>
          <c:extLst>
            <c:ext xmlns:c16="http://schemas.microsoft.com/office/drawing/2014/chart" uri="{C3380CC4-5D6E-409C-BE32-E72D297353CC}">
              <c16:uniqueId val="{00000001-48D7-499C-8D6F-1FCFF055C85A}"/>
            </c:ext>
          </c:extLst>
        </c:ser>
        <c:dLbls>
          <c:showLegendKey val="0"/>
          <c:showVal val="0"/>
          <c:showCatName val="0"/>
          <c:showSerName val="0"/>
          <c:showPercent val="0"/>
          <c:showBubbleSize val="0"/>
        </c:dLbls>
        <c:gapWidth val="219"/>
        <c:overlap val="-27"/>
        <c:axId val="1201463423"/>
        <c:axId val="1201463839"/>
      </c:barChart>
      <c:catAx>
        <c:axId val="1201463423"/>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Internal angle of friction (degrees)</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01463839"/>
        <c:crosses val="autoZero"/>
        <c:auto val="1"/>
        <c:lblAlgn val="ctr"/>
        <c:lblOffset val="100"/>
        <c:noMultiLvlLbl val="0"/>
      </c:catAx>
      <c:valAx>
        <c:axId val="1201463839"/>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Minimum factor of safety</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01463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Sheet2!$B$1</c:f>
              <c:strCache>
                <c:ptCount val="1"/>
                <c:pt idx="0">
                  <c:v>Factor of safety value</c:v>
                </c:pt>
              </c:strCache>
            </c:strRef>
          </c:tx>
          <c:spPr>
            <a:solidFill>
              <a:schemeClr val="accent1"/>
            </a:solidFill>
            <a:ln>
              <a:noFill/>
            </a:ln>
            <a:effectLst/>
          </c:spPr>
          <c:invertIfNegative val="0"/>
          <c:cat>
            <c:strRef>
              <c:f>Sheet2!$A$2:$A$6</c:f>
              <c:strCache>
                <c:ptCount val="5"/>
                <c:pt idx="0">
                  <c:v>Steady-state</c:v>
                </c:pt>
                <c:pt idx="1">
                  <c:v>1 m per day</c:v>
                </c:pt>
                <c:pt idx="2">
                  <c:v>10 days</c:v>
                </c:pt>
                <c:pt idx="3">
                  <c:v>5 days</c:v>
                </c:pt>
                <c:pt idx="4">
                  <c:v>Instantaneous</c:v>
                </c:pt>
              </c:strCache>
            </c:strRef>
          </c:cat>
          <c:val>
            <c:numRef>
              <c:f>Sheet2!$B$2:$B$6</c:f>
              <c:numCache>
                <c:formatCode>General</c:formatCode>
                <c:ptCount val="5"/>
                <c:pt idx="0">
                  <c:v>2.3439999999999999</c:v>
                </c:pt>
                <c:pt idx="1">
                  <c:v>2.1348775999999998</c:v>
                </c:pt>
                <c:pt idx="2">
                  <c:v>1.8042328999999999</c:v>
                </c:pt>
                <c:pt idx="3">
                  <c:v>1.7064111</c:v>
                </c:pt>
                <c:pt idx="4">
                  <c:v>1.5739752</c:v>
                </c:pt>
              </c:numCache>
            </c:numRef>
          </c:val>
          <c:extLst>
            <c:ext xmlns:c16="http://schemas.microsoft.com/office/drawing/2014/chart" uri="{C3380CC4-5D6E-409C-BE32-E72D297353CC}">
              <c16:uniqueId val="{00000000-471D-4DE8-A839-C468785A4E36}"/>
            </c:ext>
          </c:extLst>
        </c:ser>
        <c:dLbls>
          <c:showLegendKey val="0"/>
          <c:showVal val="0"/>
          <c:showCatName val="0"/>
          <c:showSerName val="0"/>
          <c:showPercent val="0"/>
          <c:showBubbleSize val="0"/>
        </c:dLbls>
        <c:gapWidth val="219"/>
        <c:overlap val="-27"/>
        <c:axId val="650535680"/>
        <c:axId val="650536336"/>
      </c:barChart>
      <c:catAx>
        <c:axId val="650535680"/>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t>Steady</a:t>
                </a:r>
                <a:r>
                  <a:rPr lang="en-US" sz="1200" baseline="0"/>
                  <a:t> state and drawdown rates</a:t>
                </a:r>
                <a:endParaRPr lang="en-US" sz="1200"/>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0536336"/>
        <c:crosses val="autoZero"/>
        <c:auto val="1"/>
        <c:lblAlgn val="ctr"/>
        <c:lblOffset val="100"/>
        <c:noMultiLvlLbl val="0"/>
      </c:catAx>
      <c:valAx>
        <c:axId val="650536336"/>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t>Factor</a:t>
                </a:r>
                <a:r>
                  <a:rPr lang="en-US" sz="1200" baseline="0"/>
                  <a:t> of safety</a:t>
                </a:r>
                <a:endParaRPr lang="en-US" sz="1200"/>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0535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Sheet3!$B$1</c:f>
              <c:strCache>
                <c:ptCount val="1"/>
                <c:pt idx="0">
                  <c:v>5E-5 m/s</c:v>
                </c:pt>
              </c:strCache>
            </c:strRef>
          </c:tx>
          <c:spPr>
            <a:solidFill>
              <a:schemeClr val="accent1"/>
            </a:solidFill>
            <a:ln>
              <a:noFill/>
            </a:ln>
            <a:effectLst/>
          </c:spPr>
          <c:invertIfNegative val="0"/>
          <c:cat>
            <c:strRef>
              <c:f>Sheet3!$A$2:$A$4</c:f>
              <c:strCache>
                <c:ptCount val="3"/>
                <c:pt idx="0">
                  <c:v>Instantaneous</c:v>
                </c:pt>
                <c:pt idx="1">
                  <c:v>5 days</c:v>
                </c:pt>
                <c:pt idx="2">
                  <c:v>10 days</c:v>
                </c:pt>
              </c:strCache>
            </c:strRef>
          </c:cat>
          <c:val>
            <c:numRef>
              <c:f>Sheet3!$B$2:$B$4</c:f>
              <c:numCache>
                <c:formatCode>General</c:formatCode>
                <c:ptCount val="3"/>
                <c:pt idx="0">
                  <c:v>0.57067489999999998</c:v>
                </c:pt>
                <c:pt idx="1">
                  <c:v>0.82749901000000003</c:v>
                </c:pt>
                <c:pt idx="2">
                  <c:v>0.94177449999999996</c:v>
                </c:pt>
              </c:numCache>
            </c:numRef>
          </c:val>
          <c:extLst>
            <c:ext xmlns:c16="http://schemas.microsoft.com/office/drawing/2014/chart" uri="{C3380CC4-5D6E-409C-BE32-E72D297353CC}">
              <c16:uniqueId val="{00000000-9D0F-4137-A423-0B390732ACD6}"/>
            </c:ext>
          </c:extLst>
        </c:ser>
        <c:ser>
          <c:idx val="1"/>
          <c:order val="1"/>
          <c:tx>
            <c:strRef>
              <c:f>Sheet3!$C$1</c:f>
              <c:strCache>
                <c:ptCount val="1"/>
                <c:pt idx="0">
                  <c:v>1E-7 m/s</c:v>
                </c:pt>
              </c:strCache>
            </c:strRef>
          </c:tx>
          <c:spPr>
            <a:solidFill>
              <a:schemeClr val="accent2"/>
            </a:solidFill>
            <a:ln>
              <a:noFill/>
            </a:ln>
            <a:effectLst/>
          </c:spPr>
          <c:invertIfNegative val="0"/>
          <c:cat>
            <c:strRef>
              <c:f>Sheet3!$A$2:$A$4</c:f>
              <c:strCache>
                <c:ptCount val="3"/>
                <c:pt idx="0">
                  <c:v>Instantaneous</c:v>
                </c:pt>
                <c:pt idx="1">
                  <c:v>5 days</c:v>
                </c:pt>
                <c:pt idx="2">
                  <c:v>10 days</c:v>
                </c:pt>
              </c:strCache>
            </c:strRef>
          </c:cat>
          <c:val>
            <c:numRef>
              <c:f>Sheet3!$C$2:$C$4</c:f>
              <c:numCache>
                <c:formatCode>General</c:formatCode>
                <c:ptCount val="3"/>
                <c:pt idx="0">
                  <c:v>0.34657357</c:v>
                </c:pt>
                <c:pt idx="1">
                  <c:v>0.32093961999999998</c:v>
                </c:pt>
                <c:pt idx="2">
                  <c:v>0.34288541</c:v>
                </c:pt>
              </c:numCache>
            </c:numRef>
          </c:val>
          <c:extLst>
            <c:ext xmlns:c16="http://schemas.microsoft.com/office/drawing/2014/chart" uri="{C3380CC4-5D6E-409C-BE32-E72D297353CC}">
              <c16:uniqueId val="{00000001-9D0F-4137-A423-0B390732ACD6}"/>
            </c:ext>
          </c:extLst>
        </c:ser>
        <c:dLbls>
          <c:showLegendKey val="0"/>
          <c:showVal val="0"/>
          <c:showCatName val="0"/>
          <c:showSerName val="0"/>
          <c:showPercent val="0"/>
          <c:showBubbleSize val="0"/>
        </c:dLbls>
        <c:gapWidth val="219"/>
        <c:overlap val="-27"/>
        <c:axId val="1643168560"/>
        <c:axId val="1643163984"/>
      </c:barChart>
      <c:catAx>
        <c:axId val="1643168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43163984"/>
        <c:crosses val="autoZero"/>
        <c:auto val="1"/>
        <c:lblAlgn val="ctr"/>
        <c:lblOffset val="100"/>
        <c:noMultiLvlLbl val="0"/>
      </c:catAx>
      <c:valAx>
        <c:axId val="1643163984"/>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Minimum values of FOS</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43168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2156562453269"/>
          <c:y val="4.656084656084656E-2"/>
          <c:w val="0.84896967446849092"/>
          <c:h val="0.68676515435570551"/>
        </c:manualLayout>
      </c:layout>
      <c:barChart>
        <c:barDir val="col"/>
        <c:grouping val="clustered"/>
        <c:varyColors val="0"/>
        <c:ser>
          <c:idx val="0"/>
          <c:order val="0"/>
          <c:spPr>
            <a:solidFill>
              <a:schemeClr val="accent1"/>
            </a:solidFill>
            <a:ln>
              <a:noFill/>
            </a:ln>
            <a:effectLst/>
          </c:spPr>
          <c:invertIfNegative val="0"/>
          <c:cat>
            <c:strRef>
              <c:f>'1995'!$A$1:$A$6</c:f>
              <c:strCache>
                <c:ptCount val="6"/>
                <c:pt idx="0">
                  <c:v>Developed, low intensity</c:v>
                </c:pt>
                <c:pt idx="1">
                  <c:v>Developed, medium intensity</c:v>
                </c:pt>
                <c:pt idx="2">
                  <c:v>Developed, high intensity</c:v>
                </c:pt>
                <c:pt idx="3">
                  <c:v>Wetland</c:v>
                </c:pt>
                <c:pt idx="4">
                  <c:v>Water</c:v>
                </c:pt>
                <c:pt idx="5">
                  <c:v>Dense forest</c:v>
                </c:pt>
              </c:strCache>
            </c:strRef>
          </c:cat>
          <c:val>
            <c:numRef>
              <c:f>'1995'!$C$1:$C$6</c:f>
              <c:numCache>
                <c:formatCode>General</c:formatCode>
                <c:ptCount val="6"/>
                <c:pt idx="0">
                  <c:v>45.440993089999999</c:v>
                </c:pt>
                <c:pt idx="1">
                  <c:v>28.20369973</c:v>
                </c:pt>
                <c:pt idx="2">
                  <c:v>0.83163314899999996</c:v>
                </c:pt>
                <c:pt idx="3">
                  <c:v>23.525273389999999</c:v>
                </c:pt>
                <c:pt idx="4">
                  <c:v>0.10185007</c:v>
                </c:pt>
                <c:pt idx="5">
                  <c:v>1.896550569</c:v>
                </c:pt>
              </c:numCache>
            </c:numRef>
          </c:val>
          <c:extLst>
            <c:ext xmlns:c16="http://schemas.microsoft.com/office/drawing/2014/chart" uri="{C3380CC4-5D6E-409C-BE32-E72D297353CC}">
              <c16:uniqueId val="{00000000-636E-4351-8FE3-8B49CB63E597}"/>
            </c:ext>
          </c:extLst>
        </c:ser>
        <c:dLbls>
          <c:showLegendKey val="0"/>
          <c:showVal val="0"/>
          <c:showCatName val="0"/>
          <c:showSerName val="0"/>
          <c:showPercent val="0"/>
          <c:showBubbleSize val="0"/>
        </c:dLbls>
        <c:gapWidth val="219"/>
        <c:overlap val="-27"/>
        <c:axId val="1136924880"/>
        <c:axId val="1136935696"/>
      </c:barChart>
      <c:catAx>
        <c:axId val="1136924880"/>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t>Land</a:t>
                </a:r>
                <a:r>
                  <a:rPr lang="en-US" sz="1200" baseline="0"/>
                  <a:t> use/land cover class</a:t>
                </a:r>
                <a:endParaRPr lang="en-US" sz="1200"/>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36935696"/>
        <c:crosses val="autoZero"/>
        <c:auto val="1"/>
        <c:lblAlgn val="ctr"/>
        <c:lblOffset val="100"/>
        <c:noMultiLvlLbl val="0"/>
      </c:catAx>
      <c:valAx>
        <c:axId val="1136935696"/>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t>Coverage</a:t>
                </a:r>
                <a:r>
                  <a:rPr lang="en-US" sz="1200" baseline="0"/>
                  <a:t> (%)</a:t>
                </a:r>
                <a:endParaRPr lang="en-US" sz="1200"/>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36924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'2004'!$A$1:$A$6</c:f>
              <c:strCache>
                <c:ptCount val="6"/>
                <c:pt idx="0">
                  <c:v>Developed, low intensity</c:v>
                </c:pt>
                <c:pt idx="1">
                  <c:v>Developed, medium intensity</c:v>
                </c:pt>
                <c:pt idx="2">
                  <c:v>Developed, high intensity</c:v>
                </c:pt>
                <c:pt idx="3">
                  <c:v>Wetland</c:v>
                </c:pt>
                <c:pt idx="4">
                  <c:v>Water</c:v>
                </c:pt>
                <c:pt idx="5">
                  <c:v>Dense forest</c:v>
                </c:pt>
              </c:strCache>
            </c:strRef>
          </c:cat>
          <c:val>
            <c:numRef>
              <c:f>'2004'!$C$1:$C$6</c:f>
              <c:numCache>
                <c:formatCode>General</c:formatCode>
                <c:ptCount val="6"/>
                <c:pt idx="0">
                  <c:v>44.432080839999998</c:v>
                </c:pt>
                <c:pt idx="1">
                  <c:v>25.912579560000001</c:v>
                </c:pt>
                <c:pt idx="2">
                  <c:v>1.377008368</c:v>
                </c:pt>
                <c:pt idx="3">
                  <c:v>27.190600419999999</c:v>
                </c:pt>
                <c:pt idx="4">
                  <c:v>3.7123699000000003E-2</c:v>
                </c:pt>
                <c:pt idx="5">
                  <c:v>1.0506071079999999</c:v>
                </c:pt>
              </c:numCache>
            </c:numRef>
          </c:val>
          <c:extLst>
            <c:ext xmlns:c16="http://schemas.microsoft.com/office/drawing/2014/chart" uri="{C3380CC4-5D6E-409C-BE32-E72D297353CC}">
              <c16:uniqueId val="{00000000-25F3-4B60-B572-2B95377A7084}"/>
            </c:ext>
          </c:extLst>
        </c:ser>
        <c:dLbls>
          <c:showLegendKey val="0"/>
          <c:showVal val="0"/>
          <c:showCatName val="0"/>
          <c:showSerName val="0"/>
          <c:showPercent val="0"/>
          <c:showBubbleSize val="0"/>
        </c:dLbls>
        <c:gapWidth val="219"/>
        <c:overlap val="-27"/>
        <c:axId val="1693059232"/>
        <c:axId val="1693080032"/>
      </c:barChart>
      <c:catAx>
        <c:axId val="1693059232"/>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Land use/land cover class</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93080032"/>
        <c:crosses val="autoZero"/>
        <c:auto val="1"/>
        <c:lblAlgn val="ctr"/>
        <c:lblOffset val="100"/>
        <c:noMultiLvlLbl val="0"/>
      </c:catAx>
      <c:valAx>
        <c:axId val="1693080032"/>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Coverage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930592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25361084250432"/>
          <c:y val="4.540763673890609E-2"/>
          <c:w val="0.82415639565522136"/>
          <c:h val="0.64115373736177717"/>
        </c:manualLayout>
      </c:layout>
      <c:barChart>
        <c:barDir val="col"/>
        <c:grouping val="clustered"/>
        <c:varyColors val="0"/>
        <c:ser>
          <c:idx val="0"/>
          <c:order val="0"/>
          <c:spPr>
            <a:solidFill>
              <a:schemeClr val="accent1"/>
            </a:solidFill>
            <a:ln>
              <a:noFill/>
            </a:ln>
            <a:effectLst/>
          </c:spPr>
          <c:invertIfNegative val="0"/>
          <c:cat>
            <c:strRef>
              <c:f>'2011'!$A$1:$A$5</c:f>
              <c:strCache>
                <c:ptCount val="5"/>
                <c:pt idx="0">
                  <c:v>Developed, low intensity</c:v>
                </c:pt>
                <c:pt idx="1">
                  <c:v>Developed, medium intensity</c:v>
                </c:pt>
                <c:pt idx="2">
                  <c:v>Developed, high intensity</c:v>
                </c:pt>
                <c:pt idx="3">
                  <c:v>Wetland</c:v>
                </c:pt>
                <c:pt idx="4">
                  <c:v>Water</c:v>
                </c:pt>
              </c:strCache>
            </c:strRef>
          </c:cat>
          <c:val>
            <c:numRef>
              <c:f>'2011'!$C$1:$C$5</c:f>
              <c:numCache>
                <c:formatCode>General</c:formatCode>
                <c:ptCount val="5"/>
                <c:pt idx="0">
                  <c:v>2.5082284750000001</c:v>
                </c:pt>
                <c:pt idx="1">
                  <c:v>54.710233520000003</c:v>
                </c:pt>
                <c:pt idx="2">
                  <c:v>9.1548146169999995</c:v>
                </c:pt>
                <c:pt idx="3">
                  <c:v>33.60898495</c:v>
                </c:pt>
                <c:pt idx="4">
                  <c:v>1.7738437999999999E-2</c:v>
                </c:pt>
              </c:numCache>
            </c:numRef>
          </c:val>
          <c:extLst>
            <c:ext xmlns:c16="http://schemas.microsoft.com/office/drawing/2014/chart" uri="{C3380CC4-5D6E-409C-BE32-E72D297353CC}">
              <c16:uniqueId val="{00000000-2CFF-4476-A3A3-5D4F85043F9E}"/>
            </c:ext>
          </c:extLst>
        </c:ser>
        <c:dLbls>
          <c:showLegendKey val="0"/>
          <c:showVal val="0"/>
          <c:showCatName val="0"/>
          <c:showSerName val="0"/>
          <c:showPercent val="0"/>
          <c:showBubbleSize val="0"/>
        </c:dLbls>
        <c:gapWidth val="219"/>
        <c:overlap val="-27"/>
        <c:axId val="1669327104"/>
        <c:axId val="1669320032"/>
      </c:barChart>
      <c:catAx>
        <c:axId val="1669327104"/>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Land use/land cover class</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69320032"/>
        <c:crosses val="autoZero"/>
        <c:auto val="1"/>
        <c:lblAlgn val="ctr"/>
        <c:lblOffset val="100"/>
        <c:noMultiLvlLbl val="0"/>
      </c:catAx>
      <c:valAx>
        <c:axId val="1669320032"/>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Coverage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69327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87661854768154"/>
          <c:y val="5.0925925925925923E-2"/>
          <c:w val="0.81067825896762902"/>
          <c:h val="0.73147346165062699"/>
        </c:manualLayout>
      </c:layout>
      <c:barChart>
        <c:barDir val="col"/>
        <c:grouping val="clustered"/>
        <c:varyColors val="0"/>
        <c:ser>
          <c:idx val="0"/>
          <c:order val="0"/>
          <c:spPr>
            <a:solidFill>
              <a:schemeClr val="accent1"/>
            </a:solidFill>
            <a:ln>
              <a:noFill/>
            </a:ln>
            <a:effectLst/>
          </c:spPr>
          <c:invertIfNegative val="0"/>
          <c:cat>
            <c:strRef>
              <c:f>'C:\Users\user\Desktop\Chardara work\Landsat-2000\[Table-2000.csv]Sheet1'!$A$2:$A$6</c:f>
              <c:strCache>
                <c:ptCount val="5"/>
                <c:pt idx="0">
                  <c:v>Water</c:v>
                </c:pt>
                <c:pt idx="1">
                  <c:v>Vegetation</c:v>
                </c:pt>
                <c:pt idx="2">
                  <c:v>Developed, low intensity</c:v>
                </c:pt>
                <c:pt idx="3">
                  <c:v>Developed, medium intensity</c:v>
                </c:pt>
                <c:pt idx="4">
                  <c:v>Developed, high intensity</c:v>
                </c:pt>
              </c:strCache>
            </c:strRef>
          </c:cat>
          <c:val>
            <c:numRef>
              <c:f>'C:\Users\user\Desktop\Chardara work\Landsat-2000\[Table-2000.csv]Sheet1'!$B$2:$B$6</c:f>
              <c:numCache>
                <c:formatCode>General</c:formatCode>
                <c:ptCount val="5"/>
                <c:pt idx="0">
                  <c:v>3632.277513</c:v>
                </c:pt>
                <c:pt idx="1">
                  <c:v>15754.17599</c:v>
                </c:pt>
                <c:pt idx="2">
                  <c:v>36482.77246</c:v>
                </c:pt>
                <c:pt idx="3">
                  <c:v>4003.6960429999999</c:v>
                </c:pt>
                <c:pt idx="4">
                  <c:v>9865.3505320000004</c:v>
                </c:pt>
              </c:numCache>
            </c:numRef>
          </c:val>
          <c:extLst>
            <c:ext xmlns:c16="http://schemas.microsoft.com/office/drawing/2014/chart" uri="{C3380CC4-5D6E-409C-BE32-E72D297353CC}">
              <c16:uniqueId val="{00000000-290E-4C0B-B604-7B49E6AF059F}"/>
            </c:ext>
          </c:extLst>
        </c:ser>
        <c:dLbls>
          <c:showLegendKey val="0"/>
          <c:showVal val="0"/>
          <c:showCatName val="0"/>
          <c:showSerName val="0"/>
          <c:showPercent val="0"/>
          <c:showBubbleSize val="0"/>
        </c:dLbls>
        <c:gapWidth val="219"/>
        <c:overlap val="-27"/>
        <c:axId val="706033176"/>
        <c:axId val="706033504"/>
      </c:barChart>
      <c:catAx>
        <c:axId val="70603317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Land</a:t>
                </a:r>
                <a:r>
                  <a:rPr lang="en-US" baseline="0"/>
                  <a:t> use class</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06033504"/>
        <c:crosses val="autoZero"/>
        <c:auto val="1"/>
        <c:lblAlgn val="ctr"/>
        <c:lblOffset val="100"/>
        <c:noMultiLvlLbl val="0"/>
      </c:catAx>
      <c:valAx>
        <c:axId val="706033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Area</a:t>
                </a:r>
                <a:r>
                  <a:rPr lang="en-US" baseline="0"/>
                  <a:t> (</a:t>
                </a:r>
                <a:r>
                  <a:rPr lang="en-US" sz="1000" b="0" i="0" u="none" strike="noStrike" baseline="0">
                    <a:effectLst/>
                  </a:rPr>
                  <a:t>km</a:t>
                </a:r>
                <a:r>
                  <a:rPr lang="en-US" sz="1000" b="0" i="0" u="none" strike="noStrike" baseline="30000">
                    <a:effectLst/>
                  </a:rPr>
                  <a:t>2</a:t>
                </a:r>
                <a:r>
                  <a:rPr lang="en-US" sz="1000" b="0" i="0" u="none" strike="noStrike" baseline="0">
                    <a:effectLst/>
                  </a:rPr>
                  <a:t>)</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06033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39900161642033"/>
          <c:y val="4.7760551248923339E-2"/>
          <c:w val="0.82563232926493102"/>
          <c:h val="0.69320264230537065"/>
        </c:manualLayout>
      </c:layout>
      <c:barChart>
        <c:barDir val="col"/>
        <c:grouping val="clustered"/>
        <c:varyColors val="0"/>
        <c:ser>
          <c:idx val="0"/>
          <c:order val="0"/>
          <c:spPr>
            <a:solidFill>
              <a:schemeClr val="accent1"/>
            </a:solidFill>
            <a:ln>
              <a:noFill/>
            </a:ln>
            <a:effectLst/>
          </c:spPr>
          <c:invertIfNegative val="0"/>
          <c:cat>
            <c:strRef>
              <c:f>Sheet1!$A$1:$A$5</c:f>
              <c:strCache>
                <c:ptCount val="5"/>
                <c:pt idx="0">
                  <c:v>Water</c:v>
                </c:pt>
                <c:pt idx="1">
                  <c:v>Vegetation</c:v>
                </c:pt>
                <c:pt idx="2">
                  <c:v>Developed, low intensity</c:v>
                </c:pt>
                <c:pt idx="3">
                  <c:v>Developed, medium intensity</c:v>
                </c:pt>
                <c:pt idx="4">
                  <c:v>Developed, high intensity</c:v>
                </c:pt>
              </c:strCache>
            </c:strRef>
          </c:cat>
          <c:val>
            <c:numRef>
              <c:f>Sheet1!$B$1:$B$5</c:f>
              <c:numCache>
                <c:formatCode>General</c:formatCode>
                <c:ptCount val="5"/>
                <c:pt idx="0">
                  <c:v>1159.432513</c:v>
                </c:pt>
                <c:pt idx="1">
                  <c:v>14009.5</c:v>
                </c:pt>
                <c:pt idx="2">
                  <c:v>12833.3465</c:v>
                </c:pt>
                <c:pt idx="3">
                  <c:v>20007.087009000003</c:v>
                </c:pt>
                <c:pt idx="4">
                  <c:v>21728.906519000004</c:v>
                </c:pt>
              </c:numCache>
            </c:numRef>
          </c:val>
          <c:extLst>
            <c:ext xmlns:c16="http://schemas.microsoft.com/office/drawing/2014/chart" uri="{C3380CC4-5D6E-409C-BE32-E72D297353CC}">
              <c16:uniqueId val="{00000000-384F-497E-B88A-E4E0E4C79466}"/>
            </c:ext>
          </c:extLst>
        </c:ser>
        <c:dLbls>
          <c:showLegendKey val="0"/>
          <c:showVal val="0"/>
          <c:showCatName val="0"/>
          <c:showSerName val="0"/>
          <c:showPercent val="0"/>
          <c:showBubbleSize val="0"/>
        </c:dLbls>
        <c:gapWidth val="219"/>
        <c:overlap val="-27"/>
        <c:axId val="903576352"/>
        <c:axId val="903577184"/>
      </c:barChart>
      <c:catAx>
        <c:axId val="903576352"/>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Land use class</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03577184"/>
        <c:crosses val="autoZero"/>
        <c:auto val="1"/>
        <c:lblAlgn val="ctr"/>
        <c:lblOffset val="100"/>
        <c:noMultiLvlLbl val="0"/>
      </c:catAx>
      <c:valAx>
        <c:axId val="903577184"/>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Area (km</a:t>
                </a:r>
                <a:r>
                  <a:rPr lang="en-US" baseline="30000"/>
                  <a:t>2</a:t>
                </a:r>
                <a:r>
                  <a:rPr lang="en-US"/>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03576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'5days.PWP.upstream'!$B$2</c:f>
              <c:strCache>
                <c:ptCount val="1"/>
                <c:pt idx="0">
                  <c:v>5m</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'5days.PWP.upstream'!$A$3:$A$33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'5days.PWP.upstream'!$B$3:$B$33</c:f>
              <c:numCache>
                <c:formatCode>General</c:formatCode>
                <c:ptCount val="31"/>
                <c:pt idx="0">
                  <c:v>8.3183395999999998</c:v>
                </c:pt>
                <c:pt idx="1">
                  <c:v>-4.5924052</c:v>
                </c:pt>
                <c:pt idx="2">
                  <c:v>-8.6115030000000008</c:v>
                </c:pt>
                <c:pt idx="3">
                  <c:v>-11.262394</c:v>
                </c:pt>
                <c:pt idx="4">
                  <c:v>-13.270648</c:v>
                </c:pt>
                <c:pt idx="5">
                  <c:v>-14.895274000000001</c:v>
                </c:pt>
                <c:pt idx="6">
                  <c:v>-16.265750000000001</c:v>
                </c:pt>
                <c:pt idx="7">
                  <c:v>-17.455946000000001</c:v>
                </c:pt>
                <c:pt idx="8">
                  <c:v>-18.511433</c:v>
                </c:pt>
                <c:pt idx="9">
                  <c:v>-19.462315</c:v>
                </c:pt>
                <c:pt idx="10">
                  <c:v>-20.329391999999999</c:v>
                </c:pt>
                <c:pt idx="11">
                  <c:v>-21.127829999999999</c:v>
                </c:pt>
                <c:pt idx="12">
                  <c:v>-21.869053999999998</c:v>
                </c:pt>
                <c:pt idx="13">
                  <c:v>-22.561589000000001</c:v>
                </c:pt>
                <c:pt idx="14">
                  <c:v>-23.212195000000001</c:v>
                </c:pt>
                <c:pt idx="15">
                  <c:v>-23.826277000000001</c:v>
                </c:pt>
                <c:pt idx="16">
                  <c:v>-24.408227</c:v>
                </c:pt>
                <c:pt idx="17">
                  <c:v>-24.961673999999999</c:v>
                </c:pt>
                <c:pt idx="18">
                  <c:v>-25.489661999999999</c:v>
                </c:pt>
                <c:pt idx="19">
                  <c:v>-25.994778</c:v>
                </c:pt>
                <c:pt idx="20">
                  <c:v>-26.479223000000001</c:v>
                </c:pt>
                <c:pt idx="21">
                  <c:v>-26.944887999999999</c:v>
                </c:pt>
                <c:pt idx="22">
                  <c:v>-27.393404</c:v>
                </c:pt>
                <c:pt idx="23">
                  <c:v>-27.826177000000001</c:v>
                </c:pt>
                <c:pt idx="24">
                  <c:v>-28.244430000000001</c:v>
                </c:pt>
                <c:pt idx="25">
                  <c:v>-28.649258</c:v>
                </c:pt>
                <c:pt idx="26">
                  <c:v>-29.041630000000001</c:v>
                </c:pt>
                <c:pt idx="27">
                  <c:v>-29.422407</c:v>
                </c:pt>
                <c:pt idx="28">
                  <c:v>-29.792365</c:v>
                </c:pt>
                <c:pt idx="29">
                  <c:v>-30.152208000000002</c:v>
                </c:pt>
                <c:pt idx="30">
                  <c:v>-30.502562000000001</c:v>
                </c:pt>
              </c:numCache>
            </c:numRef>
          </c:yVal>
          <c:smooth val="1"/>
          <c:extLst>
            <c:ext xmlns:c16="http://schemas.microsoft.com/office/drawing/2014/chart" uri="{C3380CC4-5D6E-409C-BE32-E72D297353CC}">
              <c16:uniqueId val="{00000000-8650-4A2F-AC55-836599ECCB2E}"/>
            </c:ext>
          </c:extLst>
        </c:ser>
        <c:ser>
          <c:idx val="1"/>
          <c:order val="1"/>
          <c:tx>
            <c:strRef>
              <c:f>'5days.PWP.upstream'!$C$2</c:f>
              <c:strCache>
                <c:ptCount val="1"/>
                <c:pt idx="0">
                  <c:v>10m</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'5days.PWP.upstream'!$A$3:$A$33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'5days.PWP.upstream'!$C$3:$C$33</c:f>
              <c:numCache>
                <c:formatCode>General</c:formatCode>
                <c:ptCount val="31"/>
                <c:pt idx="0">
                  <c:v>7.0505224000000002</c:v>
                </c:pt>
                <c:pt idx="1">
                  <c:v>-5.7640856999999999</c:v>
                </c:pt>
                <c:pt idx="2">
                  <c:v>-9.7174934999999998</c:v>
                </c:pt>
                <c:pt idx="3">
                  <c:v>-12.388241000000001</c:v>
                </c:pt>
                <c:pt idx="4">
                  <c:v>-14.428542</c:v>
                </c:pt>
                <c:pt idx="5">
                  <c:v>-16.089297999999999</c:v>
                </c:pt>
                <c:pt idx="6">
                  <c:v>-17.496324000000001</c:v>
                </c:pt>
                <c:pt idx="7">
                  <c:v>-18.721693999999999</c:v>
                </c:pt>
                <c:pt idx="8">
                  <c:v>-19.810299000000001</c:v>
                </c:pt>
                <c:pt idx="9">
                  <c:v>-20.792164</c:v>
                </c:pt>
                <c:pt idx="10">
                  <c:v>-21.688362999999999</c:v>
                </c:pt>
                <c:pt idx="11">
                  <c:v>-22.514026999999999</c:v>
                </c:pt>
                <c:pt idx="12">
                  <c:v>-23.280584999999999</c:v>
                </c:pt>
                <c:pt idx="13">
                  <c:v>-23.996822999999999</c:v>
                </c:pt>
                <c:pt idx="14">
                  <c:v>-24.669647999999999</c:v>
                </c:pt>
                <c:pt idx="15">
                  <c:v>-25.304603</c:v>
                </c:pt>
                <c:pt idx="16">
                  <c:v>-25.906253</c:v>
                </c:pt>
                <c:pt idx="17">
                  <c:v>-26.478383999999998</c:v>
                </c:pt>
                <c:pt idx="18">
                  <c:v>-27.024146000000002</c:v>
                </c:pt>
                <c:pt idx="19">
                  <c:v>-27.546191</c:v>
                </c:pt>
                <c:pt idx="20">
                  <c:v>-28.046762999999999</c:v>
                </c:pt>
                <c:pt idx="21">
                  <c:v>-28.527791000000001</c:v>
                </c:pt>
                <c:pt idx="22">
                  <c:v>-28.990950999999999</c:v>
                </c:pt>
                <c:pt idx="23">
                  <c:v>-29.437709999999999</c:v>
                </c:pt>
                <c:pt idx="24">
                  <c:v>-29.869358999999999</c:v>
                </c:pt>
                <c:pt idx="25">
                  <c:v>-30.287034999999999</c:v>
                </c:pt>
                <c:pt idx="26">
                  <c:v>-30.691739999999999</c:v>
                </c:pt>
                <c:pt idx="27">
                  <c:v>-31.084368000000001</c:v>
                </c:pt>
                <c:pt idx="28">
                  <c:v>-31.465719</c:v>
                </c:pt>
                <c:pt idx="29">
                  <c:v>-31.836514999999999</c:v>
                </c:pt>
                <c:pt idx="30">
                  <c:v>-32.197406999999998</c:v>
                </c:pt>
              </c:numCache>
            </c:numRef>
          </c:yVal>
          <c:smooth val="1"/>
          <c:extLst>
            <c:ext xmlns:c16="http://schemas.microsoft.com/office/drawing/2014/chart" uri="{C3380CC4-5D6E-409C-BE32-E72D297353CC}">
              <c16:uniqueId val="{00000001-8650-4A2F-AC55-836599ECCB2E}"/>
            </c:ext>
          </c:extLst>
        </c:ser>
        <c:ser>
          <c:idx val="2"/>
          <c:order val="2"/>
          <c:tx>
            <c:strRef>
              <c:f>'5days.PWP.upstream'!$D$2</c:f>
              <c:strCache>
                <c:ptCount val="1"/>
                <c:pt idx="0">
                  <c:v>15m</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'5days.PWP.upstream'!$A$3:$A$33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'5days.PWP.upstream'!$D$3:$D$33</c:f>
              <c:numCache>
                <c:formatCode>General</c:formatCode>
                <c:ptCount val="31"/>
                <c:pt idx="0">
                  <c:v>6.2740628000000003</c:v>
                </c:pt>
                <c:pt idx="1">
                  <c:v>-5.5738919999999998</c:v>
                </c:pt>
                <c:pt idx="2">
                  <c:v>-9.6416237000000002</c:v>
                </c:pt>
                <c:pt idx="3">
                  <c:v>-12.539615</c:v>
                </c:pt>
                <c:pt idx="4">
                  <c:v>-14.800803</c:v>
                </c:pt>
                <c:pt idx="5">
                  <c:v>-16.647444</c:v>
                </c:pt>
                <c:pt idx="6">
                  <c:v>-18.206727999999998</c:v>
                </c:pt>
                <c:pt idx="7">
                  <c:v>-19.556639000000001</c:v>
                </c:pt>
                <c:pt idx="8">
                  <c:v>-20.748315999999999</c:v>
                </c:pt>
                <c:pt idx="9">
                  <c:v>-21.816877999999999</c:v>
                </c:pt>
                <c:pt idx="10">
                  <c:v>-22.786905000000001</c:v>
                </c:pt>
                <c:pt idx="11">
                  <c:v>-23.676368</c:v>
                </c:pt>
                <c:pt idx="12">
                  <c:v>-24.498698000000001</c:v>
                </c:pt>
                <c:pt idx="13">
                  <c:v>-25.264187</c:v>
                </c:pt>
                <c:pt idx="14">
                  <c:v>-25.980969999999999</c:v>
                </c:pt>
                <c:pt idx="15">
                  <c:v>-26.655581999999999</c:v>
                </c:pt>
                <c:pt idx="16">
                  <c:v>-27.293317999999999</c:v>
                </c:pt>
                <c:pt idx="17">
                  <c:v>-27.898509000000001</c:v>
                </c:pt>
                <c:pt idx="18">
                  <c:v>-28.474716999999998</c:v>
                </c:pt>
                <c:pt idx="19">
                  <c:v>-29.024936</c:v>
                </c:pt>
                <c:pt idx="20">
                  <c:v>-29.551711000000001</c:v>
                </c:pt>
                <c:pt idx="21">
                  <c:v>-30.057221999999999</c:v>
                </c:pt>
                <c:pt idx="22">
                  <c:v>-30.543351000000001</c:v>
                </c:pt>
                <c:pt idx="23">
                  <c:v>-31.01173</c:v>
                </c:pt>
                <c:pt idx="24">
                  <c:v>-31.463785999999999</c:v>
                </c:pt>
                <c:pt idx="25">
                  <c:v>-31.900773000000001</c:v>
                </c:pt>
                <c:pt idx="26">
                  <c:v>-32.323799999999999</c:v>
                </c:pt>
                <c:pt idx="27">
                  <c:v>-32.733848999999999</c:v>
                </c:pt>
                <c:pt idx="28">
                  <c:v>-33.131796000000001</c:v>
                </c:pt>
                <c:pt idx="29">
                  <c:v>-33.518425000000001</c:v>
                </c:pt>
                <c:pt idx="30">
                  <c:v>-33.894441999999998</c:v>
                </c:pt>
              </c:numCache>
            </c:numRef>
          </c:yVal>
          <c:smooth val="1"/>
          <c:extLst>
            <c:ext xmlns:c16="http://schemas.microsoft.com/office/drawing/2014/chart" uri="{C3380CC4-5D6E-409C-BE32-E72D297353CC}">
              <c16:uniqueId val="{00000002-8650-4A2F-AC55-836599ECCB2E}"/>
            </c:ext>
          </c:extLst>
        </c:ser>
        <c:dLbls>
          <c:showLegendKey val="0"/>
          <c:showVal val="0"/>
          <c:showCatName val="0"/>
          <c:showSerName val="0"/>
          <c:showPercent val="0"/>
          <c:showBubbleSize val="0"/>
        </c:dLbls>
        <c:axId val="643353535"/>
        <c:axId val="643357695"/>
      </c:scatterChart>
      <c:valAx>
        <c:axId val="643353535"/>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Time (days)</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3357695"/>
        <c:crosses val="autoZero"/>
        <c:crossBetween val="midCat"/>
      </c:valAx>
      <c:valAx>
        <c:axId val="643357695"/>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Water Pressure (kPa)</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3353535"/>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49409119340963"/>
          <c:y val="4.8003491162993669E-2"/>
          <c:w val="0.82230596030652603"/>
          <c:h val="0.71074146981627284"/>
        </c:manualLayout>
      </c:layout>
      <c:scatterChart>
        <c:scatterStyle val="smoothMarker"/>
        <c:varyColors val="0"/>
        <c:ser>
          <c:idx val="0"/>
          <c:order val="0"/>
          <c:tx>
            <c:strRef>
              <c:f>Sheet1!$B$2</c:f>
              <c:strCache>
                <c:ptCount val="1"/>
                <c:pt idx="0">
                  <c:v>5m</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Sheet1!$B$3:$B$33</c:f>
              <c:numCache>
                <c:formatCode>General</c:formatCode>
                <c:ptCount val="31"/>
                <c:pt idx="0">
                  <c:v>0.10484617</c:v>
                </c:pt>
                <c:pt idx="1">
                  <c:v>0.10482814</c:v>
                </c:pt>
                <c:pt idx="2">
                  <c:v>0.10478512</c:v>
                </c:pt>
                <c:pt idx="3">
                  <c:v>0.10470451</c:v>
                </c:pt>
                <c:pt idx="4">
                  <c:v>0.10458357</c:v>
                </c:pt>
                <c:pt idx="5">
                  <c:v>0.10442522999999999</c:v>
                </c:pt>
                <c:pt idx="6">
                  <c:v>0.10423504</c:v>
                </c:pt>
                <c:pt idx="7">
                  <c:v>0.10401729</c:v>
                </c:pt>
                <c:pt idx="8">
                  <c:v>0.10377912</c:v>
                </c:pt>
                <c:pt idx="9">
                  <c:v>0.1035247</c:v>
                </c:pt>
                <c:pt idx="10">
                  <c:v>0.10325657000000001</c:v>
                </c:pt>
                <c:pt idx="11">
                  <c:v>0.10297974999999999</c:v>
                </c:pt>
                <c:pt idx="12">
                  <c:v>0.10269136</c:v>
                </c:pt>
                <c:pt idx="13">
                  <c:v>0.10239234999999999</c:v>
                </c:pt>
                <c:pt idx="14">
                  <c:v>0.10208908</c:v>
                </c:pt>
                <c:pt idx="15">
                  <c:v>0.10178613</c:v>
                </c:pt>
                <c:pt idx="16">
                  <c:v>0.10148366</c:v>
                </c:pt>
                <c:pt idx="17">
                  <c:v>0.10118265999999999</c:v>
                </c:pt>
                <c:pt idx="18">
                  <c:v>0.10088357000000001</c:v>
                </c:pt>
                <c:pt idx="19">
                  <c:v>0.10058527</c:v>
                </c:pt>
                <c:pt idx="20">
                  <c:v>0.10028732999999999</c:v>
                </c:pt>
                <c:pt idx="21">
                  <c:v>9.9992919999999999E-2</c:v>
                </c:pt>
                <c:pt idx="22">
                  <c:v>9.9701406000000006E-2</c:v>
                </c:pt>
                <c:pt idx="23">
                  <c:v>9.9413210000000002E-2</c:v>
                </c:pt>
                <c:pt idx="24">
                  <c:v>9.9124606000000004E-2</c:v>
                </c:pt>
                <c:pt idx="25">
                  <c:v>9.8838439E-2</c:v>
                </c:pt>
                <c:pt idx="26">
                  <c:v>9.8555418000000006E-2</c:v>
                </c:pt>
                <c:pt idx="27">
                  <c:v>9.8275901999999998E-2</c:v>
                </c:pt>
                <c:pt idx="28">
                  <c:v>9.7998873E-2</c:v>
                </c:pt>
                <c:pt idx="29">
                  <c:v>9.7727754E-2</c:v>
                </c:pt>
                <c:pt idx="30">
                  <c:v>9.7460087000000001E-2</c:v>
                </c:pt>
              </c:numCache>
            </c:numRef>
          </c:yVal>
          <c:smooth val="1"/>
          <c:extLst>
            <c:ext xmlns:c16="http://schemas.microsoft.com/office/drawing/2014/chart" uri="{C3380CC4-5D6E-409C-BE32-E72D297353CC}">
              <c16:uniqueId val="{00000000-A248-4FE0-91AA-589BCE1FFDA0}"/>
            </c:ext>
          </c:extLst>
        </c:ser>
        <c:ser>
          <c:idx val="1"/>
          <c:order val="1"/>
          <c:tx>
            <c:strRef>
              <c:f>Sheet1!$C$2</c:f>
              <c:strCache>
                <c:ptCount val="1"/>
                <c:pt idx="0">
                  <c:v>10m</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Sheet1!$C$3:$C$33</c:f>
              <c:numCache>
                <c:formatCode>General</c:formatCode>
                <c:ptCount val="31"/>
                <c:pt idx="0">
                  <c:v>0.17242473999999999</c:v>
                </c:pt>
                <c:pt idx="1">
                  <c:v>0.17235924</c:v>
                </c:pt>
                <c:pt idx="2">
                  <c:v>0.17217652999999999</c:v>
                </c:pt>
                <c:pt idx="3">
                  <c:v>0.17185412</c:v>
                </c:pt>
                <c:pt idx="4">
                  <c:v>0.17139081</c:v>
                </c:pt>
                <c:pt idx="5">
                  <c:v>0.17079581999999999</c:v>
                </c:pt>
                <c:pt idx="6">
                  <c:v>0.17008202</c:v>
                </c:pt>
                <c:pt idx="7">
                  <c:v>0.16925999999999999</c:v>
                </c:pt>
                <c:pt idx="8">
                  <c:v>0.16834213000000001</c:v>
                </c:pt>
                <c:pt idx="9">
                  <c:v>0.16733814</c:v>
                </c:pt>
                <c:pt idx="10">
                  <c:v>0.16625419999999999</c:v>
                </c:pt>
                <c:pt idx="11">
                  <c:v>0.16509889</c:v>
                </c:pt>
                <c:pt idx="12">
                  <c:v>0.16388554999999999</c:v>
                </c:pt>
                <c:pt idx="13">
                  <c:v>0.16262451</c:v>
                </c:pt>
                <c:pt idx="14">
                  <c:v>0.16132123000000001</c:v>
                </c:pt>
                <c:pt idx="15">
                  <c:v>0.15998395000000001</c:v>
                </c:pt>
                <c:pt idx="16">
                  <c:v>0.15861981</c:v>
                </c:pt>
                <c:pt idx="17">
                  <c:v>0.15723545999999999</c:v>
                </c:pt>
                <c:pt idx="18">
                  <c:v>0.15583179</c:v>
                </c:pt>
                <c:pt idx="19">
                  <c:v>0.15441261000000001</c:v>
                </c:pt>
                <c:pt idx="20">
                  <c:v>0.15298519999999999</c:v>
                </c:pt>
                <c:pt idx="21">
                  <c:v>0.15155732</c:v>
                </c:pt>
                <c:pt idx="22">
                  <c:v>0.15012951999999999</c:v>
                </c:pt>
                <c:pt idx="23">
                  <c:v>0.14870597999999999</c:v>
                </c:pt>
                <c:pt idx="24">
                  <c:v>0.14728400999999999</c:v>
                </c:pt>
                <c:pt idx="25">
                  <c:v>0.14586087</c:v>
                </c:pt>
                <c:pt idx="26">
                  <c:v>0.14444592000000001</c:v>
                </c:pt>
                <c:pt idx="27">
                  <c:v>0.14304358</c:v>
                </c:pt>
                <c:pt idx="28">
                  <c:v>0.14165470999999999</c:v>
                </c:pt>
                <c:pt idx="29">
                  <c:v>0.14027602</c:v>
                </c:pt>
                <c:pt idx="30">
                  <c:v>0.13891245999999999</c:v>
                </c:pt>
              </c:numCache>
            </c:numRef>
          </c:yVal>
          <c:smooth val="1"/>
          <c:extLst>
            <c:ext xmlns:c16="http://schemas.microsoft.com/office/drawing/2014/chart" uri="{C3380CC4-5D6E-409C-BE32-E72D297353CC}">
              <c16:uniqueId val="{00000001-A248-4FE0-91AA-589BCE1FFDA0}"/>
            </c:ext>
          </c:extLst>
        </c:ser>
        <c:ser>
          <c:idx val="2"/>
          <c:order val="2"/>
          <c:tx>
            <c:strRef>
              <c:f>Sheet1!$D$2</c:f>
              <c:strCache>
                <c:ptCount val="1"/>
                <c:pt idx="0">
                  <c:v>15m</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Sheet1!$A$3:$A$33</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xVal>
          <c:yVal>
            <c:numRef>
              <c:f>Sheet1!$D$3:$D$33</c:f>
              <c:numCache>
                <c:formatCode>General</c:formatCode>
                <c:ptCount val="31"/>
                <c:pt idx="0">
                  <c:v>0.23156429000000001</c:v>
                </c:pt>
                <c:pt idx="1">
                  <c:v>0.23143090999999999</c:v>
                </c:pt>
                <c:pt idx="2">
                  <c:v>0.23106850000000001</c:v>
                </c:pt>
                <c:pt idx="3">
                  <c:v>0.2304612</c:v>
                </c:pt>
                <c:pt idx="4">
                  <c:v>0.22963280999999999</c:v>
                </c:pt>
                <c:pt idx="5">
                  <c:v>0.22861527000000001</c:v>
                </c:pt>
                <c:pt idx="6">
                  <c:v>0.2274371</c:v>
                </c:pt>
                <c:pt idx="7">
                  <c:v>0.22612329</c:v>
                </c:pt>
                <c:pt idx="8">
                  <c:v>0.22469578000000001</c:v>
                </c:pt>
                <c:pt idx="9">
                  <c:v>0.22317145999999999</c:v>
                </c:pt>
                <c:pt idx="10">
                  <c:v>0.22156641999999999</c:v>
                </c:pt>
                <c:pt idx="11">
                  <c:v>0.21989151000000001</c:v>
                </c:pt>
                <c:pt idx="12">
                  <c:v>0.21815609999999999</c:v>
                </c:pt>
                <c:pt idx="13">
                  <c:v>0.21637136000000001</c:v>
                </c:pt>
                <c:pt idx="14">
                  <c:v>0.21454586</c:v>
                </c:pt>
                <c:pt idx="15">
                  <c:v>0.21268818</c:v>
                </c:pt>
                <c:pt idx="16">
                  <c:v>0.21080694999999999</c:v>
                </c:pt>
                <c:pt idx="17">
                  <c:v>0.20890323999999999</c:v>
                </c:pt>
                <c:pt idx="18">
                  <c:v>0.20698783000000001</c:v>
                </c:pt>
                <c:pt idx="19">
                  <c:v>0.20506215</c:v>
                </c:pt>
                <c:pt idx="20">
                  <c:v>0.20312959</c:v>
                </c:pt>
                <c:pt idx="21">
                  <c:v>0.2011944</c:v>
                </c:pt>
                <c:pt idx="22">
                  <c:v>0.19926366000000001</c:v>
                </c:pt>
                <c:pt idx="23">
                  <c:v>0.19733459</c:v>
                </c:pt>
                <c:pt idx="24">
                  <c:v>0.19541368000000001</c:v>
                </c:pt>
                <c:pt idx="25">
                  <c:v>0.19350159</c:v>
                </c:pt>
                <c:pt idx="26">
                  <c:v>0.19159872999999999</c:v>
                </c:pt>
                <c:pt idx="27">
                  <c:v>0.18970743000000001</c:v>
                </c:pt>
                <c:pt idx="28">
                  <c:v>0.18782989</c:v>
                </c:pt>
                <c:pt idx="29">
                  <c:v>0.18596728000000001</c:v>
                </c:pt>
                <c:pt idx="30">
                  <c:v>0.18412000000000001</c:v>
                </c:pt>
              </c:numCache>
            </c:numRef>
          </c:yVal>
          <c:smooth val="1"/>
          <c:extLst>
            <c:ext xmlns:c16="http://schemas.microsoft.com/office/drawing/2014/chart" uri="{C3380CC4-5D6E-409C-BE32-E72D297353CC}">
              <c16:uniqueId val="{00000002-A248-4FE0-91AA-589BCE1FFDA0}"/>
            </c:ext>
          </c:extLst>
        </c:ser>
        <c:dLbls>
          <c:showLegendKey val="0"/>
          <c:showVal val="0"/>
          <c:showCatName val="0"/>
          <c:showSerName val="0"/>
          <c:showPercent val="0"/>
          <c:showBubbleSize val="0"/>
        </c:dLbls>
        <c:axId val="277545696"/>
        <c:axId val="277546112"/>
      </c:scatterChart>
      <c:valAx>
        <c:axId val="277545696"/>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Time (days)</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7546112"/>
        <c:crosses val="autoZero"/>
        <c:crossBetween val="midCat"/>
      </c:valAx>
      <c:valAx>
        <c:axId val="277546112"/>
        <c:scaling>
          <c:orientation val="minMax"/>
          <c:min val="5.000000000000001E-2"/>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Water pressure (kPa)</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7545696"/>
        <c:crosses val="autoZero"/>
        <c:crossBetween val="midCat"/>
      </c:valAx>
      <c:spPr>
        <a:noFill/>
        <a:ln>
          <a:noFill/>
        </a:ln>
        <a:effectLst/>
      </c:spPr>
    </c:plotArea>
    <c:legend>
      <c:legendPos val="b"/>
      <c:layout>
        <c:manualLayout>
          <c:xMode val="edge"/>
          <c:yMode val="edge"/>
          <c:x val="0.35269994495184054"/>
          <c:y val="0.92596913275868886"/>
          <c:w val="0.37185001353393976"/>
          <c:h val="7.403086724131118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noFill/>
      <a:round/>
    </a:ln>
    <a:effectLst/>
  </c:spPr>
  <c:txPr>
    <a:bodyPr/>
    <a:lstStyle/>
    <a:p>
      <a:pPr indent="0" algn="ct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Sheet2!$B$2</c:f>
              <c:strCache>
                <c:ptCount val="1"/>
                <c:pt idx="0">
                  <c:v>5m</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Sheet2!$A$3:$A$33</c:f>
              <c:numCache>
                <c:formatCode>General</c:formatCode>
                <c:ptCount val="31"/>
                <c:pt idx="0">
                  <c:v>0</c:v>
                </c:pt>
                <c:pt idx="1">
                  <c:v>1</c:v>
                </c:pt>
                <c:pt idx="2">
                  <c:v>2</c:v>
                </c:pt>
                <c:pt idx="3">
                  <c:v>3</c:v>
                </c:pt>
                <c:pt idx="4">
                  <c:v>4</c:v>
                </c:pt>
              </c:numCache>
            </c:numRef>
          </c:xVal>
          <c:yVal>
            <c:numRef>
              <c:f>Sheet2!$B$3:$B$33</c:f>
              <c:numCache>
                <c:formatCode>General</c:formatCode>
                <c:ptCount val="31"/>
                <c:pt idx="0">
                  <c:v>1.6029536</c:v>
                </c:pt>
                <c:pt idx="1">
                  <c:v>1.2825036999999999</c:v>
                </c:pt>
                <c:pt idx="2">
                  <c:v>1.1053014999999999</c:v>
                </c:pt>
                <c:pt idx="3">
                  <c:v>1.004713</c:v>
                </c:pt>
                <c:pt idx="4">
                  <c:v>0.95941407000000001</c:v>
                </c:pt>
              </c:numCache>
            </c:numRef>
          </c:yVal>
          <c:smooth val="1"/>
          <c:extLst>
            <c:ext xmlns:c16="http://schemas.microsoft.com/office/drawing/2014/chart" uri="{C3380CC4-5D6E-409C-BE32-E72D297353CC}">
              <c16:uniqueId val="{00000000-4B15-4CFE-AAB5-62E340784975}"/>
            </c:ext>
          </c:extLst>
        </c:ser>
        <c:ser>
          <c:idx val="1"/>
          <c:order val="1"/>
          <c:tx>
            <c:strRef>
              <c:f>Sheet2!$C$2</c:f>
              <c:strCache>
                <c:ptCount val="1"/>
                <c:pt idx="0">
                  <c:v>10m</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Sheet2!$A$3:$A$33</c:f>
              <c:numCache>
                <c:formatCode>General</c:formatCode>
                <c:ptCount val="31"/>
                <c:pt idx="0">
                  <c:v>0</c:v>
                </c:pt>
                <c:pt idx="1">
                  <c:v>1</c:v>
                </c:pt>
                <c:pt idx="2">
                  <c:v>2</c:v>
                </c:pt>
                <c:pt idx="3">
                  <c:v>3</c:v>
                </c:pt>
                <c:pt idx="4">
                  <c:v>4</c:v>
                </c:pt>
              </c:numCache>
            </c:numRef>
          </c:xVal>
          <c:yVal>
            <c:numRef>
              <c:f>Sheet2!$C$3:$C$33</c:f>
              <c:numCache>
                <c:formatCode>General</c:formatCode>
                <c:ptCount val="31"/>
                <c:pt idx="0">
                  <c:v>1.6144811999999999</c:v>
                </c:pt>
                <c:pt idx="1">
                  <c:v>1.2930325</c:v>
                </c:pt>
                <c:pt idx="2">
                  <c:v>1.1139124</c:v>
                </c:pt>
                <c:pt idx="3">
                  <c:v>1.0131546</c:v>
                </c:pt>
                <c:pt idx="4">
                  <c:v>0.96806910999999995</c:v>
                </c:pt>
              </c:numCache>
            </c:numRef>
          </c:yVal>
          <c:smooth val="1"/>
          <c:extLst>
            <c:ext xmlns:c16="http://schemas.microsoft.com/office/drawing/2014/chart" uri="{C3380CC4-5D6E-409C-BE32-E72D297353CC}">
              <c16:uniqueId val="{00000001-4B15-4CFE-AAB5-62E340784975}"/>
            </c:ext>
          </c:extLst>
        </c:ser>
        <c:ser>
          <c:idx val="2"/>
          <c:order val="2"/>
          <c:tx>
            <c:strRef>
              <c:f>Sheet2!$D$2</c:f>
              <c:strCache>
                <c:ptCount val="1"/>
                <c:pt idx="0">
                  <c:v>15m</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Sheet2!$A$3:$A$33</c:f>
              <c:numCache>
                <c:formatCode>General</c:formatCode>
                <c:ptCount val="31"/>
                <c:pt idx="0">
                  <c:v>0</c:v>
                </c:pt>
                <c:pt idx="1">
                  <c:v>1</c:v>
                </c:pt>
                <c:pt idx="2">
                  <c:v>2</c:v>
                </c:pt>
                <c:pt idx="3">
                  <c:v>3</c:v>
                </c:pt>
                <c:pt idx="4">
                  <c:v>4</c:v>
                </c:pt>
              </c:numCache>
            </c:numRef>
          </c:xVal>
          <c:yVal>
            <c:numRef>
              <c:f>Sheet2!$D$3:$D$33</c:f>
              <c:numCache>
                <c:formatCode>General</c:formatCode>
                <c:ptCount val="31"/>
                <c:pt idx="0">
                  <c:v>1.6261912999999999</c:v>
                </c:pt>
                <c:pt idx="1">
                  <c:v>1.3023806</c:v>
                </c:pt>
                <c:pt idx="2">
                  <c:v>1.1225911</c:v>
                </c:pt>
                <c:pt idx="3">
                  <c:v>1.0216394</c:v>
                </c:pt>
                <c:pt idx="4">
                  <c:v>0.97605637000000001</c:v>
                </c:pt>
              </c:numCache>
            </c:numRef>
          </c:yVal>
          <c:smooth val="1"/>
          <c:extLst>
            <c:ext xmlns:c16="http://schemas.microsoft.com/office/drawing/2014/chart" uri="{C3380CC4-5D6E-409C-BE32-E72D297353CC}">
              <c16:uniqueId val="{00000002-4B15-4CFE-AAB5-62E340784975}"/>
            </c:ext>
          </c:extLst>
        </c:ser>
        <c:dLbls>
          <c:showLegendKey val="0"/>
          <c:showVal val="0"/>
          <c:showCatName val="0"/>
          <c:showSerName val="0"/>
          <c:showPercent val="0"/>
          <c:showBubbleSize val="0"/>
        </c:dLbls>
        <c:axId val="2073499920"/>
        <c:axId val="2073506160"/>
      </c:scatterChart>
      <c:valAx>
        <c:axId val="2073499920"/>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Time</a:t>
                </a:r>
                <a:r>
                  <a:rPr lang="en-US" baseline="0"/>
                  <a:t> (days)</a:t>
                </a:r>
                <a:endParaRPr lang="en-US"/>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73506160"/>
        <c:crosses val="autoZero"/>
        <c:crossBetween val="midCat"/>
      </c:valAx>
      <c:valAx>
        <c:axId val="2073506160"/>
        <c:scaling>
          <c:orientation val="minMax"/>
          <c:min val="0.8"/>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Factor</a:t>
                </a:r>
                <a:r>
                  <a:rPr lang="en-US" baseline="0"/>
                  <a:t> of safety</a:t>
                </a:r>
                <a:endParaRPr lang="en-US"/>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7349992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A6C80-BB02-483A-BC7F-1B07E43C12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17885</TotalTime>
  <Pages>302</Pages>
  <Words>217877</Words>
  <Characters>1241905</Characters>
  <Application>Microsoft Office Word</Application>
  <DocSecurity>0</DocSecurity>
  <Lines>10349</Lines>
  <Paragraphs>2913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1456869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Жарасов Шынгыс Жарасович</dc:creator>
  <cp:keywords/>
  <dc:description/>
  <cp:lastModifiedBy>CSI</cp:lastModifiedBy>
  <cp:revision>670</cp:revision>
  <cp:lastPrinted>2022-06-01T09:14:00Z</cp:lastPrinted>
  <dcterms:created xsi:type="dcterms:W3CDTF">2022-04-14T08:56:00Z</dcterms:created>
  <dcterms:modified xsi:type="dcterms:W3CDTF">2022-06-01T15:12:00Z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a942eb40-c961-34e0-82a2-869c20a15094</vt:lpwstr>
  </property>
  <property fmtid="{D5CDD505-2E9C-101B-9397-08002B2CF9AE}" pid="4" name="Mendeley Citation Style_1">
    <vt:lpwstr>http://www.zotero.org/styles/gost-r-7-0-5-2008-numeric</vt:lpwstr>
  </property>
  <property fmtid="{D5CDD505-2E9C-101B-9397-08002B2CF9AE}" pid="5" name="Mendeley Recent Style Id 0_1">
    <vt:lpwstr>http://www.zotero.org/styles/applied-sciences</vt:lpwstr>
  </property>
  <property fmtid="{D5CDD505-2E9C-101B-9397-08002B2CF9AE}" pid="6" name="Mendeley Recent Style Name 0_1">
    <vt:lpwstr>Applied Sciences</vt:lpwstr>
  </property>
  <property fmtid="{D5CDD505-2E9C-101B-9397-08002B2CF9AE}" pid="7" name="Mendeley Recent Style Id 1_1">
    <vt:lpwstr>http://www.zotero.org/styles/begell-house-chicago-author-date</vt:lpwstr>
  </property>
  <property fmtid="{D5CDD505-2E9C-101B-9397-08002B2CF9AE}" pid="8" name="Mendeley Recent Style Name 1_1">
    <vt:lpwstr>Begell House - Chicago Manual of Style</vt:lpwstr>
  </property>
  <property fmtid="{D5CDD505-2E9C-101B-9397-08002B2CF9AE}" pid="9" name="Mendeley Recent Style Id 2_1">
    <vt:lpwstr>http://www.zotero.org/styles/harvard-cite-them-right</vt:lpwstr>
  </property>
  <property fmtid="{D5CDD505-2E9C-101B-9397-08002B2CF9AE}" pid="10" name="Mendeley Recent Style Name 2_1">
    <vt:lpwstr>Cite Them Right 10th edition - Harvard</vt:lpwstr>
  </property>
  <property fmtid="{D5CDD505-2E9C-101B-9397-08002B2CF9AE}" pid="11" name="Mendeley Recent Style Id 3_1">
    <vt:lpwstr>http://www.zotero.org/styles/elsevier-harvard</vt:lpwstr>
  </property>
  <property fmtid="{D5CDD505-2E9C-101B-9397-08002B2CF9AE}" pid="12" name="Mendeley Recent Style Name 3_1">
    <vt:lpwstr>Elsevier - Harvard (with titles)</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http://www.zotero.org/styles/gost-r-7-0-5-2008</vt:lpwstr>
  </property>
  <property fmtid="{D5CDD505-2E9C-101B-9397-08002B2CF9AE}" pid="18" name="Mendeley Recent Style Name 6_1">
    <vt:lpwstr>Russian GOST R 7.0.5-2008 (Russian)</vt:lpwstr>
  </property>
  <property fmtid="{D5CDD505-2E9C-101B-9397-08002B2CF9AE}" pid="19" name="Mendeley Recent Style Id 7_1">
    <vt:lpwstr>http://www.zotero.org/styles/gost-r-7-0-5-2008-numeric</vt:lpwstr>
  </property>
  <property fmtid="{D5CDD505-2E9C-101B-9397-08002B2CF9AE}" pid="20" name="Mendeley Recent Style Name 7_1">
    <vt:lpwstr>Russian GOST R 7.0.5-2008 (numeric)</vt:lpwstr>
  </property>
  <property fmtid="{D5CDD505-2E9C-101B-9397-08002B2CF9AE}" pid="21" name="Mendeley Recent Style Id 8_1">
    <vt:lpwstr>http://www.zotero.org/styles/sustainability</vt:lpwstr>
  </property>
  <property fmtid="{D5CDD505-2E9C-101B-9397-08002B2CF9AE}" pid="22" name="Mendeley Recent Style Name 8_1">
    <vt:lpwstr>Sustainability</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y fmtid="{D5CDD505-2E9C-101B-9397-08002B2CF9AE}" pid="25" name="ZOTERO_PREF_1">
    <vt:lpwstr>&lt;data data-version="3" zotero-version="6.0.8"&gt;&lt;session id="GHh6RxNO"/&gt;&lt;style id="" hasBibliography="0" bibliographyStyleHasBeenSet="0"/&gt;&lt;prefs/&gt;&lt;/data&gt;</vt:lpwstr>
  </property>
</Properties>
</file>